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rFonts w:ascii="Arial" w:cs="Arial" w:eastAsia="Arial" w:hAnsi="Arial"/>
          <w:sz w:val="22"/>
          <w:szCs w:val="22"/>
          <w:color w:val="0000EE"/>
        </w:rPr>
      </w:pPr>
      <w:hyperlink w:anchor="page4">
        <w:r>
          <w:rPr>
            <w:rFonts w:ascii="Arial" w:cs="Arial" w:eastAsia="Arial" w:hAnsi="Arial"/>
            <w:sz w:val="22"/>
            <w:szCs w:val="22"/>
            <w:u w:val="single" w:color="auto"/>
            <w:color w:val="0000EE"/>
          </w:rPr>
          <w:t>QuickLinks</w:t>
        </w:r>
        <w:r>
          <w:rPr>
            <w:rFonts w:ascii="Arial" w:cs="Arial" w:eastAsia="Arial" w:hAnsi="Arial"/>
            <w:sz w:val="22"/>
            <w:szCs w:val="22"/>
            <w:color w:val="0000EE"/>
          </w:rPr>
          <w:t xml:space="preserve"> </w:t>
        </w:r>
      </w:hyperlink>
      <w:r>
        <w:rPr>
          <w:rFonts w:ascii="Arial" w:cs="Arial" w:eastAsia="Arial" w:hAnsi="Arial"/>
          <w:sz w:val="22"/>
          <w:szCs w:val="22"/>
          <w:color w:val="000000"/>
        </w:rPr>
        <w:t>--</w:t>
      </w:r>
      <w:r>
        <w:rPr>
          <w:rFonts w:ascii="Arial" w:cs="Arial" w:eastAsia="Arial" w:hAnsi="Arial"/>
          <w:sz w:val="22"/>
          <w:szCs w:val="22"/>
          <w:color w:val="0000EE"/>
        </w:rPr>
        <w:t xml:space="preserve"> </w:t>
      </w:r>
      <w:r>
        <w:rPr>
          <w:rFonts w:ascii="Arial" w:cs="Arial" w:eastAsia="Arial" w:hAnsi="Arial"/>
          <w:sz w:val="22"/>
          <w:szCs w:val="22"/>
          <w:color w:val="000000"/>
        </w:rPr>
        <w:t>Click here to rapidly navigate through this document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144780</wp:posOffset>
            </wp:positionV>
            <wp:extent cx="7246620" cy="431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246620" cy="43180"/>
                    </a:xfrm>
                    <a:prstGeom prst="rect">
                      <a:avLst/>
                    </a:prstGeom>
                    <a:noFill/>
                  </pic:spPr>
                </pic:pic>
              </a:graphicData>
            </a:graphic>
          </wp:anchor>
        </w:drawing>
      </w:r>
    </w:p>
    <w:p>
      <w:pPr>
        <w:spacing w:after="0" w:line="200" w:lineRule="exact"/>
        <w:rPr>
          <w:sz w:val="24"/>
          <w:szCs w:val="24"/>
          <w:color w:val="auto"/>
        </w:rPr>
      </w:pPr>
    </w:p>
    <w:p>
      <w:pPr>
        <w:spacing w:after="0" w:line="250" w:lineRule="exact"/>
        <w:rPr>
          <w:sz w:val="24"/>
          <w:szCs w:val="24"/>
          <w:color w:val="auto"/>
        </w:rPr>
      </w:pPr>
    </w:p>
    <w:p>
      <w:pPr>
        <w:jc w:val="center"/>
        <w:spacing w:after="0"/>
        <w:rPr>
          <w:sz w:val="20"/>
          <w:szCs w:val="20"/>
          <w:color w:val="auto"/>
        </w:rPr>
      </w:pPr>
      <w:r>
        <w:rPr>
          <w:rFonts w:ascii="Arial" w:cs="Arial" w:eastAsia="Arial" w:hAnsi="Arial"/>
          <w:sz w:val="32"/>
          <w:szCs w:val="32"/>
          <w:b w:val="1"/>
          <w:bCs w:val="1"/>
          <w:color w:val="auto"/>
        </w:rPr>
        <w:t>UNITED STATES</w:t>
      </w:r>
    </w:p>
    <w:p>
      <w:pPr>
        <w:spacing w:after="0" w:line="33" w:lineRule="exact"/>
        <w:rPr>
          <w:sz w:val="24"/>
          <w:szCs w:val="24"/>
          <w:color w:val="auto"/>
        </w:rPr>
      </w:pPr>
    </w:p>
    <w:p>
      <w:pPr>
        <w:jc w:val="center"/>
        <w:spacing w:after="0"/>
        <w:rPr>
          <w:sz w:val="20"/>
          <w:szCs w:val="20"/>
          <w:color w:val="auto"/>
        </w:rPr>
      </w:pPr>
      <w:r>
        <w:rPr>
          <w:rFonts w:ascii="Arial" w:cs="Arial" w:eastAsia="Arial" w:hAnsi="Arial"/>
          <w:sz w:val="32"/>
          <w:szCs w:val="32"/>
          <w:b w:val="1"/>
          <w:bCs w:val="1"/>
          <w:color w:val="auto"/>
        </w:rPr>
        <w:t>SECURITIES AND EXCHANGE COMMISSION</w:t>
      </w:r>
    </w:p>
    <w:p>
      <w:pPr>
        <w:spacing w:after="0" w:line="7"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Washington, DC 20549</w:t>
      </w:r>
    </w:p>
    <w:p>
      <w:pPr>
        <w:spacing w:after="0" w:line="178" w:lineRule="exact"/>
        <w:rPr>
          <w:sz w:val="24"/>
          <w:szCs w:val="24"/>
          <w:color w:val="auto"/>
        </w:rPr>
      </w:pPr>
    </w:p>
    <w:p>
      <w:pPr>
        <w:jc w:val="center"/>
        <w:spacing w:after="0"/>
        <w:rPr>
          <w:sz w:val="20"/>
          <w:szCs w:val="20"/>
          <w:color w:val="auto"/>
        </w:rPr>
      </w:pPr>
      <w:r>
        <w:rPr>
          <w:rFonts w:ascii="Arial" w:cs="Arial" w:eastAsia="Arial" w:hAnsi="Arial"/>
          <w:sz w:val="32"/>
          <w:szCs w:val="32"/>
          <w:b w:val="1"/>
          <w:bCs w:val="1"/>
          <w:color w:val="auto"/>
        </w:rPr>
        <w:t>FORM 6-K</w:t>
      </w:r>
    </w:p>
    <w:p>
      <w:pPr>
        <w:spacing w:after="0" w:line="226" w:lineRule="exact"/>
        <w:rPr>
          <w:sz w:val="24"/>
          <w:szCs w:val="24"/>
          <w:color w:val="auto"/>
        </w:rPr>
      </w:pPr>
    </w:p>
    <w:p>
      <w:pPr>
        <w:jc w:val="center"/>
        <w:spacing w:after="0"/>
        <w:rPr>
          <w:sz w:val="20"/>
          <w:szCs w:val="20"/>
          <w:color w:val="auto"/>
        </w:rPr>
      </w:pPr>
      <w:r>
        <w:rPr>
          <w:rFonts w:ascii="Arial" w:cs="Arial" w:eastAsia="Arial" w:hAnsi="Arial"/>
          <w:sz w:val="22"/>
          <w:szCs w:val="22"/>
          <w:b w:val="1"/>
          <w:bCs w:val="1"/>
          <w:color w:val="auto"/>
        </w:rPr>
        <w:t>REPORT OF FOREIGN PRIVATE ISSUER</w:t>
      </w:r>
    </w:p>
    <w:p>
      <w:pPr>
        <w:spacing w:after="0" w:line="4" w:lineRule="exact"/>
        <w:rPr>
          <w:sz w:val="24"/>
          <w:szCs w:val="24"/>
          <w:color w:val="auto"/>
        </w:rPr>
      </w:pPr>
    </w:p>
    <w:p>
      <w:pPr>
        <w:jc w:val="center"/>
        <w:spacing w:after="0"/>
        <w:rPr>
          <w:sz w:val="20"/>
          <w:szCs w:val="20"/>
          <w:color w:val="auto"/>
        </w:rPr>
      </w:pPr>
      <w:r>
        <w:rPr>
          <w:rFonts w:ascii="Arial" w:cs="Arial" w:eastAsia="Arial" w:hAnsi="Arial"/>
          <w:sz w:val="22"/>
          <w:szCs w:val="22"/>
          <w:b w:val="1"/>
          <w:bCs w:val="1"/>
          <w:color w:val="auto"/>
        </w:rPr>
        <w:t>PURSUANT TO RULE 13a-16 OR 15d-16 OF</w:t>
      </w:r>
    </w:p>
    <w:p>
      <w:pPr>
        <w:jc w:val="center"/>
        <w:spacing w:after="0"/>
        <w:rPr>
          <w:sz w:val="20"/>
          <w:szCs w:val="20"/>
          <w:color w:val="auto"/>
        </w:rPr>
      </w:pPr>
      <w:r>
        <w:rPr>
          <w:rFonts w:ascii="Arial" w:cs="Arial" w:eastAsia="Arial" w:hAnsi="Arial"/>
          <w:sz w:val="22"/>
          <w:szCs w:val="22"/>
          <w:b w:val="1"/>
          <w:bCs w:val="1"/>
          <w:color w:val="auto"/>
        </w:rPr>
        <w:t>THE SECURITIES EXCHANGE ACT OF 1934</w:t>
      </w:r>
    </w:p>
    <w:p>
      <w:pPr>
        <w:spacing w:after="0" w:line="195"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For the month of April, 2010</w:t>
      </w:r>
    </w:p>
    <w:p>
      <w:pPr>
        <w:spacing w:after="0" w:line="225"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Commission File Number 001-13422</w:t>
      </w:r>
    </w:p>
    <w:p>
      <w:pPr>
        <w:spacing w:after="0" w:line="198" w:lineRule="exact"/>
        <w:rPr>
          <w:sz w:val="24"/>
          <w:szCs w:val="24"/>
          <w:color w:val="auto"/>
        </w:rPr>
      </w:pPr>
    </w:p>
    <w:p>
      <w:pPr>
        <w:jc w:val="center"/>
        <w:spacing w:after="0"/>
        <w:rPr>
          <w:sz w:val="20"/>
          <w:szCs w:val="20"/>
          <w:color w:val="auto"/>
        </w:rPr>
      </w:pPr>
      <w:r>
        <w:rPr>
          <w:rFonts w:ascii="Arial" w:cs="Arial" w:eastAsia="Arial" w:hAnsi="Arial"/>
          <w:sz w:val="32"/>
          <w:szCs w:val="32"/>
          <w:b w:val="1"/>
          <w:bCs w:val="1"/>
          <w:color w:val="auto"/>
        </w:rPr>
        <w:t>Agnico-Eagle Mines Limited</w:t>
      </w:r>
    </w:p>
    <w:p>
      <w:pPr>
        <w:spacing w:after="0" w:line="43" w:lineRule="exact"/>
        <w:rPr>
          <w:sz w:val="24"/>
          <w:szCs w:val="24"/>
          <w:color w:val="auto"/>
        </w:rPr>
      </w:pPr>
    </w:p>
    <w:p>
      <w:pPr>
        <w:jc w:val="center"/>
        <w:spacing w:after="0"/>
        <w:rPr>
          <w:sz w:val="20"/>
          <w:szCs w:val="20"/>
          <w:color w:val="auto"/>
        </w:rPr>
      </w:pPr>
      <w:r>
        <w:rPr>
          <w:rFonts w:ascii="Arial" w:cs="Arial" w:eastAsia="Arial" w:hAnsi="Arial"/>
          <w:sz w:val="18"/>
          <w:szCs w:val="18"/>
          <w:color w:val="auto"/>
        </w:rPr>
        <w:t>(Translation of registrant's name into English)</w:t>
      </w:r>
    </w:p>
    <w:p>
      <w:pPr>
        <w:spacing w:after="0" w:line="205"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145 King Street East, Suite 400, Toronto, Ontario M5C 2Y7</w:t>
      </w:r>
    </w:p>
    <w:p>
      <w:pPr>
        <w:spacing w:after="0" w:line="21" w:lineRule="exact"/>
        <w:rPr>
          <w:sz w:val="24"/>
          <w:szCs w:val="24"/>
          <w:color w:val="auto"/>
        </w:rPr>
      </w:pPr>
    </w:p>
    <w:p>
      <w:pPr>
        <w:jc w:val="center"/>
        <w:spacing w:after="0"/>
        <w:rPr>
          <w:sz w:val="20"/>
          <w:szCs w:val="20"/>
          <w:color w:val="auto"/>
        </w:rPr>
      </w:pPr>
      <w:r>
        <w:rPr>
          <w:rFonts w:ascii="Arial" w:cs="Arial" w:eastAsia="Arial" w:hAnsi="Arial"/>
          <w:sz w:val="18"/>
          <w:szCs w:val="18"/>
          <w:color w:val="auto"/>
        </w:rPr>
        <w:t>(Address of Principal Executive Offices)</w:t>
      </w:r>
    </w:p>
    <w:p>
      <w:pPr>
        <w:spacing w:after="0" w:line="219" w:lineRule="exact"/>
        <w:rPr>
          <w:sz w:val="24"/>
          <w:szCs w:val="24"/>
          <w:color w:val="auto"/>
        </w:rPr>
      </w:pPr>
    </w:p>
    <w:p>
      <w:pPr>
        <w:spacing w:after="0"/>
        <w:rPr>
          <w:sz w:val="20"/>
          <w:szCs w:val="20"/>
          <w:color w:val="auto"/>
        </w:rPr>
      </w:pPr>
      <w:r>
        <w:rPr>
          <w:rFonts w:ascii="Arial" w:cs="Arial" w:eastAsia="Arial" w:hAnsi="Arial"/>
          <w:sz w:val="18"/>
          <w:szCs w:val="18"/>
          <w:color w:val="auto"/>
        </w:rPr>
        <w:t>Indicate by check mark whether the Registrant files or will file annual reports under cover of Form 20-F or Form 40-F</w:t>
      </w:r>
    </w:p>
    <w:p>
      <w:pPr>
        <w:spacing w:after="0" w:line="193" w:lineRule="exact"/>
        <w:rPr>
          <w:sz w:val="24"/>
          <w:szCs w:val="24"/>
          <w:color w:val="auto"/>
        </w:rPr>
      </w:pPr>
    </w:p>
    <w:p>
      <w:pPr>
        <w:ind w:left="2480"/>
        <w:spacing w:after="0" w:line="207" w:lineRule="exact"/>
        <w:tabs>
          <w:tab w:leader="none" w:pos="3460" w:val="left"/>
          <w:tab w:leader="none" w:pos="7160" w:val="left"/>
          <w:tab w:leader="none" w:pos="8160" w:val="left"/>
        </w:tabs>
        <w:rPr>
          <w:sz w:val="20"/>
          <w:szCs w:val="20"/>
          <w:color w:val="auto"/>
        </w:rPr>
      </w:pPr>
      <w:r>
        <w:rPr>
          <w:rFonts w:ascii="Arial" w:cs="Arial" w:eastAsia="Arial" w:hAnsi="Arial"/>
          <w:sz w:val="18"/>
          <w:szCs w:val="18"/>
          <w:color w:val="auto"/>
        </w:rPr>
        <w:t>Form 20-F</w:t>
      </w:r>
      <w:r>
        <w:rPr>
          <w:sz w:val="20"/>
          <w:szCs w:val="20"/>
          <w:color w:val="auto"/>
        </w:rPr>
        <w:tab/>
      </w:r>
      <w:r>
        <w:rPr>
          <w:rFonts w:ascii="MS PGothic" w:cs="MS PGothic" w:eastAsia="MS PGothic" w:hAnsi="MS PGothic"/>
          <w:sz w:val="18"/>
          <w:szCs w:val="18"/>
          <w:color w:val="auto"/>
        </w:rPr>
        <w:t>☒</w:t>
      </w:r>
      <w:r>
        <w:rPr>
          <w:sz w:val="20"/>
          <w:szCs w:val="20"/>
          <w:color w:val="auto"/>
        </w:rPr>
        <w:tab/>
      </w:r>
      <w:r>
        <w:rPr>
          <w:rFonts w:ascii="Arial" w:cs="Arial" w:eastAsia="Arial" w:hAnsi="Arial"/>
          <w:sz w:val="18"/>
          <w:szCs w:val="18"/>
          <w:color w:val="auto"/>
        </w:rPr>
        <w:t>Form 40-F</w:t>
      </w:r>
      <w:r>
        <w:rPr>
          <w:sz w:val="20"/>
          <w:szCs w:val="20"/>
          <w:color w:val="auto"/>
        </w:rPr>
        <w:tab/>
      </w:r>
      <w:r>
        <w:rPr>
          <w:rFonts w:ascii="Arial" w:cs="Arial" w:eastAsia="Arial" w:hAnsi="Arial"/>
          <w:sz w:val="16"/>
          <w:szCs w:val="16"/>
          <w:color w:val="auto"/>
        </w:rPr>
        <w:t>o</w:t>
      </w:r>
    </w:p>
    <w:p>
      <w:pPr>
        <w:spacing w:after="0" w:line="258" w:lineRule="exact"/>
        <w:rPr>
          <w:sz w:val="24"/>
          <w:szCs w:val="24"/>
          <w:color w:val="auto"/>
        </w:rPr>
      </w:pPr>
    </w:p>
    <w:p>
      <w:pPr>
        <w:spacing w:after="0"/>
        <w:rPr>
          <w:sz w:val="20"/>
          <w:szCs w:val="20"/>
          <w:color w:val="auto"/>
        </w:rPr>
      </w:pPr>
      <w:r>
        <w:rPr>
          <w:rFonts w:ascii="Arial" w:cs="Arial" w:eastAsia="Arial" w:hAnsi="Arial"/>
          <w:sz w:val="18"/>
          <w:szCs w:val="18"/>
          <w:color w:val="auto"/>
        </w:rPr>
        <w:t>Indicate by check mark if the registrant is submitting the Form 6-K in paper as permitted by Regulation S-T Rule 101(b)(1): o</w:t>
      </w:r>
    </w:p>
    <w:p>
      <w:pPr>
        <w:spacing w:after="0" w:line="225" w:lineRule="exact"/>
        <w:rPr>
          <w:sz w:val="24"/>
          <w:szCs w:val="24"/>
          <w:color w:val="auto"/>
        </w:rPr>
      </w:pPr>
    </w:p>
    <w:p>
      <w:pPr>
        <w:spacing w:after="0"/>
        <w:rPr>
          <w:sz w:val="20"/>
          <w:szCs w:val="20"/>
          <w:color w:val="auto"/>
        </w:rPr>
      </w:pPr>
      <w:r>
        <w:rPr>
          <w:rFonts w:ascii="Arial" w:cs="Arial" w:eastAsia="Arial" w:hAnsi="Arial"/>
          <w:sz w:val="18"/>
          <w:szCs w:val="18"/>
          <w:color w:val="auto"/>
        </w:rPr>
        <w:t>Indicate by check mark if the registrant is submitting the Form 6-K in paper as permitted by Regulation S-T Rule 101(b)(7): o</w:t>
      </w:r>
    </w:p>
    <w:p>
      <w:pPr>
        <w:spacing w:after="0" w:line="225" w:lineRule="exact"/>
        <w:rPr>
          <w:sz w:val="24"/>
          <w:szCs w:val="24"/>
          <w:color w:val="auto"/>
        </w:rPr>
      </w:pPr>
    </w:p>
    <w:p>
      <w:pPr>
        <w:ind w:right="160"/>
        <w:spacing w:after="0" w:line="268" w:lineRule="auto"/>
        <w:rPr>
          <w:sz w:val="20"/>
          <w:szCs w:val="20"/>
          <w:color w:val="auto"/>
        </w:rPr>
      </w:pPr>
      <w:r>
        <w:rPr>
          <w:rFonts w:ascii="Arial" w:cs="Arial" w:eastAsia="Arial" w:hAnsi="Arial"/>
          <w:sz w:val="18"/>
          <w:szCs w:val="18"/>
          <w:color w:val="auto"/>
        </w:rPr>
        <w:t>Indicate by check mark whether the registrant by furnishing the information contained in this form is also thereby furnishing the information to the Commission pursuant to Rule 12g3-2(b) under the Securities Exchange Act of 1934</w:t>
      </w:r>
    </w:p>
    <w:p>
      <w:pPr>
        <w:spacing w:after="0" w:line="153" w:lineRule="exact"/>
        <w:rPr>
          <w:sz w:val="24"/>
          <w:szCs w:val="24"/>
          <w:color w:val="auto"/>
        </w:rPr>
      </w:pPr>
    </w:p>
    <w:tbl>
      <w:tblPr>
        <w:tblLayout w:type="fixed"/>
        <w:tblInd w:w="0" w:type="dxa"/>
        <w:tblCellMar>
          <w:top w:w="0" w:type="dxa"/>
          <w:left w:w="0" w:type="dxa"/>
          <w:bottom w:w="0" w:type="dxa"/>
          <w:right w:w="0" w:type="dxa"/>
        </w:tblCellMar>
      </w:tblPr>
      <w:tr>
        <w:trPr>
          <w:trHeight w:val="275"/>
        </w:trPr>
        <w:tc>
          <w:tcPr>
            <w:tcW w:w="5640" w:type="dxa"/>
            <w:vAlign w:val="bottom"/>
          </w:tcPr>
          <w:p>
            <w:pPr>
              <w:ind w:left="2980"/>
              <w:spacing w:after="0"/>
              <w:rPr>
                <w:sz w:val="20"/>
                <w:szCs w:val="20"/>
                <w:color w:val="auto"/>
              </w:rPr>
            </w:pPr>
            <w:r>
              <w:rPr>
                <w:rFonts w:ascii="Arial" w:cs="Arial" w:eastAsia="Arial" w:hAnsi="Arial"/>
                <w:sz w:val="18"/>
                <w:szCs w:val="18"/>
                <w:color w:val="auto"/>
              </w:rPr>
              <w:t>Yes   o</w:t>
            </w:r>
          </w:p>
        </w:tc>
        <w:tc>
          <w:tcPr>
            <w:tcW w:w="3280" w:type="dxa"/>
            <w:vAlign w:val="bottom"/>
            <w:gridSpan w:val="2"/>
          </w:tcPr>
          <w:p>
            <w:pPr>
              <w:ind w:left="2080"/>
              <w:spacing w:after="0" w:line="207" w:lineRule="exact"/>
              <w:rPr>
                <w:sz w:val="20"/>
                <w:szCs w:val="20"/>
                <w:color w:val="auto"/>
              </w:rPr>
            </w:pPr>
            <w:r>
              <w:rPr>
                <w:rFonts w:ascii="Arial" w:cs="Arial" w:eastAsia="Arial" w:hAnsi="Arial"/>
                <w:sz w:val="18"/>
                <w:szCs w:val="18"/>
                <w:color w:val="auto"/>
              </w:rPr>
              <w:t xml:space="preserve">No   </w:t>
            </w:r>
            <w:r>
              <w:rPr>
                <w:rFonts w:ascii="MS PGothic" w:cs="MS PGothic" w:eastAsia="MS PGothic" w:hAnsi="MS PGothic"/>
                <w:sz w:val="18"/>
                <w:szCs w:val="18"/>
                <w:color w:val="auto"/>
              </w:rPr>
              <w:t>☒</w:t>
            </w:r>
          </w:p>
        </w:tc>
        <w:tc>
          <w:tcPr>
            <w:tcW w:w="600" w:type="dxa"/>
            <w:vAlign w:val="bottom"/>
          </w:tcPr>
          <w:p>
            <w:pPr>
              <w:spacing w:after="0"/>
              <w:rPr>
                <w:sz w:val="23"/>
                <w:szCs w:val="23"/>
                <w:color w:val="auto"/>
              </w:rPr>
            </w:pPr>
          </w:p>
        </w:tc>
        <w:tc>
          <w:tcPr>
            <w:tcW w:w="1900" w:type="dxa"/>
            <w:vAlign w:val="bottom"/>
          </w:tcPr>
          <w:p>
            <w:pPr>
              <w:spacing w:after="0"/>
              <w:rPr>
                <w:sz w:val="23"/>
                <w:szCs w:val="23"/>
                <w:color w:val="auto"/>
              </w:rPr>
            </w:pPr>
          </w:p>
        </w:tc>
      </w:tr>
      <w:tr>
        <w:trPr>
          <w:trHeight w:val="374"/>
        </w:trPr>
        <w:tc>
          <w:tcPr>
            <w:tcW w:w="8920" w:type="dxa"/>
            <w:vAlign w:val="bottom"/>
            <w:gridSpan w:val="3"/>
          </w:tcPr>
          <w:p>
            <w:pPr>
              <w:spacing w:after="0"/>
              <w:rPr>
                <w:sz w:val="20"/>
                <w:szCs w:val="20"/>
                <w:color w:val="auto"/>
              </w:rPr>
            </w:pPr>
            <w:r>
              <w:rPr>
                <w:rFonts w:ascii="Arial" w:cs="Arial" w:eastAsia="Arial" w:hAnsi="Arial"/>
                <w:sz w:val="18"/>
                <w:szCs w:val="18"/>
                <w:color w:val="auto"/>
                <w:w w:val="96"/>
              </w:rPr>
              <w:t>(If "Yes" is marked, indicate below the file number assigned to the Registrant in connection with Rule 12g3-2(b): 82-</w:t>
            </w:r>
          </w:p>
        </w:tc>
        <w:tc>
          <w:tcPr>
            <w:tcW w:w="2500" w:type="dxa"/>
            <w:vAlign w:val="bottom"/>
            <w:gridSpan w:val="2"/>
          </w:tcPr>
          <w:p>
            <w:pPr>
              <w:jc w:val="right"/>
              <w:ind w:right="1840"/>
              <w:spacing w:after="0"/>
              <w:rPr>
                <w:sz w:val="20"/>
                <w:szCs w:val="20"/>
                <w:color w:val="auto"/>
              </w:rPr>
            </w:pPr>
            <w:r>
              <w:rPr>
                <w:rFonts w:ascii="Arial" w:cs="Arial" w:eastAsia="Arial" w:hAnsi="Arial"/>
                <w:sz w:val="18"/>
                <w:szCs w:val="18"/>
                <w:color w:val="auto"/>
              </w:rPr>
              <w:t>)</w:t>
            </w:r>
          </w:p>
        </w:tc>
      </w:tr>
      <w:tr>
        <w:trPr>
          <w:trHeight w:val="237"/>
        </w:trPr>
        <w:tc>
          <w:tcPr>
            <w:tcW w:w="5640" w:type="dxa"/>
            <w:vAlign w:val="bottom"/>
            <w:tcBorders>
              <w:bottom w:val="single" w:sz="8" w:color="auto"/>
            </w:tcBorders>
          </w:tcPr>
          <w:p>
            <w:pPr>
              <w:spacing w:after="0"/>
              <w:rPr>
                <w:sz w:val="20"/>
                <w:szCs w:val="20"/>
                <w:color w:val="auto"/>
              </w:rPr>
            </w:pPr>
          </w:p>
        </w:tc>
        <w:tc>
          <w:tcPr>
            <w:tcW w:w="2600" w:type="dxa"/>
            <w:vAlign w:val="bottom"/>
            <w:tcBorders>
              <w:bottom w:val="single" w:sz="8" w:color="auto"/>
            </w:tcBorders>
          </w:tcPr>
          <w:p>
            <w:pPr>
              <w:spacing w:after="0"/>
              <w:rPr>
                <w:sz w:val="20"/>
                <w:szCs w:val="20"/>
                <w:color w:val="auto"/>
              </w:rPr>
            </w:pPr>
          </w:p>
        </w:tc>
        <w:tc>
          <w:tcPr>
            <w:tcW w:w="680" w:type="dxa"/>
            <w:vAlign w:val="bottom"/>
            <w:tcBorders>
              <w:top w:val="single" w:sz="8" w:color="auto"/>
              <w:bottom w:val="single" w:sz="8" w:color="auto"/>
            </w:tcBorders>
          </w:tcPr>
          <w:p>
            <w:pPr>
              <w:spacing w:after="0"/>
              <w:rPr>
                <w:sz w:val="20"/>
                <w:szCs w:val="20"/>
                <w:color w:val="auto"/>
              </w:rPr>
            </w:pPr>
          </w:p>
        </w:tc>
        <w:tc>
          <w:tcPr>
            <w:tcW w:w="600" w:type="dxa"/>
            <w:vAlign w:val="bottom"/>
            <w:tcBorders>
              <w:top w:val="single" w:sz="8" w:color="auto"/>
              <w:bottom w:val="single" w:sz="8" w:color="auto"/>
            </w:tcBorders>
          </w:tcPr>
          <w:p>
            <w:pPr>
              <w:spacing w:after="0"/>
              <w:rPr>
                <w:sz w:val="20"/>
                <w:szCs w:val="20"/>
                <w:color w:val="auto"/>
              </w:rPr>
            </w:pPr>
          </w:p>
        </w:tc>
        <w:tc>
          <w:tcPr>
            <w:tcW w:w="1900" w:type="dxa"/>
            <w:vAlign w:val="bottom"/>
            <w:tcBorders>
              <w:bottom w:val="single" w:sz="8" w:color="auto"/>
            </w:tcBorders>
          </w:tcPr>
          <w:p>
            <w:pPr>
              <w:spacing w:after="0"/>
              <w:rPr>
                <w:sz w:val="20"/>
                <w:szCs w:val="20"/>
                <w:color w:val="auto"/>
              </w:rPr>
            </w:pPr>
          </w:p>
        </w:tc>
      </w:tr>
      <w:tr>
        <w:trPr>
          <w:trHeight w:val="41"/>
        </w:trPr>
        <w:tc>
          <w:tcPr>
            <w:tcW w:w="5640" w:type="dxa"/>
            <w:vAlign w:val="bottom"/>
            <w:tcBorders>
              <w:bottom w:val="single" w:sz="8" w:color="auto"/>
            </w:tcBorders>
          </w:tcPr>
          <w:p>
            <w:pPr>
              <w:spacing w:after="0"/>
              <w:rPr>
                <w:sz w:val="3"/>
                <w:szCs w:val="3"/>
                <w:color w:val="auto"/>
              </w:rPr>
            </w:pPr>
          </w:p>
        </w:tc>
        <w:tc>
          <w:tcPr>
            <w:tcW w:w="2600" w:type="dxa"/>
            <w:vAlign w:val="bottom"/>
            <w:tcBorders>
              <w:bottom w:val="single" w:sz="8" w:color="auto"/>
            </w:tcBorders>
          </w:tcPr>
          <w:p>
            <w:pPr>
              <w:spacing w:after="0"/>
              <w:rPr>
                <w:sz w:val="3"/>
                <w:szCs w:val="3"/>
                <w:color w:val="auto"/>
              </w:rPr>
            </w:pPr>
          </w:p>
        </w:tc>
        <w:tc>
          <w:tcPr>
            <w:tcW w:w="680" w:type="dxa"/>
            <w:vAlign w:val="bottom"/>
            <w:tcBorders>
              <w:bottom w:val="single" w:sz="8" w:color="auto"/>
            </w:tcBorders>
          </w:tcPr>
          <w:p>
            <w:pPr>
              <w:spacing w:after="0"/>
              <w:rPr>
                <w:sz w:val="3"/>
                <w:szCs w:val="3"/>
                <w:color w:val="auto"/>
              </w:rPr>
            </w:pPr>
          </w:p>
        </w:tc>
        <w:tc>
          <w:tcPr>
            <w:tcW w:w="600" w:type="dxa"/>
            <w:vAlign w:val="bottom"/>
            <w:tcBorders>
              <w:bottom w:val="single" w:sz="8" w:color="auto"/>
            </w:tcBorders>
          </w:tcPr>
          <w:p>
            <w:pPr>
              <w:spacing w:after="0"/>
              <w:rPr>
                <w:sz w:val="3"/>
                <w:szCs w:val="3"/>
                <w:color w:val="auto"/>
              </w:rPr>
            </w:pPr>
          </w:p>
        </w:tc>
        <w:tc>
          <w:tcPr>
            <w:tcW w:w="1900" w:type="dxa"/>
            <w:vAlign w:val="bottom"/>
            <w:tcBorders>
              <w:bottom w:val="single" w:sz="8" w:color="auto"/>
            </w:tcBorders>
          </w:tcPr>
          <w:p>
            <w:pPr>
              <w:spacing w:after="0"/>
              <w:rPr>
                <w:sz w:val="3"/>
                <w:szCs w:val="3"/>
                <w:color w:val="auto"/>
              </w:rPr>
            </w:pPr>
          </w:p>
        </w:tc>
      </w:tr>
      <w:tr>
        <w:trPr>
          <w:trHeight w:val="226"/>
        </w:trPr>
        <w:tc>
          <w:tcPr>
            <w:tcW w:w="5640" w:type="dxa"/>
            <w:vAlign w:val="bottom"/>
            <w:tcBorders>
              <w:bottom w:val="single" w:sz="8" w:color="808080"/>
            </w:tcBorders>
          </w:tcPr>
          <w:p>
            <w:pPr>
              <w:spacing w:after="0"/>
              <w:rPr>
                <w:sz w:val="19"/>
                <w:szCs w:val="19"/>
                <w:color w:val="auto"/>
              </w:rPr>
            </w:pPr>
          </w:p>
        </w:tc>
        <w:tc>
          <w:tcPr>
            <w:tcW w:w="2600" w:type="dxa"/>
            <w:vAlign w:val="bottom"/>
            <w:tcBorders>
              <w:bottom w:val="single" w:sz="8" w:color="808080"/>
            </w:tcBorders>
          </w:tcPr>
          <w:p>
            <w:pPr>
              <w:spacing w:after="0"/>
              <w:rPr>
                <w:sz w:val="19"/>
                <w:szCs w:val="19"/>
                <w:color w:val="auto"/>
              </w:rPr>
            </w:pPr>
          </w:p>
        </w:tc>
        <w:tc>
          <w:tcPr>
            <w:tcW w:w="680" w:type="dxa"/>
            <w:vAlign w:val="bottom"/>
            <w:tcBorders>
              <w:bottom w:val="single" w:sz="8" w:color="808080"/>
            </w:tcBorders>
          </w:tcPr>
          <w:p>
            <w:pPr>
              <w:spacing w:after="0"/>
              <w:rPr>
                <w:sz w:val="19"/>
                <w:szCs w:val="19"/>
                <w:color w:val="auto"/>
              </w:rPr>
            </w:pPr>
          </w:p>
        </w:tc>
        <w:tc>
          <w:tcPr>
            <w:tcW w:w="600" w:type="dxa"/>
            <w:vAlign w:val="bottom"/>
            <w:tcBorders>
              <w:bottom w:val="single" w:sz="8" w:color="808080"/>
            </w:tcBorders>
          </w:tcPr>
          <w:p>
            <w:pPr>
              <w:spacing w:after="0"/>
              <w:rPr>
                <w:sz w:val="19"/>
                <w:szCs w:val="19"/>
                <w:color w:val="auto"/>
              </w:rPr>
            </w:pPr>
          </w:p>
        </w:tc>
        <w:tc>
          <w:tcPr>
            <w:tcW w:w="1900" w:type="dxa"/>
            <w:vAlign w:val="bottom"/>
            <w:tcBorders>
              <w:bottom w:val="single" w:sz="8" w:color="808080"/>
            </w:tcBorders>
          </w:tcPr>
          <w:p>
            <w:pPr>
              <w:spacing w:after="0"/>
              <w:rPr>
                <w:sz w:val="19"/>
                <w:szCs w:val="19"/>
                <w:color w:val="auto"/>
              </w:rPr>
            </w:pPr>
          </w:p>
        </w:tc>
      </w:tr>
    </w:tbl>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469" w:right="239" w:bottom="1440" w:gutter="0" w:footer="0" w:header="0"/>
        </w:sectPr>
      </w:pPr>
    </w:p>
    <w:bookmarkStart w:id="1" w:name="page2"/>
    <w:bookmarkEnd w:id="1"/>
    <w:tbl>
      <w:tblPr>
        <w:tblLayout w:type="fixed"/>
        <w:tblInd w:w="0" w:type="dxa"/>
        <w:tblCellMar>
          <w:top w:w="0" w:type="dxa"/>
          <w:left w:w="0" w:type="dxa"/>
          <w:bottom w:w="0" w:type="dxa"/>
          <w:right w:w="0" w:type="dxa"/>
        </w:tblCellMar>
      </w:tblPr>
      <w:tr>
        <w:trPr>
          <w:trHeight w:val="228"/>
        </w:trPr>
        <w:tc>
          <w:tcPr>
            <w:tcW w:w="1140" w:type="dxa"/>
            <w:vAlign w:val="bottom"/>
          </w:tcPr>
          <w:p>
            <w:pPr>
              <w:spacing w:after="0"/>
              <w:rPr>
                <w:sz w:val="19"/>
                <w:szCs w:val="19"/>
                <w:color w:val="auto"/>
              </w:rPr>
            </w:pPr>
          </w:p>
        </w:tc>
        <w:tc>
          <w:tcPr>
            <w:tcW w:w="9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9220" w:type="dxa"/>
            <w:vAlign w:val="bottom"/>
            <w:gridSpan w:val="2"/>
          </w:tcPr>
          <w:p>
            <w:pPr>
              <w:ind w:left="3060"/>
              <w:spacing w:after="0"/>
              <w:rPr>
                <w:sz w:val="20"/>
                <w:szCs w:val="20"/>
                <w:color w:val="auto"/>
              </w:rPr>
            </w:pPr>
            <w:r>
              <w:rPr>
                <w:rFonts w:ascii="Arial" w:cs="Arial" w:eastAsia="Arial" w:hAnsi="Arial"/>
                <w:sz w:val="18"/>
                <w:szCs w:val="18"/>
                <w:b w:val="1"/>
                <w:bCs w:val="1"/>
                <w:color w:val="auto"/>
              </w:rPr>
              <w:t>EXHIBITS</w:t>
            </w:r>
          </w:p>
        </w:tc>
      </w:tr>
      <w:tr>
        <w:trPr>
          <w:trHeight w:val="367"/>
        </w:trPr>
        <w:tc>
          <w:tcPr>
            <w:tcW w:w="1140" w:type="dxa"/>
            <w:vAlign w:val="bottom"/>
          </w:tcPr>
          <w:p>
            <w:pPr>
              <w:spacing w:after="0"/>
              <w:rPr>
                <w:sz w:val="24"/>
                <w:szCs w:val="24"/>
                <w:color w:val="auto"/>
              </w:rPr>
            </w:pPr>
          </w:p>
        </w:tc>
        <w:tc>
          <w:tcPr>
            <w:tcW w:w="900" w:type="dxa"/>
            <w:vAlign w:val="bottom"/>
          </w:tcPr>
          <w:p>
            <w:pPr>
              <w:spacing w:after="0"/>
              <w:rPr>
                <w:sz w:val="20"/>
                <w:szCs w:val="20"/>
                <w:color w:val="auto"/>
              </w:rPr>
            </w:pPr>
            <w:r>
              <w:rPr>
                <w:rFonts w:ascii="Arial" w:cs="Arial" w:eastAsia="Arial" w:hAnsi="Arial"/>
                <w:sz w:val="14"/>
                <w:szCs w:val="14"/>
                <w:b w:val="1"/>
                <w:bCs w:val="1"/>
                <w:color w:val="auto"/>
              </w:rPr>
              <w:t>Exhibit No.</w:t>
            </w:r>
          </w:p>
        </w:tc>
        <w:tc>
          <w:tcPr>
            <w:tcW w:w="9380" w:type="dxa"/>
            <w:vAlign w:val="bottom"/>
            <w:gridSpan w:val="3"/>
          </w:tcPr>
          <w:p>
            <w:pPr>
              <w:ind w:left="140"/>
              <w:spacing w:after="0"/>
              <w:rPr>
                <w:sz w:val="20"/>
                <w:szCs w:val="20"/>
                <w:color w:val="auto"/>
              </w:rPr>
            </w:pPr>
            <w:r>
              <w:rPr>
                <w:rFonts w:ascii="Arial" w:cs="Arial" w:eastAsia="Arial" w:hAnsi="Arial"/>
                <w:sz w:val="14"/>
                <w:szCs w:val="14"/>
                <w:b w:val="1"/>
                <w:bCs w:val="1"/>
                <w:color w:val="auto"/>
              </w:rPr>
              <w:t>Exhibit Description</w:t>
            </w:r>
          </w:p>
        </w:tc>
      </w:tr>
      <w:tr>
        <w:trPr>
          <w:trHeight w:val="216"/>
        </w:trPr>
        <w:tc>
          <w:tcPr>
            <w:tcW w:w="1140" w:type="dxa"/>
            <w:vAlign w:val="bottom"/>
          </w:tcPr>
          <w:p>
            <w:pPr>
              <w:spacing w:after="0"/>
              <w:rPr>
                <w:sz w:val="18"/>
                <w:szCs w:val="18"/>
                <w:color w:val="auto"/>
              </w:rPr>
            </w:pPr>
          </w:p>
        </w:tc>
        <w:tc>
          <w:tcPr>
            <w:tcW w:w="900" w:type="dxa"/>
            <w:vAlign w:val="bottom"/>
            <w:tcBorders>
              <w:top w:val="single" w:sz="8" w:color="auto"/>
            </w:tcBorders>
          </w:tcPr>
          <w:p>
            <w:pPr>
              <w:spacing w:after="0"/>
              <w:rPr>
                <w:sz w:val="20"/>
                <w:szCs w:val="20"/>
                <w:color w:val="auto"/>
              </w:rPr>
            </w:pPr>
            <w:r>
              <w:rPr>
                <w:rFonts w:ascii="Arial" w:cs="Arial" w:eastAsia="Arial" w:hAnsi="Arial"/>
                <w:sz w:val="18"/>
                <w:szCs w:val="18"/>
                <w:color w:val="auto"/>
              </w:rPr>
              <w:t>99.1</w:t>
            </w:r>
          </w:p>
        </w:tc>
        <w:tc>
          <w:tcPr>
            <w:tcW w:w="160" w:type="dxa"/>
            <w:vAlign w:val="bottom"/>
          </w:tcPr>
          <w:p>
            <w:pPr>
              <w:spacing w:after="0"/>
              <w:rPr>
                <w:sz w:val="18"/>
                <w:szCs w:val="18"/>
                <w:color w:val="auto"/>
              </w:rPr>
            </w:pPr>
          </w:p>
        </w:tc>
        <w:tc>
          <w:tcPr>
            <w:tcW w:w="8080" w:type="dxa"/>
            <w:vAlign w:val="bottom"/>
            <w:tcBorders>
              <w:top w:val="single" w:sz="8" w:color="auto"/>
            </w:tcBorders>
          </w:tcPr>
          <w:p>
            <w:pPr>
              <w:spacing w:after="0"/>
              <w:rPr>
                <w:sz w:val="20"/>
                <w:szCs w:val="20"/>
                <w:color w:val="auto"/>
              </w:rPr>
            </w:pPr>
            <w:r>
              <w:rPr>
                <w:rFonts w:ascii="Arial" w:cs="Arial" w:eastAsia="Arial" w:hAnsi="Arial"/>
                <w:sz w:val="18"/>
                <w:szCs w:val="18"/>
                <w:color w:val="auto"/>
              </w:rPr>
              <w:t>Agnico-Eagle Mines Limited's 2009 Annual Report to Shareholders</w:t>
            </w:r>
          </w:p>
        </w:tc>
        <w:tc>
          <w:tcPr>
            <w:tcW w:w="1140" w:type="dxa"/>
            <w:vAlign w:val="bottom"/>
          </w:tcPr>
          <w:p>
            <w:pPr>
              <w:spacing w:after="0"/>
              <w:rPr>
                <w:sz w:val="18"/>
                <w:szCs w:val="18"/>
                <w:color w:val="auto"/>
              </w:rPr>
            </w:pPr>
          </w:p>
        </w:tc>
      </w:tr>
      <w:tr>
        <w:trPr>
          <w:trHeight w:val="112"/>
        </w:trPr>
        <w:tc>
          <w:tcPr>
            <w:tcW w:w="1140" w:type="dxa"/>
            <w:vAlign w:val="bottom"/>
            <w:tcBorders>
              <w:bottom w:val="single" w:sz="8" w:color="808080"/>
            </w:tcBorders>
          </w:tcPr>
          <w:p>
            <w:pPr>
              <w:spacing w:after="0"/>
              <w:rPr>
                <w:sz w:val="9"/>
                <w:szCs w:val="9"/>
                <w:color w:val="auto"/>
              </w:rPr>
            </w:pPr>
          </w:p>
        </w:tc>
        <w:tc>
          <w:tcPr>
            <w:tcW w:w="900" w:type="dxa"/>
            <w:vAlign w:val="bottom"/>
            <w:tcBorders>
              <w:bottom w:val="single" w:sz="8" w:color="808080"/>
            </w:tcBorders>
          </w:tcPr>
          <w:p>
            <w:pPr>
              <w:spacing w:after="0"/>
              <w:rPr>
                <w:sz w:val="9"/>
                <w:szCs w:val="9"/>
                <w:color w:val="auto"/>
              </w:rPr>
            </w:pPr>
          </w:p>
        </w:tc>
        <w:tc>
          <w:tcPr>
            <w:tcW w:w="160" w:type="dxa"/>
            <w:vAlign w:val="bottom"/>
            <w:tcBorders>
              <w:bottom w:val="single" w:sz="8" w:color="808080"/>
            </w:tcBorders>
          </w:tcPr>
          <w:p>
            <w:pPr>
              <w:spacing w:after="0"/>
              <w:rPr>
                <w:sz w:val="9"/>
                <w:szCs w:val="9"/>
                <w:color w:val="auto"/>
              </w:rPr>
            </w:pPr>
          </w:p>
        </w:tc>
        <w:tc>
          <w:tcPr>
            <w:tcW w:w="8080" w:type="dxa"/>
            <w:vAlign w:val="bottom"/>
            <w:tcBorders>
              <w:bottom w:val="single" w:sz="8" w:color="808080"/>
            </w:tcBorders>
          </w:tcPr>
          <w:p>
            <w:pPr>
              <w:spacing w:after="0"/>
              <w:rPr>
                <w:sz w:val="9"/>
                <w:szCs w:val="9"/>
                <w:color w:val="auto"/>
              </w:rPr>
            </w:pPr>
          </w:p>
        </w:tc>
        <w:tc>
          <w:tcPr>
            <w:tcW w:w="1140" w:type="dxa"/>
            <w:vAlign w:val="bottom"/>
            <w:tcBorders>
              <w:bottom w:val="single" w:sz="8" w:color="808080"/>
            </w:tcBorders>
          </w:tcPr>
          <w:p>
            <w:pPr>
              <w:spacing w:after="0"/>
              <w:rPr>
                <w:sz w:val="9"/>
                <w:szCs w:val="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2" w:name="page3"/>
    <w:bookmarkEnd w:id="2"/>
    <w:p>
      <w:pPr>
        <w:jc w:val="center"/>
        <w:ind w:right="40"/>
        <w:spacing w:after="0"/>
        <w:rPr>
          <w:sz w:val="20"/>
          <w:szCs w:val="20"/>
          <w:color w:val="auto"/>
        </w:rPr>
      </w:pPr>
      <w:r>
        <w:rPr>
          <w:rFonts w:ascii="Arial" w:cs="Arial" w:eastAsia="Arial" w:hAnsi="Arial"/>
          <w:sz w:val="18"/>
          <w:szCs w:val="18"/>
          <w:b w:val="1"/>
          <w:bCs w:val="1"/>
          <w:color w:val="auto"/>
        </w:rPr>
        <w:t>SIGNATURE</w:t>
      </w:r>
    </w:p>
    <w:p>
      <w:pPr>
        <w:spacing w:after="0" w:line="231" w:lineRule="exact"/>
        <w:rPr>
          <w:sz w:val="20"/>
          <w:szCs w:val="20"/>
          <w:color w:val="auto"/>
        </w:rPr>
      </w:pPr>
    </w:p>
    <w:p>
      <w:pPr>
        <w:ind w:right="440"/>
        <w:spacing w:after="0" w:line="268" w:lineRule="auto"/>
        <w:rPr>
          <w:sz w:val="20"/>
          <w:szCs w:val="20"/>
          <w:color w:val="auto"/>
        </w:rPr>
      </w:pPr>
      <w:r>
        <w:rPr>
          <w:rFonts w:ascii="Arial" w:cs="Arial" w:eastAsia="Arial" w:hAnsi="Arial"/>
          <w:sz w:val="18"/>
          <w:szCs w:val="18"/>
          <w:color w:val="auto"/>
        </w:rPr>
        <w:t>Pursuant to the requirements of the Securities Exchange Act of 1934, the registrant has duly caused this report to be signed on its behalf by the undersigned, thereunto duly authorized.</w:t>
      </w:r>
    </w:p>
    <w:p>
      <w:pPr>
        <w:spacing w:after="0" w:line="180" w:lineRule="exact"/>
        <w:rPr>
          <w:sz w:val="20"/>
          <w:szCs w:val="20"/>
          <w:color w:val="auto"/>
        </w:rPr>
      </w:pPr>
    </w:p>
    <w:p>
      <w:pPr>
        <w:ind w:left="4460"/>
        <w:spacing w:after="0"/>
        <w:rPr>
          <w:sz w:val="20"/>
          <w:szCs w:val="20"/>
          <w:color w:val="auto"/>
        </w:rPr>
      </w:pPr>
      <w:r>
        <w:rPr>
          <w:rFonts w:ascii="Arial" w:cs="Arial" w:eastAsia="Arial" w:hAnsi="Arial"/>
          <w:sz w:val="18"/>
          <w:szCs w:val="18"/>
          <w:b w:val="1"/>
          <w:bCs w:val="1"/>
          <w:color w:val="auto"/>
        </w:rPr>
        <w:t>AGNICO-EAGLE MINES LIMITED</w:t>
      </w:r>
    </w:p>
    <w:p>
      <w:pPr>
        <w:spacing w:after="0" w:line="258" w:lineRule="exact"/>
        <w:rPr>
          <w:sz w:val="20"/>
          <w:szCs w:val="20"/>
          <w:color w:val="auto"/>
        </w:rPr>
      </w:pPr>
    </w:p>
    <w:p>
      <w:pPr>
        <w:ind w:left="4460"/>
        <w:spacing w:after="0"/>
        <w:rPr>
          <w:sz w:val="20"/>
          <w:szCs w:val="20"/>
          <w:color w:val="auto"/>
        </w:rPr>
      </w:pPr>
      <w:r>
        <w:rPr>
          <w:rFonts w:ascii="Arial" w:cs="Arial" w:eastAsia="Arial" w:hAnsi="Arial"/>
          <w:sz w:val="18"/>
          <w:szCs w:val="18"/>
          <w:color w:val="auto"/>
        </w:rPr>
        <w:t>/s/ R. GREGORY LAING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2835275</wp:posOffset>
            </wp:positionH>
            <wp:positionV relativeFrom="paragraph">
              <wp:posOffset>71120</wp:posOffset>
            </wp:positionV>
            <wp:extent cx="3713480" cy="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3713480" cy="8890"/>
                    </a:xfrm>
                    <a:prstGeom prst="rect">
                      <a:avLst/>
                    </a:prstGeom>
                    <a:noFill/>
                  </pic:spPr>
                </pic:pic>
              </a:graphicData>
            </a:graphic>
          </wp:anchor>
        </w:drawing>
      </w:r>
    </w:p>
    <w:p>
      <w:pPr>
        <w:spacing w:after="0" w:line="178"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4800" w:type="dxa"/>
            <w:vAlign w:val="bottom"/>
          </w:tcPr>
          <w:p>
            <w:pPr>
              <w:ind w:left="4460"/>
              <w:spacing w:after="0"/>
              <w:rPr>
                <w:sz w:val="20"/>
                <w:szCs w:val="20"/>
                <w:color w:val="auto"/>
              </w:rPr>
            </w:pPr>
            <w:r>
              <w:rPr>
                <w:rFonts w:ascii="Arial" w:cs="Arial" w:eastAsia="Arial" w:hAnsi="Arial"/>
                <w:sz w:val="18"/>
                <w:szCs w:val="18"/>
                <w:color w:val="auto"/>
              </w:rPr>
              <w:t>By:</w:t>
            </w:r>
          </w:p>
        </w:tc>
        <w:tc>
          <w:tcPr>
            <w:tcW w:w="6620" w:type="dxa"/>
            <w:vAlign w:val="bottom"/>
          </w:tcPr>
          <w:p>
            <w:pPr>
              <w:ind w:left="80"/>
              <w:spacing w:after="0"/>
              <w:rPr>
                <w:sz w:val="20"/>
                <w:szCs w:val="20"/>
                <w:color w:val="auto"/>
              </w:rPr>
            </w:pPr>
            <w:r>
              <w:rPr>
                <w:rFonts w:ascii="Arial" w:cs="Arial" w:eastAsia="Arial" w:hAnsi="Arial"/>
                <w:sz w:val="18"/>
                <w:szCs w:val="18"/>
                <w:color w:val="auto"/>
              </w:rPr>
              <w:t>R. Gregory Laing</w:t>
            </w:r>
          </w:p>
        </w:tc>
      </w:tr>
      <w:tr>
        <w:trPr>
          <w:trHeight w:val="216"/>
        </w:trPr>
        <w:tc>
          <w:tcPr>
            <w:tcW w:w="11420" w:type="dxa"/>
            <w:vAlign w:val="bottom"/>
            <w:gridSpan w:val="2"/>
          </w:tcPr>
          <w:p>
            <w:pPr>
              <w:ind w:left="4460"/>
              <w:spacing w:after="0"/>
              <w:rPr>
                <w:sz w:val="20"/>
                <w:szCs w:val="20"/>
                <w:color w:val="auto"/>
              </w:rPr>
            </w:pPr>
            <w:r>
              <w:rPr>
                <w:rFonts w:ascii="Arial" w:cs="Arial" w:eastAsia="Arial" w:hAnsi="Arial"/>
                <w:sz w:val="18"/>
                <w:szCs w:val="18"/>
                <w:color w:val="auto"/>
              </w:rPr>
              <w:t>Title: General Counsel, Senior Vice President Legal</w:t>
            </w:r>
          </w:p>
        </w:tc>
      </w:tr>
      <w:tr>
        <w:trPr>
          <w:trHeight w:val="222"/>
        </w:trPr>
        <w:tc>
          <w:tcPr>
            <w:tcW w:w="4800" w:type="dxa"/>
            <w:vAlign w:val="bottom"/>
          </w:tcPr>
          <w:p>
            <w:pPr>
              <w:ind w:left="1140"/>
              <w:spacing w:after="0"/>
              <w:rPr>
                <w:sz w:val="20"/>
                <w:szCs w:val="20"/>
                <w:color w:val="auto"/>
              </w:rPr>
            </w:pPr>
            <w:r>
              <w:rPr>
                <w:rFonts w:ascii="Arial" w:cs="Arial" w:eastAsia="Arial" w:hAnsi="Arial"/>
                <w:sz w:val="18"/>
                <w:szCs w:val="18"/>
                <w:color w:val="auto"/>
              </w:rPr>
              <w:t>Date: April 14, 2010</w:t>
            </w:r>
          </w:p>
        </w:tc>
        <w:tc>
          <w:tcPr>
            <w:tcW w:w="6620" w:type="dxa"/>
            <w:vAlign w:val="bottom"/>
          </w:tcPr>
          <w:p>
            <w:pPr>
              <w:ind w:left="100"/>
              <w:spacing w:after="0"/>
              <w:rPr>
                <w:sz w:val="20"/>
                <w:szCs w:val="20"/>
                <w:color w:val="auto"/>
              </w:rPr>
            </w:pPr>
            <w:r>
              <w:rPr>
                <w:rFonts w:ascii="Arial" w:cs="Arial" w:eastAsia="Arial" w:hAnsi="Arial"/>
                <w:sz w:val="18"/>
                <w:szCs w:val="18"/>
                <w:color w:val="auto"/>
              </w:rPr>
              <w:t>and Corporate Secretary</w:t>
            </w:r>
          </w:p>
        </w:tc>
      </w:tr>
      <w:tr>
        <w:trPr>
          <w:trHeight w:val="120"/>
        </w:trPr>
        <w:tc>
          <w:tcPr>
            <w:tcW w:w="4800" w:type="dxa"/>
            <w:vAlign w:val="bottom"/>
            <w:tcBorders>
              <w:bottom w:val="single" w:sz="8" w:color="808080"/>
            </w:tcBorders>
          </w:tcPr>
          <w:p>
            <w:pPr>
              <w:spacing w:after="0"/>
              <w:rPr>
                <w:sz w:val="10"/>
                <w:szCs w:val="10"/>
                <w:color w:val="auto"/>
              </w:rPr>
            </w:pPr>
          </w:p>
        </w:tc>
        <w:tc>
          <w:tcPr>
            <w:tcW w:w="6620" w:type="dxa"/>
            <w:vAlign w:val="bottom"/>
            <w:tcBorders>
              <w:bottom w:val="single" w:sz="8" w:color="808080"/>
            </w:tcBorders>
          </w:tcPr>
          <w:p>
            <w:pPr>
              <w:spacing w:after="0"/>
              <w:rPr>
                <w:sz w:val="10"/>
                <w:szCs w:val="10"/>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3" w:name="page4"/>
    <w:bookmarkEnd w:id="3"/>
    <w:p>
      <w:pPr>
        <w:spacing w:after="0"/>
        <w:rPr>
          <w:sz w:val="20"/>
          <w:szCs w:val="20"/>
          <w:color w:val="auto"/>
        </w:rPr>
      </w:pPr>
      <w:r>
        <w:rPr>
          <w:rFonts w:ascii="Arial" w:cs="Arial" w:eastAsia="Arial" w:hAnsi="Arial"/>
          <w:sz w:val="19"/>
          <w:szCs w:val="19"/>
          <w:color w:val="auto"/>
        </w:rPr>
        <w:t>QuickLinks</w:t>
      </w:r>
    </w:p>
    <w:p>
      <w:pPr>
        <w:spacing w:after="0" w:line="254" w:lineRule="exact"/>
        <w:rPr>
          <w:sz w:val="20"/>
          <w:szCs w:val="20"/>
          <w:color w:val="auto"/>
        </w:rPr>
      </w:pPr>
    </w:p>
    <w:p>
      <w:pPr>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EXHIBITS</w:t>
        </w:r>
      </w:hyperlink>
    </w:p>
    <w:p>
      <w:pPr>
        <w:spacing w:after="0" w:line="15" w:lineRule="exact"/>
        <w:rPr>
          <w:sz w:val="20"/>
          <w:szCs w:val="20"/>
          <w:color w:val="auto"/>
        </w:rPr>
      </w:pPr>
    </w:p>
    <w:p>
      <w:pPr>
        <w:spacing w:after="0"/>
        <w:rPr>
          <w:rFonts w:ascii="Arial" w:cs="Arial" w:eastAsia="Arial" w:hAnsi="Arial"/>
          <w:sz w:val="16"/>
          <w:szCs w:val="16"/>
          <w:u w:val="single" w:color="auto"/>
          <w:color w:val="0000EE"/>
        </w:rPr>
      </w:pPr>
      <w:hyperlink w:anchor="page3">
        <w:r>
          <w:rPr>
            <w:rFonts w:ascii="Arial" w:cs="Arial" w:eastAsia="Arial" w:hAnsi="Arial"/>
            <w:sz w:val="16"/>
            <w:szCs w:val="16"/>
            <w:u w:val="single" w:color="auto"/>
            <w:color w:val="0000EE"/>
          </w:rPr>
          <w:t>SIGNATURE</w:t>
        </w:r>
      </w:hyperlink>
    </w:p>
    <w:p>
      <w:pPr>
        <w:sectPr>
          <w:pgSz w:w="11900" w:h="16838" w:orient="portrait"/>
          <w:cols w:equalWidth="0" w:num="1">
            <w:col w:w="10219"/>
          </w:cols>
          <w:pgMar w:left="240" w:top="820" w:right="1440" w:bottom="1440" w:gutter="0" w:footer="0" w:header="0"/>
        </w:sectPr>
      </w:pPr>
    </w:p>
    <w:bookmarkStart w:id="4" w:name="page5"/>
    <w:bookmarkEnd w:id="4"/>
    <w:p>
      <w:pPr>
        <w:spacing w:after="0"/>
        <w:rPr>
          <w:sz w:val="20"/>
          <w:szCs w:val="20"/>
          <w:color w:val="auto"/>
        </w:rPr>
      </w:pPr>
      <w:r>
        <w:rPr>
          <w:rFonts w:ascii="Arial" w:cs="Arial" w:eastAsia="Arial" w:hAnsi="Arial"/>
          <w:sz w:val="22"/>
          <w:szCs w:val="22"/>
          <w:color w:val="auto"/>
        </w:rPr>
        <w:t>Use these links to rapidly review the document</w:t>
      </w:r>
    </w:p>
    <w:p>
      <w:pPr>
        <w:spacing w:after="0" w:line="8" w:lineRule="exact"/>
        <w:rPr>
          <w:sz w:val="20"/>
          <w:szCs w:val="20"/>
          <w:color w:val="auto"/>
        </w:rPr>
      </w:pPr>
    </w:p>
    <w:p>
      <w:pPr>
        <w:spacing w:after="0"/>
        <w:rPr>
          <w:rFonts w:ascii="Arial" w:cs="Arial" w:eastAsia="Arial" w:hAnsi="Arial"/>
          <w:sz w:val="22"/>
          <w:szCs w:val="22"/>
          <w:u w:val="single" w:color="auto"/>
          <w:color w:val="0000EE"/>
        </w:rPr>
      </w:pPr>
      <w:hyperlink w:anchor="page42">
        <w:r>
          <w:rPr>
            <w:rFonts w:ascii="Arial" w:cs="Arial" w:eastAsia="Arial" w:hAnsi="Arial"/>
            <w:sz w:val="22"/>
            <w:szCs w:val="22"/>
            <w:u w:val="single" w:color="auto"/>
            <w:color w:val="0000EE"/>
          </w:rPr>
          <w:t>TABLE OF CONTENTS</w:t>
        </w:r>
      </w:hyperlink>
    </w:p>
    <w:p>
      <w:pPr>
        <w:spacing w:after="0" w:line="191"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Exhibit 99.1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562610</wp:posOffset>
            </wp:positionH>
            <wp:positionV relativeFrom="paragraph">
              <wp:posOffset>154940</wp:posOffset>
            </wp:positionV>
            <wp:extent cx="5831840" cy="72891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5831840" cy="7289165"/>
                    </a:xfrm>
                    <a:prstGeom prst="rect">
                      <a:avLst/>
                    </a:prstGeom>
                    <a:noFill/>
                  </pic:spPr>
                </pic:pic>
              </a:graphicData>
            </a:graphic>
          </wp:anchor>
        </w:drawing>
      </w:r>
    </w:p>
    <w:p>
      <w:pPr>
        <w:sectPr>
          <w:pgSz w:w="11900" w:h="16838" w:orient="portrait"/>
          <w:cols w:equalWidth="0" w:num="1">
            <w:col w:w="11420"/>
          </w:cols>
          <w:pgMar w:left="240" w:top="577" w:right="239" w:bottom="1440" w:gutter="0" w:footer="0" w:header="0"/>
        </w:sectPr>
      </w:pPr>
    </w:p>
    <w:bookmarkStart w:id="5" w:name="page6"/>
    <w:bookmarkEnd w:id="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89528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5831840" cy="895286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6" w:name="page7"/>
    <w:bookmarkEnd w:id="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618299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clrChange>
                        <a:clrFrom>
                          <a:srgbClr val="FFFFFF"/>
                        </a:clrFrom>
                        <a:clrTo>
                          <a:srgbClr val="FFFFFF">
                            <a:alpha val="0"/>
                          </a:srgbClr>
                        </a:clrTo>
                      </a:clrChange>
                      <a:extLst>
                        <a:ext uri="{28A0092B-C50C-407E-A947-70E740481C1C}"/>
                      </a:extLst>
                    </a:blip>
                    <a:srcRect/>
                    <a:stretch>
                      <a:fillRect/>
                    </a:stretch>
                  </pic:blipFill>
                  <pic:spPr bwMode="auto">
                    <a:xfrm>
                      <a:off x="0" y="0"/>
                      <a:ext cx="5831840" cy="61829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 w:name="page8"/>
    <w:bookmarkEnd w:id="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1066800</wp:posOffset>
            </wp:positionH>
            <wp:positionV relativeFrom="page">
              <wp:posOffset>88900</wp:posOffset>
            </wp:positionV>
            <wp:extent cx="5128260" cy="94589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clrChange>
                        <a:clrFrom>
                          <a:srgbClr val="FFFFFF"/>
                        </a:clrFrom>
                        <a:clrTo>
                          <a:srgbClr val="FFFFFF">
                            <a:alpha val="0"/>
                          </a:srgbClr>
                        </a:clrTo>
                      </a:clrChange>
                      <a:extLst>
                        <a:ext uri="{28A0092B-C50C-407E-A947-70E740481C1C}"/>
                      </a:extLst>
                    </a:blip>
                    <a:srcRect/>
                    <a:stretch>
                      <a:fillRect/>
                    </a:stretch>
                  </pic:blipFill>
                  <pic:spPr bwMode="auto">
                    <a:xfrm>
                      <a:off x="0" y="0"/>
                      <a:ext cx="5128260" cy="945896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 w:name="page9"/>
    <w:bookmarkEnd w:id="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7366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clrChange>
                        <a:clrFrom>
                          <a:srgbClr val="FFFFFF"/>
                        </a:clrFrom>
                        <a:clrTo>
                          <a:srgbClr val="FFFFFF">
                            <a:alpha val="0"/>
                          </a:srgbClr>
                        </a:clrTo>
                      </a:clrChange>
                      <a:extLst>
                        <a:ext uri="{28A0092B-C50C-407E-A947-70E740481C1C}"/>
                      </a:extLst>
                    </a:blip>
                    <a:srcRect/>
                    <a:stretch>
                      <a:fillRect/>
                    </a:stretch>
                  </pic:blipFill>
                  <pic:spPr bwMode="auto">
                    <a:xfrm>
                      <a:off x="0" y="0"/>
                      <a:ext cx="5831840" cy="73666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 w:name="page10"/>
    <w:bookmarkEnd w:id="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7366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clrChange>
                        <a:clrFrom>
                          <a:srgbClr val="FFFFFF"/>
                        </a:clrFrom>
                        <a:clrTo>
                          <a:srgbClr val="FFFFFF">
                            <a:alpha val="0"/>
                          </a:srgbClr>
                        </a:clrTo>
                      </a:clrChange>
                      <a:extLst>
                        <a:ext uri="{28A0092B-C50C-407E-A947-70E740481C1C}"/>
                      </a:extLst>
                    </a:blip>
                    <a:srcRect/>
                    <a:stretch>
                      <a:fillRect/>
                    </a:stretch>
                  </pic:blipFill>
                  <pic:spPr bwMode="auto">
                    <a:xfrm>
                      <a:off x="0" y="0"/>
                      <a:ext cx="5831840" cy="73666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 w:name="page11"/>
    <w:bookmarkEnd w:id="1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7366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clrChange>
                        <a:clrFrom>
                          <a:srgbClr val="FFFFFF"/>
                        </a:clrFrom>
                        <a:clrTo>
                          <a:srgbClr val="FFFFFF">
                            <a:alpha val="0"/>
                          </a:srgbClr>
                        </a:clrTo>
                      </a:clrChange>
                      <a:extLst>
                        <a:ext uri="{28A0092B-C50C-407E-A947-70E740481C1C}"/>
                      </a:extLst>
                    </a:blip>
                    <a:srcRect/>
                    <a:stretch>
                      <a:fillRect/>
                    </a:stretch>
                  </pic:blipFill>
                  <pic:spPr bwMode="auto">
                    <a:xfrm>
                      <a:off x="0" y="0"/>
                      <a:ext cx="5831840" cy="73666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1" w:name="page12"/>
    <w:bookmarkEnd w:id="1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7366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clrChange>
                        <a:clrFrom>
                          <a:srgbClr val="FFFFFF"/>
                        </a:clrFrom>
                        <a:clrTo>
                          <a:srgbClr val="FFFFFF">
                            <a:alpha val="0"/>
                          </a:srgbClr>
                        </a:clrTo>
                      </a:clrChange>
                      <a:extLst>
                        <a:ext uri="{28A0092B-C50C-407E-A947-70E740481C1C}"/>
                      </a:extLst>
                    </a:blip>
                    <a:srcRect/>
                    <a:stretch>
                      <a:fillRect/>
                    </a:stretch>
                  </pic:blipFill>
                  <pic:spPr bwMode="auto">
                    <a:xfrm>
                      <a:off x="0" y="0"/>
                      <a:ext cx="5831840" cy="73666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2" w:name="page13"/>
    <w:bookmarkEnd w:id="1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7366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clrChange>
                        <a:clrFrom>
                          <a:srgbClr val="FFFFFF"/>
                        </a:clrFrom>
                        <a:clrTo>
                          <a:srgbClr val="FFFFFF">
                            <a:alpha val="0"/>
                          </a:srgbClr>
                        </a:clrTo>
                      </a:clrChange>
                      <a:extLst>
                        <a:ext uri="{28A0092B-C50C-407E-A947-70E740481C1C}"/>
                      </a:extLst>
                    </a:blip>
                    <a:srcRect/>
                    <a:stretch>
                      <a:fillRect/>
                    </a:stretch>
                  </pic:blipFill>
                  <pic:spPr bwMode="auto">
                    <a:xfrm>
                      <a:off x="0" y="0"/>
                      <a:ext cx="5831840" cy="73666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3" w:name="page14"/>
    <w:bookmarkEnd w:id="1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7366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clrChange>
                        <a:clrFrom>
                          <a:srgbClr val="FFFFFF"/>
                        </a:clrFrom>
                        <a:clrTo>
                          <a:srgbClr val="FFFFFF">
                            <a:alpha val="0"/>
                          </a:srgbClr>
                        </a:clrTo>
                      </a:clrChange>
                      <a:extLst>
                        <a:ext uri="{28A0092B-C50C-407E-A947-70E740481C1C}"/>
                      </a:extLst>
                    </a:blip>
                    <a:srcRect/>
                    <a:stretch>
                      <a:fillRect/>
                    </a:stretch>
                  </pic:blipFill>
                  <pic:spPr bwMode="auto">
                    <a:xfrm>
                      <a:off x="0" y="0"/>
                      <a:ext cx="5831840" cy="73666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4" w:name="page15"/>
    <w:bookmarkEnd w:id="1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7366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clrChange>
                        <a:clrFrom>
                          <a:srgbClr val="FFFFFF"/>
                        </a:clrFrom>
                        <a:clrTo>
                          <a:srgbClr val="FFFFFF">
                            <a:alpha val="0"/>
                          </a:srgbClr>
                        </a:clrTo>
                      </a:clrChange>
                      <a:extLst>
                        <a:ext uri="{28A0092B-C50C-407E-A947-70E740481C1C}"/>
                      </a:extLst>
                    </a:blip>
                    <a:srcRect/>
                    <a:stretch>
                      <a:fillRect/>
                    </a:stretch>
                  </pic:blipFill>
                  <pic:spPr bwMode="auto">
                    <a:xfrm>
                      <a:off x="0" y="0"/>
                      <a:ext cx="5831840" cy="73666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5" w:name="page16"/>
    <w:bookmarkEnd w:id="1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7366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clrChange>
                        <a:clrFrom>
                          <a:srgbClr val="FFFFFF"/>
                        </a:clrFrom>
                        <a:clrTo>
                          <a:srgbClr val="FFFFFF">
                            <a:alpha val="0"/>
                          </a:srgbClr>
                        </a:clrTo>
                      </a:clrChange>
                      <a:extLst>
                        <a:ext uri="{28A0092B-C50C-407E-A947-70E740481C1C}"/>
                      </a:extLst>
                    </a:blip>
                    <a:srcRect/>
                    <a:stretch>
                      <a:fillRect/>
                    </a:stretch>
                  </pic:blipFill>
                  <pic:spPr bwMode="auto">
                    <a:xfrm>
                      <a:off x="0" y="0"/>
                      <a:ext cx="5831840" cy="73666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6" w:name="page17"/>
    <w:bookmarkEnd w:id="1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7366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clrChange>
                        <a:clrFrom>
                          <a:srgbClr val="FFFFFF"/>
                        </a:clrFrom>
                        <a:clrTo>
                          <a:srgbClr val="FFFFFF">
                            <a:alpha val="0"/>
                          </a:srgbClr>
                        </a:clrTo>
                      </a:clrChange>
                      <a:extLst>
                        <a:ext uri="{28A0092B-C50C-407E-A947-70E740481C1C}"/>
                      </a:extLst>
                    </a:blip>
                    <a:srcRect/>
                    <a:stretch>
                      <a:fillRect/>
                    </a:stretch>
                  </pic:blipFill>
                  <pic:spPr bwMode="auto">
                    <a:xfrm>
                      <a:off x="0" y="0"/>
                      <a:ext cx="5831840" cy="73666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7" w:name="page18"/>
    <w:bookmarkEnd w:id="1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7366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clrChange>
                        <a:clrFrom>
                          <a:srgbClr val="FFFFFF"/>
                        </a:clrFrom>
                        <a:clrTo>
                          <a:srgbClr val="FFFFFF">
                            <a:alpha val="0"/>
                          </a:srgbClr>
                        </a:clrTo>
                      </a:clrChange>
                      <a:extLst>
                        <a:ext uri="{28A0092B-C50C-407E-A947-70E740481C1C}"/>
                      </a:extLst>
                    </a:blip>
                    <a:srcRect/>
                    <a:stretch>
                      <a:fillRect/>
                    </a:stretch>
                  </pic:blipFill>
                  <pic:spPr bwMode="auto">
                    <a:xfrm>
                      <a:off x="0" y="0"/>
                      <a:ext cx="5831840" cy="73666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8" w:name="page19"/>
    <w:bookmarkEnd w:id="1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7366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clrChange>
                        <a:clrFrom>
                          <a:srgbClr val="FFFFFF"/>
                        </a:clrFrom>
                        <a:clrTo>
                          <a:srgbClr val="FFFFFF">
                            <a:alpha val="0"/>
                          </a:srgbClr>
                        </a:clrTo>
                      </a:clrChange>
                      <a:extLst>
                        <a:ext uri="{28A0092B-C50C-407E-A947-70E740481C1C}"/>
                      </a:extLst>
                    </a:blip>
                    <a:srcRect/>
                    <a:stretch>
                      <a:fillRect/>
                    </a:stretch>
                  </pic:blipFill>
                  <pic:spPr bwMode="auto">
                    <a:xfrm>
                      <a:off x="0" y="0"/>
                      <a:ext cx="5831840" cy="73666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9" w:name="page20"/>
    <w:bookmarkEnd w:id="1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7366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clrChange>
                        <a:clrFrom>
                          <a:srgbClr val="FFFFFF"/>
                        </a:clrFrom>
                        <a:clrTo>
                          <a:srgbClr val="FFFFFF">
                            <a:alpha val="0"/>
                          </a:srgbClr>
                        </a:clrTo>
                      </a:clrChange>
                      <a:extLst>
                        <a:ext uri="{28A0092B-C50C-407E-A947-70E740481C1C}"/>
                      </a:extLst>
                    </a:blip>
                    <a:srcRect/>
                    <a:stretch>
                      <a:fillRect/>
                    </a:stretch>
                  </pic:blipFill>
                  <pic:spPr bwMode="auto">
                    <a:xfrm>
                      <a:off x="0" y="0"/>
                      <a:ext cx="5831840" cy="73666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0" w:name="page21"/>
    <w:bookmarkEnd w:id="2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7366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clrChange>
                        <a:clrFrom>
                          <a:srgbClr val="FFFFFF"/>
                        </a:clrFrom>
                        <a:clrTo>
                          <a:srgbClr val="FFFFFF">
                            <a:alpha val="0"/>
                          </a:srgbClr>
                        </a:clrTo>
                      </a:clrChange>
                      <a:extLst>
                        <a:ext uri="{28A0092B-C50C-407E-A947-70E740481C1C}"/>
                      </a:extLst>
                    </a:blip>
                    <a:srcRect/>
                    <a:stretch>
                      <a:fillRect/>
                    </a:stretch>
                  </pic:blipFill>
                  <pic:spPr bwMode="auto">
                    <a:xfrm>
                      <a:off x="0" y="0"/>
                      <a:ext cx="5831840" cy="73666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1" w:name="page22"/>
    <w:bookmarkEnd w:id="2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7366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clrChange>
                        <a:clrFrom>
                          <a:srgbClr val="FFFFFF"/>
                        </a:clrFrom>
                        <a:clrTo>
                          <a:srgbClr val="FFFFFF">
                            <a:alpha val="0"/>
                          </a:srgbClr>
                        </a:clrTo>
                      </a:clrChange>
                      <a:extLst>
                        <a:ext uri="{28A0092B-C50C-407E-A947-70E740481C1C}"/>
                      </a:extLst>
                    </a:blip>
                    <a:srcRect/>
                    <a:stretch>
                      <a:fillRect/>
                    </a:stretch>
                  </pic:blipFill>
                  <pic:spPr bwMode="auto">
                    <a:xfrm>
                      <a:off x="0" y="0"/>
                      <a:ext cx="5831840" cy="73666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2" w:name="page23"/>
    <w:bookmarkEnd w:id="2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7366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clrChange>
                        <a:clrFrom>
                          <a:srgbClr val="FFFFFF"/>
                        </a:clrFrom>
                        <a:clrTo>
                          <a:srgbClr val="FFFFFF">
                            <a:alpha val="0"/>
                          </a:srgbClr>
                        </a:clrTo>
                      </a:clrChange>
                      <a:extLst>
                        <a:ext uri="{28A0092B-C50C-407E-A947-70E740481C1C}"/>
                      </a:extLst>
                    </a:blip>
                    <a:srcRect/>
                    <a:stretch>
                      <a:fillRect/>
                    </a:stretch>
                  </pic:blipFill>
                  <pic:spPr bwMode="auto">
                    <a:xfrm>
                      <a:off x="0" y="0"/>
                      <a:ext cx="5831840" cy="73666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3" w:name="page24"/>
    <w:bookmarkEnd w:id="2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7366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clrChange>
                        <a:clrFrom>
                          <a:srgbClr val="FFFFFF"/>
                        </a:clrFrom>
                        <a:clrTo>
                          <a:srgbClr val="FFFFFF">
                            <a:alpha val="0"/>
                          </a:srgbClr>
                        </a:clrTo>
                      </a:clrChange>
                      <a:extLst>
                        <a:ext uri="{28A0092B-C50C-407E-A947-70E740481C1C}"/>
                      </a:extLst>
                    </a:blip>
                    <a:srcRect/>
                    <a:stretch>
                      <a:fillRect/>
                    </a:stretch>
                  </pic:blipFill>
                  <pic:spPr bwMode="auto">
                    <a:xfrm>
                      <a:off x="0" y="0"/>
                      <a:ext cx="5831840" cy="73666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4" w:name="page25"/>
    <w:bookmarkEnd w:id="2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7366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clrChange>
                        <a:clrFrom>
                          <a:srgbClr val="FFFFFF"/>
                        </a:clrFrom>
                        <a:clrTo>
                          <a:srgbClr val="FFFFFF">
                            <a:alpha val="0"/>
                          </a:srgbClr>
                        </a:clrTo>
                      </a:clrChange>
                      <a:extLst>
                        <a:ext uri="{28A0092B-C50C-407E-A947-70E740481C1C}"/>
                      </a:extLst>
                    </a:blip>
                    <a:srcRect/>
                    <a:stretch>
                      <a:fillRect/>
                    </a:stretch>
                  </pic:blipFill>
                  <pic:spPr bwMode="auto">
                    <a:xfrm>
                      <a:off x="0" y="0"/>
                      <a:ext cx="5831840" cy="73666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5" w:name="page26"/>
    <w:bookmarkEnd w:id="2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7366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clrChange>
                        <a:clrFrom>
                          <a:srgbClr val="FFFFFF"/>
                        </a:clrFrom>
                        <a:clrTo>
                          <a:srgbClr val="FFFFFF">
                            <a:alpha val="0"/>
                          </a:srgbClr>
                        </a:clrTo>
                      </a:clrChange>
                      <a:extLst>
                        <a:ext uri="{28A0092B-C50C-407E-A947-70E740481C1C}"/>
                      </a:extLst>
                    </a:blip>
                    <a:srcRect/>
                    <a:stretch>
                      <a:fillRect/>
                    </a:stretch>
                  </pic:blipFill>
                  <pic:spPr bwMode="auto">
                    <a:xfrm>
                      <a:off x="0" y="0"/>
                      <a:ext cx="5831840" cy="73666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6" w:name="page27"/>
    <w:bookmarkEnd w:id="2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73666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clrChange>
                        <a:clrFrom>
                          <a:srgbClr val="FFFFFF"/>
                        </a:clrFrom>
                        <a:clrTo>
                          <a:srgbClr val="FFFFFF">
                            <a:alpha val="0"/>
                          </a:srgbClr>
                        </a:clrTo>
                      </a:clrChange>
                      <a:extLst>
                        <a:ext uri="{28A0092B-C50C-407E-A947-70E740481C1C}"/>
                      </a:extLst>
                    </a:blip>
                    <a:srcRect/>
                    <a:stretch>
                      <a:fillRect/>
                    </a:stretch>
                  </pic:blipFill>
                  <pic:spPr bwMode="auto">
                    <a:xfrm>
                      <a:off x="0" y="0"/>
                      <a:ext cx="5831840" cy="73666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7" w:name="page28"/>
    <w:bookmarkEnd w:id="2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73666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clrChange>
                        <a:clrFrom>
                          <a:srgbClr val="FFFFFF"/>
                        </a:clrFrom>
                        <a:clrTo>
                          <a:srgbClr val="FFFFFF">
                            <a:alpha val="0"/>
                          </a:srgbClr>
                        </a:clrTo>
                      </a:clrChange>
                      <a:extLst>
                        <a:ext uri="{28A0092B-C50C-407E-A947-70E740481C1C}"/>
                      </a:extLst>
                    </a:blip>
                    <a:srcRect/>
                    <a:stretch>
                      <a:fillRect/>
                    </a:stretch>
                  </pic:blipFill>
                  <pic:spPr bwMode="auto">
                    <a:xfrm>
                      <a:off x="0" y="0"/>
                      <a:ext cx="5831840" cy="73666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8" w:name="page29"/>
    <w:bookmarkEnd w:id="2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73666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clrChange>
                        <a:clrFrom>
                          <a:srgbClr val="FFFFFF"/>
                        </a:clrFrom>
                        <a:clrTo>
                          <a:srgbClr val="FFFFFF">
                            <a:alpha val="0"/>
                          </a:srgbClr>
                        </a:clrTo>
                      </a:clrChange>
                      <a:extLst>
                        <a:ext uri="{28A0092B-C50C-407E-A947-70E740481C1C}"/>
                      </a:extLst>
                    </a:blip>
                    <a:srcRect/>
                    <a:stretch>
                      <a:fillRect/>
                    </a:stretch>
                  </pic:blipFill>
                  <pic:spPr bwMode="auto">
                    <a:xfrm>
                      <a:off x="0" y="0"/>
                      <a:ext cx="5831840" cy="73666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9" w:name="page30"/>
    <w:bookmarkEnd w:id="2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7366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clrChange>
                        <a:clrFrom>
                          <a:srgbClr val="FFFFFF"/>
                        </a:clrFrom>
                        <a:clrTo>
                          <a:srgbClr val="FFFFFF">
                            <a:alpha val="0"/>
                          </a:srgbClr>
                        </a:clrTo>
                      </a:clrChange>
                      <a:extLst>
                        <a:ext uri="{28A0092B-C50C-407E-A947-70E740481C1C}"/>
                      </a:extLst>
                    </a:blip>
                    <a:srcRect/>
                    <a:stretch>
                      <a:fillRect/>
                    </a:stretch>
                  </pic:blipFill>
                  <pic:spPr bwMode="auto">
                    <a:xfrm>
                      <a:off x="0" y="0"/>
                      <a:ext cx="5831840" cy="73666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0" w:name="page31"/>
    <w:bookmarkEnd w:id="3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73666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clrChange>
                        <a:clrFrom>
                          <a:srgbClr val="FFFFFF"/>
                        </a:clrFrom>
                        <a:clrTo>
                          <a:srgbClr val="FFFFFF">
                            <a:alpha val="0"/>
                          </a:srgbClr>
                        </a:clrTo>
                      </a:clrChange>
                      <a:extLst>
                        <a:ext uri="{28A0092B-C50C-407E-A947-70E740481C1C}"/>
                      </a:extLst>
                    </a:blip>
                    <a:srcRect/>
                    <a:stretch>
                      <a:fillRect/>
                    </a:stretch>
                  </pic:blipFill>
                  <pic:spPr bwMode="auto">
                    <a:xfrm>
                      <a:off x="0" y="0"/>
                      <a:ext cx="5831840" cy="73666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1" w:name="page32"/>
    <w:bookmarkEnd w:id="3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73666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clrChange>
                        <a:clrFrom>
                          <a:srgbClr val="FFFFFF"/>
                        </a:clrFrom>
                        <a:clrTo>
                          <a:srgbClr val="FFFFFF">
                            <a:alpha val="0"/>
                          </a:srgbClr>
                        </a:clrTo>
                      </a:clrChange>
                      <a:extLst>
                        <a:ext uri="{28A0092B-C50C-407E-A947-70E740481C1C}"/>
                      </a:extLst>
                    </a:blip>
                    <a:srcRect/>
                    <a:stretch>
                      <a:fillRect/>
                    </a:stretch>
                  </pic:blipFill>
                  <pic:spPr bwMode="auto">
                    <a:xfrm>
                      <a:off x="0" y="0"/>
                      <a:ext cx="5831840" cy="73666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2" w:name="page33"/>
    <w:bookmarkEnd w:id="3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7366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clrChange>
                        <a:clrFrom>
                          <a:srgbClr val="FFFFFF"/>
                        </a:clrFrom>
                        <a:clrTo>
                          <a:srgbClr val="FFFFFF">
                            <a:alpha val="0"/>
                          </a:srgbClr>
                        </a:clrTo>
                      </a:clrChange>
                      <a:extLst>
                        <a:ext uri="{28A0092B-C50C-407E-A947-70E740481C1C}"/>
                      </a:extLst>
                    </a:blip>
                    <a:srcRect/>
                    <a:stretch>
                      <a:fillRect/>
                    </a:stretch>
                  </pic:blipFill>
                  <pic:spPr bwMode="auto">
                    <a:xfrm>
                      <a:off x="0" y="0"/>
                      <a:ext cx="5831840" cy="73666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3" w:name="page34"/>
    <w:bookmarkEnd w:id="3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73666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clrChange>
                        <a:clrFrom>
                          <a:srgbClr val="FFFFFF"/>
                        </a:clrFrom>
                        <a:clrTo>
                          <a:srgbClr val="FFFFFF">
                            <a:alpha val="0"/>
                          </a:srgbClr>
                        </a:clrTo>
                      </a:clrChange>
                      <a:extLst>
                        <a:ext uri="{28A0092B-C50C-407E-A947-70E740481C1C}"/>
                      </a:extLst>
                    </a:blip>
                    <a:srcRect/>
                    <a:stretch>
                      <a:fillRect/>
                    </a:stretch>
                  </pic:blipFill>
                  <pic:spPr bwMode="auto">
                    <a:xfrm>
                      <a:off x="0" y="0"/>
                      <a:ext cx="5831840" cy="73666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4" w:name="page35"/>
    <w:bookmarkEnd w:id="3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73666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clrChange>
                        <a:clrFrom>
                          <a:srgbClr val="FFFFFF"/>
                        </a:clrFrom>
                        <a:clrTo>
                          <a:srgbClr val="FFFFFF">
                            <a:alpha val="0"/>
                          </a:srgbClr>
                        </a:clrTo>
                      </a:clrChange>
                      <a:extLst>
                        <a:ext uri="{28A0092B-C50C-407E-A947-70E740481C1C}"/>
                      </a:extLst>
                    </a:blip>
                    <a:srcRect/>
                    <a:stretch>
                      <a:fillRect/>
                    </a:stretch>
                  </pic:blipFill>
                  <pic:spPr bwMode="auto">
                    <a:xfrm>
                      <a:off x="0" y="0"/>
                      <a:ext cx="5831840" cy="73666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5" w:name="page36"/>
    <w:bookmarkEnd w:id="3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73666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clrChange>
                        <a:clrFrom>
                          <a:srgbClr val="FFFFFF"/>
                        </a:clrFrom>
                        <a:clrTo>
                          <a:srgbClr val="FFFFFF">
                            <a:alpha val="0"/>
                          </a:srgbClr>
                        </a:clrTo>
                      </a:clrChange>
                      <a:extLst>
                        <a:ext uri="{28A0092B-C50C-407E-A947-70E740481C1C}"/>
                      </a:extLst>
                    </a:blip>
                    <a:srcRect/>
                    <a:stretch>
                      <a:fillRect/>
                    </a:stretch>
                  </pic:blipFill>
                  <pic:spPr bwMode="auto">
                    <a:xfrm>
                      <a:off x="0" y="0"/>
                      <a:ext cx="5831840" cy="73666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6" w:name="page37"/>
    <w:bookmarkEnd w:id="3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73666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clrChange>
                        <a:clrFrom>
                          <a:srgbClr val="FFFFFF"/>
                        </a:clrFrom>
                        <a:clrTo>
                          <a:srgbClr val="FFFFFF">
                            <a:alpha val="0"/>
                          </a:srgbClr>
                        </a:clrTo>
                      </a:clrChange>
                      <a:extLst>
                        <a:ext uri="{28A0092B-C50C-407E-A947-70E740481C1C}"/>
                      </a:extLst>
                    </a:blip>
                    <a:srcRect/>
                    <a:stretch>
                      <a:fillRect/>
                    </a:stretch>
                  </pic:blipFill>
                  <pic:spPr bwMode="auto">
                    <a:xfrm>
                      <a:off x="0" y="0"/>
                      <a:ext cx="5831840" cy="73666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7" w:name="page38"/>
    <w:bookmarkEnd w:id="3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736663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clrChange>
                        <a:clrFrom>
                          <a:srgbClr val="FFFFFF"/>
                        </a:clrFrom>
                        <a:clrTo>
                          <a:srgbClr val="FFFFFF">
                            <a:alpha val="0"/>
                          </a:srgbClr>
                        </a:clrTo>
                      </a:clrChange>
                      <a:extLst>
                        <a:ext uri="{28A0092B-C50C-407E-A947-70E740481C1C}"/>
                      </a:extLst>
                    </a:blip>
                    <a:srcRect/>
                    <a:stretch>
                      <a:fillRect/>
                    </a:stretch>
                  </pic:blipFill>
                  <pic:spPr bwMode="auto">
                    <a:xfrm>
                      <a:off x="0" y="0"/>
                      <a:ext cx="5831840" cy="73666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8" w:name="page39"/>
    <w:bookmarkEnd w:id="3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73666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clrChange>
                        <a:clrFrom>
                          <a:srgbClr val="FFFFFF"/>
                        </a:clrFrom>
                        <a:clrTo>
                          <a:srgbClr val="FFFFFF">
                            <a:alpha val="0"/>
                          </a:srgbClr>
                        </a:clrTo>
                      </a:clrChange>
                      <a:extLst>
                        <a:ext uri="{28A0092B-C50C-407E-A947-70E740481C1C}"/>
                      </a:extLst>
                    </a:blip>
                    <a:srcRect/>
                    <a:stretch>
                      <a:fillRect/>
                    </a:stretch>
                  </pic:blipFill>
                  <pic:spPr bwMode="auto">
                    <a:xfrm>
                      <a:off x="0" y="0"/>
                      <a:ext cx="5831840" cy="73666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9" w:name="page40"/>
    <w:bookmarkEnd w:id="3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88900</wp:posOffset>
            </wp:positionV>
            <wp:extent cx="7246620" cy="76841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246620" cy="76841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UNITED STATES</w:t>
      </w:r>
    </w:p>
    <w:p>
      <w:pPr>
        <w:spacing w:after="0" w:line="33"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SECURITIES AND EXCHANGE COMMISSION</w:t>
      </w:r>
    </w:p>
    <w:p>
      <w:pPr>
        <w:spacing w:after="0" w:line="2"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Washington, D.C. 20549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1953260</wp:posOffset>
            </wp:positionH>
            <wp:positionV relativeFrom="paragraph">
              <wp:posOffset>128905</wp:posOffset>
            </wp:positionV>
            <wp:extent cx="1826895" cy="88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auto"/>
        </w:rPr>
        <w:t>FORM 20-F</w:t>
      </w:r>
    </w:p>
    <w:p>
      <w:pPr>
        <w:spacing w:after="0" w:line="241" w:lineRule="exact"/>
        <w:rPr>
          <w:sz w:val="20"/>
          <w:szCs w:val="20"/>
          <w:color w:val="auto"/>
        </w:rPr>
      </w:pPr>
    </w:p>
    <w:p>
      <w:pPr>
        <w:ind w:left="2460" w:hanging="198"/>
        <w:spacing w:after="0"/>
        <w:tabs>
          <w:tab w:leader="none" w:pos="2460" w:val="left"/>
        </w:tabs>
        <w:numPr>
          <w:ilvl w:val="0"/>
          <w:numId w:val="1"/>
        </w:numPr>
        <w:rPr>
          <w:rFonts w:ascii="Arial" w:cs="Arial" w:eastAsia="Arial" w:hAnsi="Arial"/>
          <w:sz w:val="14"/>
          <w:szCs w:val="14"/>
          <w:b w:val="1"/>
          <w:bCs w:val="1"/>
          <w:color w:val="auto"/>
        </w:rPr>
      </w:pPr>
      <w:r>
        <w:rPr>
          <w:rFonts w:ascii="Arial" w:cs="Arial" w:eastAsia="Arial" w:hAnsi="Arial"/>
          <w:sz w:val="14"/>
          <w:szCs w:val="14"/>
          <w:b w:val="1"/>
          <w:bCs w:val="1"/>
          <w:color w:val="auto"/>
        </w:rPr>
        <w:t>REGISTRATION STATEMENT PURSUANT TO SECTION 12(b) OR (g)</w:t>
      </w:r>
    </w:p>
    <w:p>
      <w:pPr>
        <w:spacing w:after="0" w:line="1" w:lineRule="exact"/>
        <w:rPr>
          <w:rFonts w:ascii="Arial" w:cs="Arial" w:eastAsia="Arial" w:hAnsi="Arial"/>
          <w:sz w:val="14"/>
          <w:szCs w:val="14"/>
          <w:b w:val="1"/>
          <w:bCs w:val="1"/>
          <w:color w:val="auto"/>
        </w:rPr>
      </w:pPr>
    </w:p>
    <w:p>
      <w:pPr>
        <w:ind w:left="3000"/>
        <w:spacing w:after="0"/>
        <w:rPr>
          <w:rFonts w:ascii="Arial" w:cs="Arial" w:eastAsia="Arial" w:hAnsi="Arial"/>
          <w:sz w:val="14"/>
          <w:szCs w:val="14"/>
          <w:b w:val="1"/>
          <w:bCs w:val="1"/>
          <w:color w:val="auto"/>
        </w:rPr>
      </w:pPr>
      <w:r>
        <w:rPr>
          <w:rFonts w:ascii="Arial" w:cs="Arial" w:eastAsia="Arial" w:hAnsi="Arial"/>
          <w:sz w:val="14"/>
          <w:szCs w:val="14"/>
          <w:b w:val="1"/>
          <w:bCs w:val="1"/>
          <w:color w:val="auto"/>
        </w:rPr>
        <w:t>OF THE SECURITIES EXCHANGE ACT OF 1934</w:t>
      </w:r>
    </w:p>
    <w:p>
      <w:pPr>
        <w:spacing w:after="0" w:line="122" w:lineRule="exact"/>
        <w:rPr>
          <w:sz w:val="20"/>
          <w:szCs w:val="20"/>
          <w:color w:val="auto"/>
        </w:rPr>
      </w:pPr>
    </w:p>
    <w:p>
      <w:pPr>
        <w:ind w:left="2860" w:hanging="243"/>
        <w:spacing w:after="0"/>
        <w:tabs>
          <w:tab w:leader="none" w:pos="2860" w:val="left"/>
        </w:tabs>
        <w:numPr>
          <w:ilvl w:val="0"/>
          <w:numId w:val="2"/>
        </w:numPr>
        <w:rPr>
          <w:rFonts w:ascii="MS PGothic" w:cs="MS PGothic" w:eastAsia="MS PGothic" w:hAnsi="MS PGothic"/>
          <w:sz w:val="14"/>
          <w:szCs w:val="14"/>
          <w:color w:val="auto"/>
          <w:highlight w:val="black"/>
        </w:rPr>
      </w:pPr>
      <w:r>
        <w:rPr>
          <w:rFonts w:ascii="Arial" w:cs="Arial" w:eastAsia="Arial" w:hAnsi="Arial"/>
          <w:sz w:val="14"/>
          <w:szCs w:val="14"/>
          <w:b w:val="1"/>
          <w:bCs w:val="1"/>
          <w:color w:val="auto"/>
        </w:rPr>
        <w:t>ANNUAL REPORT PURSUANT TO SECTION 13 OR 15(d)</w:t>
      </w:r>
    </w:p>
    <w:p>
      <w:pPr>
        <w:spacing w:after="0" w:line="1" w:lineRule="exact"/>
        <w:rPr>
          <w:rFonts w:ascii="MS PGothic" w:cs="MS PGothic" w:eastAsia="MS PGothic" w:hAnsi="MS PGothic"/>
          <w:sz w:val="14"/>
          <w:szCs w:val="14"/>
          <w:color w:val="auto"/>
          <w:highlight w:val="black"/>
        </w:rPr>
      </w:pPr>
    </w:p>
    <w:p>
      <w:pPr>
        <w:ind w:left="3000"/>
        <w:spacing w:after="0" w:line="221" w:lineRule="auto"/>
        <w:rPr>
          <w:rFonts w:ascii="MS PGothic" w:cs="MS PGothic" w:eastAsia="MS PGothic" w:hAnsi="MS PGothic"/>
          <w:sz w:val="14"/>
          <w:szCs w:val="14"/>
          <w:color w:val="auto"/>
          <w:highlight w:val="black"/>
        </w:rPr>
      </w:pPr>
      <w:r>
        <w:rPr>
          <w:rFonts w:ascii="Arial" w:cs="Arial" w:eastAsia="Arial" w:hAnsi="Arial"/>
          <w:sz w:val="14"/>
          <w:szCs w:val="14"/>
          <w:b w:val="1"/>
          <w:bCs w:val="1"/>
          <w:color w:val="auto"/>
        </w:rPr>
        <w:t>OF THE SECURITIES EXCHANGE ACT OF 1934</w:t>
      </w:r>
    </w:p>
    <w:p>
      <w:pPr>
        <w:ind w:left="3240"/>
        <w:spacing w:after="0"/>
        <w:rPr>
          <w:rFonts w:ascii="MS PGothic" w:cs="MS PGothic" w:eastAsia="MS PGothic" w:hAnsi="MS PGothic"/>
          <w:sz w:val="14"/>
          <w:szCs w:val="14"/>
          <w:color w:val="auto"/>
          <w:highlight w:val="black"/>
        </w:rPr>
      </w:pPr>
      <w:r>
        <w:rPr>
          <w:rFonts w:ascii="Arial" w:cs="Arial" w:eastAsia="Arial" w:hAnsi="Arial"/>
          <w:sz w:val="14"/>
          <w:szCs w:val="14"/>
          <w:b w:val="1"/>
          <w:bCs w:val="1"/>
          <w:color w:val="auto"/>
        </w:rPr>
        <w:t>For the fiscal year ended December 31, 2009</w:t>
      </w:r>
    </w:p>
    <w:p>
      <w:pPr>
        <w:spacing w:after="0" w:line="122" w:lineRule="exact"/>
        <w:rPr>
          <w:sz w:val="20"/>
          <w:szCs w:val="20"/>
          <w:color w:val="auto"/>
        </w:rPr>
      </w:pPr>
    </w:p>
    <w:p>
      <w:pPr>
        <w:ind w:left="2700" w:hanging="198"/>
        <w:spacing w:after="0"/>
        <w:tabs>
          <w:tab w:leader="none" w:pos="2700" w:val="left"/>
        </w:tabs>
        <w:numPr>
          <w:ilvl w:val="0"/>
          <w:numId w:val="3"/>
        </w:numPr>
        <w:rPr>
          <w:rFonts w:ascii="Arial" w:cs="Arial" w:eastAsia="Arial" w:hAnsi="Arial"/>
          <w:sz w:val="14"/>
          <w:szCs w:val="14"/>
          <w:b w:val="1"/>
          <w:bCs w:val="1"/>
          <w:color w:val="auto"/>
        </w:rPr>
      </w:pPr>
      <w:r>
        <w:rPr>
          <w:rFonts w:ascii="Arial" w:cs="Arial" w:eastAsia="Arial" w:hAnsi="Arial"/>
          <w:sz w:val="14"/>
          <w:szCs w:val="14"/>
          <w:b w:val="1"/>
          <w:bCs w:val="1"/>
          <w:color w:val="auto"/>
        </w:rPr>
        <w:t>TRANSITION REPORT PURSUANT TO SECTION 13 OR 15(d)</w:t>
      </w:r>
    </w:p>
    <w:p>
      <w:pPr>
        <w:spacing w:after="0" w:line="1" w:lineRule="exact"/>
        <w:rPr>
          <w:rFonts w:ascii="Arial" w:cs="Arial" w:eastAsia="Arial" w:hAnsi="Arial"/>
          <w:sz w:val="14"/>
          <w:szCs w:val="14"/>
          <w:b w:val="1"/>
          <w:bCs w:val="1"/>
          <w:color w:val="auto"/>
        </w:rPr>
      </w:pPr>
    </w:p>
    <w:p>
      <w:pPr>
        <w:ind w:left="3000"/>
        <w:spacing w:after="0" w:line="221" w:lineRule="auto"/>
        <w:rPr>
          <w:rFonts w:ascii="Arial" w:cs="Arial" w:eastAsia="Arial" w:hAnsi="Arial"/>
          <w:sz w:val="14"/>
          <w:szCs w:val="14"/>
          <w:b w:val="1"/>
          <w:bCs w:val="1"/>
          <w:color w:val="auto"/>
        </w:rPr>
      </w:pPr>
      <w:r>
        <w:rPr>
          <w:rFonts w:ascii="Arial" w:cs="Arial" w:eastAsia="Arial" w:hAnsi="Arial"/>
          <w:sz w:val="14"/>
          <w:szCs w:val="14"/>
          <w:b w:val="1"/>
          <w:bCs w:val="1"/>
          <w:color w:val="auto"/>
        </w:rPr>
        <w:t>OF THE SECURITIES EXCHANGE ACT OF 1934</w:t>
      </w:r>
    </w:p>
    <w:p>
      <w:pPr>
        <w:ind w:left="2720"/>
        <w:spacing w:after="0"/>
        <w:tabs>
          <w:tab w:leader="none" w:pos="5320" w:val="left"/>
        </w:tabs>
        <w:rPr>
          <w:sz w:val="20"/>
          <w:szCs w:val="20"/>
          <w:color w:val="auto"/>
        </w:rPr>
      </w:pPr>
      <w:r>
        <w:rPr>
          <w:rFonts w:ascii="Arial" w:cs="Arial" w:eastAsia="Arial" w:hAnsi="Arial"/>
          <w:sz w:val="14"/>
          <w:szCs w:val="14"/>
          <w:b w:val="1"/>
          <w:bCs w:val="1"/>
          <w:color w:val="auto"/>
        </w:rPr>
        <w:t>For the transition period from</w:t>
      </w:r>
      <w:r>
        <w:rPr>
          <w:sz w:val="20"/>
          <w:szCs w:val="20"/>
          <w:color w:val="auto"/>
        </w:rPr>
        <w:tab/>
      </w:r>
      <w:r>
        <w:rPr>
          <w:rFonts w:ascii="Arial" w:cs="Arial" w:eastAsia="Arial" w:hAnsi="Arial"/>
          <w:sz w:val="12"/>
          <w:szCs w:val="12"/>
          <w:b w:val="1"/>
          <w:bCs w:val="1"/>
          <w:color w:val="auto"/>
        </w:rPr>
        <w:t>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2859405</wp:posOffset>
            </wp:positionH>
            <wp:positionV relativeFrom="paragraph">
              <wp:posOffset>-8255</wp:posOffset>
            </wp:positionV>
            <wp:extent cx="1143635" cy="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1143635" cy="8890"/>
                    </a:xfrm>
                    <a:prstGeom prst="rect">
                      <a:avLst/>
                    </a:prstGeom>
                    <a:noFill/>
                  </pic:spPr>
                </pic:pic>
              </a:graphicData>
            </a:graphic>
          </wp:anchor>
        </w:drawing>
      </w:r>
    </w:p>
    <w:p>
      <w:pPr>
        <w:jc w:val="center"/>
        <w:spacing w:after="0" w:line="222" w:lineRule="auto"/>
        <w:rPr>
          <w:sz w:val="20"/>
          <w:szCs w:val="20"/>
          <w:color w:val="auto"/>
        </w:rPr>
      </w:pPr>
      <w:r>
        <w:rPr>
          <w:rFonts w:ascii="Arial" w:cs="Arial" w:eastAsia="Arial" w:hAnsi="Arial"/>
          <w:sz w:val="14"/>
          <w:szCs w:val="14"/>
          <w:b w:val="1"/>
          <w:bCs w:val="1"/>
          <w:color w:val="auto"/>
        </w:rPr>
        <w:t>OR</w:t>
      </w:r>
    </w:p>
    <w:p>
      <w:pPr>
        <w:jc w:val="center"/>
        <w:spacing w:after="0"/>
        <w:tabs>
          <w:tab w:leader="none" w:pos="120" w:val="left"/>
        </w:tabs>
        <w:rPr>
          <w:sz w:val="20"/>
          <w:szCs w:val="20"/>
          <w:color w:val="auto"/>
        </w:rPr>
      </w:pPr>
      <w:r>
        <w:rPr>
          <w:rFonts w:ascii="Arial" w:cs="Arial" w:eastAsia="Arial" w:hAnsi="Arial"/>
          <w:sz w:val="14"/>
          <w:szCs w:val="14"/>
          <w:b w:val="1"/>
          <w:bCs w:val="1"/>
          <w:color w:val="auto"/>
        </w:rPr>
        <w:t>o</w:t>
      </w:r>
      <w:r>
        <w:rPr>
          <w:sz w:val="20"/>
          <w:szCs w:val="20"/>
          <w:color w:val="auto"/>
        </w:rPr>
        <w:tab/>
      </w:r>
      <w:r>
        <w:rPr>
          <w:rFonts w:ascii="Arial" w:cs="Arial" w:eastAsia="Arial" w:hAnsi="Arial"/>
          <w:sz w:val="12"/>
          <w:szCs w:val="12"/>
          <w:b w:val="1"/>
          <w:bCs w:val="1"/>
          <w:color w:val="auto"/>
        </w:rPr>
        <w:t>SHELL COMPANY REPORT PURSUANT TO SECTION 13 OR 15(d)</w:t>
      </w:r>
    </w:p>
    <w:p>
      <w:pPr>
        <w:ind w:left="3000"/>
        <w:spacing w:after="0" w:line="222" w:lineRule="auto"/>
        <w:rPr>
          <w:sz w:val="20"/>
          <w:szCs w:val="20"/>
          <w:color w:val="auto"/>
        </w:rPr>
      </w:pPr>
      <w:r>
        <w:rPr>
          <w:rFonts w:ascii="Arial" w:cs="Arial" w:eastAsia="Arial" w:hAnsi="Arial"/>
          <w:sz w:val="14"/>
          <w:szCs w:val="14"/>
          <w:b w:val="1"/>
          <w:bCs w:val="1"/>
          <w:color w:val="auto"/>
        </w:rPr>
        <w:t>OF THE SECURITIES EXCHANGE ACT OF 1934</w:t>
      </w:r>
    </w:p>
    <w:p>
      <w:pPr>
        <w:ind w:left="2700"/>
        <w:spacing w:after="0"/>
        <w:rPr>
          <w:sz w:val="20"/>
          <w:szCs w:val="20"/>
          <w:color w:val="auto"/>
        </w:rPr>
      </w:pPr>
      <w:r>
        <w:rPr>
          <w:rFonts w:ascii="Arial" w:cs="Arial" w:eastAsia="Arial" w:hAnsi="Arial"/>
          <w:sz w:val="14"/>
          <w:szCs w:val="14"/>
          <w:b w:val="1"/>
          <w:bCs w:val="1"/>
          <w:color w:val="auto"/>
        </w:rPr>
        <w:t>Date of event requiring this shell company report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3509010</wp:posOffset>
            </wp:positionH>
            <wp:positionV relativeFrom="paragraph">
              <wp:posOffset>-16510</wp:posOffset>
            </wp:positionV>
            <wp:extent cx="514350" cy="88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514350" cy="8890"/>
                    </a:xfrm>
                    <a:prstGeom prst="rect">
                      <a:avLst/>
                    </a:prstGeom>
                    <a:noFill/>
                  </pic:spPr>
                </pic:pic>
              </a:graphicData>
            </a:graphic>
          </wp:anchor>
        </w:drawing>
      </w:r>
    </w:p>
    <w:p>
      <w:pPr>
        <w:sectPr>
          <w:pgSz w:w="11900" w:h="16911" w:orient="portrait"/>
          <w:cols w:equalWidth="0" w:num="1">
            <w:col w:w="9019"/>
          </w:cols>
          <w:pgMar w:left="1440" w:top="1440" w:right="1440" w:bottom="0" w:gutter="0" w:footer="0" w:header="0"/>
        </w:sectPr>
      </w:pPr>
    </w:p>
    <w:bookmarkStart w:id="40" w:name="page41"/>
    <w:bookmarkEnd w:id="40"/>
    <w:p>
      <w:pPr>
        <w:jc w:val="center"/>
        <w:ind w:right="-19"/>
        <w:spacing w:after="0"/>
        <w:rPr>
          <w:sz w:val="20"/>
          <w:szCs w:val="20"/>
          <w:color w:val="auto"/>
        </w:rPr>
      </w:pPr>
      <w:r>
        <w:rPr>
          <w:rFonts w:ascii="Arial" w:cs="Arial" w:eastAsia="Arial" w:hAnsi="Arial"/>
          <w:sz w:val="14"/>
          <w:szCs w:val="14"/>
          <w:b w:val="1"/>
          <w:bCs w:val="1"/>
          <w:color w:val="auto"/>
        </w:rPr>
        <w:t>Commission file number: 1-13422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2715260</wp:posOffset>
            </wp:positionH>
            <wp:positionV relativeFrom="paragraph">
              <wp:posOffset>137160</wp:posOffset>
            </wp:positionV>
            <wp:extent cx="1826895" cy="88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jc w:val="center"/>
        <w:ind w:right="-19"/>
        <w:spacing w:after="0"/>
        <w:rPr>
          <w:sz w:val="20"/>
          <w:szCs w:val="20"/>
          <w:color w:val="auto"/>
        </w:rPr>
      </w:pPr>
      <w:r>
        <w:rPr>
          <w:rFonts w:ascii="Arial" w:cs="Arial" w:eastAsia="Arial" w:hAnsi="Arial"/>
          <w:sz w:val="32"/>
          <w:szCs w:val="32"/>
          <w:b w:val="1"/>
          <w:bCs w:val="1"/>
          <w:color w:val="auto"/>
        </w:rPr>
        <w:t>AGNICO-EAGLE MINES LIMITED</w:t>
      </w:r>
    </w:p>
    <w:p>
      <w:pPr>
        <w:spacing w:after="0" w:line="38" w:lineRule="exact"/>
        <w:rPr>
          <w:sz w:val="20"/>
          <w:szCs w:val="20"/>
          <w:color w:val="auto"/>
        </w:rPr>
      </w:pPr>
    </w:p>
    <w:p>
      <w:pPr>
        <w:jc w:val="center"/>
        <w:ind w:right="-19"/>
        <w:spacing w:after="0"/>
        <w:rPr>
          <w:sz w:val="20"/>
          <w:szCs w:val="20"/>
          <w:color w:val="auto"/>
        </w:rPr>
      </w:pPr>
      <w:r>
        <w:rPr>
          <w:rFonts w:ascii="Arial" w:cs="Arial" w:eastAsia="Arial" w:hAnsi="Arial"/>
          <w:sz w:val="14"/>
          <w:szCs w:val="14"/>
          <w:i w:val="1"/>
          <w:iCs w:val="1"/>
          <w:color w:val="auto"/>
        </w:rPr>
        <w:t>(Exact name of Registrants Specified in its Charter)</w:t>
      </w:r>
    </w:p>
    <w:p>
      <w:pPr>
        <w:spacing w:after="0" w:line="190" w:lineRule="exact"/>
        <w:rPr>
          <w:sz w:val="20"/>
          <w:szCs w:val="20"/>
          <w:color w:val="auto"/>
        </w:rPr>
      </w:pPr>
    </w:p>
    <w:p>
      <w:pPr>
        <w:jc w:val="center"/>
        <w:ind w:right="-19"/>
        <w:spacing w:after="0"/>
        <w:rPr>
          <w:sz w:val="20"/>
          <w:szCs w:val="20"/>
          <w:color w:val="auto"/>
        </w:rPr>
      </w:pPr>
      <w:r>
        <w:rPr>
          <w:rFonts w:ascii="Arial" w:cs="Arial" w:eastAsia="Arial" w:hAnsi="Arial"/>
          <w:sz w:val="14"/>
          <w:szCs w:val="14"/>
          <w:b w:val="1"/>
          <w:bCs w:val="1"/>
          <w:color w:val="auto"/>
        </w:rPr>
        <w:t>Not Applicable</w:t>
      </w:r>
    </w:p>
    <w:p>
      <w:pPr>
        <w:spacing w:after="0" w:line="1" w:lineRule="exact"/>
        <w:rPr>
          <w:sz w:val="20"/>
          <w:szCs w:val="20"/>
          <w:color w:val="auto"/>
        </w:rPr>
      </w:pPr>
    </w:p>
    <w:p>
      <w:pPr>
        <w:jc w:val="center"/>
        <w:ind w:right="-19"/>
        <w:spacing w:after="0"/>
        <w:rPr>
          <w:sz w:val="20"/>
          <w:szCs w:val="20"/>
          <w:color w:val="auto"/>
        </w:rPr>
      </w:pPr>
      <w:r>
        <w:rPr>
          <w:rFonts w:ascii="Arial" w:cs="Arial" w:eastAsia="Arial" w:hAnsi="Arial"/>
          <w:sz w:val="14"/>
          <w:szCs w:val="14"/>
          <w:i w:val="1"/>
          <w:iCs w:val="1"/>
          <w:color w:val="auto"/>
        </w:rPr>
        <w:t>(Translation of Registrant's Name into English)</w:t>
      </w:r>
    </w:p>
    <w:p>
      <w:pPr>
        <w:spacing w:after="0" w:line="190" w:lineRule="exact"/>
        <w:rPr>
          <w:sz w:val="20"/>
          <w:szCs w:val="20"/>
          <w:color w:val="auto"/>
        </w:rPr>
      </w:pPr>
    </w:p>
    <w:p>
      <w:pPr>
        <w:jc w:val="center"/>
        <w:ind w:right="-19"/>
        <w:spacing w:after="0"/>
        <w:rPr>
          <w:sz w:val="20"/>
          <w:szCs w:val="20"/>
          <w:color w:val="auto"/>
        </w:rPr>
      </w:pPr>
      <w:r>
        <w:rPr>
          <w:rFonts w:ascii="Arial" w:cs="Arial" w:eastAsia="Arial" w:hAnsi="Arial"/>
          <w:sz w:val="14"/>
          <w:szCs w:val="14"/>
          <w:b w:val="1"/>
          <w:bCs w:val="1"/>
          <w:color w:val="auto"/>
        </w:rPr>
        <w:t>Ontario, Canada</w:t>
      </w:r>
    </w:p>
    <w:p>
      <w:pPr>
        <w:spacing w:after="0" w:line="1" w:lineRule="exact"/>
        <w:rPr>
          <w:sz w:val="20"/>
          <w:szCs w:val="20"/>
          <w:color w:val="auto"/>
        </w:rPr>
      </w:pPr>
    </w:p>
    <w:p>
      <w:pPr>
        <w:jc w:val="center"/>
        <w:ind w:right="-19"/>
        <w:spacing w:after="0"/>
        <w:rPr>
          <w:sz w:val="20"/>
          <w:szCs w:val="20"/>
          <w:color w:val="auto"/>
        </w:rPr>
      </w:pPr>
      <w:r>
        <w:rPr>
          <w:rFonts w:ascii="Arial" w:cs="Arial" w:eastAsia="Arial" w:hAnsi="Arial"/>
          <w:sz w:val="14"/>
          <w:szCs w:val="14"/>
          <w:i w:val="1"/>
          <w:iCs w:val="1"/>
          <w:color w:val="auto"/>
        </w:rPr>
        <w:t>(Jurisdiction of Incorporation or Organization)</w:t>
      </w:r>
    </w:p>
    <w:p>
      <w:pPr>
        <w:spacing w:after="0" w:line="190" w:lineRule="exact"/>
        <w:rPr>
          <w:sz w:val="20"/>
          <w:szCs w:val="20"/>
          <w:color w:val="auto"/>
        </w:rPr>
      </w:pPr>
    </w:p>
    <w:p>
      <w:pPr>
        <w:jc w:val="center"/>
        <w:ind w:right="-19"/>
        <w:spacing w:after="0"/>
        <w:rPr>
          <w:sz w:val="20"/>
          <w:szCs w:val="20"/>
          <w:color w:val="auto"/>
        </w:rPr>
      </w:pPr>
      <w:r>
        <w:rPr>
          <w:rFonts w:ascii="Arial" w:cs="Arial" w:eastAsia="Arial" w:hAnsi="Arial"/>
          <w:sz w:val="14"/>
          <w:szCs w:val="14"/>
          <w:b w:val="1"/>
          <w:bCs w:val="1"/>
          <w:color w:val="auto"/>
        </w:rPr>
        <w:t>145 King Street East, Suite 400</w:t>
      </w:r>
    </w:p>
    <w:p>
      <w:pPr>
        <w:jc w:val="center"/>
        <w:ind w:right="-19"/>
        <w:spacing w:after="0" w:line="223" w:lineRule="auto"/>
        <w:rPr>
          <w:sz w:val="20"/>
          <w:szCs w:val="20"/>
          <w:color w:val="auto"/>
        </w:rPr>
      </w:pPr>
      <w:r>
        <w:rPr>
          <w:rFonts w:ascii="Arial" w:cs="Arial" w:eastAsia="Arial" w:hAnsi="Arial"/>
          <w:sz w:val="14"/>
          <w:szCs w:val="14"/>
          <w:b w:val="1"/>
          <w:bCs w:val="1"/>
          <w:color w:val="auto"/>
        </w:rPr>
        <w:t>Toronto, Ontario, Canada M5C 2Y7</w:t>
      </w:r>
    </w:p>
    <w:p>
      <w:pPr>
        <w:jc w:val="center"/>
        <w:ind w:right="-19"/>
        <w:spacing w:after="0"/>
        <w:rPr>
          <w:sz w:val="20"/>
          <w:szCs w:val="20"/>
          <w:color w:val="auto"/>
        </w:rPr>
      </w:pPr>
      <w:r>
        <w:rPr>
          <w:rFonts w:ascii="Arial" w:cs="Arial" w:eastAsia="Arial" w:hAnsi="Arial"/>
          <w:sz w:val="14"/>
          <w:szCs w:val="14"/>
          <w:i w:val="1"/>
          <w:iCs w:val="1"/>
          <w:color w:val="auto"/>
        </w:rPr>
        <w:t>(Address of Principal Executive Offices)</w:t>
      </w:r>
    </w:p>
    <w:p>
      <w:pPr>
        <w:spacing w:after="0" w:line="190" w:lineRule="exact"/>
        <w:rPr>
          <w:sz w:val="20"/>
          <w:szCs w:val="20"/>
          <w:color w:val="auto"/>
        </w:rPr>
      </w:pPr>
    </w:p>
    <w:p>
      <w:pPr>
        <w:jc w:val="center"/>
        <w:ind w:right="-19"/>
        <w:spacing w:after="0"/>
        <w:rPr>
          <w:sz w:val="20"/>
          <w:szCs w:val="20"/>
          <w:color w:val="auto"/>
        </w:rPr>
      </w:pPr>
      <w:r>
        <w:rPr>
          <w:rFonts w:ascii="Arial" w:cs="Arial" w:eastAsia="Arial" w:hAnsi="Arial"/>
          <w:sz w:val="14"/>
          <w:szCs w:val="14"/>
          <w:b w:val="1"/>
          <w:bCs w:val="1"/>
          <w:color w:val="auto"/>
        </w:rPr>
        <w:t>R. Gregory Laing</w:t>
      </w:r>
    </w:p>
    <w:p>
      <w:pPr>
        <w:jc w:val="center"/>
        <w:ind w:right="-19"/>
        <w:spacing w:after="0" w:line="223" w:lineRule="auto"/>
        <w:rPr>
          <w:sz w:val="20"/>
          <w:szCs w:val="20"/>
          <w:color w:val="auto"/>
        </w:rPr>
      </w:pPr>
      <w:r>
        <w:rPr>
          <w:rFonts w:ascii="Arial" w:cs="Arial" w:eastAsia="Arial" w:hAnsi="Arial"/>
          <w:sz w:val="14"/>
          <w:szCs w:val="14"/>
          <w:b w:val="1"/>
          <w:bCs w:val="1"/>
          <w:color w:val="auto"/>
        </w:rPr>
        <w:t>145 King Street East, Suite 400</w:t>
      </w:r>
    </w:p>
    <w:p>
      <w:pPr>
        <w:jc w:val="center"/>
        <w:ind w:right="-19"/>
        <w:spacing w:after="0" w:line="222" w:lineRule="auto"/>
        <w:rPr>
          <w:sz w:val="20"/>
          <w:szCs w:val="20"/>
          <w:color w:val="auto"/>
        </w:rPr>
      </w:pPr>
      <w:r>
        <w:rPr>
          <w:rFonts w:ascii="Arial" w:cs="Arial" w:eastAsia="Arial" w:hAnsi="Arial"/>
          <w:sz w:val="14"/>
          <w:szCs w:val="14"/>
          <w:b w:val="1"/>
          <w:bCs w:val="1"/>
          <w:color w:val="auto"/>
        </w:rPr>
        <w:t>Toronto, Ontario, Canada M5C 2Y7</w:t>
      </w:r>
    </w:p>
    <w:p>
      <w:pPr>
        <w:jc w:val="center"/>
        <w:ind w:right="-19"/>
        <w:spacing w:after="0" w:line="221" w:lineRule="auto"/>
        <w:rPr>
          <w:sz w:val="20"/>
          <w:szCs w:val="20"/>
          <w:color w:val="auto"/>
        </w:rPr>
      </w:pPr>
      <w:r>
        <w:rPr>
          <w:rFonts w:ascii="Arial" w:cs="Arial" w:eastAsia="Arial" w:hAnsi="Arial"/>
          <w:sz w:val="14"/>
          <w:szCs w:val="14"/>
          <w:b w:val="1"/>
          <w:bCs w:val="1"/>
          <w:color w:val="auto"/>
        </w:rPr>
        <w:t>Telephone: 416-947-1212 Fax: 416-367-4681</w:t>
      </w:r>
    </w:p>
    <w:p>
      <w:pPr>
        <w:jc w:val="center"/>
        <w:ind w:right="-19"/>
        <w:spacing w:after="0"/>
        <w:rPr>
          <w:sz w:val="20"/>
          <w:szCs w:val="20"/>
          <w:color w:val="auto"/>
        </w:rPr>
      </w:pPr>
      <w:r>
        <w:rPr>
          <w:rFonts w:ascii="Arial" w:cs="Arial" w:eastAsia="Arial" w:hAnsi="Arial"/>
          <w:sz w:val="12"/>
          <w:szCs w:val="12"/>
          <w:i w:val="1"/>
          <w:iCs w:val="1"/>
          <w:color w:val="auto"/>
        </w:rPr>
        <w:t>(Name, Telephone, E-mail and/or Facsimile number and Address of Company Contact Person)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2715260</wp:posOffset>
            </wp:positionH>
            <wp:positionV relativeFrom="paragraph">
              <wp:posOffset>142875</wp:posOffset>
            </wp:positionV>
            <wp:extent cx="1826895" cy="88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jc w:val="center"/>
        <w:ind w:right="-19"/>
        <w:spacing w:after="0"/>
        <w:rPr>
          <w:sz w:val="20"/>
          <w:szCs w:val="20"/>
          <w:color w:val="auto"/>
        </w:rPr>
      </w:pPr>
      <w:r>
        <w:rPr>
          <w:rFonts w:ascii="Arial" w:cs="Arial" w:eastAsia="Arial" w:hAnsi="Arial"/>
          <w:sz w:val="14"/>
          <w:szCs w:val="14"/>
          <w:color w:val="auto"/>
        </w:rPr>
        <w:t>Securities registered or to be registered pursuant to Section 12(b) of the Act:</w:t>
      </w:r>
    </w:p>
    <w:p>
      <w:pPr>
        <w:sectPr>
          <w:pgSz w:w="11900" w:h="16838" w:orient="portrait"/>
          <w:cols w:equalWidth="0" w:num="1">
            <w:col w:w="11420"/>
          </w:cols>
          <w:pgMar w:left="240" w:top="127" w:right="239" w:bottom="1440" w:gutter="0" w:footer="0" w:header="0"/>
        </w:sectPr>
      </w:pPr>
    </w:p>
    <w:p>
      <w:pPr>
        <w:spacing w:after="0" w:line="202" w:lineRule="exact"/>
        <w:rPr>
          <w:sz w:val="20"/>
          <w:szCs w:val="20"/>
          <w:color w:val="auto"/>
        </w:rPr>
      </w:pPr>
    </w:p>
    <w:p>
      <w:pPr>
        <w:jc w:val="center"/>
        <w:ind w:left="400"/>
        <w:spacing w:after="0"/>
        <w:rPr>
          <w:sz w:val="20"/>
          <w:szCs w:val="20"/>
          <w:color w:val="auto"/>
        </w:rPr>
      </w:pPr>
      <w:r>
        <w:rPr>
          <w:rFonts w:ascii="Arial" w:cs="Arial" w:eastAsia="Arial" w:hAnsi="Arial"/>
          <w:sz w:val="12"/>
          <w:szCs w:val="12"/>
          <w:b w:val="1"/>
          <w:bCs w:val="1"/>
          <w:color w:val="auto"/>
        </w:rPr>
        <w:t>Common Shares, without par value</w:t>
      </w:r>
    </w:p>
    <w:p>
      <w:pPr>
        <w:spacing w:after="0" w:line="24" w:lineRule="exact"/>
        <w:rPr>
          <w:sz w:val="20"/>
          <w:szCs w:val="20"/>
          <w:color w:val="auto"/>
        </w:rPr>
      </w:pPr>
    </w:p>
    <w:p>
      <w:pPr>
        <w:jc w:val="center"/>
        <w:ind w:left="400"/>
        <w:spacing w:after="0"/>
        <w:rPr>
          <w:sz w:val="20"/>
          <w:szCs w:val="20"/>
          <w:color w:val="auto"/>
        </w:rPr>
      </w:pPr>
      <w:r>
        <w:rPr>
          <w:rFonts w:ascii="Arial" w:cs="Arial" w:eastAsia="Arial" w:hAnsi="Arial"/>
          <w:sz w:val="14"/>
          <w:szCs w:val="14"/>
          <w:i w:val="1"/>
          <w:iCs w:val="1"/>
          <w:color w:val="auto"/>
        </w:rPr>
        <w:t>(Title of Class)</w:t>
      </w:r>
    </w:p>
    <w:p>
      <w:pPr>
        <w:spacing w:after="0" w:line="20" w:lineRule="exact"/>
        <w:rPr>
          <w:sz w:val="20"/>
          <w:szCs w:val="20"/>
          <w:color w:val="auto"/>
        </w:rPr>
      </w:pPr>
      <w:r>
        <w:rPr>
          <w:sz w:val="20"/>
          <w:szCs w:val="20"/>
          <w:color w:val="auto"/>
        </w:rPr>
        <w:br w:type="column"/>
      </w:r>
    </w:p>
    <w:p>
      <w:pPr>
        <w:spacing w:after="0" w:line="182" w:lineRule="exact"/>
        <w:rPr>
          <w:sz w:val="20"/>
          <w:szCs w:val="20"/>
          <w:color w:val="auto"/>
        </w:rPr>
      </w:pPr>
    </w:p>
    <w:p>
      <w:pPr>
        <w:ind w:left="140"/>
        <w:spacing w:after="0"/>
        <w:rPr>
          <w:sz w:val="20"/>
          <w:szCs w:val="20"/>
          <w:color w:val="auto"/>
        </w:rPr>
      </w:pPr>
      <w:r>
        <w:rPr>
          <w:rFonts w:ascii="Arial" w:cs="Arial" w:eastAsia="Arial" w:hAnsi="Arial"/>
          <w:sz w:val="12"/>
          <w:szCs w:val="12"/>
          <w:b w:val="1"/>
          <w:bCs w:val="1"/>
          <w:color w:val="auto"/>
        </w:rPr>
        <w:t>The Toronto Stock Exchange and</w:t>
      </w:r>
    </w:p>
    <w:p>
      <w:pPr>
        <w:spacing w:after="0" w:line="25" w:lineRule="exact"/>
        <w:rPr>
          <w:sz w:val="20"/>
          <w:szCs w:val="20"/>
          <w:color w:val="auto"/>
        </w:rPr>
      </w:pPr>
    </w:p>
    <w:p>
      <w:pPr>
        <w:ind w:left="220"/>
        <w:spacing w:after="0"/>
        <w:rPr>
          <w:sz w:val="20"/>
          <w:szCs w:val="20"/>
          <w:color w:val="auto"/>
        </w:rPr>
      </w:pPr>
      <w:r>
        <w:rPr>
          <w:rFonts w:ascii="Arial" w:cs="Arial" w:eastAsia="Arial" w:hAnsi="Arial"/>
          <w:sz w:val="12"/>
          <w:szCs w:val="12"/>
          <w:b w:val="1"/>
          <w:bCs w:val="1"/>
          <w:color w:val="auto"/>
        </w:rPr>
        <w:t>the New York Stock Exchange</w:t>
      </w:r>
    </w:p>
    <w:p>
      <w:pPr>
        <w:spacing w:after="0" w:line="11" w:lineRule="exact"/>
        <w:rPr>
          <w:sz w:val="20"/>
          <w:szCs w:val="20"/>
          <w:color w:val="auto"/>
        </w:rPr>
      </w:pPr>
    </w:p>
    <w:p>
      <w:pPr>
        <w:spacing w:after="0"/>
        <w:rPr>
          <w:sz w:val="20"/>
          <w:szCs w:val="20"/>
          <w:color w:val="auto"/>
        </w:rPr>
      </w:pPr>
      <w:r>
        <w:rPr>
          <w:rFonts w:ascii="Arial" w:cs="Arial" w:eastAsia="Arial" w:hAnsi="Arial"/>
          <w:sz w:val="12"/>
          <w:szCs w:val="12"/>
          <w:i w:val="1"/>
          <w:iCs w:val="1"/>
          <w:color w:val="auto"/>
        </w:rPr>
        <w:t>(Name of exchange on which registered)</w:t>
      </w:r>
    </w:p>
    <w:p>
      <w:pPr>
        <w:spacing w:after="0" w:line="200" w:lineRule="exact"/>
        <w:rPr>
          <w:sz w:val="20"/>
          <w:szCs w:val="20"/>
          <w:color w:val="auto"/>
        </w:rPr>
      </w:pPr>
    </w:p>
    <w:p>
      <w:pPr>
        <w:sectPr>
          <w:pgSz w:w="11900" w:h="16838" w:orient="portrait"/>
          <w:cols w:equalWidth="0" w:num="2">
            <w:col w:w="6280" w:space="720"/>
            <w:col w:w="4420"/>
          </w:cols>
          <w:pgMar w:left="240" w:top="127" w:right="239" w:bottom="1440" w:gutter="0" w:footer="0" w:header="0"/>
          <w:type w:val="continuous"/>
        </w:sectPr>
      </w:pPr>
    </w:p>
    <w:p>
      <w:pPr>
        <w:spacing w:after="0" w:line="14"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Securities registered or to be registered pursuant to Section 12(g) of the Act:</w:t>
      </w:r>
    </w:p>
    <w:p>
      <w:pPr>
        <w:jc w:val="center"/>
        <w:spacing w:after="0"/>
        <w:rPr>
          <w:sz w:val="20"/>
          <w:szCs w:val="20"/>
          <w:color w:val="auto"/>
        </w:rPr>
      </w:pPr>
      <w:r>
        <w:rPr>
          <w:rFonts w:ascii="Arial" w:cs="Arial" w:eastAsia="Arial" w:hAnsi="Arial"/>
          <w:sz w:val="14"/>
          <w:szCs w:val="14"/>
          <w:b w:val="1"/>
          <w:bCs w:val="1"/>
          <w:color w:val="auto"/>
        </w:rPr>
        <w:t>None</w:t>
      </w:r>
    </w:p>
    <w:p>
      <w:pPr>
        <w:spacing w:after="0" w:line="191" w:lineRule="exact"/>
        <w:rPr>
          <w:sz w:val="20"/>
          <w:szCs w:val="20"/>
          <w:color w:val="auto"/>
        </w:rPr>
      </w:pPr>
    </w:p>
    <w:p>
      <w:pPr>
        <w:jc w:val="center"/>
        <w:spacing w:after="0"/>
        <w:rPr>
          <w:sz w:val="20"/>
          <w:szCs w:val="20"/>
          <w:color w:val="auto"/>
        </w:rPr>
      </w:pPr>
      <w:r>
        <w:rPr>
          <w:rFonts w:ascii="Arial" w:cs="Arial" w:eastAsia="Arial" w:hAnsi="Arial"/>
          <w:sz w:val="14"/>
          <w:szCs w:val="14"/>
          <w:color w:val="auto"/>
        </w:rPr>
        <w:t>Securities for which there is a reporting obligation pursuant to Section 15(d) of the Act:</w:t>
      </w:r>
    </w:p>
    <w:p>
      <w:pPr>
        <w:jc w:val="center"/>
        <w:spacing w:after="0" w:line="221" w:lineRule="auto"/>
        <w:rPr>
          <w:sz w:val="20"/>
          <w:szCs w:val="20"/>
          <w:color w:val="auto"/>
        </w:rPr>
      </w:pPr>
      <w:r>
        <w:rPr>
          <w:rFonts w:ascii="Arial" w:cs="Arial" w:eastAsia="Arial" w:hAnsi="Arial"/>
          <w:sz w:val="14"/>
          <w:szCs w:val="14"/>
          <w:b w:val="1"/>
          <w:bCs w:val="1"/>
          <w:color w:val="auto"/>
        </w:rPr>
        <w:t>None</w:t>
      </w:r>
    </w:p>
    <w:p>
      <w:pPr>
        <w:jc w:val="center"/>
        <w:spacing w:after="0"/>
        <w:rPr>
          <w:sz w:val="20"/>
          <w:szCs w:val="20"/>
          <w:color w:val="auto"/>
        </w:rPr>
      </w:pPr>
      <w:r>
        <w:rPr>
          <w:rFonts w:ascii="Arial" w:cs="Arial" w:eastAsia="Arial" w:hAnsi="Arial"/>
          <w:sz w:val="14"/>
          <w:szCs w:val="14"/>
          <w:i w:val="1"/>
          <w:iCs w:val="1"/>
          <w:color w:val="auto"/>
        </w:rPr>
        <w:t>(Title of Class)</w:t>
      </w:r>
    </w:p>
    <w:p>
      <w:pPr>
        <w:spacing w:after="0" w:line="192" w:lineRule="exact"/>
        <w:rPr>
          <w:sz w:val="20"/>
          <w:szCs w:val="20"/>
          <w:color w:val="auto"/>
        </w:rPr>
      </w:pPr>
    </w:p>
    <w:p>
      <w:pPr>
        <w:ind w:left="380"/>
        <w:spacing w:after="0"/>
        <w:rPr>
          <w:sz w:val="20"/>
          <w:szCs w:val="20"/>
          <w:color w:val="auto"/>
        </w:rPr>
      </w:pPr>
      <w:r>
        <w:rPr>
          <w:rFonts w:ascii="Arial" w:cs="Arial" w:eastAsia="Arial" w:hAnsi="Arial"/>
          <w:sz w:val="14"/>
          <w:szCs w:val="14"/>
          <w:color w:val="auto"/>
        </w:rPr>
        <w:t>Indicate the number of outstanding shares of each of the issuer's classes of capital or common stock as of the close of the period covered by the annual report.</w:t>
      </w:r>
    </w:p>
    <w:p>
      <w:pPr>
        <w:spacing w:after="0" w:line="204" w:lineRule="exact"/>
        <w:rPr>
          <w:sz w:val="20"/>
          <w:szCs w:val="20"/>
          <w:color w:val="auto"/>
        </w:rPr>
      </w:pPr>
    </w:p>
    <w:p>
      <w:pPr>
        <w:ind w:left="4220"/>
        <w:spacing w:after="0"/>
        <w:rPr>
          <w:sz w:val="20"/>
          <w:szCs w:val="20"/>
          <w:color w:val="auto"/>
        </w:rPr>
      </w:pPr>
      <w:r>
        <w:rPr>
          <w:rFonts w:ascii="Arial" w:cs="Arial" w:eastAsia="Arial" w:hAnsi="Arial"/>
          <w:sz w:val="14"/>
          <w:szCs w:val="14"/>
          <w:color w:val="auto"/>
        </w:rPr>
        <w:t>156,625,174 Common Shares as of December 31, 2009</w:t>
      </w:r>
    </w:p>
    <w:p>
      <w:pPr>
        <w:spacing w:after="0" w:line="204" w:lineRule="exact"/>
        <w:rPr>
          <w:sz w:val="20"/>
          <w:szCs w:val="20"/>
          <w:color w:val="auto"/>
        </w:rPr>
      </w:pPr>
    </w:p>
    <w:p>
      <w:pPr>
        <w:ind w:left="380"/>
        <w:spacing w:after="0"/>
        <w:rPr>
          <w:sz w:val="20"/>
          <w:szCs w:val="20"/>
          <w:color w:val="auto"/>
        </w:rPr>
      </w:pPr>
      <w:r>
        <w:rPr>
          <w:rFonts w:ascii="Arial" w:cs="Arial" w:eastAsia="Arial" w:hAnsi="Arial"/>
          <w:sz w:val="14"/>
          <w:szCs w:val="14"/>
          <w:color w:val="auto"/>
        </w:rPr>
        <w:t>Indicate by check mark if the registrant is a well-known seasoned issuer, as defined in Rule 405 of the Securities Act.</w:t>
      </w:r>
    </w:p>
    <w:p>
      <w:pPr>
        <w:spacing w:after="0" w:line="179" w:lineRule="exact"/>
        <w:rPr>
          <w:sz w:val="20"/>
          <w:szCs w:val="20"/>
          <w:color w:val="auto"/>
        </w:rPr>
      </w:pPr>
    </w:p>
    <w:p>
      <w:pPr>
        <w:ind w:left="5040"/>
        <w:spacing w:after="0" w:line="161" w:lineRule="exact"/>
        <w:tabs>
          <w:tab w:leader="none" w:pos="5340" w:val="left"/>
          <w:tab w:leader="none" w:pos="5880" w:val="left"/>
          <w:tab w:leader="none" w:pos="6300" w:val="left"/>
        </w:tabs>
        <w:rPr>
          <w:sz w:val="20"/>
          <w:szCs w:val="20"/>
          <w:color w:val="auto"/>
        </w:rPr>
      </w:pPr>
      <w:r>
        <w:rPr>
          <w:rFonts w:ascii="Arial" w:cs="Arial" w:eastAsia="Arial" w:hAnsi="Arial"/>
          <w:sz w:val="14"/>
          <w:szCs w:val="14"/>
          <w:color w:val="auto"/>
        </w:rPr>
        <w:t>Yes</w:t>
      </w:r>
      <w:r>
        <w:rPr>
          <w:sz w:val="20"/>
          <w:szCs w:val="20"/>
          <w:color w:val="auto"/>
        </w:rPr>
        <w:tab/>
      </w:r>
      <w:r>
        <w:rPr>
          <w:rFonts w:ascii="MS PGothic" w:cs="MS PGothic" w:eastAsia="MS PGothic" w:hAnsi="MS PGothic"/>
          <w:sz w:val="14"/>
          <w:szCs w:val="14"/>
          <w:color w:val="auto"/>
        </w:rPr>
        <w:t>☒</w:t>
      </w:r>
      <w:r>
        <w:rPr>
          <w:sz w:val="20"/>
          <w:szCs w:val="20"/>
          <w:color w:val="auto"/>
        </w:rPr>
        <w:tab/>
      </w:r>
      <w:r>
        <w:rPr>
          <w:rFonts w:ascii="Arial" w:cs="Arial" w:eastAsia="Arial" w:hAnsi="Arial"/>
          <w:sz w:val="14"/>
          <w:szCs w:val="14"/>
          <w:color w:val="auto"/>
        </w:rPr>
        <w:t>No</w:t>
      </w:r>
      <w:r>
        <w:rPr>
          <w:sz w:val="20"/>
          <w:szCs w:val="20"/>
          <w:color w:val="auto"/>
        </w:rPr>
        <w:tab/>
      </w:r>
      <w:r>
        <w:rPr>
          <w:rFonts w:ascii="Arial" w:cs="Arial" w:eastAsia="Arial" w:hAnsi="Arial"/>
          <w:sz w:val="14"/>
          <w:szCs w:val="14"/>
          <w:color w:val="auto"/>
        </w:rPr>
        <w:t>o</w:t>
      </w:r>
    </w:p>
    <w:p>
      <w:pPr>
        <w:spacing w:after="0" w:line="229" w:lineRule="exact"/>
        <w:rPr>
          <w:sz w:val="20"/>
          <w:szCs w:val="20"/>
          <w:color w:val="auto"/>
        </w:rPr>
      </w:pPr>
    </w:p>
    <w:p>
      <w:pPr>
        <w:ind w:left="380"/>
        <w:spacing w:after="0"/>
        <w:rPr>
          <w:sz w:val="20"/>
          <w:szCs w:val="20"/>
          <w:color w:val="auto"/>
        </w:rPr>
      </w:pPr>
      <w:r>
        <w:rPr>
          <w:rFonts w:ascii="Arial" w:cs="Arial" w:eastAsia="Arial" w:hAnsi="Arial"/>
          <w:sz w:val="14"/>
          <w:szCs w:val="14"/>
          <w:color w:val="auto"/>
        </w:rPr>
        <w:t>If this report is an annual or transition report, indicate by check mark if the registrant is not required to file reports pursuant to Section 13 or 15(d) of the Securities Act.</w:t>
      </w:r>
    </w:p>
    <w:p>
      <w:pPr>
        <w:spacing w:after="0" w:line="179" w:lineRule="exact"/>
        <w:rPr>
          <w:sz w:val="20"/>
          <w:szCs w:val="20"/>
          <w:color w:val="auto"/>
        </w:rPr>
      </w:pPr>
    </w:p>
    <w:p>
      <w:pPr>
        <w:ind w:left="5100"/>
        <w:spacing w:after="0" w:line="161" w:lineRule="exact"/>
        <w:tabs>
          <w:tab w:leader="none" w:pos="5420" w:val="left"/>
          <w:tab w:leader="none" w:pos="5880" w:val="left"/>
          <w:tab w:leader="none" w:pos="6180" w:val="left"/>
        </w:tabs>
        <w:rPr>
          <w:sz w:val="20"/>
          <w:szCs w:val="20"/>
          <w:color w:val="auto"/>
        </w:rPr>
      </w:pPr>
      <w:r>
        <w:rPr>
          <w:rFonts w:ascii="Arial" w:cs="Arial" w:eastAsia="Arial" w:hAnsi="Arial"/>
          <w:sz w:val="14"/>
          <w:szCs w:val="14"/>
          <w:color w:val="auto"/>
        </w:rPr>
        <w:t>Yes</w:t>
        <w:tab/>
        <w:t>o</w:t>
      </w:r>
      <w:r>
        <w:rPr>
          <w:sz w:val="20"/>
          <w:szCs w:val="20"/>
          <w:color w:val="auto"/>
        </w:rPr>
        <w:tab/>
      </w:r>
      <w:r>
        <w:rPr>
          <w:rFonts w:ascii="Arial" w:cs="Arial" w:eastAsia="Arial" w:hAnsi="Arial"/>
          <w:sz w:val="14"/>
          <w:szCs w:val="14"/>
          <w:color w:val="auto"/>
        </w:rPr>
        <w:t>No</w:t>
      </w:r>
      <w:r>
        <w:rPr>
          <w:sz w:val="20"/>
          <w:szCs w:val="20"/>
          <w:color w:val="auto"/>
        </w:rPr>
        <w:tab/>
      </w:r>
      <w:r>
        <w:rPr>
          <w:rFonts w:ascii="MS PGothic" w:cs="MS PGothic" w:eastAsia="MS PGothic" w:hAnsi="MS PGothic"/>
          <w:sz w:val="12"/>
          <w:szCs w:val="12"/>
          <w:color w:val="auto"/>
        </w:rPr>
        <w:t>☒</w:t>
      </w:r>
    </w:p>
    <w:p>
      <w:pPr>
        <w:spacing w:after="0" w:line="229" w:lineRule="exact"/>
        <w:rPr>
          <w:sz w:val="20"/>
          <w:szCs w:val="20"/>
          <w:color w:val="auto"/>
        </w:rPr>
      </w:pPr>
    </w:p>
    <w:p>
      <w:pPr>
        <w:ind w:firstLine="371"/>
        <w:spacing w:after="0" w:line="239" w:lineRule="auto"/>
        <w:rPr>
          <w:sz w:val="20"/>
          <w:szCs w:val="20"/>
          <w:color w:val="auto"/>
        </w:rPr>
      </w:pPr>
      <w:r>
        <w:rPr>
          <w:rFonts w:ascii="Arial" w:cs="Arial" w:eastAsia="Arial" w:hAnsi="Arial"/>
          <w:sz w:val="14"/>
          <w:szCs w:val="14"/>
          <w:color w:val="auto"/>
        </w:rPr>
        <w:t>Indicate by check mark whether the registrant (1) has filed all reports required to be filed by Section 13 or 15(d) of the Securities Exchange Act of 1934 during the preceding 12 months (or for such shorter period that the registrant was required to file such reports) and (2) has been subject to such filing requirements for the past 90 days.</w:t>
      </w:r>
    </w:p>
    <w:p>
      <w:pPr>
        <w:spacing w:after="0" w:line="168" w:lineRule="exact"/>
        <w:rPr>
          <w:sz w:val="20"/>
          <w:szCs w:val="20"/>
          <w:color w:val="auto"/>
        </w:rPr>
      </w:pPr>
    </w:p>
    <w:p>
      <w:pPr>
        <w:ind w:left="5100"/>
        <w:spacing w:after="0" w:line="161" w:lineRule="exact"/>
        <w:tabs>
          <w:tab w:leader="none" w:pos="5420" w:val="left"/>
          <w:tab w:leader="none" w:pos="5940" w:val="left"/>
          <w:tab w:leader="none" w:pos="6240" w:val="left"/>
        </w:tabs>
        <w:rPr>
          <w:sz w:val="20"/>
          <w:szCs w:val="20"/>
          <w:color w:val="auto"/>
        </w:rPr>
      </w:pPr>
      <w:r>
        <w:rPr>
          <w:rFonts w:ascii="Arial" w:cs="Arial" w:eastAsia="Arial" w:hAnsi="Arial"/>
          <w:sz w:val="14"/>
          <w:szCs w:val="14"/>
          <w:color w:val="auto"/>
        </w:rPr>
        <w:t>Yes</w:t>
      </w:r>
      <w:r>
        <w:rPr>
          <w:sz w:val="20"/>
          <w:szCs w:val="20"/>
          <w:color w:val="auto"/>
        </w:rPr>
        <w:tab/>
      </w:r>
      <w:r>
        <w:rPr>
          <w:rFonts w:ascii="MS PGothic" w:cs="MS PGothic" w:eastAsia="MS PGothic" w:hAnsi="MS PGothic"/>
          <w:sz w:val="14"/>
          <w:szCs w:val="14"/>
          <w:color w:val="auto"/>
        </w:rPr>
        <w:t>☒</w:t>
      </w:r>
      <w:r>
        <w:rPr>
          <w:sz w:val="20"/>
          <w:szCs w:val="20"/>
          <w:color w:val="auto"/>
        </w:rPr>
        <w:tab/>
      </w:r>
      <w:r>
        <w:rPr>
          <w:rFonts w:ascii="Arial" w:cs="Arial" w:eastAsia="Arial" w:hAnsi="Arial"/>
          <w:sz w:val="14"/>
          <w:szCs w:val="14"/>
          <w:color w:val="auto"/>
        </w:rPr>
        <w:t>No</w:t>
      </w:r>
      <w:r>
        <w:rPr>
          <w:sz w:val="20"/>
          <w:szCs w:val="20"/>
          <w:color w:val="auto"/>
        </w:rPr>
        <w:tab/>
      </w:r>
      <w:r>
        <w:rPr>
          <w:rFonts w:ascii="Arial" w:cs="Arial" w:eastAsia="Arial" w:hAnsi="Arial"/>
          <w:sz w:val="10"/>
          <w:szCs w:val="10"/>
          <w:color w:val="auto"/>
        </w:rPr>
        <w:t>o</w:t>
      </w:r>
    </w:p>
    <w:p>
      <w:pPr>
        <w:spacing w:after="0" w:line="229" w:lineRule="exact"/>
        <w:rPr>
          <w:sz w:val="20"/>
          <w:szCs w:val="20"/>
          <w:color w:val="auto"/>
        </w:rPr>
      </w:pPr>
    </w:p>
    <w:p>
      <w:pPr>
        <w:ind w:firstLine="403"/>
        <w:spacing w:after="0" w:line="239" w:lineRule="auto"/>
        <w:rPr>
          <w:sz w:val="20"/>
          <w:szCs w:val="20"/>
          <w:color w:val="auto"/>
        </w:rPr>
      </w:pPr>
      <w:r>
        <w:rPr>
          <w:rFonts w:ascii="Arial" w:cs="Arial" w:eastAsia="Arial" w:hAnsi="Arial"/>
          <w:sz w:val="14"/>
          <w:szCs w:val="14"/>
          <w:color w:val="auto"/>
        </w:rPr>
        <w:t>Indicate by check mark whether the registrant is a large accelerated filer, an accelerated filer, or a non-accelerated filer. See definition of "accelerated filer and large accelerated filer" in Rule 12b-2 of the Exchange Act. (Check one)</w:t>
      </w:r>
    </w:p>
    <w:p>
      <w:pPr>
        <w:spacing w:after="0" w:line="168" w:lineRule="exact"/>
        <w:rPr>
          <w:sz w:val="20"/>
          <w:szCs w:val="20"/>
          <w:color w:val="auto"/>
        </w:rPr>
      </w:pPr>
    </w:p>
    <w:p>
      <w:pPr>
        <w:ind w:left="3560"/>
        <w:spacing w:after="0" w:line="161" w:lineRule="exact"/>
        <w:tabs>
          <w:tab w:leader="none" w:pos="5240" w:val="left"/>
          <w:tab w:leader="none" w:pos="6540" w:val="left"/>
        </w:tabs>
        <w:rPr>
          <w:sz w:val="20"/>
          <w:szCs w:val="20"/>
          <w:color w:val="auto"/>
        </w:rPr>
      </w:pPr>
      <w:r>
        <w:rPr>
          <w:rFonts w:ascii="Arial" w:cs="Arial" w:eastAsia="Arial" w:hAnsi="Arial"/>
          <w:sz w:val="14"/>
          <w:szCs w:val="14"/>
          <w:color w:val="auto"/>
        </w:rPr>
        <w:t xml:space="preserve">Large Accelerated Filer </w:t>
      </w:r>
      <w:r>
        <w:rPr>
          <w:rFonts w:ascii="MS PGothic" w:cs="MS PGothic" w:eastAsia="MS PGothic" w:hAnsi="MS PGothic"/>
          <w:sz w:val="14"/>
          <w:szCs w:val="14"/>
          <w:color w:val="auto"/>
        </w:rPr>
        <w:t>☒</w:t>
      </w:r>
      <w:r>
        <w:rPr>
          <w:sz w:val="20"/>
          <w:szCs w:val="20"/>
          <w:color w:val="auto"/>
        </w:rPr>
        <w:tab/>
      </w:r>
      <w:r>
        <w:rPr>
          <w:rFonts w:ascii="Arial" w:cs="Arial" w:eastAsia="Arial" w:hAnsi="Arial"/>
          <w:sz w:val="14"/>
          <w:szCs w:val="14"/>
          <w:color w:val="auto"/>
        </w:rPr>
        <w:t>Accelerated Filer o</w:t>
      </w:r>
      <w:r>
        <w:rPr>
          <w:sz w:val="20"/>
          <w:szCs w:val="20"/>
          <w:color w:val="auto"/>
        </w:rPr>
        <w:tab/>
      </w:r>
      <w:r>
        <w:rPr>
          <w:rFonts w:ascii="Arial" w:cs="Arial" w:eastAsia="Arial" w:hAnsi="Arial"/>
          <w:sz w:val="12"/>
          <w:szCs w:val="12"/>
          <w:color w:val="auto"/>
        </w:rPr>
        <w:t>Non-Accelerated Filer o</w:t>
      </w:r>
    </w:p>
    <w:p>
      <w:pPr>
        <w:spacing w:after="0" w:line="229" w:lineRule="exact"/>
        <w:rPr>
          <w:sz w:val="20"/>
          <w:szCs w:val="20"/>
          <w:color w:val="auto"/>
        </w:rPr>
      </w:pPr>
    </w:p>
    <w:p>
      <w:pPr>
        <w:ind w:left="380"/>
        <w:spacing w:after="0"/>
        <w:rPr>
          <w:sz w:val="20"/>
          <w:szCs w:val="20"/>
          <w:color w:val="auto"/>
        </w:rPr>
      </w:pPr>
      <w:r>
        <w:rPr>
          <w:rFonts w:ascii="Arial" w:cs="Arial" w:eastAsia="Arial" w:hAnsi="Arial"/>
          <w:sz w:val="14"/>
          <w:szCs w:val="14"/>
          <w:color w:val="auto"/>
        </w:rPr>
        <w:t>Indicate by check mark which basis of accounting the registrant has used to prepare the financial statements included in this filing:</w:t>
      </w:r>
    </w:p>
    <w:p>
      <w:pPr>
        <w:sectPr>
          <w:pgSz w:w="11900" w:h="16838" w:orient="portrait"/>
          <w:cols w:equalWidth="0" w:num="1">
            <w:col w:w="11420"/>
          </w:cols>
          <w:pgMar w:left="240" w:top="127" w:right="239" w:bottom="1440" w:gutter="0" w:footer="0" w:header="0"/>
          <w:type w:val="continuous"/>
        </w:sectPr>
      </w:pPr>
    </w:p>
    <w:p>
      <w:pPr>
        <w:spacing w:after="0" w:line="179" w:lineRule="exact"/>
        <w:rPr>
          <w:sz w:val="20"/>
          <w:szCs w:val="20"/>
          <w:color w:val="auto"/>
        </w:rPr>
      </w:pPr>
    </w:p>
    <w:p>
      <w:pPr>
        <w:ind w:left="4460" w:hanging="1073"/>
        <w:spacing w:after="0" w:line="161" w:lineRule="exact"/>
        <w:tabs>
          <w:tab w:leader="none" w:pos="4440" w:val="left"/>
        </w:tabs>
        <w:rPr>
          <w:sz w:val="20"/>
          <w:szCs w:val="20"/>
          <w:color w:val="auto"/>
        </w:rPr>
      </w:pPr>
      <w:r>
        <w:rPr>
          <w:rFonts w:ascii="Arial" w:cs="Arial" w:eastAsia="Arial" w:hAnsi="Arial"/>
          <w:sz w:val="14"/>
          <w:szCs w:val="14"/>
          <w:color w:val="auto"/>
        </w:rPr>
        <w:t xml:space="preserve">U.S. GAAP </w:t>
      </w:r>
      <w:r>
        <w:rPr>
          <w:rFonts w:ascii="MS PGothic" w:cs="MS PGothic" w:eastAsia="MS PGothic" w:hAnsi="MS PGothic"/>
          <w:sz w:val="14"/>
          <w:szCs w:val="14"/>
          <w:color w:val="auto"/>
        </w:rPr>
        <w:t>☒</w:t>
      </w:r>
      <w:r>
        <w:rPr>
          <w:sz w:val="20"/>
          <w:szCs w:val="20"/>
          <w:color w:val="auto"/>
        </w:rPr>
        <w:tab/>
      </w:r>
      <w:r>
        <w:rPr>
          <w:rFonts w:ascii="Arial" w:cs="Arial" w:eastAsia="Arial" w:hAnsi="Arial"/>
          <w:sz w:val="12"/>
          <w:szCs w:val="12"/>
          <w:color w:val="auto"/>
        </w:rPr>
        <w:t>International Financial Reporting Standards as issued by the International Accounting Standards Board o</w:t>
      </w:r>
    </w:p>
    <w:p>
      <w:pPr>
        <w:spacing w:after="0" w:line="20" w:lineRule="exact"/>
        <w:rPr>
          <w:sz w:val="20"/>
          <w:szCs w:val="20"/>
          <w:color w:val="auto"/>
        </w:rPr>
      </w:pPr>
      <w:r>
        <w:rPr>
          <w:sz w:val="20"/>
          <w:szCs w:val="20"/>
          <w:color w:val="auto"/>
        </w:rPr>
        <w:br w:type="column"/>
      </w:r>
    </w:p>
    <w:p>
      <w:pPr>
        <w:spacing w:after="0" w:line="184" w:lineRule="exact"/>
        <w:rPr>
          <w:sz w:val="20"/>
          <w:szCs w:val="20"/>
          <w:color w:val="auto"/>
        </w:rPr>
      </w:pPr>
    </w:p>
    <w:p>
      <w:pPr>
        <w:spacing w:after="0"/>
        <w:rPr>
          <w:sz w:val="20"/>
          <w:szCs w:val="20"/>
          <w:color w:val="auto"/>
        </w:rPr>
      </w:pPr>
      <w:r>
        <w:rPr>
          <w:rFonts w:ascii="Arial" w:cs="Arial" w:eastAsia="Arial" w:hAnsi="Arial"/>
          <w:sz w:val="11"/>
          <w:szCs w:val="11"/>
          <w:color w:val="auto"/>
        </w:rPr>
        <w:t>Other o</w:t>
      </w:r>
    </w:p>
    <w:p>
      <w:pPr>
        <w:spacing w:after="0" w:line="369" w:lineRule="exact"/>
        <w:rPr>
          <w:sz w:val="20"/>
          <w:szCs w:val="20"/>
          <w:color w:val="auto"/>
        </w:rPr>
      </w:pPr>
    </w:p>
    <w:p>
      <w:pPr>
        <w:sectPr>
          <w:pgSz w:w="11900" w:h="16838" w:orient="portrait"/>
          <w:cols w:equalWidth="0" w:num="2">
            <w:col w:w="7360" w:space="260"/>
            <w:col w:w="3800"/>
          </w:cols>
          <w:pgMar w:left="240" w:top="127" w:right="239" w:bottom="1440" w:gutter="0" w:footer="0" w:header="0"/>
          <w:type w:val="continuous"/>
        </w:sectPr>
      </w:pPr>
    </w:p>
    <w:p>
      <w:pPr>
        <w:spacing w:after="0" w:line="17" w:lineRule="exact"/>
        <w:rPr>
          <w:sz w:val="20"/>
          <w:szCs w:val="20"/>
          <w:color w:val="auto"/>
        </w:rPr>
      </w:pPr>
    </w:p>
    <w:p>
      <w:pPr>
        <w:ind w:left="380"/>
        <w:spacing w:after="0"/>
        <w:rPr>
          <w:sz w:val="20"/>
          <w:szCs w:val="20"/>
          <w:color w:val="auto"/>
        </w:rPr>
      </w:pPr>
      <w:r>
        <w:rPr>
          <w:rFonts w:ascii="Arial" w:cs="Arial" w:eastAsia="Arial" w:hAnsi="Arial"/>
          <w:sz w:val="12"/>
          <w:szCs w:val="12"/>
          <w:color w:val="auto"/>
        </w:rPr>
        <w:t>If "Other" has been checked in response to the previous question, indicate by check mark which financial statement item the registrant has elected to follow.</w:t>
      </w:r>
    </w:p>
    <w:p>
      <w:pPr>
        <w:spacing w:after="0" w:line="227" w:lineRule="exact"/>
        <w:rPr>
          <w:sz w:val="20"/>
          <w:szCs w:val="20"/>
          <w:color w:val="auto"/>
        </w:rPr>
      </w:pPr>
    </w:p>
    <w:p>
      <w:pPr>
        <w:ind w:left="4900"/>
        <w:spacing w:after="0"/>
        <w:tabs>
          <w:tab w:leader="none" w:pos="5420" w:val="left"/>
          <w:tab w:leader="none" w:pos="5900" w:val="left"/>
          <w:tab w:leader="none" w:pos="6440" w:val="left"/>
        </w:tabs>
        <w:rPr>
          <w:sz w:val="20"/>
          <w:szCs w:val="20"/>
          <w:color w:val="auto"/>
        </w:rPr>
      </w:pPr>
      <w:r>
        <w:rPr>
          <w:rFonts w:ascii="Arial" w:cs="Arial" w:eastAsia="Arial" w:hAnsi="Arial"/>
          <w:sz w:val="14"/>
          <w:szCs w:val="14"/>
          <w:color w:val="auto"/>
        </w:rPr>
        <w:t>Item 17</w:t>
        <w:tab/>
        <w:t>o</w:t>
      </w:r>
      <w:r>
        <w:rPr>
          <w:sz w:val="20"/>
          <w:szCs w:val="20"/>
          <w:color w:val="auto"/>
        </w:rPr>
        <w:tab/>
      </w:r>
      <w:r>
        <w:rPr>
          <w:rFonts w:ascii="Arial" w:cs="Arial" w:eastAsia="Arial" w:hAnsi="Arial"/>
          <w:sz w:val="14"/>
          <w:szCs w:val="14"/>
          <w:color w:val="auto"/>
        </w:rPr>
        <w:t>Item 18</w:t>
        <w:tab/>
        <w:t>o</w:t>
      </w:r>
    </w:p>
    <w:p>
      <w:pPr>
        <w:spacing w:after="0" w:line="204" w:lineRule="exact"/>
        <w:rPr>
          <w:sz w:val="20"/>
          <w:szCs w:val="20"/>
          <w:color w:val="auto"/>
        </w:rPr>
      </w:pPr>
    </w:p>
    <w:p>
      <w:pPr>
        <w:ind w:left="380"/>
        <w:spacing w:after="0"/>
        <w:rPr>
          <w:sz w:val="20"/>
          <w:szCs w:val="20"/>
          <w:color w:val="auto"/>
        </w:rPr>
      </w:pPr>
      <w:r>
        <w:rPr>
          <w:rFonts w:ascii="Arial" w:cs="Arial" w:eastAsia="Arial" w:hAnsi="Arial"/>
          <w:sz w:val="12"/>
          <w:szCs w:val="12"/>
          <w:color w:val="auto"/>
        </w:rPr>
        <w:t>If this is an annual report, indicate by check mark whether the registrant is a shell company (as defined in Rule 12b-2 of the Exchange Act):</w:t>
      </w:r>
    </w:p>
    <w:p>
      <w:pPr>
        <w:spacing w:after="0" w:line="202" w:lineRule="exact"/>
        <w:rPr>
          <w:sz w:val="20"/>
          <w:szCs w:val="20"/>
          <w:color w:val="auto"/>
        </w:rPr>
      </w:pPr>
    </w:p>
    <w:p>
      <w:pPr>
        <w:ind w:left="5100"/>
        <w:spacing w:after="0" w:line="161" w:lineRule="exact"/>
        <w:tabs>
          <w:tab w:leader="none" w:pos="5420" w:val="left"/>
          <w:tab w:leader="none" w:pos="5880" w:val="left"/>
          <w:tab w:leader="none" w:pos="6180" w:val="left"/>
        </w:tabs>
        <w:rPr>
          <w:sz w:val="20"/>
          <w:szCs w:val="20"/>
          <w:color w:val="auto"/>
        </w:rPr>
      </w:pPr>
      <w:r>
        <w:rPr>
          <w:rFonts w:ascii="Arial" w:cs="Arial" w:eastAsia="Arial" w:hAnsi="Arial"/>
          <w:sz w:val="14"/>
          <w:szCs w:val="14"/>
          <w:color w:val="auto"/>
        </w:rPr>
        <w:t>Yes</w:t>
        <w:tab/>
        <w:t>o</w:t>
      </w:r>
      <w:r>
        <w:rPr>
          <w:sz w:val="20"/>
          <w:szCs w:val="20"/>
          <w:color w:val="auto"/>
        </w:rPr>
        <w:tab/>
      </w:r>
      <w:r>
        <w:rPr>
          <w:rFonts w:ascii="Arial" w:cs="Arial" w:eastAsia="Arial" w:hAnsi="Arial"/>
          <w:sz w:val="14"/>
          <w:szCs w:val="14"/>
          <w:color w:val="auto"/>
        </w:rPr>
        <w:t>No</w:t>
      </w:r>
      <w:r>
        <w:rPr>
          <w:sz w:val="20"/>
          <w:szCs w:val="20"/>
          <w:color w:val="auto"/>
        </w:rPr>
        <w:tab/>
      </w:r>
      <w:r>
        <w:rPr>
          <w:rFonts w:ascii="MS PGothic" w:cs="MS PGothic" w:eastAsia="MS PGothic" w:hAnsi="MS PGothic"/>
          <w:sz w:val="12"/>
          <w:szCs w:val="12"/>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151765</wp:posOffset>
            </wp:positionV>
            <wp:extent cx="7246620" cy="4318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7246620" cy="4318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330200</wp:posOffset>
            </wp:positionV>
            <wp:extent cx="7250430" cy="215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27" w:right="239" w:bottom="1440" w:gutter="0" w:footer="0" w:header="0"/>
          <w:type w:val="continuous"/>
        </w:sectPr>
      </w:pPr>
    </w:p>
    <w:bookmarkStart w:id="41" w:name="page42"/>
    <w:bookmarkEnd w:id="41"/>
    <w:p>
      <w:pPr>
        <w:jc w:val="center"/>
        <w:ind w:right="-20"/>
        <w:spacing w:after="0"/>
        <w:rPr>
          <w:sz w:val="20"/>
          <w:szCs w:val="20"/>
          <w:color w:val="auto"/>
        </w:rPr>
      </w:pPr>
      <w:r>
        <w:rPr>
          <w:rFonts w:ascii="Arial" w:cs="Arial" w:eastAsia="Arial" w:hAnsi="Arial"/>
          <w:sz w:val="18"/>
          <w:szCs w:val="18"/>
          <w:b w:val="1"/>
          <w:bCs w:val="1"/>
          <w:color w:val="auto"/>
        </w:rPr>
        <w:t>TABLE OF CONTENTS</w:t>
      </w:r>
    </w:p>
    <w:p>
      <w:pPr>
        <w:spacing w:after="0" w:line="28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720" w:type="dxa"/>
            <w:vAlign w:val="bottom"/>
            <w:gridSpan w:val="13"/>
            <w:vMerge w:val="restart"/>
          </w:tcPr>
          <w:p>
            <w:pPr>
              <w:spacing w:after="0"/>
              <w:rPr>
                <w:rFonts w:ascii="Arial" w:cs="Arial" w:eastAsia="Arial" w:hAnsi="Arial"/>
                <w:sz w:val="18"/>
                <w:szCs w:val="18"/>
                <w:color w:val="0000EE"/>
                <w:w w:val="95"/>
              </w:rPr>
            </w:pPr>
            <w:hyperlink w:anchor="page44">
              <w:r>
                <w:rPr>
                  <w:rFonts w:ascii="Arial" w:cs="Arial" w:eastAsia="Arial" w:hAnsi="Arial"/>
                  <w:sz w:val="18"/>
                  <w:szCs w:val="18"/>
                  <w:color w:val="0000EE"/>
                  <w:w w:val="95"/>
                </w:rPr>
                <w:t>PRELIMINARY NOTE</w:t>
              </w:r>
            </w:hyperlink>
          </w:p>
        </w:tc>
        <w:tc>
          <w:tcPr>
            <w:tcW w:w="6700" w:type="dxa"/>
            <w:vAlign w:val="bottom"/>
            <w:gridSpan w:val="24"/>
            <w:vMerge w:val="restart"/>
          </w:tcPr>
          <w:p>
            <w:pPr>
              <w:spacing w:after="0"/>
              <w:rPr>
                <w:sz w:val="14"/>
                <w:szCs w:val="14"/>
                <w:color w:val="auto"/>
              </w:rPr>
            </w:pPr>
          </w:p>
        </w:tc>
        <w:tc>
          <w:tcPr>
            <w:tcW w:w="640" w:type="dxa"/>
            <w:vAlign w:val="bottom"/>
            <w:gridSpan w:val="6"/>
          </w:tcPr>
          <w:p>
            <w:pPr>
              <w:jc w:val="right"/>
              <w:ind w:right="220"/>
              <w:spacing w:after="0"/>
              <w:rPr>
                <w:sz w:val="20"/>
                <w:szCs w:val="20"/>
                <w:color w:val="auto"/>
              </w:rPr>
            </w:pPr>
            <w:r>
              <w:rPr>
                <w:rFonts w:ascii="Arial" w:cs="Arial" w:eastAsia="Arial" w:hAnsi="Arial"/>
                <w:sz w:val="14"/>
                <w:szCs w:val="14"/>
                <w:b w:val="1"/>
                <w:bCs w:val="1"/>
                <w:color w:val="auto"/>
              </w:rPr>
              <w:t>Page</w:t>
            </w:r>
          </w:p>
        </w:tc>
        <w:tc>
          <w:tcPr>
            <w:tcW w:w="0" w:type="dxa"/>
            <w:vAlign w:val="bottom"/>
          </w:tcPr>
          <w:p>
            <w:pPr>
              <w:spacing w:after="0"/>
              <w:rPr>
                <w:sz w:val="1"/>
                <w:szCs w:val="1"/>
                <w:color w:val="auto"/>
              </w:rPr>
            </w:pPr>
          </w:p>
        </w:tc>
      </w:tr>
      <w:tr>
        <w:trPr>
          <w:trHeight w:val="169"/>
        </w:trPr>
        <w:tc>
          <w:tcPr>
            <w:tcW w:w="1720" w:type="dxa"/>
            <w:vAlign w:val="bottom"/>
            <w:tcBorders>
              <w:bottom w:val="single" w:sz="8" w:color="0000EE"/>
            </w:tcBorders>
            <w:gridSpan w:val="13"/>
            <w:vMerge w:val="continue"/>
          </w:tcPr>
          <w:p>
            <w:pPr>
              <w:spacing w:after="0"/>
              <w:rPr>
                <w:sz w:val="14"/>
                <w:szCs w:val="14"/>
                <w:color w:val="auto"/>
              </w:rPr>
            </w:pPr>
          </w:p>
        </w:tc>
        <w:tc>
          <w:tcPr>
            <w:tcW w:w="6700" w:type="dxa"/>
            <w:vAlign w:val="bottom"/>
            <w:gridSpan w:val="24"/>
            <w:vMerge w:val="continue"/>
          </w:tcPr>
          <w:p>
            <w:pPr>
              <w:spacing w:after="0"/>
              <w:rPr>
                <w:sz w:val="14"/>
                <w:szCs w:val="14"/>
                <w:color w:val="auto"/>
              </w:rPr>
            </w:pPr>
          </w:p>
        </w:tc>
        <w:tc>
          <w:tcPr>
            <w:tcW w:w="460" w:type="dxa"/>
            <w:vAlign w:val="bottom"/>
            <w:tcBorders>
              <w:top w:val="single" w:sz="8" w:color="auto"/>
            </w:tcBorders>
            <w:gridSpan w:val="3"/>
          </w:tcPr>
          <w:p>
            <w:pPr>
              <w:spacing w:after="0"/>
              <w:rPr>
                <w:sz w:val="14"/>
                <w:szCs w:val="14"/>
                <w:color w:val="auto"/>
              </w:rPr>
            </w:pPr>
          </w:p>
        </w:tc>
        <w:tc>
          <w:tcPr>
            <w:tcW w:w="100" w:type="dxa"/>
            <w:vAlign w:val="bottom"/>
            <w:tcBorders>
              <w:top w:val="single" w:sz="8" w:color="auto"/>
              <w:bottom w:val="single" w:sz="8" w:color="0000EE"/>
            </w:tcBorders>
          </w:tcPr>
          <w:p>
            <w:pPr>
              <w:jc w:val="right"/>
              <w:spacing w:after="0" w:line="170" w:lineRule="exact"/>
              <w:rPr>
                <w:rFonts w:ascii="Arial" w:cs="Arial" w:eastAsia="Arial" w:hAnsi="Arial"/>
                <w:sz w:val="18"/>
                <w:szCs w:val="18"/>
                <w:color w:val="0000EE"/>
                <w:w w:val="79"/>
              </w:rPr>
            </w:pPr>
            <w:hyperlink w:anchor="page44">
              <w:r>
                <w:rPr>
                  <w:rFonts w:ascii="Arial" w:cs="Arial" w:eastAsia="Arial" w:hAnsi="Arial"/>
                  <w:sz w:val="18"/>
                  <w:szCs w:val="18"/>
                  <w:color w:val="0000EE"/>
                  <w:w w:val="79"/>
                </w:rPr>
                <w:t>1</w:t>
              </w:r>
            </w:hyperlink>
          </w:p>
        </w:tc>
        <w:tc>
          <w:tcPr>
            <w:tcW w:w="20" w:type="dxa"/>
            <w:vAlign w:val="bottom"/>
            <w:tcBorders>
              <w:top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6"/>
        </w:trPr>
        <w:tc>
          <w:tcPr>
            <w:tcW w:w="6120" w:type="dxa"/>
            <w:vAlign w:val="bottom"/>
            <w:tcBorders>
              <w:bottom w:val="single" w:sz="8" w:color="0000EE"/>
            </w:tcBorders>
            <w:gridSpan w:val="32"/>
          </w:tcPr>
          <w:p>
            <w:pPr>
              <w:spacing w:after="0" w:line="196" w:lineRule="exact"/>
              <w:rPr>
                <w:rFonts w:ascii="Arial" w:cs="Arial" w:eastAsia="Arial" w:hAnsi="Arial"/>
                <w:sz w:val="18"/>
                <w:szCs w:val="18"/>
                <w:color w:val="0000EE"/>
                <w:w w:val="92"/>
              </w:rPr>
            </w:pPr>
            <w:hyperlink w:anchor="page45">
              <w:r>
                <w:rPr>
                  <w:rFonts w:ascii="Arial" w:cs="Arial" w:eastAsia="Arial" w:hAnsi="Arial"/>
                  <w:sz w:val="18"/>
                  <w:szCs w:val="18"/>
                  <w:color w:val="0000EE"/>
                  <w:w w:val="92"/>
                </w:rPr>
                <w:t>NOTE TO INVESTORS CONCERNING ESTIMATES OF MINERAL RESOURCES</w:t>
              </w:r>
            </w:hyperlink>
          </w:p>
        </w:tc>
        <w:tc>
          <w:tcPr>
            <w:tcW w:w="2300" w:type="dxa"/>
            <w:vAlign w:val="bottom"/>
            <w:gridSpan w:val="5"/>
          </w:tcPr>
          <w:p>
            <w:pPr>
              <w:spacing w:after="0"/>
              <w:rPr>
                <w:sz w:val="17"/>
                <w:szCs w:val="17"/>
                <w:color w:val="auto"/>
              </w:rPr>
            </w:pPr>
          </w:p>
        </w:tc>
        <w:tc>
          <w:tcPr>
            <w:tcW w:w="460" w:type="dxa"/>
            <w:vAlign w:val="bottom"/>
            <w:gridSpan w:val="3"/>
          </w:tcPr>
          <w:p>
            <w:pPr>
              <w:spacing w:after="0"/>
              <w:rPr>
                <w:sz w:val="17"/>
                <w:szCs w:val="17"/>
                <w:color w:val="auto"/>
              </w:rPr>
            </w:pPr>
          </w:p>
        </w:tc>
        <w:tc>
          <w:tcPr>
            <w:tcW w:w="100" w:type="dxa"/>
            <w:vAlign w:val="bottom"/>
            <w:tcBorders>
              <w:bottom w:val="single" w:sz="8" w:color="0000EE"/>
            </w:tcBorders>
          </w:tcPr>
          <w:p>
            <w:pPr>
              <w:jc w:val="right"/>
              <w:spacing w:after="0" w:line="196" w:lineRule="exact"/>
              <w:rPr>
                <w:rFonts w:ascii="Arial" w:cs="Arial" w:eastAsia="Arial" w:hAnsi="Arial"/>
                <w:sz w:val="18"/>
                <w:szCs w:val="18"/>
                <w:color w:val="0000EE"/>
                <w:w w:val="79"/>
              </w:rPr>
            </w:pPr>
            <w:hyperlink w:anchor="page45">
              <w:r>
                <w:rPr>
                  <w:rFonts w:ascii="Arial" w:cs="Arial" w:eastAsia="Arial" w:hAnsi="Arial"/>
                  <w:sz w:val="18"/>
                  <w:szCs w:val="18"/>
                  <w:color w:val="0000EE"/>
                  <w:w w:val="79"/>
                </w:rPr>
                <w:t>2</w:t>
              </w:r>
            </w:hyperlink>
          </w:p>
        </w:tc>
        <w:tc>
          <w:tcPr>
            <w:tcW w:w="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140" w:type="dxa"/>
            <w:vAlign w:val="bottom"/>
            <w:gridSpan w:val="35"/>
          </w:tcPr>
          <w:p>
            <w:pPr>
              <w:spacing w:after="0" w:line="196" w:lineRule="exact"/>
              <w:rPr>
                <w:rFonts w:ascii="Arial" w:cs="Arial" w:eastAsia="Arial" w:hAnsi="Arial"/>
                <w:sz w:val="18"/>
                <w:szCs w:val="18"/>
                <w:color w:val="0000EE"/>
              </w:rPr>
            </w:pPr>
            <w:hyperlink w:anchor="page45">
              <w:r>
                <w:rPr>
                  <w:rFonts w:ascii="Arial" w:cs="Arial" w:eastAsia="Arial" w:hAnsi="Arial"/>
                  <w:sz w:val="18"/>
                  <w:szCs w:val="18"/>
                  <w:color w:val="0000EE"/>
                </w:rPr>
                <w:t>Cautionary Note to Investors Concerning Estimates of Measured and Indicated Mineral Resources</w:t>
              </w:r>
            </w:hyperlink>
          </w:p>
        </w:tc>
        <w:tc>
          <w:tcPr>
            <w:tcW w:w="580" w:type="dxa"/>
            <w:vAlign w:val="bottom"/>
            <w:gridSpan w:val="5"/>
          </w:tcPr>
          <w:p>
            <w:pPr>
              <w:jc w:val="right"/>
              <w:ind w:right="20"/>
              <w:spacing w:after="0" w:line="196" w:lineRule="exact"/>
              <w:rPr>
                <w:rFonts w:ascii="Arial" w:cs="Arial" w:eastAsia="Arial" w:hAnsi="Arial"/>
                <w:sz w:val="18"/>
                <w:szCs w:val="18"/>
                <w:color w:val="0000EE"/>
              </w:rPr>
            </w:pPr>
            <w:hyperlink w:anchor="page45">
              <w:r>
                <w:rPr>
                  <w:rFonts w:ascii="Arial" w:cs="Arial" w:eastAsia="Arial" w:hAnsi="Arial"/>
                  <w:sz w:val="18"/>
                  <w:szCs w:val="18"/>
                  <w:color w:val="0000EE"/>
                </w:rPr>
                <w:t>2</w:t>
              </w:r>
            </w:hyperlink>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6900" w:type="dxa"/>
            <w:vAlign w:val="bottom"/>
            <w:tcBorders>
              <w:top w:val="single" w:sz="8" w:color="0000EE"/>
            </w:tcBorders>
            <w:gridSpan w:val="34"/>
          </w:tcPr>
          <w:p>
            <w:pPr>
              <w:spacing w:after="0" w:line="196" w:lineRule="exact"/>
              <w:rPr>
                <w:rFonts w:ascii="Arial" w:cs="Arial" w:eastAsia="Arial" w:hAnsi="Arial"/>
                <w:sz w:val="18"/>
                <w:szCs w:val="18"/>
                <w:color w:val="0000EE"/>
              </w:rPr>
            </w:pPr>
            <w:hyperlink w:anchor="page46">
              <w:r>
                <w:rPr>
                  <w:rFonts w:ascii="Arial" w:cs="Arial" w:eastAsia="Arial" w:hAnsi="Arial"/>
                  <w:sz w:val="18"/>
                  <w:szCs w:val="18"/>
                  <w:color w:val="0000EE"/>
                </w:rPr>
                <w:t>Cautionary Note to Investors Concerning Estimates of Inferred Mineral Resources</w:t>
              </w:r>
            </w:hyperlink>
          </w:p>
        </w:tc>
        <w:tc>
          <w:tcPr>
            <w:tcW w:w="1240" w:type="dxa"/>
            <w:vAlign w:val="bottom"/>
          </w:tcPr>
          <w:p>
            <w:pPr>
              <w:spacing w:after="0"/>
              <w:rPr>
                <w:sz w:val="17"/>
                <w:szCs w:val="17"/>
                <w:color w:val="auto"/>
              </w:rPr>
            </w:pPr>
          </w:p>
        </w:tc>
        <w:tc>
          <w:tcPr>
            <w:tcW w:w="460" w:type="dxa"/>
            <w:vAlign w:val="bottom"/>
            <w:gridSpan w:val="3"/>
          </w:tcPr>
          <w:p>
            <w:pPr>
              <w:spacing w:after="0"/>
              <w:rPr>
                <w:sz w:val="17"/>
                <w:szCs w:val="17"/>
                <w:color w:val="auto"/>
              </w:rPr>
            </w:pPr>
          </w:p>
        </w:tc>
        <w:tc>
          <w:tcPr>
            <w:tcW w:w="100" w:type="dxa"/>
            <w:vAlign w:val="bottom"/>
            <w:tcBorders>
              <w:top w:val="single" w:sz="8" w:color="0000EE"/>
            </w:tcBorders>
          </w:tcPr>
          <w:p>
            <w:pPr>
              <w:jc w:val="right"/>
              <w:spacing w:after="0" w:line="196" w:lineRule="exact"/>
              <w:rPr>
                <w:rFonts w:ascii="Arial" w:cs="Arial" w:eastAsia="Arial" w:hAnsi="Arial"/>
                <w:sz w:val="18"/>
                <w:szCs w:val="18"/>
                <w:color w:val="0000EE"/>
                <w:w w:val="79"/>
              </w:rPr>
            </w:pPr>
            <w:hyperlink w:anchor="page46">
              <w:r>
                <w:rPr>
                  <w:rFonts w:ascii="Arial" w:cs="Arial" w:eastAsia="Arial" w:hAnsi="Arial"/>
                  <w:sz w:val="18"/>
                  <w:szCs w:val="18"/>
                  <w:color w:val="0000EE"/>
                  <w:w w:val="79"/>
                </w:rPr>
                <w:t>3</w:t>
              </w:r>
            </w:hyperlink>
          </w:p>
        </w:tc>
        <w:tc>
          <w:tcPr>
            <w:tcW w:w="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500" w:type="dxa"/>
            <w:vAlign w:val="bottom"/>
            <w:tcBorders>
              <w:left w:val="single" w:sz="8" w:color="0000EE"/>
            </w:tcBorders>
            <w:gridSpan w:val="2"/>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20" w:type="dxa"/>
            <w:vAlign w:val="bottom"/>
            <w:gridSpan w:val="2"/>
            <w:shd w:val="clear" w:color="auto" w:fill="0000EE"/>
          </w:tcPr>
          <w:p>
            <w:pPr>
              <w:spacing w:after="0" w:line="20" w:lineRule="exact"/>
              <w:rPr>
                <w:sz w:val="1"/>
                <w:szCs w:val="1"/>
                <w:color w:val="auto"/>
              </w:rPr>
            </w:pPr>
          </w:p>
        </w:tc>
        <w:tc>
          <w:tcPr>
            <w:tcW w:w="120" w:type="dxa"/>
            <w:vAlign w:val="bottom"/>
            <w:tcBorders>
              <w:left w:val="single" w:sz="8" w:color="0000EE"/>
            </w:tcBorders>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36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20" w:type="dxa"/>
            <w:vAlign w:val="bottom"/>
            <w:tcBorders>
              <w:left w:val="single" w:sz="8" w:color="0000EE"/>
            </w:tcBorders>
            <w:shd w:val="clear" w:color="auto" w:fill="0000EE"/>
          </w:tcPr>
          <w:p>
            <w:pPr>
              <w:spacing w:after="0" w:line="20" w:lineRule="exact"/>
              <w:rPr>
                <w:sz w:val="1"/>
                <w:szCs w:val="1"/>
                <w:color w:val="auto"/>
              </w:rPr>
            </w:pPr>
          </w:p>
        </w:tc>
        <w:tc>
          <w:tcPr>
            <w:tcW w:w="160" w:type="dxa"/>
            <w:vAlign w:val="bottom"/>
            <w:tcBorders>
              <w:left w:val="single" w:sz="8" w:color="0000EE"/>
            </w:tcBorders>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1180" w:type="dxa"/>
            <w:vAlign w:val="bottom"/>
            <w:tcBorders>
              <w:left w:val="single" w:sz="8" w:color="0000EE"/>
            </w:tcBorders>
            <w:shd w:val="clear" w:color="auto" w:fill="0000EE"/>
          </w:tcPr>
          <w:p>
            <w:pPr>
              <w:spacing w:after="0" w:line="20" w:lineRule="exact"/>
              <w:rPr>
                <w:sz w:val="1"/>
                <w:szCs w:val="1"/>
                <w:color w:val="auto"/>
              </w:rPr>
            </w:pPr>
          </w:p>
        </w:tc>
        <w:tc>
          <w:tcPr>
            <w:tcW w:w="580" w:type="dxa"/>
            <w:vAlign w:val="bottom"/>
            <w:shd w:val="clear" w:color="auto" w:fill="0000EE"/>
          </w:tcPr>
          <w:p>
            <w:pPr>
              <w:spacing w:after="0" w:line="20" w:lineRule="exact"/>
              <w:rPr>
                <w:sz w:val="1"/>
                <w:szCs w:val="1"/>
                <w:color w:val="auto"/>
              </w:rPr>
            </w:pPr>
          </w:p>
        </w:tc>
        <w:tc>
          <w:tcPr>
            <w:tcW w:w="260" w:type="dxa"/>
            <w:vAlign w:val="bottom"/>
            <w:tcBorders>
              <w:left w:val="single" w:sz="8" w:color="0000EE"/>
            </w:tcBorders>
            <w:shd w:val="clear" w:color="auto" w:fill="0000EE"/>
          </w:tcPr>
          <w:p>
            <w:pPr>
              <w:spacing w:after="0" w:line="20" w:lineRule="exact"/>
              <w:rPr>
                <w:sz w:val="1"/>
                <w:szCs w:val="1"/>
                <w:color w:val="auto"/>
              </w:rPr>
            </w:pPr>
          </w:p>
        </w:tc>
        <w:tc>
          <w:tcPr>
            <w:tcW w:w="260" w:type="dxa"/>
            <w:vAlign w:val="bottom"/>
            <w:gridSpan w:val="2"/>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660" w:type="dxa"/>
            <w:vAlign w:val="bottom"/>
            <w:gridSpan w:val="2"/>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420" w:type="dxa"/>
            <w:vAlign w:val="bottom"/>
            <w:gridSpan w:val="37"/>
          </w:tcPr>
          <w:p>
            <w:pPr>
              <w:spacing w:after="0" w:line="196" w:lineRule="exact"/>
              <w:rPr>
                <w:rFonts w:ascii="Arial" w:cs="Arial" w:eastAsia="Arial" w:hAnsi="Arial"/>
                <w:sz w:val="18"/>
                <w:szCs w:val="18"/>
                <w:color w:val="0000EE"/>
              </w:rPr>
            </w:pPr>
            <w:hyperlink w:anchor="page46">
              <w:r>
                <w:rPr>
                  <w:rFonts w:ascii="Arial" w:cs="Arial" w:eastAsia="Arial" w:hAnsi="Arial"/>
                  <w:sz w:val="18"/>
                  <w:szCs w:val="18"/>
                  <w:color w:val="0000EE"/>
                </w:rPr>
                <w:t>NOTE TO INVESTORS CONCERNING CERTAIN MEASURES OF PERFORMANCE</w:t>
              </w:r>
            </w:hyperlink>
          </w:p>
        </w:tc>
        <w:tc>
          <w:tcPr>
            <w:tcW w:w="580" w:type="dxa"/>
            <w:vAlign w:val="bottom"/>
            <w:gridSpan w:val="5"/>
          </w:tcPr>
          <w:p>
            <w:pPr>
              <w:jc w:val="right"/>
              <w:ind w:right="20"/>
              <w:spacing w:after="0" w:line="196" w:lineRule="exact"/>
              <w:rPr>
                <w:rFonts w:ascii="Arial" w:cs="Arial" w:eastAsia="Arial" w:hAnsi="Arial"/>
                <w:sz w:val="18"/>
                <w:szCs w:val="18"/>
                <w:color w:val="0000EE"/>
              </w:rPr>
            </w:pPr>
            <w:hyperlink w:anchor="page46">
              <w:r>
                <w:rPr>
                  <w:rFonts w:ascii="Arial" w:cs="Arial" w:eastAsia="Arial" w:hAnsi="Arial"/>
                  <w:sz w:val="18"/>
                  <w:szCs w:val="18"/>
                  <w:color w:val="0000EE"/>
                </w:rPr>
                <w:t>3</w:t>
              </w:r>
            </w:hyperlink>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12"/>
        </w:trPr>
        <w:tc>
          <w:tcPr>
            <w:tcW w:w="540" w:type="dxa"/>
            <w:vAlign w:val="bottom"/>
            <w:tcBorders>
              <w:top w:val="single" w:sz="8" w:color="0000EE"/>
              <w:bottom w:val="single" w:sz="8" w:color="0000EE"/>
            </w:tcBorders>
            <w:gridSpan w:val="3"/>
          </w:tcPr>
          <w:p>
            <w:pPr>
              <w:spacing w:after="0"/>
              <w:rPr>
                <w:rFonts w:ascii="Arial" w:cs="Arial" w:eastAsia="Arial" w:hAnsi="Arial"/>
                <w:sz w:val="18"/>
                <w:szCs w:val="18"/>
                <w:color w:val="0000EE"/>
                <w:w w:val="89"/>
              </w:rPr>
            </w:pPr>
            <w:hyperlink w:anchor="page47">
              <w:r>
                <w:rPr>
                  <w:rFonts w:ascii="Arial" w:cs="Arial" w:eastAsia="Arial" w:hAnsi="Arial"/>
                  <w:sz w:val="18"/>
                  <w:szCs w:val="18"/>
                  <w:color w:val="0000EE"/>
                  <w:w w:val="89"/>
                </w:rPr>
                <w:t>PART I</w:t>
              </w:r>
            </w:hyperlink>
          </w:p>
        </w:tc>
        <w:tc>
          <w:tcPr>
            <w:tcW w:w="620" w:type="dxa"/>
            <w:vAlign w:val="bottom"/>
            <w:tcBorders>
              <w:top w:val="single" w:sz="8" w:color="0000EE"/>
            </w:tcBorders>
            <w:gridSpan w:val="3"/>
          </w:tcPr>
          <w:p>
            <w:pPr>
              <w:spacing w:after="0"/>
              <w:rPr>
                <w:sz w:val="24"/>
                <w:szCs w:val="24"/>
                <w:color w:val="auto"/>
              </w:rPr>
            </w:pPr>
          </w:p>
        </w:tc>
        <w:tc>
          <w:tcPr>
            <w:tcW w:w="140" w:type="dxa"/>
            <w:vAlign w:val="bottom"/>
            <w:tcBorders>
              <w:top w:val="single" w:sz="8" w:color="0000EE"/>
            </w:tcBorders>
          </w:tcPr>
          <w:p>
            <w:pPr>
              <w:spacing w:after="0"/>
              <w:rPr>
                <w:sz w:val="24"/>
                <w:szCs w:val="24"/>
                <w:color w:val="auto"/>
              </w:rPr>
            </w:pPr>
          </w:p>
        </w:tc>
        <w:tc>
          <w:tcPr>
            <w:tcW w:w="120" w:type="dxa"/>
            <w:vAlign w:val="bottom"/>
            <w:tcBorders>
              <w:top w:val="single" w:sz="8" w:color="0000EE"/>
            </w:tcBorders>
          </w:tcPr>
          <w:p>
            <w:pPr>
              <w:spacing w:after="0"/>
              <w:rPr>
                <w:sz w:val="24"/>
                <w:szCs w:val="24"/>
                <w:color w:val="auto"/>
              </w:rPr>
            </w:pPr>
          </w:p>
        </w:tc>
        <w:tc>
          <w:tcPr>
            <w:tcW w:w="180" w:type="dxa"/>
            <w:vAlign w:val="bottom"/>
            <w:tcBorders>
              <w:top w:val="single" w:sz="8" w:color="0000EE"/>
            </w:tcBorders>
          </w:tcPr>
          <w:p>
            <w:pPr>
              <w:spacing w:after="0"/>
              <w:rPr>
                <w:sz w:val="24"/>
                <w:szCs w:val="24"/>
                <w:color w:val="auto"/>
              </w:rPr>
            </w:pPr>
          </w:p>
        </w:tc>
        <w:tc>
          <w:tcPr>
            <w:tcW w:w="20" w:type="dxa"/>
            <w:vAlign w:val="bottom"/>
            <w:tcBorders>
              <w:top w:val="single" w:sz="8" w:color="0000EE"/>
            </w:tcBorders>
          </w:tcPr>
          <w:p>
            <w:pPr>
              <w:spacing w:after="0"/>
              <w:rPr>
                <w:sz w:val="24"/>
                <w:szCs w:val="24"/>
                <w:color w:val="auto"/>
              </w:rPr>
            </w:pPr>
          </w:p>
        </w:tc>
        <w:tc>
          <w:tcPr>
            <w:tcW w:w="20" w:type="dxa"/>
            <w:vAlign w:val="bottom"/>
            <w:tcBorders>
              <w:top w:val="single" w:sz="8" w:color="0000EE"/>
            </w:tcBorders>
          </w:tcPr>
          <w:p>
            <w:pPr>
              <w:spacing w:after="0"/>
              <w:rPr>
                <w:sz w:val="24"/>
                <w:szCs w:val="24"/>
                <w:color w:val="auto"/>
              </w:rPr>
            </w:pPr>
          </w:p>
        </w:tc>
        <w:tc>
          <w:tcPr>
            <w:tcW w:w="20" w:type="dxa"/>
            <w:vAlign w:val="bottom"/>
            <w:tcBorders>
              <w:top w:val="single" w:sz="8" w:color="0000EE"/>
            </w:tcBorders>
          </w:tcPr>
          <w:p>
            <w:pPr>
              <w:spacing w:after="0"/>
              <w:rPr>
                <w:sz w:val="24"/>
                <w:szCs w:val="24"/>
                <w:color w:val="auto"/>
              </w:rPr>
            </w:pPr>
          </w:p>
        </w:tc>
        <w:tc>
          <w:tcPr>
            <w:tcW w:w="60" w:type="dxa"/>
            <w:vAlign w:val="bottom"/>
            <w:tcBorders>
              <w:top w:val="single" w:sz="8" w:color="0000EE"/>
            </w:tcBorders>
          </w:tcPr>
          <w:p>
            <w:pPr>
              <w:spacing w:after="0"/>
              <w:rPr>
                <w:sz w:val="24"/>
                <w:szCs w:val="24"/>
                <w:color w:val="auto"/>
              </w:rPr>
            </w:pPr>
          </w:p>
        </w:tc>
        <w:tc>
          <w:tcPr>
            <w:tcW w:w="160" w:type="dxa"/>
            <w:vAlign w:val="bottom"/>
            <w:tcBorders>
              <w:top w:val="single" w:sz="8" w:color="0000EE"/>
            </w:tcBorders>
          </w:tcPr>
          <w:p>
            <w:pPr>
              <w:spacing w:after="0"/>
              <w:rPr>
                <w:sz w:val="24"/>
                <w:szCs w:val="24"/>
                <w:color w:val="auto"/>
              </w:rPr>
            </w:pPr>
          </w:p>
        </w:tc>
        <w:tc>
          <w:tcPr>
            <w:tcW w:w="120" w:type="dxa"/>
            <w:vAlign w:val="bottom"/>
            <w:tcBorders>
              <w:top w:val="single" w:sz="8" w:color="0000EE"/>
            </w:tcBorders>
          </w:tcPr>
          <w:p>
            <w:pPr>
              <w:spacing w:after="0"/>
              <w:rPr>
                <w:sz w:val="24"/>
                <w:szCs w:val="24"/>
                <w:color w:val="auto"/>
              </w:rPr>
            </w:pPr>
          </w:p>
        </w:tc>
        <w:tc>
          <w:tcPr>
            <w:tcW w:w="100" w:type="dxa"/>
            <w:vAlign w:val="bottom"/>
            <w:tcBorders>
              <w:top w:val="single" w:sz="8" w:color="0000EE"/>
            </w:tcBorders>
          </w:tcPr>
          <w:p>
            <w:pPr>
              <w:spacing w:after="0"/>
              <w:rPr>
                <w:sz w:val="24"/>
                <w:szCs w:val="24"/>
                <w:color w:val="auto"/>
              </w:rPr>
            </w:pPr>
          </w:p>
        </w:tc>
        <w:tc>
          <w:tcPr>
            <w:tcW w:w="60" w:type="dxa"/>
            <w:vAlign w:val="bottom"/>
            <w:tcBorders>
              <w:top w:val="single" w:sz="8" w:color="0000EE"/>
            </w:tcBorders>
          </w:tcPr>
          <w:p>
            <w:pPr>
              <w:spacing w:after="0"/>
              <w:rPr>
                <w:sz w:val="24"/>
                <w:szCs w:val="24"/>
                <w:color w:val="auto"/>
              </w:rPr>
            </w:pPr>
          </w:p>
        </w:tc>
        <w:tc>
          <w:tcPr>
            <w:tcW w:w="280" w:type="dxa"/>
            <w:vAlign w:val="bottom"/>
            <w:tcBorders>
              <w:top w:val="single" w:sz="8" w:color="0000EE"/>
            </w:tcBorders>
          </w:tcPr>
          <w:p>
            <w:pPr>
              <w:spacing w:after="0"/>
              <w:rPr>
                <w:sz w:val="24"/>
                <w:szCs w:val="24"/>
                <w:color w:val="auto"/>
              </w:rPr>
            </w:pPr>
          </w:p>
        </w:tc>
        <w:tc>
          <w:tcPr>
            <w:tcW w:w="40" w:type="dxa"/>
            <w:vAlign w:val="bottom"/>
            <w:tcBorders>
              <w:top w:val="single" w:sz="8" w:color="0000EE"/>
            </w:tcBorders>
          </w:tcPr>
          <w:p>
            <w:pPr>
              <w:spacing w:after="0"/>
              <w:rPr>
                <w:sz w:val="24"/>
                <w:szCs w:val="24"/>
                <w:color w:val="auto"/>
              </w:rPr>
            </w:pPr>
          </w:p>
        </w:tc>
        <w:tc>
          <w:tcPr>
            <w:tcW w:w="260" w:type="dxa"/>
            <w:vAlign w:val="bottom"/>
            <w:tcBorders>
              <w:top w:val="single" w:sz="8" w:color="0000EE"/>
            </w:tcBorders>
          </w:tcPr>
          <w:p>
            <w:pPr>
              <w:spacing w:after="0"/>
              <w:rPr>
                <w:sz w:val="24"/>
                <w:szCs w:val="24"/>
                <w:color w:val="auto"/>
              </w:rPr>
            </w:pPr>
          </w:p>
        </w:tc>
        <w:tc>
          <w:tcPr>
            <w:tcW w:w="160" w:type="dxa"/>
            <w:vAlign w:val="bottom"/>
            <w:tcBorders>
              <w:top w:val="single" w:sz="8" w:color="0000EE"/>
            </w:tcBorders>
          </w:tcPr>
          <w:p>
            <w:pPr>
              <w:spacing w:after="0"/>
              <w:rPr>
                <w:sz w:val="24"/>
                <w:szCs w:val="24"/>
                <w:color w:val="auto"/>
              </w:rPr>
            </w:pPr>
          </w:p>
        </w:tc>
        <w:tc>
          <w:tcPr>
            <w:tcW w:w="360" w:type="dxa"/>
            <w:vAlign w:val="bottom"/>
            <w:tcBorders>
              <w:top w:val="single" w:sz="8" w:color="0000EE"/>
            </w:tcBorders>
          </w:tcPr>
          <w:p>
            <w:pPr>
              <w:spacing w:after="0"/>
              <w:rPr>
                <w:sz w:val="24"/>
                <w:szCs w:val="24"/>
                <w:color w:val="auto"/>
              </w:rPr>
            </w:pPr>
          </w:p>
        </w:tc>
        <w:tc>
          <w:tcPr>
            <w:tcW w:w="100" w:type="dxa"/>
            <w:vAlign w:val="bottom"/>
            <w:tcBorders>
              <w:top w:val="single" w:sz="8" w:color="0000EE"/>
            </w:tcBorders>
          </w:tcPr>
          <w:p>
            <w:pPr>
              <w:spacing w:after="0"/>
              <w:rPr>
                <w:sz w:val="24"/>
                <w:szCs w:val="24"/>
                <w:color w:val="auto"/>
              </w:rPr>
            </w:pPr>
          </w:p>
        </w:tc>
        <w:tc>
          <w:tcPr>
            <w:tcW w:w="120" w:type="dxa"/>
            <w:vAlign w:val="bottom"/>
            <w:tcBorders>
              <w:top w:val="single" w:sz="8" w:color="0000EE"/>
            </w:tcBorders>
          </w:tcPr>
          <w:p>
            <w:pPr>
              <w:spacing w:after="0"/>
              <w:rPr>
                <w:sz w:val="24"/>
                <w:szCs w:val="24"/>
                <w:color w:val="auto"/>
              </w:rPr>
            </w:pPr>
          </w:p>
        </w:tc>
        <w:tc>
          <w:tcPr>
            <w:tcW w:w="160" w:type="dxa"/>
            <w:vAlign w:val="bottom"/>
            <w:tcBorders>
              <w:top w:val="single" w:sz="8" w:color="0000EE"/>
            </w:tcBorders>
          </w:tcPr>
          <w:p>
            <w:pPr>
              <w:spacing w:after="0"/>
              <w:rPr>
                <w:sz w:val="24"/>
                <w:szCs w:val="24"/>
                <w:color w:val="auto"/>
              </w:rPr>
            </w:pPr>
          </w:p>
        </w:tc>
        <w:tc>
          <w:tcPr>
            <w:tcW w:w="120" w:type="dxa"/>
            <w:vAlign w:val="bottom"/>
            <w:tcBorders>
              <w:top w:val="single" w:sz="8" w:color="0000EE"/>
            </w:tcBorders>
          </w:tcPr>
          <w:p>
            <w:pPr>
              <w:spacing w:after="0"/>
              <w:rPr>
                <w:sz w:val="24"/>
                <w:szCs w:val="24"/>
                <w:color w:val="auto"/>
              </w:rPr>
            </w:pPr>
          </w:p>
        </w:tc>
        <w:tc>
          <w:tcPr>
            <w:tcW w:w="200" w:type="dxa"/>
            <w:vAlign w:val="bottom"/>
            <w:tcBorders>
              <w:top w:val="single" w:sz="8" w:color="0000EE"/>
            </w:tcBorders>
          </w:tcPr>
          <w:p>
            <w:pPr>
              <w:spacing w:after="0"/>
              <w:rPr>
                <w:sz w:val="24"/>
                <w:szCs w:val="24"/>
                <w:color w:val="auto"/>
              </w:rPr>
            </w:pPr>
          </w:p>
        </w:tc>
        <w:tc>
          <w:tcPr>
            <w:tcW w:w="80" w:type="dxa"/>
            <w:vAlign w:val="bottom"/>
            <w:tcBorders>
              <w:top w:val="single" w:sz="8" w:color="0000EE"/>
            </w:tcBorders>
          </w:tcPr>
          <w:p>
            <w:pPr>
              <w:spacing w:after="0"/>
              <w:rPr>
                <w:sz w:val="24"/>
                <w:szCs w:val="24"/>
                <w:color w:val="auto"/>
              </w:rPr>
            </w:pPr>
          </w:p>
        </w:tc>
        <w:tc>
          <w:tcPr>
            <w:tcW w:w="1180" w:type="dxa"/>
            <w:vAlign w:val="bottom"/>
            <w:tcBorders>
              <w:top w:val="single" w:sz="8" w:color="0000EE"/>
            </w:tcBorders>
          </w:tcPr>
          <w:p>
            <w:pPr>
              <w:spacing w:after="0"/>
              <w:rPr>
                <w:sz w:val="24"/>
                <w:szCs w:val="24"/>
                <w:color w:val="auto"/>
              </w:rPr>
            </w:pPr>
          </w:p>
        </w:tc>
        <w:tc>
          <w:tcPr>
            <w:tcW w:w="580" w:type="dxa"/>
            <w:vAlign w:val="bottom"/>
            <w:tcBorders>
              <w:top w:val="single" w:sz="8" w:color="0000EE"/>
            </w:tcBorders>
          </w:tcPr>
          <w:p>
            <w:pPr>
              <w:spacing w:after="0"/>
              <w:rPr>
                <w:sz w:val="24"/>
                <w:szCs w:val="24"/>
                <w:color w:val="auto"/>
              </w:rPr>
            </w:pPr>
          </w:p>
        </w:tc>
        <w:tc>
          <w:tcPr>
            <w:tcW w:w="260" w:type="dxa"/>
            <w:vAlign w:val="bottom"/>
            <w:tcBorders>
              <w:top w:val="single" w:sz="8" w:color="0000EE"/>
            </w:tcBorders>
          </w:tcPr>
          <w:p>
            <w:pPr>
              <w:spacing w:after="0"/>
              <w:rPr>
                <w:sz w:val="24"/>
                <w:szCs w:val="24"/>
                <w:color w:val="auto"/>
              </w:rPr>
            </w:pPr>
          </w:p>
        </w:tc>
        <w:tc>
          <w:tcPr>
            <w:tcW w:w="60" w:type="dxa"/>
            <w:vAlign w:val="bottom"/>
            <w:tcBorders>
              <w:top w:val="single" w:sz="8" w:color="0000EE"/>
            </w:tcBorders>
          </w:tcPr>
          <w:p>
            <w:pPr>
              <w:spacing w:after="0"/>
              <w:rPr>
                <w:sz w:val="24"/>
                <w:szCs w:val="24"/>
                <w:color w:val="auto"/>
              </w:rPr>
            </w:pPr>
          </w:p>
        </w:tc>
        <w:tc>
          <w:tcPr>
            <w:tcW w:w="200" w:type="dxa"/>
            <w:vAlign w:val="bottom"/>
            <w:tcBorders>
              <w:top w:val="single" w:sz="8" w:color="0000EE"/>
            </w:tcBorders>
          </w:tcPr>
          <w:p>
            <w:pPr>
              <w:spacing w:after="0"/>
              <w:rPr>
                <w:sz w:val="24"/>
                <w:szCs w:val="24"/>
                <w:color w:val="auto"/>
              </w:rPr>
            </w:pPr>
          </w:p>
        </w:tc>
        <w:tc>
          <w:tcPr>
            <w:tcW w:w="2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460" w:type="dxa"/>
            <w:vAlign w:val="bottom"/>
            <w:gridSpan w:val="3"/>
          </w:tcPr>
          <w:p>
            <w:pPr>
              <w:spacing w:after="0"/>
              <w:rPr>
                <w:sz w:val="24"/>
                <w:szCs w:val="24"/>
                <w:color w:val="auto"/>
              </w:rPr>
            </w:pPr>
          </w:p>
        </w:tc>
        <w:tc>
          <w:tcPr>
            <w:tcW w:w="100" w:type="dxa"/>
            <w:vAlign w:val="bottom"/>
            <w:tcBorders>
              <w:top w:val="single" w:sz="8" w:color="0000EE"/>
              <w:bottom w:val="single" w:sz="8" w:color="0000EE"/>
            </w:tcBorders>
          </w:tcPr>
          <w:p>
            <w:pPr>
              <w:jc w:val="right"/>
              <w:spacing w:after="0"/>
              <w:rPr>
                <w:rFonts w:ascii="Arial" w:cs="Arial" w:eastAsia="Arial" w:hAnsi="Arial"/>
                <w:sz w:val="18"/>
                <w:szCs w:val="18"/>
                <w:color w:val="0000EE"/>
                <w:w w:val="79"/>
              </w:rPr>
            </w:pPr>
            <w:hyperlink w:anchor="page47">
              <w:r>
                <w:rPr>
                  <w:rFonts w:ascii="Arial" w:cs="Arial" w:eastAsia="Arial" w:hAnsi="Arial"/>
                  <w:sz w:val="18"/>
                  <w:szCs w:val="18"/>
                  <w:color w:val="0000EE"/>
                  <w:w w:val="79"/>
                </w:rPr>
                <w:t>4</w:t>
              </w:r>
            </w:hyperlink>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140" w:type="dxa"/>
            <w:vAlign w:val="bottom"/>
          </w:tcPr>
          <w:p>
            <w:pPr>
              <w:spacing w:after="0"/>
              <w:rPr>
                <w:sz w:val="17"/>
                <w:szCs w:val="17"/>
                <w:color w:val="auto"/>
              </w:rPr>
            </w:pPr>
          </w:p>
        </w:tc>
        <w:tc>
          <w:tcPr>
            <w:tcW w:w="1020" w:type="dxa"/>
            <w:vAlign w:val="bottom"/>
            <w:gridSpan w:val="5"/>
          </w:tcPr>
          <w:p>
            <w:pPr>
              <w:spacing w:after="0" w:line="196" w:lineRule="exact"/>
              <w:rPr>
                <w:rFonts w:ascii="Arial" w:cs="Arial" w:eastAsia="Arial" w:hAnsi="Arial"/>
                <w:sz w:val="18"/>
                <w:szCs w:val="18"/>
                <w:color w:val="0000EE"/>
              </w:rPr>
            </w:pPr>
            <w:hyperlink w:anchor="page47">
              <w:r>
                <w:rPr>
                  <w:rFonts w:ascii="Arial" w:cs="Arial" w:eastAsia="Arial" w:hAnsi="Arial"/>
                  <w:sz w:val="18"/>
                  <w:szCs w:val="18"/>
                  <w:color w:val="0000EE"/>
                </w:rPr>
                <w:t>ITEM 1</w:t>
              </w:r>
            </w:hyperlink>
          </w:p>
        </w:tc>
        <w:tc>
          <w:tcPr>
            <w:tcW w:w="7260" w:type="dxa"/>
            <w:vAlign w:val="bottom"/>
            <w:gridSpan w:val="31"/>
          </w:tcPr>
          <w:p>
            <w:pPr>
              <w:ind w:left="140"/>
              <w:spacing w:after="0" w:line="196" w:lineRule="exact"/>
              <w:rPr>
                <w:rFonts w:ascii="Arial" w:cs="Arial" w:eastAsia="Arial" w:hAnsi="Arial"/>
                <w:sz w:val="18"/>
                <w:szCs w:val="18"/>
                <w:color w:val="0000EE"/>
              </w:rPr>
            </w:pPr>
            <w:hyperlink w:anchor="page47">
              <w:r>
                <w:rPr>
                  <w:rFonts w:ascii="Arial" w:cs="Arial" w:eastAsia="Arial" w:hAnsi="Arial"/>
                  <w:sz w:val="18"/>
                  <w:szCs w:val="18"/>
                  <w:color w:val="0000EE"/>
                </w:rPr>
                <w:t>IDENTITY OF DIRECTORS, SENIOR MANAGEMENT AND ADVISERS</w:t>
              </w:r>
            </w:hyperlink>
          </w:p>
        </w:tc>
        <w:tc>
          <w:tcPr>
            <w:tcW w:w="640" w:type="dxa"/>
            <w:vAlign w:val="bottom"/>
            <w:gridSpan w:val="6"/>
          </w:tcPr>
          <w:p>
            <w:pPr>
              <w:jc w:val="right"/>
              <w:spacing w:after="0" w:line="196" w:lineRule="exact"/>
              <w:rPr>
                <w:sz w:val="20"/>
                <w:szCs w:val="20"/>
                <w:color w:val="auto"/>
              </w:rPr>
            </w:pPr>
            <w:r>
              <w:rPr>
                <w:rFonts w:ascii="Arial" w:cs="Arial" w:eastAsia="Arial" w:hAnsi="Arial"/>
                <w:sz w:val="18"/>
                <w:szCs w:val="18"/>
                <w:color w:val="0000EE"/>
              </w:rPr>
              <w:t>4*</w:t>
            </w:r>
          </w:p>
        </w:tc>
        <w:tc>
          <w:tcPr>
            <w:tcW w:w="0" w:type="dxa"/>
            <w:vAlign w:val="bottom"/>
          </w:tcPr>
          <w:p>
            <w:pPr>
              <w:spacing w:after="0"/>
              <w:rPr>
                <w:sz w:val="1"/>
                <w:szCs w:val="1"/>
                <w:color w:val="auto"/>
              </w:rPr>
            </w:pPr>
          </w:p>
        </w:tc>
      </w:tr>
      <w:tr>
        <w:trPr>
          <w:trHeight w:val="20"/>
        </w:trPr>
        <w:tc>
          <w:tcPr>
            <w:tcW w:w="140" w:type="dxa"/>
            <w:vAlign w:val="bottom"/>
          </w:tcPr>
          <w:p>
            <w:pPr>
              <w:spacing w:after="0" w:line="20" w:lineRule="exact"/>
              <w:rPr>
                <w:sz w:val="1"/>
                <w:szCs w:val="1"/>
                <w:color w:val="auto"/>
              </w:rPr>
            </w:pPr>
          </w:p>
        </w:tc>
        <w:tc>
          <w:tcPr>
            <w:tcW w:w="560" w:type="dxa"/>
            <w:vAlign w:val="bottom"/>
            <w:gridSpan w:val="3"/>
            <w:shd w:val="clear" w:color="auto" w:fill="0000EE"/>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20" w:type="dxa"/>
            <w:vAlign w:val="bottom"/>
            <w:gridSpan w:val="2"/>
            <w:shd w:val="clear" w:color="auto" w:fill="0000EE"/>
          </w:tcPr>
          <w:p>
            <w:pPr>
              <w:spacing w:after="0" w:line="20" w:lineRule="exact"/>
              <w:rPr>
                <w:sz w:val="1"/>
                <w:szCs w:val="1"/>
                <w:color w:val="auto"/>
              </w:rPr>
            </w:pPr>
          </w:p>
        </w:tc>
        <w:tc>
          <w:tcPr>
            <w:tcW w:w="120" w:type="dxa"/>
            <w:vAlign w:val="bottom"/>
            <w:tcBorders>
              <w:left w:val="single" w:sz="8" w:color="0000EE"/>
            </w:tcBorders>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36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20" w:type="dxa"/>
            <w:vAlign w:val="bottom"/>
            <w:tcBorders>
              <w:left w:val="single" w:sz="8" w:color="0000EE"/>
            </w:tcBorders>
            <w:shd w:val="clear" w:color="auto" w:fill="0000EE"/>
          </w:tcPr>
          <w:p>
            <w:pPr>
              <w:spacing w:after="0" w:line="20" w:lineRule="exact"/>
              <w:rPr>
                <w:sz w:val="1"/>
                <w:szCs w:val="1"/>
                <w:color w:val="auto"/>
              </w:rPr>
            </w:pPr>
          </w:p>
        </w:tc>
        <w:tc>
          <w:tcPr>
            <w:tcW w:w="160" w:type="dxa"/>
            <w:vAlign w:val="bottom"/>
            <w:tcBorders>
              <w:left w:val="single" w:sz="8" w:color="0000EE"/>
            </w:tcBorders>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1180" w:type="dxa"/>
            <w:vAlign w:val="bottom"/>
            <w:tcBorders>
              <w:left w:val="single" w:sz="8" w:color="0000EE"/>
            </w:tcBorders>
            <w:shd w:val="clear" w:color="auto" w:fill="0000EE"/>
          </w:tcPr>
          <w:p>
            <w:pPr>
              <w:spacing w:after="0" w:line="20" w:lineRule="exact"/>
              <w:rPr>
                <w:sz w:val="1"/>
                <w:szCs w:val="1"/>
                <w:color w:val="auto"/>
              </w:rPr>
            </w:pPr>
          </w:p>
        </w:tc>
        <w:tc>
          <w:tcPr>
            <w:tcW w:w="580" w:type="dxa"/>
            <w:vAlign w:val="bottom"/>
            <w:shd w:val="clear" w:color="auto" w:fill="0000EE"/>
          </w:tcPr>
          <w:p>
            <w:pPr>
              <w:spacing w:after="0" w:line="20" w:lineRule="exact"/>
              <w:rPr>
                <w:sz w:val="1"/>
                <w:szCs w:val="1"/>
                <w:color w:val="auto"/>
              </w:rPr>
            </w:pPr>
          </w:p>
        </w:tc>
        <w:tc>
          <w:tcPr>
            <w:tcW w:w="740" w:type="dxa"/>
            <w:vAlign w:val="bottom"/>
            <w:tcBorders>
              <w:left w:val="single" w:sz="8" w:color="0000EE"/>
            </w:tcBorders>
            <w:gridSpan w:val="4"/>
            <w:shd w:val="clear" w:color="auto" w:fill="0000EE"/>
          </w:tcPr>
          <w:p>
            <w:pPr>
              <w:spacing w:after="0" w:line="20" w:lineRule="exact"/>
              <w:rPr>
                <w:sz w:val="1"/>
                <w:szCs w:val="1"/>
                <w:color w:val="auto"/>
              </w:rPr>
            </w:pPr>
          </w:p>
        </w:tc>
        <w:tc>
          <w:tcPr>
            <w:tcW w:w="220" w:type="dxa"/>
            <w:vAlign w:val="bottom"/>
            <w:shd w:val="clear" w:color="auto" w:fill="0000EE"/>
          </w:tcPr>
          <w:p>
            <w:pPr>
              <w:spacing w:after="0" w:line="20" w:lineRule="exact"/>
              <w:rPr>
                <w:sz w:val="1"/>
                <w:szCs w:val="1"/>
                <w:color w:val="auto"/>
              </w:rPr>
            </w:pPr>
          </w:p>
        </w:tc>
        <w:tc>
          <w:tcPr>
            <w:tcW w:w="1660" w:type="dxa"/>
            <w:vAlign w:val="bottom"/>
            <w:gridSpan w:val="2"/>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40" w:type="dxa"/>
            <w:vAlign w:val="bottom"/>
          </w:tcPr>
          <w:p>
            <w:pPr>
              <w:spacing w:after="0"/>
              <w:rPr>
                <w:sz w:val="17"/>
                <w:szCs w:val="17"/>
                <w:color w:val="auto"/>
              </w:rPr>
            </w:pPr>
          </w:p>
        </w:tc>
        <w:tc>
          <w:tcPr>
            <w:tcW w:w="1020" w:type="dxa"/>
            <w:vAlign w:val="bottom"/>
            <w:gridSpan w:val="5"/>
          </w:tcPr>
          <w:p>
            <w:pPr>
              <w:spacing w:after="0" w:line="196" w:lineRule="exact"/>
              <w:rPr>
                <w:rFonts w:ascii="Arial" w:cs="Arial" w:eastAsia="Arial" w:hAnsi="Arial"/>
                <w:sz w:val="18"/>
                <w:szCs w:val="18"/>
                <w:color w:val="0000EE"/>
              </w:rPr>
            </w:pPr>
            <w:hyperlink w:anchor="page47">
              <w:r>
                <w:rPr>
                  <w:rFonts w:ascii="Arial" w:cs="Arial" w:eastAsia="Arial" w:hAnsi="Arial"/>
                  <w:sz w:val="18"/>
                  <w:szCs w:val="18"/>
                  <w:color w:val="0000EE"/>
                </w:rPr>
                <w:t>ITEM 2</w:t>
              </w:r>
            </w:hyperlink>
          </w:p>
        </w:tc>
        <w:tc>
          <w:tcPr>
            <w:tcW w:w="7260" w:type="dxa"/>
            <w:vAlign w:val="bottom"/>
            <w:gridSpan w:val="31"/>
          </w:tcPr>
          <w:p>
            <w:pPr>
              <w:ind w:left="140"/>
              <w:spacing w:after="0" w:line="196" w:lineRule="exact"/>
              <w:rPr>
                <w:rFonts w:ascii="Arial" w:cs="Arial" w:eastAsia="Arial" w:hAnsi="Arial"/>
                <w:sz w:val="18"/>
                <w:szCs w:val="18"/>
                <w:color w:val="0000EE"/>
              </w:rPr>
            </w:pPr>
            <w:hyperlink w:anchor="page47">
              <w:r>
                <w:rPr>
                  <w:rFonts w:ascii="Arial" w:cs="Arial" w:eastAsia="Arial" w:hAnsi="Arial"/>
                  <w:sz w:val="18"/>
                  <w:szCs w:val="18"/>
                  <w:color w:val="0000EE"/>
                </w:rPr>
                <w:t>OFFER STATISTICS AND EXPECTED TIMETABLE</w:t>
              </w:r>
            </w:hyperlink>
          </w:p>
        </w:tc>
        <w:tc>
          <w:tcPr>
            <w:tcW w:w="640" w:type="dxa"/>
            <w:vAlign w:val="bottom"/>
            <w:gridSpan w:val="6"/>
          </w:tcPr>
          <w:p>
            <w:pPr>
              <w:jc w:val="right"/>
              <w:spacing w:after="0" w:line="196" w:lineRule="exact"/>
              <w:rPr>
                <w:sz w:val="20"/>
                <w:szCs w:val="20"/>
                <w:color w:val="auto"/>
              </w:rPr>
            </w:pPr>
            <w:r>
              <w:rPr>
                <w:rFonts w:ascii="Arial" w:cs="Arial" w:eastAsia="Arial" w:hAnsi="Arial"/>
                <w:sz w:val="18"/>
                <w:szCs w:val="18"/>
                <w:color w:val="0000EE"/>
              </w:rPr>
              <w:t>4*</w:t>
            </w:r>
          </w:p>
        </w:tc>
        <w:tc>
          <w:tcPr>
            <w:tcW w:w="0" w:type="dxa"/>
            <w:vAlign w:val="bottom"/>
          </w:tcPr>
          <w:p>
            <w:pPr>
              <w:spacing w:after="0"/>
              <w:rPr>
                <w:sz w:val="1"/>
                <w:szCs w:val="1"/>
                <w:color w:val="auto"/>
              </w:rPr>
            </w:pPr>
          </w:p>
        </w:tc>
      </w:tr>
      <w:tr>
        <w:trPr>
          <w:trHeight w:val="20"/>
        </w:trPr>
        <w:tc>
          <w:tcPr>
            <w:tcW w:w="140" w:type="dxa"/>
            <w:vAlign w:val="bottom"/>
          </w:tcPr>
          <w:p>
            <w:pPr>
              <w:spacing w:after="0" w:line="20" w:lineRule="exact"/>
              <w:rPr>
                <w:sz w:val="1"/>
                <w:szCs w:val="1"/>
                <w:color w:val="auto"/>
              </w:rPr>
            </w:pPr>
          </w:p>
        </w:tc>
        <w:tc>
          <w:tcPr>
            <w:tcW w:w="560" w:type="dxa"/>
            <w:vAlign w:val="bottom"/>
            <w:gridSpan w:val="3"/>
            <w:shd w:val="clear" w:color="auto" w:fill="0000EE"/>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20" w:type="dxa"/>
            <w:vAlign w:val="bottom"/>
            <w:gridSpan w:val="2"/>
            <w:shd w:val="clear" w:color="auto" w:fill="0000EE"/>
          </w:tcPr>
          <w:p>
            <w:pPr>
              <w:spacing w:after="0" w:line="20" w:lineRule="exact"/>
              <w:rPr>
                <w:sz w:val="1"/>
                <w:szCs w:val="1"/>
                <w:color w:val="auto"/>
              </w:rPr>
            </w:pPr>
          </w:p>
        </w:tc>
        <w:tc>
          <w:tcPr>
            <w:tcW w:w="120" w:type="dxa"/>
            <w:vAlign w:val="bottom"/>
            <w:tcBorders>
              <w:left w:val="single" w:sz="8" w:color="0000EE"/>
            </w:tcBorders>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36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20" w:type="dxa"/>
            <w:vAlign w:val="bottom"/>
            <w:tcBorders>
              <w:left w:val="single" w:sz="8" w:color="0000EE"/>
            </w:tcBorders>
            <w:shd w:val="clear" w:color="auto" w:fill="0000EE"/>
          </w:tcPr>
          <w:p>
            <w:pPr>
              <w:spacing w:after="0" w:line="20" w:lineRule="exact"/>
              <w:rPr>
                <w:sz w:val="1"/>
                <w:szCs w:val="1"/>
                <w:color w:val="auto"/>
              </w:rPr>
            </w:pPr>
          </w:p>
        </w:tc>
        <w:tc>
          <w:tcPr>
            <w:tcW w:w="160" w:type="dxa"/>
            <w:vAlign w:val="bottom"/>
            <w:tcBorders>
              <w:left w:val="single" w:sz="8" w:color="0000EE"/>
            </w:tcBorders>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1180" w:type="dxa"/>
            <w:vAlign w:val="bottom"/>
            <w:tcBorders>
              <w:left w:val="single" w:sz="8" w:color="0000EE"/>
            </w:tcBorders>
            <w:shd w:val="clear" w:color="auto" w:fill="0000EE"/>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740" w:type="dxa"/>
            <w:vAlign w:val="bottom"/>
            <w:gridSpan w:val="4"/>
          </w:tcPr>
          <w:p>
            <w:pPr>
              <w:spacing w:after="0" w:line="20" w:lineRule="exact"/>
              <w:rPr>
                <w:sz w:val="1"/>
                <w:szCs w:val="1"/>
                <w:color w:val="auto"/>
              </w:rPr>
            </w:pPr>
          </w:p>
        </w:tc>
        <w:tc>
          <w:tcPr>
            <w:tcW w:w="1880" w:type="dxa"/>
            <w:vAlign w:val="bottom"/>
            <w:gridSpan w:val="3"/>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gridSpan w:val="2"/>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40" w:type="dxa"/>
            <w:vAlign w:val="bottom"/>
          </w:tcPr>
          <w:p>
            <w:pPr>
              <w:spacing w:after="0"/>
              <w:rPr>
                <w:sz w:val="17"/>
                <w:szCs w:val="17"/>
                <w:color w:val="auto"/>
              </w:rPr>
            </w:pPr>
          </w:p>
        </w:tc>
        <w:tc>
          <w:tcPr>
            <w:tcW w:w="1020" w:type="dxa"/>
            <w:vAlign w:val="bottom"/>
            <w:gridSpan w:val="5"/>
          </w:tcPr>
          <w:p>
            <w:pPr>
              <w:spacing w:after="0" w:line="196" w:lineRule="exact"/>
              <w:rPr>
                <w:rFonts w:ascii="Arial" w:cs="Arial" w:eastAsia="Arial" w:hAnsi="Arial"/>
                <w:sz w:val="18"/>
                <w:szCs w:val="18"/>
                <w:color w:val="0000EE"/>
              </w:rPr>
            </w:pPr>
            <w:hyperlink w:anchor="page47">
              <w:r>
                <w:rPr>
                  <w:rFonts w:ascii="Arial" w:cs="Arial" w:eastAsia="Arial" w:hAnsi="Arial"/>
                  <w:sz w:val="18"/>
                  <w:szCs w:val="18"/>
                  <w:color w:val="0000EE"/>
                </w:rPr>
                <w:t>ITEM 3</w:t>
              </w:r>
            </w:hyperlink>
          </w:p>
        </w:tc>
        <w:tc>
          <w:tcPr>
            <w:tcW w:w="7260" w:type="dxa"/>
            <w:vAlign w:val="bottom"/>
            <w:gridSpan w:val="31"/>
          </w:tcPr>
          <w:p>
            <w:pPr>
              <w:ind w:left="140"/>
              <w:spacing w:after="0" w:line="196" w:lineRule="exact"/>
              <w:rPr>
                <w:rFonts w:ascii="Arial" w:cs="Arial" w:eastAsia="Arial" w:hAnsi="Arial"/>
                <w:sz w:val="18"/>
                <w:szCs w:val="18"/>
                <w:color w:val="0000EE"/>
              </w:rPr>
            </w:pPr>
            <w:hyperlink w:anchor="page47">
              <w:r>
                <w:rPr>
                  <w:rFonts w:ascii="Arial" w:cs="Arial" w:eastAsia="Arial" w:hAnsi="Arial"/>
                  <w:sz w:val="18"/>
                  <w:szCs w:val="18"/>
                  <w:color w:val="0000EE"/>
                </w:rPr>
                <w:t>KEY INFORMATION</w:t>
              </w:r>
            </w:hyperlink>
          </w:p>
        </w:tc>
        <w:tc>
          <w:tcPr>
            <w:tcW w:w="580" w:type="dxa"/>
            <w:vAlign w:val="bottom"/>
            <w:gridSpan w:val="5"/>
          </w:tcPr>
          <w:p>
            <w:pPr>
              <w:jc w:val="right"/>
              <w:ind w:right="20"/>
              <w:spacing w:after="0" w:line="196" w:lineRule="exact"/>
              <w:rPr>
                <w:rFonts w:ascii="Arial" w:cs="Arial" w:eastAsia="Arial" w:hAnsi="Arial"/>
                <w:sz w:val="18"/>
                <w:szCs w:val="18"/>
                <w:color w:val="0000EE"/>
              </w:rPr>
            </w:pPr>
            <w:hyperlink w:anchor="page47">
              <w:r>
                <w:rPr>
                  <w:rFonts w:ascii="Arial" w:cs="Arial" w:eastAsia="Arial" w:hAnsi="Arial"/>
                  <w:sz w:val="18"/>
                  <w:szCs w:val="18"/>
                  <w:color w:val="0000EE"/>
                </w:rPr>
                <w:t>4</w:t>
              </w:r>
            </w:hyperlink>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40" w:type="dxa"/>
            <w:vAlign w:val="bottom"/>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420" w:type="dxa"/>
            <w:vAlign w:val="bottom"/>
            <w:gridSpan w:val="2"/>
            <w:shd w:val="clear" w:color="auto" w:fill="0000EE"/>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00" w:type="dxa"/>
            <w:vAlign w:val="bottom"/>
            <w:gridSpan w:val="2"/>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20" w:type="dxa"/>
            <w:vAlign w:val="bottom"/>
            <w:gridSpan w:val="2"/>
            <w:shd w:val="clear" w:color="auto" w:fill="0000EE"/>
          </w:tcPr>
          <w:p>
            <w:pPr>
              <w:spacing w:after="0" w:line="20" w:lineRule="exact"/>
              <w:rPr>
                <w:sz w:val="1"/>
                <w:szCs w:val="1"/>
                <w:color w:val="auto"/>
              </w:rPr>
            </w:pPr>
          </w:p>
        </w:tc>
        <w:tc>
          <w:tcPr>
            <w:tcW w:w="120" w:type="dxa"/>
            <w:vAlign w:val="bottom"/>
            <w:tcBorders>
              <w:left w:val="single" w:sz="8" w:color="0000EE"/>
            </w:tcBorders>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760" w:type="dxa"/>
            <w:vAlign w:val="bottom"/>
            <w:gridSpan w:val="2"/>
          </w:tcPr>
          <w:p>
            <w:pPr>
              <w:spacing w:after="0" w:line="20" w:lineRule="exact"/>
              <w:rPr>
                <w:sz w:val="1"/>
                <w:szCs w:val="1"/>
                <w:color w:val="auto"/>
              </w:rPr>
            </w:pPr>
          </w:p>
        </w:tc>
        <w:tc>
          <w:tcPr>
            <w:tcW w:w="740" w:type="dxa"/>
            <w:vAlign w:val="bottom"/>
            <w:gridSpan w:val="4"/>
          </w:tcPr>
          <w:p>
            <w:pPr>
              <w:spacing w:after="0" w:line="20" w:lineRule="exact"/>
              <w:rPr>
                <w:sz w:val="1"/>
                <w:szCs w:val="1"/>
                <w:color w:val="auto"/>
              </w:rPr>
            </w:pPr>
          </w:p>
        </w:tc>
        <w:tc>
          <w:tcPr>
            <w:tcW w:w="1880" w:type="dxa"/>
            <w:vAlign w:val="bottom"/>
            <w:gridSpan w:val="3"/>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140" w:type="dxa"/>
            <w:vAlign w:val="bottom"/>
            <w:gridSpan w:val="35"/>
          </w:tcPr>
          <w:p>
            <w:pPr>
              <w:spacing w:after="0" w:line="196" w:lineRule="exact"/>
              <w:rPr>
                <w:rFonts w:ascii="Arial" w:cs="Arial" w:eastAsia="Arial" w:hAnsi="Arial"/>
                <w:sz w:val="18"/>
                <w:szCs w:val="18"/>
                <w:color w:val="0000EE"/>
              </w:rPr>
            </w:pPr>
            <w:hyperlink w:anchor="page47">
              <w:r>
                <w:rPr>
                  <w:rFonts w:ascii="Arial" w:cs="Arial" w:eastAsia="Arial" w:hAnsi="Arial"/>
                  <w:sz w:val="18"/>
                  <w:szCs w:val="18"/>
                  <w:color w:val="0000EE"/>
                </w:rPr>
                <w:t>Selected Financial Data</w:t>
              </w:r>
            </w:hyperlink>
          </w:p>
        </w:tc>
        <w:tc>
          <w:tcPr>
            <w:tcW w:w="580" w:type="dxa"/>
            <w:vAlign w:val="bottom"/>
            <w:gridSpan w:val="5"/>
          </w:tcPr>
          <w:p>
            <w:pPr>
              <w:jc w:val="right"/>
              <w:ind w:right="20"/>
              <w:spacing w:after="0" w:line="196" w:lineRule="exact"/>
              <w:rPr>
                <w:rFonts w:ascii="Arial" w:cs="Arial" w:eastAsia="Arial" w:hAnsi="Arial"/>
                <w:sz w:val="18"/>
                <w:szCs w:val="18"/>
                <w:color w:val="0000EE"/>
              </w:rPr>
            </w:pPr>
            <w:hyperlink w:anchor="page47">
              <w:r>
                <w:rPr>
                  <w:rFonts w:ascii="Arial" w:cs="Arial" w:eastAsia="Arial" w:hAnsi="Arial"/>
                  <w:sz w:val="18"/>
                  <w:szCs w:val="18"/>
                  <w:color w:val="0000EE"/>
                </w:rPr>
                <w:t>4</w:t>
              </w:r>
            </w:hyperlink>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20" w:type="dxa"/>
            <w:vAlign w:val="bottom"/>
            <w:gridSpan w:val="3"/>
            <w:shd w:val="clear" w:color="auto" w:fill="0000EE"/>
          </w:tcPr>
          <w:p>
            <w:pPr>
              <w:spacing w:after="0" w:line="20" w:lineRule="exact"/>
              <w:rPr>
                <w:sz w:val="1"/>
                <w:szCs w:val="1"/>
                <w:color w:val="auto"/>
              </w:rPr>
            </w:pPr>
          </w:p>
        </w:tc>
        <w:tc>
          <w:tcPr>
            <w:tcW w:w="620" w:type="dxa"/>
            <w:vAlign w:val="bottom"/>
            <w:tcBorders>
              <w:left w:val="single" w:sz="8" w:color="0000EE"/>
            </w:tcBorders>
            <w:gridSpan w:val="3"/>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20" w:type="dxa"/>
            <w:vAlign w:val="bottom"/>
            <w:gridSpan w:val="2"/>
            <w:shd w:val="clear" w:color="auto" w:fill="0000EE"/>
          </w:tcPr>
          <w:p>
            <w:pPr>
              <w:spacing w:after="0" w:line="20" w:lineRule="exact"/>
              <w:rPr>
                <w:sz w:val="1"/>
                <w:szCs w:val="1"/>
                <w:color w:val="auto"/>
              </w:rPr>
            </w:pPr>
          </w:p>
        </w:tc>
        <w:tc>
          <w:tcPr>
            <w:tcW w:w="120" w:type="dxa"/>
            <w:vAlign w:val="bottom"/>
            <w:tcBorders>
              <w:left w:val="single" w:sz="8" w:color="0000EE"/>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52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760" w:type="dxa"/>
            <w:vAlign w:val="bottom"/>
            <w:gridSpan w:val="2"/>
          </w:tcPr>
          <w:p>
            <w:pPr>
              <w:spacing w:after="0" w:line="20" w:lineRule="exact"/>
              <w:rPr>
                <w:sz w:val="1"/>
                <w:szCs w:val="1"/>
                <w:color w:val="auto"/>
              </w:rPr>
            </w:pPr>
          </w:p>
        </w:tc>
        <w:tc>
          <w:tcPr>
            <w:tcW w:w="740" w:type="dxa"/>
            <w:vAlign w:val="bottom"/>
            <w:gridSpan w:val="4"/>
          </w:tcPr>
          <w:p>
            <w:pPr>
              <w:spacing w:after="0" w:line="20" w:lineRule="exact"/>
              <w:rPr>
                <w:sz w:val="1"/>
                <w:szCs w:val="1"/>
                <w:color w:val="auto"/>
              </w:rPr>
            </w:pPr>
          </w:p>
        </w:tc>
        <w:tc>
          <w:tcPr>
            <w:tcW w:w="1880" w:type="dxa"/>
            <w:vAlign w:val="bottom"/>
            <w:gridSpan w:val="3"/>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140" w:type="dxa"/>
            <w:vAlign w:val="bottom"/>
            <w:gridSpan w:val="35"/>
          </w:tcPr>
          <w:p>
            <w:pPr>
              <w:spacing w:after="0" w:line="196" w:lineRule="exact"/>
              <w:rPr>
                <w:rFonts w:ascii="Arial" w:cs="Arial" w:eastAsia="Arial" w:hAnsi="Arial"/>
                <w:sz w:val="18"/>
                <w:szCs w:val="18"/>
                <w:color w:val="0000EE"/>
              </w:rPr>
            </w:pPr>
            <w:hyperlink w:anchor="page48">
              <w:r>
                <w:rPr>
                  <w:rFonts w:ascii="Arial" w:cs="Arial" w:eastAsia="Arial" w:hAnsi="Arial"/>
                  <w:sz w:val="18"/>
                  <w:szCs w:val="18"/>
                  <w:color w:val="0000EE"/>
                </w:rPr>
                <w:t>Currency Exchange Rates</w:t>
              </w:r>
            </w:hyperlink>
          </w:p>
        </w:tc>
        <w:tc>
          <w:tcPr>
            <w:tcW w:w="580" w:type="dxa"/>
            <w:vAlign w:val="bottom"/>
            <w:gridSpan w:val="5"/>
          </w:tcPr>
          <w:p>
            <w:pPr>
              <w:jc w:val="right"/>
              <w:ind w:right="20"/>
              <w:spacing w:after="0" w:line="196" w:lineRule="exact"/>
              <w:rPr>
                <w:rFonts w:ascii="Arial" w:cs="Arial" w:eastAsia="Arial" w:hAnsi="Arial"/>
                <w:sz w:val="18"/>
                <w:szCs w:val="18"/>
                <w:color w:val="0000EE"/>
              </w:rPr>
            </w:pPr>
            <w:hyperlink w:anchor="page48">
              <w:r>
                <w:rPr>
                  <w:rFonts w:ascii="Arial" w:cs="Arial" w:eastAsia="Arial" w:hAnsi="Arial"/>
                  <w:sz w:val="18"/>
                  <w:szCs w:val="18"/>
                  <w:color w:val="0000EE"/>
                </w:rPr>
                <w:t>5</w:t>
              </w:r>
            </w:hyperlink>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80" w:type="dxa"/>
            <w:vAlign w:val="bottom"/>
            <w:tcBorders>
              <w:top w:val="single" w:sz="8" w:color="0000EE"/>
              <w:bottom w:val="single" w:sz="8" w:color="0000EE"/>
            </w:tcBorders>
            <w:gridSpan w:val="4"/>
          </w:tcPr>
          <w:p>
            <w:pPr>
              <w:spacing w:after="0" w:line="196" w:lineRule="exact"/>
              <w:rPr>
                <w:rFonts w:ascii="Arial" w:cs="Arial" w:eastAsia="Arial" w:hAnsi="Arial"/>
                <w:sz w:val="18"/>
                <w:szCs w:val="18"/>
                <w:color w:val="0000EE"/>
                <w:w w:val="85"/>
              </w:rPr>
            </w:pPr>
            <w:hyperlink w:anchor="page48">
              <w:r>
                <w:rPr>
                  <w:rFonts w:ascii="Arial" w:cs="Arial" w:eastAsia="Arial" w:hAnsi="Arial"/>
                  <w:sz w:val="18"/>
                  <w:szCs w:val="18"/>
                  <w:color w:val="0000EE"/>
                  <w:w w:val="85"/>
                </w:rPr>
                <w:t>Risk Factors</w:t>
              </w:r>
            </w:hyperlink>
          </w:p>
        </w:tc>
        <w:tc>
          <w:tcPr>
            <w:tcW w:w="140" w:type="dxa"/>
            <w:vAlign w:val="bottom"/>
            <w:tcBorders>
              <w:top w:val="single" w:sz="8" w:color="0000EE"/>
            </w:tcBorders>
          </w:tcPr>
          <w:p>
            <w:pPr>
              <w:spacing w:after="0"/>
              <w:rPr>
                <w:sz w:val="17"/>
                <w:szCs w:val="17"/>
                <w:color w:val="auto"/>
              </w:rPr>
            </w:pPr>
          </w:p>
        </w:tc>
        <w:tc>
          <w:tcPr>
            <w:tcW w:w="120" w:type="dxa"/>
            <w:vAlign w:val="bottom"/>
            <w:tcBorders>
              <w:top w:val="single" w:sz="8" w:color="0000EE"/>
            </w:tcBorders>
          </w:tcPr>
          <w:p>
            <w:pPr>
              <w:spacing w:after="0"/>
              <w:rPr>
                <w:sz w:val="17"/>
                <w:szCs w:val="17"/>
                <w:color w:val="auto"/>
              </w:rPr>
            </w:pPr>
          </w:p>
        </w:tc>
        <w:tc>
          <w:tcPr>
            <w:tcW w:w="180" w:type="dxa"/>
            <w:vAlign w:val="bottom"/>
            <w:tcBorders>
              <w:top w:val="single" w:sz="8" w:color="0000EE"/>
            </w:tcBorders>
          </w:tcPr>
          <w:p>
            <w:pPr>
              <w:spacing w:after="0"/>
              <w:rPr>
                <w:sz w:val="17"/>
                <w:szCs w:val="17"/>
                <w:color w:val="auto"/>
              </w:rPr>
            </w:pPr>
          </w:p>
        </w:tc>
        <w:tc>
          <w:tcPr>
            <w:tcW w:w="20" w:type="dxa"/>
            <w:vAlign w:val="bottom"/>
            <w:tcBorders>
              <w:top w:val="single" w:sz="8" w:color="0000EE"/>
            </w:tcBorders>
          </w:tcPr>
          <w:p>
            <w:pPr>
              <w:spacing w:after="0"/>
              <w:rPr>
                <w:sz w:val="17"/>
                <w:szCs w:val="17"/>
                <w:color w:val="auto"/>
              </w:rPr>
            </w:pPr>
          </w:p>
        </w:tc>
        <w:tc>
          <w:tcPr>
            <w:tcW w:w="20" w:type="dxa"/>
            <w:vAlign w:val="bottom"/>
            <w:tcBorders>
              <w:top w:val="single" w:sz="8" w:color="0000EE"/>
            </w:tcBorders>
          </w:tcPr>
          <w:p>
            <w:pPr>
              <w:spacing w:after="0"/>
              <w:rPr>
                <w:sz w:val="17"/>
                <w:szCs w:val="17"/>
                <w:color w:val="auto"/>
              </w:rPr>
            </w:pPr>
          </w:p>
        </w:tc>
        <w:tc>
          <w:tcPr>
            <w:tcW w:w="20" w:type="dxa"/>
            <w:vAlign w:val="bottom"/>
            <w:tcBorders>
              <w:top w:val="single" w:sz="8" w:color="0000EE"/>
            </w:tcBorders>
          </w:tcPr>
          <w:p>
            <w:pPr>
              <w:spacing w:after="0"/>
              <w:rPr>
                <w:sz w:val="17"/>
                <w:szCs w:val="17"/>
                <w:color w:val="auto"/>
              </w:rPr>
            </w:pPr>
          </w:p>
        </w:tc>
        <w:tc>
          <w:tcPr>
            <w:tcW w:w="60" w:type="dxa"/>
            <w:vAlign w:val="bottom"/>
            <w:tcBorders>
              <w:top w:val="single" w:sz="8" w:color="0000EE"/>
            </w:tcBorders>
          </w:tcPr>
          <w:p>
            <w:pPr>
              <w:spacing w:after="0"/>
              <w:rPr>
                <w:sz w:val="17"/>
                <w:szCs w:val="17"/>
                <w:color w:val="auto"/>
              </w:rPr>
            </w:pPr>
          </w:p>
        </w:tc>
        <w:tc>
          <w:tcPr>
            <w:tcW w:w="160" w:type="dxa"/>
            <w:vAlign w:val="bottom"/>
            <w:tcBorders>
              <w:top w:val="single" w:sz="8" w:color="0000EE"/>
            </w:tcBorders>
          </w:tcPr>
          <w:p>
            <w:pPr>
              <w:spacing w:after="0"/>
              <w:rPr>
                <w:sz w:val="17"/>
                <w:szCs w:val="17"/>
                <w:color w:val="auto"/>
              </w:rPr>
            </w:pPr>
          </w:p>
        </w:tc>
        <w:tc>
          <w:tcPr>
            <w:tcW w:w="120" w:type="dxa"/>
            <w:vAlign w:val="bottom"/>
            <w:tcBorders>
              <w:top w:val="single" w:sz="8" w:color="0000EE"/>
            </w:tcBorders>
          </w:tcPr>
          <w:p>
            <w:pPr>
              <w:spacing w:after="0"/>
              <w:rPr>
                <w:sz w:val="17"/>
                <w:szCs w:val="17"/>
                <w:color w:val="auto"/>
              </w:rPr>
            </w:pPr>
          </w:p>
        </w:tc>
        <w:tc>
          <w:tcPr>
            <w:tcW w:w="100" w:type="dxa"/>
            <w:vAlign w:val="bottom"/>
            <w:tcBorders>
              <w:top w:val="single" w:sz="8" w:color="0000EE"/>
            </w:tcBorders>
          </w:tcPr>
          <w:p>
            <w:pPr>
              <w:spacing w:after="0"/>
              <w:rPr>
                <w:sz w:val="17"/>
                <w:szCs w:val="17"/>
                <w:color w:val="auto"/>
              </w:rPr>
            </w:pPr>
          </w:p>
        </w:tc>
        <w:tc>
          <w:tcPr>
            <w:tcW w:w="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18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1240" w:type="dxa"/>
            <w:vAlign w:val="bottom"/>
          </w:tcPr>
          <w:p>
            <w:pPr>
              <w:spacing w:after="0"/>
              <w:rPr>
                <w:sz w:val="17"/>
                <w:szCs w:val="17"/>
                <w:color w:val="auto"/>
              </w:rPr>
            </w:pPr>
          </w:p>
        </w:tc>
        <w:tc>
          <w:tcPr>
            <w:tcW w:w="460" w:type="dxa"/>
            <w:vAlign w:val="bottom"/>
            <w:gridSpan w:val="3"/>
          </w:tcPr>
          <w:p>
            <w:pPr>
              <w:spacing w:after="0"/>
              <w:rPr>
                <w:sz w:val="17"/>
                <w:szCs w:val="17"/>
                <w:color w:val="auto"/>
              </w:rPr>
            </w:pPr>
          </w:p>
        </w:tc>
        <w:tc>
          <w:tcPr>
            <w:tcW w:w="100" w:type="dxa"/>
            <w:vAlign w:val="bottom"/>
            <w:tcBorders>
              <w:top w:val="single" w:sz="8" w:color="0000EE"/>
              <w:bottom w:val="single" w:sz="8" w:color="0000EE"/>
            </w:tcBorders>
          </w:tcPr>
          <w:p>
            <w:pPr>
              <w:jc w:val="right"/>
              <w:spacing w:after="0" w:line="196" w:lineRule="exact"/>
              <w:rPr>
                <w:rFonts w:ascii="Arial" w:cs="Arial" w:eastAsia="Arial" w:hAnsi="Arial"/>
                <w:sz w:val="18"/>
                <w:szCs w:val="18"/>
                <w:color w:val="0000EE"/>
                <w:w w:val="79"/>
              </w:rPr>
            </w:pPr>
            <w:hyperlink w:anchor="page48">
              <w:r>
                <w:rPr>
                  <w:rFonts w:ascii="Arial" w:cs="Arial" w:eastAsia="Arial" w:hAnsi="Arial"/>
                  <w:sz w:val="18"/>
                  <w:szCs w:val="18"/>
                  <w:color w:val="0000EE"/>
                  <w:w w:val="79"/>
                </w:rPr>
                <w:t>5</w:t>
              </w:r>
            </w:hyperlink>
          </w:p>
        </w:tc>
        <w:tc>
          <w:tcPr>
            <w:tcW w:w="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140" w:type="dxa"/>
            <w:vAlign w:val="bottom"/>
          </w:tcPr>
          <w:p>
            <w:pPr>
              <w:spacing w:after="0"/>
              <w:rPr>
                <w:sz w:val="17"/>
                <w:szCs w:val="17"/>
                <w:color w:val="auto"/>
              </w:rPr>
            </w:pPr>
          </w:p>
        </w:tc>
        <w:tc>
          <w:tcPr>
            <w:tcW w:w="1020" w:type="dxa"/>
            <w:vAlign w:val="bottom"/>
            <w:gridSpan w:val="5"/>
          </w:tcPr>
          <w:p>
            <w:pPr>
              <w:spacing w:after="0" w:line="196" w:lineRule="exact"/>
              <w:rPr>
                <w:rFonts w:ascii="Arial" w:cs="Arial" w:eastAsia="Arial" w:hAnsi="Arial"/>
                <w:sz w:val="18"/>
                <w:szCs w:val="18"/>
                <w:color w:val="0000EE"/>
              </w:rPr>
            </w:pPr>
            <w:hyperlink w:anchor="page58">
              <w:r>
                <w:rPr>
                  <w:rFonts w:ascii="Arial" w:cs="Arial" w:eastAsia="Arial" w:hAnsi="Arial"/>
                  <w:sz w:val="18"/>
                  <w:szCs w:val="18"/>
                  <w:color w:val="0000EE"/>
                </w:rPr>
                <w:t>ITEM 4</w:t>
              </w:r>
            </w:hyperlink>
          </w:p>
        </w:tc>
        <w:tc>
          <w:tcPr>
            <w:tcW w:w="7260" w:type="dxa"/>
            <w:vAlign w:val="bottom"/>
            <w:gridSpan w:val="31"/>
          </w:tcPr>
          <w:p>
            <w:pPr>
              <w:ind w:left="140"/>
              <w:spacing w:after="0" w:line="196" w:lineRule="exact"/>
              <w:rPr>
                <w:rFonts w:ascii="Arial" w:cs="Arial" w:eastAsia="Arial" w:hAnsi="Arial"/>
                <w:sz w:val="18"/>
                <w:szCs w:val="18"/>
                <w:color w:val="0000EE"/>
              </w:rPr>
            </w:pPr>
            <w:hyperlink w:anchor="page58">
              <w:r>
                <w:rPr>
                  <w:rFonts w:ascii="Arial" w:cs="Arial" w:eastAsia="Arial" w:hAnsi="Arial"/>
                  <w:sz w:val="18"/>
                  <w:szCs w:val="18"/>
                  <w:color w:val="0000EE"/>
                </w:rPr>
                <w:t>INFORMATION ON THE COMPANY</w:t>
              </w:r>
            </w:hyperlink>
          </w:p>
        </w:tc>
        <w:tc>
          <w:tcPr>
            <w:tcW w:w="580" w:type="dxa"/>
            <w:vAlign w:val="bottom"/>
            <w:gridSpan w:val="5"/>
          </w:tcPr>
          <w:p>
            <w:pPr>
              <w:jc w:val="right"/>
              <w:ind w:right="20"/>
              <w:spacing w:after="0" w:line="196" w:lineRule="exact"/>
              <w:rPr>
                <w:rFonts w:ascii="Arial" w:cs="Arial" w:eastAsia="Arial" w:hAnsi="Arial"/>
                <w:sz w:val="18"/>
                <w:szCs w:val="18"/>
                <w:color w:val="0000EE"/>
              </w:rPr>
            </w:pPr>
            <w:hyperlink w:anchor="page58">
              <w:r>
                <w:rPr>
                  <w:rFonts w:ascii="Arial" w:cs="Arial" w:eastAsia="Arial" w:hAnsi="Arial"/>
                  <w:sz w:val="18"/>
                  <w:szCs w:val="18"/>
                  <w:color w:val="0000EE"/>
                </w:rPr>
                <w:t>15</w:t>
              </w:r>
            </w:hyperlink>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40" w:type="dxa"/>
            <w:vAlign w:val="bottom"/>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420" w:type="dxa"/>
            <w:vAlign w:val="bottom"/>
            <w:gridSpan w:val="2"/>
            <w:shd w:val="clear" w:color="auto" w:fill="0000EE"/>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00" w:type="dxa"/>
            <w:vAlign w:val="bottom"/>
            <w:gridSpan w:val="2"/>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20" w:type="dxa"/>
            <w:vAlign w:val="bottom"/>
            <w:gridSpan w:val="2"/>
            <w:shd w:val="clear" w:color="auto" w:fill="0000EE"/>
          </w:tcPr>
          <w:p>
            <w:pPr>
              <w:spacing w:after="0" w:line="20" w:lineRule="exact"/>
              <w:rPr>
                <w:sz w:val="1"/>
                <w:szCs w:val="1"/>
                <w:color w:val="auto"/>
              </w:rPr>
            </w:pPr>
          </w:p>
        </w:tc>
        <w:tc>
          <w:tcPr>
            <w:tcW w:w="120" w:type="dxa"/>
            <w:vAlign w:val="bottom"/>
            <w:tcBorders>
              <w:left w:val="single" w:sz="8" w:color="0000EE"/>
            </w:tcBorders>
            <w:shd w:val="clear" w:color="auto" w:fill="0000EE"/>
          </w:tcPr>
          <w:p>
            <w:pPr>
              <w:spacing w:after="0" w:line="20" w:lineRule="exact"/>
              <w:rPr>
                <w:sz w:val="1"/>
                <w:szCs w:val="1"/>
                <w:color w:val="auto"/>
              </w:rPr>
            </w:pPr>
          </w:p>
        </w:tc>
        <w:tc>
          <w:tcPr>
            <w:tcW w:w="160" w:type="dxa"/>
            <w:vAlign w:val="bottom"/>
            <w:gridSpan w:val="2"/>
            <w:shd w:val="clear" w:color="auto" w:fill="0000EE"/>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520" w:type="dxa"/>
            <w:vAlign w:val="bottom"/>
            <w:gridSpan w:val="2"/>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20" w:type="dxa"/>
            <w:vAlign w:val="bottom"/>
            <w:tcBorders>
              <w:left w:val="single" w:sz="8" w:color="0000EE"/>
            </w:tcBorders>
            <w:shd w:val="clear" w:color="auto" w:fill="0000EE"/>
          </w:tcPr>
          <w:p>
            <w:pPr>
              <w:spacing w:after="0" w:line="20" w:lineRule="exact"/>
              <w:rPr>
                <w:sz w:val="1"/>
                <w:szCs w:val="1"/>
                <w:color w:val="auto"/>
              </w:rPr>
            </w:pPr>
          </w:p>
        </w:tc>
        <w:tc>
          <w:tcPr>
            <w:tcW w:w="160" w:type="dxa"/>
            <w:vAlign w:val="bottom"/>
            <w:tcBorders>
              <w:left w:val="single" w:sz="8" w:color="0000EE"/>
            </w:tcBorders>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1760" w:type="dxa"/>
            <w:vAlign w:val="bottom"/>
            <w:tcBorders>
              <w:left w:val="single" w:sz="8" w:color="0000EE"/>
            </w:tcBorders>
            <w:gridSpan w:val="2"/>
          </w:tcPr>
          <w:p>
            <w:pPr>
              <w:spacing w:after="0" w:line="20" w:lineRule="exact"/>
              <w:rPr>
                <w:sz w:val="1"/>
                <w:szCs w:val="1"/>
                <w:color w:val="auto"/>
              </w:rPr>
            </w:pPr>
          </w:p>
        </w:tc>
        <w:tc>
          <w:tcPr>
            <w:tcW w:w="740" w:type="dxa"/>
            <w:vAlign w:val="bottom"/>
            <w:gridSpan w:val="4"/>
          </w:tcPr>
          <w:p>
            <w:pPr>
              <w:spacing w:after="0" w:line="20" w:lineRule="exact"/>
              <w:rPr>
                <w:sz w:val="1"/>
                <w:szCs w:val="1"/>
                <w:color w:val="auto"/>
              </w:rPr>
            </w:pPr>
          </w:p>
        </w:tc>
        <w:tc>
          <w:tcPr>
            <w:tcW w:w="1880" w:type="dxa"/>
            <w:vAlign w:val="bottom"/>
            <w:gridSpan w:val="3"/>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gridSpan w:val="2"/>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140" w:type="dxa"/>
            <w:vAlign w:val="bottom"/>
            <w:gridSpan w:val="35"/>
          </w:tcPr>
          <w:p>
            <w:pPr>
              <w:spacing w:after="0" w:line="196" w:lineRule="exact"/>
              <w:rPr>
                <w:rFonts w:ascii="Arial" w:cs="Arial" w:eastAsia="Arial" w:hAnsi="Arial"/>
                <w:sz w:val="18"/>
                <w:szCs w:val="18"/>
                <w:color w:val="0000EE"/>
              </w:rPr>
            </w:pPr>
            <w:hyperlink w:anchor="page58">
              <w:r>
                <w:rPr>
                  <w:rFonts w:ascii="Arial" w:cs="Arial" w:eastAsia="Arial" w:hAnsi="Arial"/>
                  <w:sz w:val="18"/>
                  <w:szCs w:val="18"/>
                  <w:color w:val="0000EE"/>
                </w:rPr>
                <w:t>History and Development of the Company</w:t>
              </w:r>
            </w:hyperlink>
          </w:p>
        </w:tc>
        <w:tc>
          <w:tcPr>
            <w:tcW w:w="580" w:type="dxa"/>
            <w:vAlign w:val="bottom"/>
            <w:gridSpan w:val="5"/>
          </w:tcPr>
          <w:p>
            <w:pPr>
              <w:jc w:val="right"/>
              <w:ind w:right="20"/>
              <w:spacing w:after="0" w:line="196" w:lineRule="exact"/>
              <w:rPr>
                <w:rFonts w:ascii="Arial" w:cs="Arial" w:eastAsia="Arial" w:hAnsi="Arial"/>
                <w:sz w:val="18"/>
                <w:szCs w:val="18"/>
                <w:color w:val="0000EE"/>
              </w:rPr>
            </w:pPr>
            <w:hyperlink w:anchor="page58">
              <w:r>
                <w:rPr>
                  <w:rFonts w:ascii="Arial" w:cs="Arial" w:eastAsia="Arial" w:hAnsi="Arial"/>
                  <w:sz w:val="18"/>
                  <w:szCs w:val="18"/>
                  <w:color w:val="0000EE"/>
                </w:rPr>
                <w:t>15</w:t>
              </w:r>
            </w:hyperlink>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360" w:type="dxa"/>
            <w:vAlign w:val="bottom"/>
            <w:tcBorders>
              <w:top w:val="single" w:sz="8" w:color="0000EE"/>
              <w:bottom w:val="single" w:sz="8" w:color="0000EE"/>
            </w:tcBorders>
            <w:gridSpan w:val="9"/>
          </w:tcPr>
          <w:p>
            <w:pPr>
              <w:spacing w:after="0" w:line="196" w:lineRule="exact"/>
              <w:rPr>
                <w:rFonts w:ascii="Arial" w:cs="Arial" w:eastAsia="Arial" w:hAnsi="Arial"/>
                <w:sz w:val="18"/>
                <w:szCs w:val="18"/>
                <w:color w:val="0000EE"/>
                <w:w w:val="87"/>
              </w:rPr>
            </w:pPr>
            <w:hyperlink w:anchor="page62">
              <w:r>
                <w:rPr>
                  <w:rFonts w:ascii="Arial" w:cs="Arial" w:eastAsia="Arial" w:hAnsi="Arial"/>
                  <w:sz w:val="18"/>
                  <w:szCs w:val="18"/>
                  <w:color w:val="0000EE"/>
                  <w:w w:val="87"/>
                </w:rPr>
                <w:t>Business Overview</w:t>
              </w:r>
            </w:hyperlink>
          </w:p>
        </w:tc>
        <w:tc>
          <w:tcPr>
            <w:tcW w:w="1620" w:type="dxa"/>
            <w:vAlign w:val="bottom"/>
            <w:tcBorders>
              <w:top w:val="single" w:sz="8" w:color="0000EE"/>
            </w:tcBorders>
            <w:gridSpan w:val="11"/>
          </w:tcPr>
          <w:p>
            <w:pPr>
              <w:spacing w:after="0"/>
              <w:rPr>
                <w:sz w:val="17"/>
                <w:szCs w:val="17"/>
                <w:color w:val="auto"/>
              </w:rPr>
            </w:pPr>
          </w:p>
        </w:tc>
        <w:tc>
          <w:tcPr>
            <w:tcW w:w="5160" w:type="dxa"/>
            <w:vAlign w:val="bottom"/>
            <w:gridSpan w:val="15"/>
          </w:tcPr>
          <w:p>
            <w:pPr>
              <w:spacing w:after="0"/>
              <w:rPr>
                <w:sz w:val="17"/>
                <w:szCs w:val="17"/>
                <w:color w:val="auto"/>
              </w:rPr>
            </w:pPr>
          </w:p>
        </w:tc>
        <w:tc>
          <w:tcPr>
            <w:tcW w:w="380" w:type="dxa"/>
            <w:vAlign w:val="bottom"/>
            <w:gridSpan w:val="2"/>
          </w:tcPr>
          <w:p>
            <w:pPr>
              <w:spacing w:after="0"/>
              <w:rPr>
                <w:sz w:val="17"/>
                <w:szCs w:val="17"/>
                <w:color w:val="auto"/>
              </w:rPr>
            </w:pPr>
          </w:p>
        </w:tc>
        <w:tc>
          <w:tcPr>
            <w:tcW w:w="180" w:type="dxa"/>
            <w:vAlign w:val="bottom"/>
            <w:tcBorders>
              <w:top w:val="single" w:sz="8" w:color="0000EE"/>
              <w:bottom w:val="single" w:sz="8" w:color="0000EE"/>
            </w:tcBorders>
            <w:gridSpan w:val="2"/>
          </w:tcPr>
          <w:p>
            <w:pPr>
              <w:jc w:val="right"/>
              <w:spacing w:after="0" w:line="196" w:lineRule="exact"/>
              <w:rPr>
                <w:rFonts w:ascii="Arial" w:cs="Arial" w:eastAsia="Arial" w:hAnsi="Arial"/>
                <w:sz w:val="18"/>
                <w:szCs w:val="18"/>
                <w:color w:val="0000EE"/>
                <w:w w:val="79"/>
              </w:rPr>
            </w:pPr>
            <w:hyperlink w:anchor="page62">
              <w:r>
                <w:rPr>
                  <w:rFonts w:ascii="Arial" w:cs="Arial" w:eastAsia="Arial" w:hAnsi="Arial"/>
                  <w:sz w:val="18"/>
                  <w:szCs w:val="18"/>
                  <w:color w:val="0000EE"/>
                  <w:w w:val="79"/>
                </w:rPr>
                <w:t>19</w:t>
              </w:r>
            </w:hyperlink>
          </w:p>
        </w:tc>
        <w:tc>
          <w:tcPr>
            <w:tcW w:w="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140" w:type="dxa"/>
            <w:vAlign w:val="bottom"/>
            <w:gridSpan w:val="35"/>
          </w:tcPr>
          <w:p>
            <w:pPr>
              <w:spacing w:after="0" w:line="196" w:lineRule="exact"/>
              <w:rPr>
                <w:rFonts w:ascii="Arial" w:cs="Arial" w:eastAsia="Arial" w:hAnsi="Arial"/>
                <w:sz w:val="18"/>
                <w:szCs w:val="18"/>
                <w:color w:val="0000EE"/>
              </w:rPr>
            </w:pPr>
            <w:hyperlink w:anchor="page63">
              <w:r>
                <w:rPr>
                  <w:rFonts w:ascii="Arial" w:cs="Arial" w:eastAsia="Arial" w:hAnsi="Arial"/>
                  <w:sz w:val="18"/>
                  <w:szCs w:val="18"/>
                  <w:color w:val="0000EE"/>
                </w:rPr>
                <w:t>Mining Legislation and Regulation</w:t>
              </w:r>
            </w:hyperlink>
          </w:p>
        </w:tc>
        <w:tc>
          <w:tcPr>
            <w:tcW w:w="580" w:type="dxa"/>
            <w:vAlign w:val="bottom"/>
            <w:gridSpan w:val="5"/>
          </w:tcPr>
          <w:p>
            <w:pPr>
              <w:jc w:val="right"/>
              <w:ind w:right="20"/>
              <w:spacing w:after="0" w:line="196" w:lineRule="exact"/>
              <w:rPr>
                <w:rFonts w:ascii="Arial" w:cs="Arial" w:eastAsia="Arial" w:hAnsi="Arial"/>
                <w:sz w:val="18"/>
                <w:szCs w:val="18"/>
                <w:color w:val="0000EE"/>
              </w:rPr>
            </w:pPr>
            <w:hyperlink w:anchor="page63">
              <w:r>
                <w:rPr>
                  <w:rFonts w:ascii="Arial" w:cs="Arial" w:eastAsia="Arial" w:hAnsi="Arial"/>
                  <w:sz w:val="18"/>
                  <w:szCs w:val="18"/>
                  <w:color w:val="0000EE"/>
                </w:rPr>
                <w:t>20</w:t>
              </w:r>
            </w:hyperlink>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460" w:type="dxa"/>
            <w:vAlign w:val="bottom"/>
            <w:tcBorders>
              <w:top w:val="single" w:sz="8" w:color="0000EE"/>
            </w:tcBorders>
            <w:gridSpan w:val="18"/>
          </w:tcPr>
          <w:p>
            <w:pPr>
              <w:spacing w:after="0" w:line="196" w:lineRule="exact"/>
              <w:rPr>
                <w:rFonts w:ascii="Arial" w:cs="Arial" w:eastAsia="Arial" w:hAnsi="Arial"/>
                <w:sz w:val="18"/>
                <w:szCs w:val="18"/>
                <w:color w:val="0000EE"/>
              </w:rPr>
            </w:pPr>
            <w:hyperlink w:anchor="page66">
              <w:r>
                <w:rPr>
                  <w:rFonts w:ascii="Arial" w:cs="Arial" w:eastAsia="Arial" w:hAnsi="Arial"/>
                  <w:sz w:val="18"/>
                  <w:szCs w:val="18"/>
                  <w:color w:val="0000EE"/>
                </w:rPr>
                <w:t>Organizational Structure</w:t>
              </w:r>
            </w:hyperlink>
          </w:p>
        </w:tc>
        <w:tc>
          <w:tcPr>
            <w:tcW w:w="5680" w:type="dxa"/>
            <w:vAlign w:val="bottom"/>
            <w:gridSpan w:val="17"/>
          </w:tcPr>
          <w:p>
            <w:pPr>
              <w:spacing w:after="0"/>
              <w:rPr>
                <w:sz w:val="17"/>
                <w:szCs w:val="17"/>
                <w:color w:val="auto"/>
              </w:rPr>
            </w:pPr>
          </w:p>
        </w:tc>
        <w:tc>
          <w:tcPr>
            <w:tcW w:w="380" w:type="dxa"/>
            <w:vAlign w:val="bottom"/>
            <w:gridSpan w:val="2"/>
          </w:tcPr>
          <w:p>
            <w:pPr>
              <w:spacing w:after="0"/>
              <w:rPr>
                <w:sz w:val="17"/>
                <w:szCs w:val="17"/>
                <w:color w:val="auto"/>
              </w:rPr>
            </w:pPr>
          </w:p>
        </w:tc>
        <w:tc>
          <w:tcPr>
            <w:tcW w:w="180" w:type="dxa"/>
            <w:vAlign w:val="bottom"/>
            <w:tcBorders>
              <w:top w:val="single" w:sz="8" w:color="0000EE"/>
            </w:tcBorders>
            <w:gridSpan w:val="2"/>
          </w:tcPr>
          <w:p>
            <w:pPr>
              <w:jc w:val="right"/>
              <w:spacing w:after="0" w:line="196" w:lineRule="exact"/>
              <w:rPr>
                <w:rFonts w:ascii="Arial" w:cs="Arial" w:eastAsia="Arial" w:hAnsi="Arial"/>
                <w:sz w:val="18"/>
                <w:szCs w:val="18"/>
                <w:color w:val="0000EE"/>
                <w:w w:val="79"/>
              </w:rPr>
            </w:pPr>
            <w:hyperlink w:anchor="page66">
              <w:r>
                <w:rPr>
                  <w:rFonts w:ascii="Arial" w:cs="Arial" w:eastAsia="Arial" w:hAnsi="Arial"/>
                  <w:sz w:val="18"/>
                  <w:szCs w:val="18"/>
                  <w:color w:val="0000EE"/>
                  <w:w w:val="79"/>
                </w:rPr>
                <w:t>23</w:t>
              </w:r>
            </w:hyperlink>
          </w:p>
        </w:tc>
        <w:tc>
          <w:tcPr>
            <w:tcW w:w="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20" w:type="dxa"/>
            <w:vAlign w:val="bottom"/>
            <w:gridSpan w:val="3"/>
            <w:shd w:val="clear" w:color="auto" w:fill="0000EE"/>
          </w:tcPr>
          <w:p>
            <w:pPr>
              <w:spacing w:after="0" w:line="20" w:lineRule="exact"/>
              <w:rPr>
                <w:sz w:val="1"/>
                <w:szCs w:val="1"/>
                <w:color w:val="auto"/>
              </w:rPr>
            </w:pPr>
          </w:p>
        </w:tc>
        <w:tc>
          <w:tcPr>
            <w:tcW w:w="620" w:type="dxa"/>
            <w:vAlign w:val="bottom"/>
            <w:tcBorders>
              <w:left w:val="single" w:sz="8" w:color="0000EE"/>
            </w:tcBorders>
            <w:gridSpan w:val="3"/>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40" w:type="dxa"/>
            <w:vAlign w:val="bottom"/>
            <w:gridSpan w:val="2"/>
            <w:shd w:val="clear" w:color="auto" w:fill="0000EE"/>
          </w:tcPr>
          <w:p>
            <w:pPr>
              <w:spacing w:after="0" w:line="20" w:lineRule="exact"/>
              <w:rPr>
                <w:sz w:val="1"/>
                <w:szCs w:val="1"/>
                <w:color w:val="auto"/>
              </w:rPr>
            </w:pPr>
          </w:p>
        </w:tc>
        <w:tc>
          <w:tcPr>
            <w:tcW w:w="220" w:type="dxa"/>
            <w:vAlign w:val="bottom"/>
            <w:gridSpan w:val="2"/>
            <w:shd w:val="clear" w:color="auto" w:fill="0000EE"/>
          </w:tcPr>
          <w:p>
            <w:pPr>
              <w:spacing w:after="0" w:line="20" w:lineRule="exact"/>
              <w:rPr>
                <w:sz w:val="1"/>
                <w:szCs w:val="1"/>
                <w:color w:val="auto"/>
              </w:rPr>
            </w:pPr>
          </w:p>
        </w:tc>
        <w:tc>
          <w:tcPr>
            <w:tcW w:w="120" w:type="dxa"/>
            <w:vAlign w:val="bottom"/>
            <w:tcBorders>
              <w:left w:val="single" w:sz="8" w:color="0000EE"/>
            </w:tcBorders>
            <w:shd w:val="clear" w:color="auto" w:fill="0000EE"/>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80" w:type="dxa"/>
            <w:vAlign w:val="bottom"/>
            <w:gridSpan w:val="4"/>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760" w:type="dxa"/>
            <w:vAlign w:val="bottom"/>
            <w:gridSpan w:val="2"/>
          </w:tcPr>
          <w:p>
            <w:pPr>
              <w:spacing w:after="0" w:line="20" w:lineRule="exact"/>
              <w:rPr>
                <w:sz w:val="1"/>
                <w:szCs w:val="1"/>
                <w:color w:val="auto"/>
              </w:rPr>
            </w:pPr>
          </w:p>
        </w:tc>
        <w:tc>
          <w:tcPr>
            <w:tcW w:w="740" w:type="dxa"/>
            <w:vAlign w:val="bottom"/>
            <w:gridSpan w:val="4"/>
          </w:tcPr>
          <w:p>
            <w:pPr>
              <w:spacing w:after="0" w:line="20" w:lineRule="exact"/>
              <w:rPr>
                <w:sz w:val="1"/>
                <w:szCs w:val="1"/>
                <w:color w:val="auto"/>
              </w:rPr>
            </w:pPr>
          </w:p>
        </w:tc>
        <w:tc>
          <w:tcPr>
            <w:tcW w:w="1880" w:type="dxa"/>
            <w:vAlign w:val="bottom"/>
            <w:gridSpan w:val="3"/>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gridSpan w:val="2"/>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160" w:type="dxa"/>
            <w:vAlign w:val="bottom"/>
            <w:tcBorders>
              <w:bottom w:val="single" w:sz="8" w:color="0000EE"/>
            </w:tcBorders>
            <w:gridSpan w:val="16"/>
          </w:tcPr>
          <w:p>
            <w:pPr>
              <w:spacing w:after="0" w:line="196" w:lineRule="exact"/>
              <w:rPr>
                <w:rFonts w:ascii="Arial" w:cs="Arial" w:eastAsia="Arial" w:hAnsi="Arial"/>
                <w:sz w:val="18"/>
                <w:szCs w:val="18"/>
                <w:color w:val="0000EE"/>
                <w:w w:val="87"/>
              </w:rPr>
            </w:pPr>
            <w:hyperlink w:anchor="page68">
              <w:r>
                <w:rPr>
                  <w:rFonts w:ascii="Arial" w:cs="Arial" w:eastAsia="Arial" w:hAnsi="Arial"/>
                  <w:sz w:val="18"/>
                  <w:szCs w:val="18"/>
                  <w:color w:val="0000EE"/>
                  <w:w w:val="87"/>
                </w:rPr>
                <w:t>Property, Plant and Equipment</w:t>
              </w:r>
            </w:hyperlink>
          </w:p>
        </w:tc>
        <w:tc>
          <w:tcPr>
            <w:tcW w:w="5980" w:type="dxa"/>
            <w:vAlign w:val="bottom"/>
            <w:gridSpan w:val="19"/>
          </w:tcPr>
          <w:p>
            <w:pPr>
              <w:spacing w:after="0"/>
              <w:rPr>
                <w:sz w:val="17"/>
                <w:szCs w:val="17"/>
                <w:color w:val="auto"/>
              </w:rPr>
            </w:pPr>
          </w:p>
        </w:tc>
        <w:tc>
          <w:tcPr>
            <w:tcW w:w="380" w:type="dxa"/>
            <w:vAlign w:val="bottom"/>
            <w:gridSpan w:val="2"/>
          </w:tcPr>
          <w:p>
            <w:pPr>
              <w:spacing w:after="0"/>
              <w:rPr>
                <w:sz w:val="17"/>
                <w:szCs w:val="17"/>
                <w:color w:val="auto"/>
              </w:rPr>
            </w:pPr>
          </w:p>
        </w:tc>
        <w:tc>
          <w:tcPr>
            <w:tcW w:w="180" w:type="dxa"/>
            <w:vAlign w:val="bottom"/>
            <w:tcBorders>
              <w:bottom w:val="single" w:sz="8" w:color="0000EE"/>
            </w:tcBorders>
            <w:gridSpan w:val="2"/>
          </w:tcPr>
          <w:p>
            <w:pPr>
              <w:jc w:val="right"/>
              <w:spacing w:after="0" w:line="196" w:lineRule="exact"/>
              <w:rPr>
                <w:rFonts w:ascii="Arial" w:cs="Arial" w:eastAsia="Arial" w:hAnsi="Arial"/>
                <w:sz w:val="18"/>
                <w:szCs w:val="18"/>
                <w:color w:val="0000EE"/>
                <w:w w:val="79"/>
              </w:rPr>
            </w:pPr>
            <w:hyperlink w:anchor="page68">
              <w:r>
                <w:rPr>
                  <w:rFonts w:ascii="Arial" w:cs="Arial" w:eastAsia="Arial" w:hAnsi="Arial"/>
                  <w:sz w:val="18"/>
                  <w:szCs w:val="18"/>
                  <w:color w:val="0000EE"/>
                  <w:w w:val="79"/>
                </w:rPr>
                <w:t>25</w:t>
              </w:r>
            </w:hyperlink>
          </w:p>
        </w:tc>
        <w:tc>
          <w:tcPr>
            <w:tcW w:w="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140" w:type="dxa"/>
            <w:vAlign w:val="bottom"/>
          </w:tcPr>
          <w:p>
            <w:pPr>
              <w:spacing w:after="0"/>
              <w:rPr>
                <w:sz w:val="17"/>
                <w:szCs w:val="17"/>
                <w:color w:val="auto"/>
              </w:rPr>
            </w:pPr>
          </w:p>
        </w:tc>
        <w:tc>
          <w:tcPr>
            <w:tcW w:w="660" w:type="dxa"/>
            <w:vAlign w:val="bottom"/>
            <w:gridSpan w:val="4"/>
          </w:tcPr>
          <w:p>
            <w:pPr>
              <w:spacing w:after="0" w:line="196" w:lineRule="exact"/>
              <w:rPr>
                <w:rFonts w:ascii="Arial" w:cs="Arial" w:eastAsia="Arial" w:hAnsi="Arial"/>
                <w:sz w:val="18"/>
                <w:szCs w:val="18"/>
                <w:color w:val="0000EE"/>
                <w:w w:val="88"/>
              </w:rPr>
            </w:pPr>
            <w:hyperlink w:anchor="page116">
              <w:r>
                <w:rPr>
                  <w:rFonts w:ascii="Arial" w:cs="Arial" w:eastAsia="Arial" w:hAnsi="Arial"/>
                  <w:sz w:val="18"/>
                  <w:szCs w:val="18"/>
                  <w:color w:val="0000EE"/>
                  <w:w w:val="88"/>
                </w:rPr>
                <w:t>ITEM 4A</w:t>
              </w:r>
            </w:hyperlink>
          </w:p>
        </w:tc>
        <w:tc>
          <w:tcPr>
            <w:tcW w:w="360" w:type="dxa"/>
            <w:vAlign w:val="bottom"/>
          </w:tcPr>
          <w:p>
            <w:pPr>
              <w:spacing w:after="0"/>
              <w:rPr>
                <w:sz w:val="17"/>
                <w:szCs w:val="17"/>
                <w:color w:val="auto"/>
              </w:rPr>
            </w:pPr>
          </w:p>
        </w:tc>
        <w:tc>
          <w:tcPr>
            <w:tcW w:w="7260" w:type="dxa"/>
            <w:vAlign w:val="bottom"/>
            <w:gridSpan w:val="31"/>
          </w:tcPr>
          <w:p>
            <w:pPr>
              <w:ind w:left="140"/>
              <w:spacing w:after="0" w:line="196" w:lineRule="exact"/>
              <w:rPr>
                <w:rFonts w:ascii="Arial" w:cs="Arial" w:eastAsia="Arial" w:hAnsi="Arial"/>
                <w:sz w:val="18"/>
                <w:szCs w:val="18"/>
                <w:color w:val="0000EE"/>
              </w:rPr>
            </w:pPr>
            <w:hyperlink w:anchor="page116">
              <w:r>
                <w:rPr>
                  <w:rFonts w:ascii="Arial" w:cs="Arial" w:eastAsia="Arial" w:hAnsi="Arial"/>
                  <w:sz w:val="18"/>
                  <w:szCs w:val="18"/>
                  <w:color w:val="0000EE"/>
                </w:rPr>
                <w:t>UNRESOLVED STAFF COMMENTS</w:t>
              </w:r>
            </w:hyperlink>
          </w:p>
        </w:tc>
        <w:tc>
          <w:tcPr>
            <w:tcW w:w="580" w:type="dxa"/>
            <w:vAlign w:val="bottom"/>
            <w:gridSpan w:val="5"/>
          </w:tcPr>
          <w:p>
            <w:pPr>
              <w:jc w:val="right"/>
              <w:ind w:right="20"/>
              <w:spacing w:after="0" w:line="196" w:lineRule="exact"/>
              <w:rPr>
                <w:rFonts w:ascii="Arial" w:cs="Arial" w:eastAsia="Arial" w:hAnsi="Arial"/>
                <w:sz w:val="18"/>
                <w:szCs w:val="18"/>
                <w:color w:val="0000EE"/>
              </w:rPr>
            </w:pPr>
            <w:hyperlink w:anchor="page116">
              <w:r>
                <w:rPr>
                  <w:rFonts w:ascii="Arial" w:cs="Arial" w:eastAsia="Arial" w:hAnsi="Arial"/>
                  <w:sz w:val="18"/>
                  <w:szCs w:val="18"/>
                  <w:color w:val="0000EE"/>
                </w:rPr>
                <w:t>73</w:t>
              </w:r>
            </w:hyperlink>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40" w:type="dxa"/>
            <w:vAlign w:val="bottom"/>
          </w:tcPr>
          <w:p>
            <w:pPr>
              <w:spacing w:after="0" w:line="20" w:lineRule="exact"/>
              <w:rPr>
                <w:sz w:val="1"/>
                <w:szCs w:val="1"/>
                <w:color w:val="auto"/>
              </w:rPr>
            </w:pPr>
          </w:p>
        </w:tc>
        <w:tc>
          <w:tcPr>
            <w:tcW w:w="660" w:type="dxa"/>
            <w:vAlign w:val="bottom"/>
            <w:gridSpan w:val="4"/>
            <w:shd w:val="clear" w:color="auto" w:fill="0000EE"/>
          </w:tcPr>
          <w:p>
            <w:pPr>
              <w:spacing w:after="0" w:line="20" w:lineRule="exact"/>
              <w:rPr>
                <w:sz w:val="1"/>
                <w:szCs w:val="1"/>
                <w:color w:val="auto"/>
              </w:rPr>
            </w:pPr>
          </w:p>
        </w:tc>
        <w:tc>
          <w:tcPr>
            <w:tcW w:w="360" w:type="dxa"/>
            <w:vAlign w:val="bottom"/>
            <w:tcBorders>
              <w:left w:val="single" w:sz="8" w:color="0000EE"/>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40" w:type="dxa"/>
            <w:vAlign w:val="bottom"/>
            <w:gridSpan w:val="2"/>
            <w:shd w:val="clear" w:color="auto" w:fill="0000EE"/>
          </w:tcPr>
          <w:p>
            <w:pPr>
              <w:spacing w:after="0" w:line="20" w:lineRule="exact"/>
              <w:rPr>
                <w:sz w:val="1"/>
                <w:szCs w:val="1"/>
                <w:color w:val="auto"/>
              </w:rPr>
            </w:pPr>
          </w:p>
        </w:tc>
        <w:tc>
          <w:tcPr>
            <w:tcW w:w="220" w:type="dxa"/>
            <w:vAlign w:val="bottom"/>
            <w:gridSpan w:val="2"/>
            <w:shd w:val="clear" w:color="auto" w:fill="0000EE"/>
          </w:tcPr>
          <w:p>
            <w:pPr>
              <w:spacing w:after="0" w:line="20" w:lineRule="exact"/>
              <w:rPr>
                <w:sz w:val="1"/>
                <w:szCs w:val="1"/>
                <w:color w:val="auto"/>
              </w:rPr>
            </w:pPr>
          </w:p>
        </w:tc>
        <w:tc>
          <w:tcPr>
            <w:tcW w:w="280" w:type="dxa"/>
            <w:vAlign w:val="bottom"/>
            <w:tcBorders>
              <w:left w:val="single" w:sz="8" w:color="0000EE"/>
            </w:tcBorders>
            <w:gridSpan w:val="3"/>
            <w:shd w:val="clear" w:color="auto" w:fill="0000EE"/>
          </w:tcPr>
          <w:p>
            <w:pPr>
              <w:spacing w:after="0" w:line="20" w:lineRule="exact"/>
              <w:rPr>
                <w:sz w:val="1"/>
                <w:szCs w:val="1"/>
                <w:color w:val="auto"/>
              </w:rPr>
            </w:pPr>
          </w:p>
        </w:tc>
        <w:tc>
          <w:tcPr>
            <w:tcW w:w="320" w:type="dxa"/>
            <w:vAlign w:val="bottom"/>
            <w:gridSpan w:val="2"/>
            <w:shd w:val="clear" w:color="auto" w:fill="0000EE"/>
          </w:tcPr>
          <w:p>
            <w:pPr>
              <w:spacing w:after="0" w:line="20" w:lineRule="exact"/>
              <w:rPr>
                <w:sz w:val="1"/>
                <w:szCs w:val="1"/>
                <w:color w:val="auto"/>
              </w:rPr>
            </w:pPr>
          </w:p>
        </w:tc>
        <w:tc>
          <w:tcPr>
            <w:tcW w:w="880" w:type="dxa"/>
            <w:vAlign w:val="bottom"/>
            <w:gridSpan w:val="4"/>
            <w:shd w:val="clear" w:color="auto" w:fill="0000EE"/>
          </w:tcPr>
          <w:p>
            <w:pPr>
              <w:spacing w:after="0" w:line="20" w:lineRule="exact"/>
              <w:rPr>
                <w:sz w:val="1"/>
                <w:szCs w:val="1"/>
                <w:color w:val="auto"/>
              </w:rPr>
            </w:pPr>
          </w:p>
        </w:tc>
        <w:tc>
          <w:tcPr>
            <w:tcW w:w="120" w:type="dxa"/>
            <w:vAlign w:val="bottom"/>
            <w:tcBorders>
              <w:left w:val="single" w:sz="8" w:color="0000EE"/>
            </w:tcBorders>
            <w:shd w:val="clear" w:color="auto" w:fill="0000EE"/>
          </w:tcPr>
          <w:p>
            <w:pPr>
              <w:spacing w:after="0" w:line="20" w:lineRule="exact"/>
              <w:rPr>
                <w:sz w:val="1"/>
                <w:szCs w:val="1"/>
                <w:color w:val="auto"/>
              </w:rPr>
            </w:pPr>
          </w:p>
        </w:tc>
        <w:tc>
          <w:tcPr>
            <w:tcW w:w="160" w:type="dxa"/>
            <w:vAlign w:val="bottom"/>
            <w:tcBorders>
              <w:left w:val="single" w:sz="8" w:color="0000EE"/>
            </w:tcBorders>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1760" w:type="dxa"/>
            <w:vAlign w:val="bottom"/>
            <w:gridSpan w:val="2"/>
          </w:tcPr>
          <w:p>
            <w:pPr>
              <w:spacing w:after="0" w:line="20" w:lineRule="exact"/>
              <w:rPr>
                <w:sz w:val="1"/>
                <w:szCs w:val="1"/>
                <w:color w:val="auto"/>
              </w:rPr>
            </w:pPr>
          </w:p>
        </w:tc>
        <w:tc>
          <w:tcPr>
            <w:tcW w:w="740" w:type="dxa"/>
            <w:vAlign w:val="bottom"/>
            <w:gridSpan w:val="4"/>
          </w:tcPr>
          <w:p>
            <w:pPr>
              <w:spacing w:after="0" w:line="20" w:lineRule="exact"/>
              <w:rPr>
                <w:sz w:val="1"/>
                <w:szCs w:val="1"/>
                <w:color w:val="auto"/>
              </w:rPr>
            </w:pPr>
          </w:p>
        </w:tc>
        <w:tc>
          <w:tcPr>
            <w:tcW w:w="1880" w:type="dxa"/>
            <w:vAlign w:val="bottom"/>
            <w:gridSpan w:val="3"/>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gridSpan w:val="2"/>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40" w:type="dxa"/>
            <w:vAlign w:val="bottom"/>
          </w:tcPr>
          <w:p>
            <w:pPr>
              <w:spacing w:after="0"/>
              <w:rPr>
                <w:sz w:val="17"/>
                <w:szCs w:val="17"/>
                <w:color w:val="auto"/>
              </w:rPr>
            </w:pPr>
          </w:p>
        </w:tc>
        <w:tc>
          <w:tcPr>
            <w:tcW w:w="660" w:type="dxa"/>
            <w:vAlign w:val="bottom"/>
            <w:gridSpan w:val="4"/>
          </w:tcPr>
          <w:p>
            <w:pPr>
              <w:spacing w:after="0" w:line="196" w:lineRule="exact"/>
              <w:rPr>
                <w:rFonts w:ascii="Arial" w:cs="Arial" w:eastAsia="Arial" w:hAnsi="Arial"/>
                <w:sz w:val="18"/>
                <w:szCs w:val="18"/>
                <w:color w:val="0000EE"/>
              </w:rPr>
            </w:pPr>
            <w:hyperlink w:anchor="page116">
              <w:r>
                <w:rPr>
                  <w:rFonts w:ascii="Arial" w:cs="Arial" w:eastAsia="Arial" w:hAnsi="Arial"/>
                  <w:sz w:val="18"/>
                  <w:szCs w:val="18"/>
                  <w:color w:val="0000EE"/>
                </w:rPr>
                <w:t>ITEM 5</w:t>
              </w:r>
            </w:hyperlink>
          </w:p>
        </w:tc>
        <w:tc>
          <w:tcPr>
            <w:tcW w:w="360" w:type="dxa"/>
            <w:vAlign w:val="bottom"/>
          </w:tcPr>
          <w:p>
            <w:pPr>
              <w:spacing w:after="0"/>
              <w:rPr>
                <w:sz w:val="17"/>
                <w:szCs w:val="17"/>
                <w:color w:val="auto"/>
              </w:rPr>
            </w:pPr>
          </w:p>
        </w:tc>
        <w:tc>
          <w:tcPr>
            <w:tcW w:w="7260" w:type="dxa"/>
            <w:vAlign w:val="bottom"/>
            <w:gridSpan w:val="31"/>
          </w:tcPr>
          <w:p>
            <w:pPr>
              <w:ind w:left="140"/>
              <w:spacing w:after="0" w:line="196" w:lineRule="exact"/>
              <w:rPr>
                <w:rFonts w:ascii="Arial" w:cs="Arial" w:eastAsia="Arial" w:hAnsi="Arial"/>
                <w:sz w:val="18"/>
                <w:szCs w:val="18"/>
                <w:color w:val="0000EE"/>
              </w:rPr>
            </w:pPr>
            <w:hyperlink w:anchor="page116">
              <w:r>
                <w:rPr>
                  <w:rFonts w:ascii="Arial" w:cs="Arial" w:eastAsia="Arial" w:hAnsi="Arial"/>
                  <w:sz w:val="18"/>
                  <w:szCs w:val="18"/>
                  <w:color w:val="0000EE"/>
                </w:rPr>
                <w:t>OPERATING AND FINANCIAL REVIEW AND PROSPECTS</w:t>
              </w:r>
            </w:hyperlink>
          </w:p>
        </w:tc>
        <w:tc>
          <w:tcPr>
            <w:tcW w:w="580" w:type="dxa"/>
            <w:vAlign w:val="bottom"/>
            <w:gridSpan w:val="5"/>
          </w:tcPr>
          <w:p>
            <w:pPr>
              <w:jc w:val="right"/>
              <w:ind w:right="20"/>
              <w:spacing w:after="0" w:line="196" w:lineRule="exact"/>
              <w:rPr>
                <w:rFonts w:ascii="Arial" w:cs="Arial" w:eastAsia="Arial" w:hAnsi="Arial"/>
                <w:sz w:val="18"/>
                <w:szCs w:val="18"/>
                <w:color w:val="0000EE"/>
              </w:rPr>
            </w:pPr>
            <w:hyperlink w:anchor="page116">
              <w:r>
                <w:rPr>
                  <w:rFonts w:ascii="Arial" w:cs="Arial" w:eastAsia="Arial" w:hAnsi="Arial"/>
                  <w:sz w:val="18"/>
                  <w:szCs w:val="18"/>
                  <w:color w:val="0000EE"/>
                </w:rPr>
                <w:t>73</w:t>
              </w:r>
            </w:hyperlink>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40" w:type="dxa"/>
            <w:vAlign w:val="bottom"/>
          </w:tcPr>
          <w:p>
            <w:pPr>
              <w:spacing w:after="0" w:line="20" w:lineRule="exact"/>
              <w:rPr>
                <w:sz w:val="1"/>
                <w:szCs w:val="1"/>
                <w:color w:val="auto"/>
              </w:rPr>
            </w:pPr>
          </w:p>
        </w:tc>
        <w:tc>
          <w:tcPr>
            <w:tcW w:w="560" w:type="dxa"/>
            <w:vAlign w:val="bottom"/>
            <w:gridSpan w:val="3"/>
            <w:shd w:val="clear" w:color="auto" w:fill="0000EE"/>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40" w:type="dxa"/>
            <w:vAlign w:val="bottom"/>
            <w:gridSpan w:val="2"/>
            <w:shd w:val="clear" w:color="auto" w:fill="0000EE"/>
          </w:tcPr>
          <w:p>
            <w:pPr>
              <w:spacing w:after="0" w:line="20" w:lineRule="exact"/>
              <w:rPr>
                <w:sz w:val="1"/>
                <w:szCs w:val="1"/>
                <w:color w:val="auto"/>
              </w:rPr>
            </w:pPr>
          </w:p>
        </w:tc>
        <w:tc>
          <w:tcPr>
            <w:tcW w:w="220" w:type="dxa"/>
            <w:vAlign w:val="bottom"/>
            <w:gridSpan w:val="2"/>
            <w:shd w:val="clear" w:color="auto" w:fill="0000EE"/>
          </w:tcPr>
          <w:p>
            <w:pPr>
              <w:spacing w:after="0" w:line="20" w:lineRule="exact"/>
              <w:rPr>
                <w:sz w:val="1"/>
                <w:szCs w:val="1"/>
                <w:color w:val="auto"/>
              </w:rPr>
            </w:pPr>
          </w:p>
        </w:tc>
        <w:tc>
          <w:tcPr>
            <w:tcW w:w="280" w:type="dxa"/>
            <w:vAlign w:val="bottom"/>
            <w:tcBorders>
              <w:left w:val="single" w:sz="8" w:color="0000EE"/>
            </w:tcBorders>
            <w:gridSpan w:val="3"/>
            <w:shd w:val="clear" w:color="auto" w:fill="0000EE"/>
          </w:tcPr>
          <w:p>
            <w:pPr>
              <w:spacing w:after="0" w:line="20" w:lineRule="exact"/>
              <w:rPr>
                <w:sz w:val="1"/>
                <w:szCs w:val="1"/>
                <w:color w:val="auto"/>
              </w:rPr>
            </w:pPr>
          </w:p>
        </w:tc>
        <w:tc>
          <w:tcPr>
            <w:tcW w:w="320" w:type="dxa"/>
            <w:vAlign w:val="bottom"/>
            <w:gridSpan w:val="2"/>
            <w:shd w:val="clear" w:color="auto" w:fill="0000EE"/>
          </w:tcPr>
          <w:p>
            <w:pPr>
              <w:spacing w:after="0" w:line="20" w:lineRule="exact"/>
              <w:rPr>
                <w:sz w:val="1"/>
                <w:szCs w:val="1"/>
                <w:color w:val="auto"/>
              </w:rPr>
            </w:pPr>
          </w:p>
        </w:tc>
        <w:tc>
          <w:tcPr>
            <w:tcW w:w="880" w:type="dxa"/>
            <w:vAlign w:val="bottom"/>
            <w:gridSpan w:val="4"/>
            <w:shd w:val="clear" w:color="auto" w:fill="0000EE"/>
          </w:tcPr>
          <w:p>
            <w:pPr>
              <w:spacing w:after="0" w:line="20" w:lineRule="exact"/>
              <w:rPr>
                <w:sz w:val="1"/>
                <w:szCs w:val="1"/>
                <w:color w:val="auto"/>
              </w:rPr>
            </w:pPr>
          </w:p>
        </w:tc>
        <w:tc>
          <w:tcPr>
            <w:tcW w:w="120" w:type="dxa"/>
            <w:vAlign w:val="bottom"/>
            <w:tcBorders>
              <w:left w:val="single" w:sz="8" w:color="0000EE"/>
            </w:tcBorders>
            <w:shd w:val="clear" w:color="auto" w:fill="0000EE"/>
          </w:tcPr>
          <w:p>
            <w:pPr>
              <w:spacing w:after="0" w:line="20" w:lineRule="exact"/>
              <w:rPr>
                <w:sz w:val="1"/>
                <w:szCs w:val="1"/>
                <w:color w:val="auto"/>
              </w:rPr>
            </w:pPr>
          </w:p>
        </w:tc>
        <w:tc>
          <w:tcPr>
            <w:tcW w:w="160" w:type="dxa"/>
            <w:vAlign w:val="bottom"/>
            <w:tcBorders>
              <w:left w:val="single" w:sz="8" w:color="0000EE"/>
            </w:tcBorders>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1840" w:type="dxa"/>
            <w:vAlign w:val="bottom"/>
            <w:gridSpan w:val="3"/>
            <w:shd w:val="clear" w:color="auto" w:fill="0000EE"/>
          </w:tcPr>
          <w:p>
            <w:pPr>
              <w:spacing w:after="0" w:line="20" w:lineRule="exact"/>
              <w:rPr>
                <w:sz w:val="1"/>
                <w:szCs w:val="1"/>
                <w:color w:val="auto"/>
              </w:rPr>
            </w:pPr>
          </w:p>
        </w:tc>
        <w:tc>
          <w:tcPr>
            <w:tcW w:w="740" w:type="dxa"/>
            <w:vAlign w:val="bottom"/>
            <w:tcBorders>
              <w:left w:val="single" w:sz="8" w:color="0000EE"/>
            </w:tcBorders>
            <w:gridSpan w:val="4"/>
          </w:tcPr>
          <w:p>
            <w:pPr>
              <w:spacing w:after="0" w:line="20" w:lineRule="exact"/>
              <w:rPr>
                <w:sz w:val="1"/>
                <w:szCs w:val="1"/>
                <w:color w:val="auto"/>
              </w:rPr>
            </w:pPr>
          </w:p>
        </w:tc>
        <w:tc>
          <w:tcPr>
            <w:tcW w:w="1880" w:type="dxa"/>
            <w:vAlign w:val="bottom"/>
            <w:gridSpan w:val="3"/>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gridSpan w:val="2"/>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40" w:type="dxa"/>
            <w:vAlign w:val="bottom"/>
          </w:tcPr>
          <w:p>
            <w:pPr>
              <w:spacing w:after="0"/>
              <w:rPr>
                <w:sz w:val="17"/>
                <w:szCs w:val="17"/>
                <w:color w:val="auto"/>
              </w:rPr>
            </w:pPr>
          </w:p>
        </w:tc>
        <w:tc>
          <w:tcPr>
            <w:tcW w:w="1020" w:type="dxa"/>
            <w:vAlign w:val="bottom"/>
            <w:gridSpan w:val="5"/>
          </w:tcPr>
          <w:p>
            <w:pPr>
              <w:spacing w:after="0" w:line="196" w:lineRule="exact"/>
              <w:rPr>
                <w:rFonts w:ascii="Arial" w:cs="Arial" w:eastAsia="Arial" w:hAnsi="Arial"/>
                <w:sz w:val="18"/>
                <w:szCs w:val="18"/>
                <w:color w:val="0000EE"/>
              </w:rPr>
            </w:pPr>
            <w:hyperlink w:anchor="page142">
              <w:r>
                <w:rPr>
                  <w:rFonts w:ascii="Arial" w:cs="Arial" w:eastAsia="Arial" w:hAnsi="Arial"/>
                  <w:sz w:val="18"/>
                  <w:szCs w:val="18"/>
                  <w:color w:val="0000EE"/>
                </w:rPr>
                <w:t>ITEM 6</w:t>
              </w:r>
            </w:hyperlink>
          </w:p>
        </w:tc>
        <w:tc>
          <w:tcPr>
            <w:tcW w:w="7260" w:type="dxa"/>
            <w:vAlign w:val="bottom"/>
            <w:gridSpan w:val="31"/>
          </w:tcPr>
          <w:p>
            <w:pPr>
              <w:ind w:left="140"/>
              <w:spacing w:after="0" w:line="196" w:lineRule="exact"/>
              <w:rPr>
                <w:rFonts w:ascii="Arial" w:cs="Arial" w:eastAsia="Arial" w:hAnsi="Arial"/>
                <w:sz w:val="18"/>
                <w:szCs w:val="18"/>
                <w:color w:val="0000EE"/>
              </w:rPr>
            </w:pPr>
            <w:hyperlink w:anchor="page142">
              <w:r>
                <w:rPr>
                  <w:rFonts w:ascii="Arial" w:cs="Arial" w:eastAsia="Arial" w:hAnsi="Arial"/>
                  <w:sz w:val="18"/>
                  <w:szCs w:val="18"/>
                  <w:color w:val="0000EE"/>
                </w:rPr>
                <w:t>DIRECTORS, SENIOR MANAGEMENT AND EMPLOYEES</w:t>
              </w:r>
            </w:hyperlink>
          </w:p>
        </w:tc>
        <w:tc>
          <w:tcPr>
            <w:tcW w:w="580" w:type="dxa"/>
            <w:vAlign w:val="bottom"/>
            <w:gridSpan w:val="5"/>
          </w:tcPr>
          <w:p>
            <w:pPr>
              <w:jc w:val="right"/>
              <w:ind w:right="20"/>
              <w:spacing w:after="0" w:line="196" w:lineRule="exact"/>
              <w:rPr>
                <w:rFonts w:ascii="Arial" w:cs="Arial" w:eastAsia="Arial" w:hAnsi="Arial"/>
                <w:sz w:val="18"/>
                <w:szCs w:val="18"/>
                <w:color w:val="0000EE"/>
              </w:rPr>
            </w:pPr>
            <w:hyperlink w:anchor="page142">
              <w:r>
                <w:rPr>
                  <w:rFonts w:ascii="Arial" w:cs="Arial" w:eastAsia="Arial" w:hAnsi="Arial"/>
                  <w:sz w:val="18"/>
                  <w:szCs w:val="18"/>
                  <w:color w:val="0000EE"/>
                </w:rPr>
                <w:t>99</w:t>
              </w:r>
            </w:hyperlink>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40" w:type="dxa"/>
            <w:vAlign w:val="bottom"/>
          </w:tcPr>
          <w:p>
            <w:pPr>
              <w:spacing w:after="0" w:line="20" w:lineRule="exact"/>
              <w:rPr>
                <w:sz w:val="1"/>
                <w:szCs w:val="1"/>
                <w:color w:val="auto"/>
              </w:rPr>
            </w:pPr>
          </w:p>
        </w:tc>
        <w:tc>
          <w:tcPr>
            <w:tcW w:w="560" w:type="dxa"/>
            <w:vAlign w:val="bottom"/>
            <w:gridSpan w:val="3"/>
            <w:shd w:val="clear" w:color="auto" w:fill="0000EE"/>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40" w:type="dxa"/>
            <w:vAlign w:val="bottom"/>
            <w:gridSpan w:val="2"/>
            <w:shd w:val="clear" w:color="auto" w:fill="0000EE"/>
          </w:tcPr>
          <w:p>
            <w:pPr>
              <w:spacing w:after="0" w:line="20" w:lineRule="exact"/>
              <w:rPr>
                <w:sz w:val="1"/>
                <w:szCs w:val="1"/>
                <w:color w:val="auto"/>
              </w:rPr>
            </w:pPr>
          </w:p>
        </w:tc>
        <w:tc>
          <w:tcPr>
            <w:tcW w:w="220" w:type="dxa"/>
            <w:vAlign w:val="bottom"/>
            <w:gridSpan w:val="2"/>
            <w:shd w:val="clear" w:color="auto" w:fill="0000EE"/>
          </w:tcPr>
          <w:p>
            <w:pPr>
              <w:spacing w:after="0" w:line="20" w:lineRule="exact"/>
              <w:rPr>
                <w:sz w:val="1"/>
                <w:szCs w:val="1"/>
                <w:color w:val="auto"/>
              </w:rPr>
            </w:pPr>
          </w:p>
        </w:tc>
        <w:tc>
          <w:tcPr>
            <w:tcW w:w="280" w:type="dxa"/>
            <w:vAlign w:val="bottom"/>
            <w:tcBorders>
              <w:left w:val="single" w:sz="8" w:color="0000EE"/>
            </w:tcBorders>
            <w:gridSpan w:val="3"/>
            <w:shd w:val="clear" w:color="auto" w:fill="0000EE"/>
          </w:tcPr>
          <w:p>
            <w:pPr>
              <w:spacing w:after="0" w:line="20" w:lineRule="exact"/>
              <w:rPr>
                <w:sz w:val="1"/>
                <w:szCs w:val="1"/>
                <w:color w:val="auto"/>
              </w:rPr>
            </w:pPr>
          </w:p>
        </w:tc>
        <w:tc>
          <w:tcPr>
            <w:tcW w:w="320" w:type="dxa"/>
            <w:vAlign w:val="bottom"/>
            <w:gridSpan w:val="2"/>
            <w:shd w:val="clear" w:color="auto" w:fill="0000EE"/>
          </w:tcPr>
          <w:p>
            <w:pPr>
              <w:spacing w:after="0" w:line="20" w:lineRule="exact"/>
              <w:rPr>
                <w:sz w:val="1"/>
                <w:szCs w:val="1"/>
                <w:color w:val="auto"/>
              </w:rPr>
            </w:pPr>
          </w:p>
        </w:tc>
        <w:tc>
          <w:tcPr>
            <w:tcW w:w="880" w:type="dxa"/>
            <w:vAlign w:val="bottom"/>
            <w:gridSpan w:val="4"/>
            <w:shd w:val="clear" w:color="auto" w:fill="0000EE"/>
          </w:tcPr>
          <w:p>
            <w:pPr>
              <w:spacing w:after="0" w:line="20" w:lineRule="exact"/>
              <w:rPr>
                <w:sz w:val="1"/>
                <w:szCs w:val="1"/>
                <w:color w:val="auto"/>
              </w:rPr>
            </w:pPr>
          </w:p>
        </w:tc>
        <w:tc>
          <w:tcPr>
            <w:tcW w:w="120" w:type="dxa"/>
            <w:vAlign w:val="bottom"/>
            <w:tcBorders>
              <w:left w:val="single" w:sz="8" w:color="0000EE"/>
            </w:tcBorders>
            <w:shd w:val="clear" w:color="auto" w:fill="0000EE"/>
          </w:tcPr>
          <w:p>
            <w:pPr>
              <w:spacing w:after="0" w:line="20" w:lineRule="exact"/>
              <w:rPr>
                <w:sz w:val="1"/>
                <w:szCs w:val="1"/>
                <w:color w:val="auto"/>
              </w:rPr>
            </w:pPr>
          </w:p>
        </w:tc>
        <w:tc>
          <w:tcPr>
            <w:tcW w:w="160" w:type="dxa"/>
            <w:vAlign w:val="bottom"/>
            <w:tcBorders>
              <w:left w:val="single" w:sz="8" w:color="0000EE"/>
            </w:tcBorders>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1840" w:type="dxa"/>
            <w:vAlign w:val="bottom"/>
            <w:gridSpan w:val="3"/>
            <w:shd w:val="clear" w:color="auto" w:fill="0000EE"/>
          </w:tcPr>
          <w:p>
            <w:pPr>
              <w:spacing w:after="0" w:line="20" w:lineRule="exact"/>
              <w:rPr>
                <w:sz w:val="1"/>
                <w:szCs w:val="1"/>
                <w:color w:val="auto"/>
              </w:rPr>
            </w:pPr>
          </w:p>
        </w:tc>
        <w:tc>
          <w:tcPr>
            <w:tcW w:w="740" w:type="dxa"/>
            <w:vAlign w:val="bottom"/>
            <w:gridSpan w:val="4"/>
          </w:tcPr>
          <w:p>
            <w:pPr>
              <w:spacing w:after="0" w:line="20" w:lineRule="exact"/>
              <w:rPr>
                <w:sz w:val="1"/>
                <w:szCs w:val="1"/>
                <w:color w:val="auto"/>
              </w:rPr>
            </w:pPr>
          </w:p>
        </w:tc>
        <w:tc>
          <w:tcPr>
            <w:tcW w:w="1880" w:type="dxa"/>
            <w:vAlign w:val="bottom"/>
            <w:gridSpan w:val="3"/>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gridSpan w:val="2"/>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40" w:type="dxa"/>
            <w:vAlign w:val="bottom"/>
          </w:tcPr>
          <w:p>
            <w:pPr>
              <w:spacing w:after="0"/>
              <w:rPr>
                <w:sz w:val="17"/>
                <w:szCs w:val="17"/>
                <w:color w:val="auto"/>
              </w:rPr>
            </w:pPr>
          </w:p>
        </w:tc>
        <w:tc>
          <w:tcPr>
            <w:tcW w:w="1020" w:type="dxa"/>
            <w:vAlign w:val="bottom"/>
            <w:gridSpan w:val="5"/>
          </w:tcPr>
          <w:p>
            <w:pPr>
              <w:spacing w:after="0" w:line="196" w:lineRule="exact"/>
              <w:rPr>
                <w:rFonts w:ascii="Arial" w:cs="Arial" w:eastAsia="Arial" w:hAnsi="Arial"/>
                <w:sz w:val="18"/>
                <w:szCs w:val="18"/>
                <w:color w:val="0000EE"/>
              </w:rPr>
            </w:pPr>
            <w:hyperlink w:anchor="page165">
              <w:r>
                <w:rPr>
                  <w:rFonts w:ascii="Arial" w:cs="Arial" w:eastAsia="Arial" w:hAnsi="Arial"/>
                  <w:sz w:val="18"/>
                  <w:szCs w:val="18"/>
                  <w:color w:val="0000EE"/>
                </w:rPr>
                <w:t>ITEM 7</w:t>
              </w:r>
            </w:hyperlink>
          </w:p>
        </w:tc>
        <w:tc>
          <w:tcPr>
            <w:tcW w:w="7260" w:type="dxa"/>
            <w:vAlign w:val="bottom"/>
            <w:gridSpan w:val="31"/>
          </w:tcPr>
          <w:p>
            <w:pPr>
              <w:ind w:left="140"/>
              <w:spacing w:after="0" w:line="196" w:lineRule="exact"/>
              <w:rPr>
                <w:rFonts w:ascii="Arial" w:cs="Arial" w:eastAsia="Arial" w:hAnsi="Arial"/>
                <w:sz w:val="18"/>
                <w:szCs w:val="18"/>
                <w:color w:val="0000EE"/>
              </w:rPr>
            </w:pPr>
            <w:hyperlink w:anchor="page165">
              <w:r>
                <w:rPr>
                  <w:rFonts w:ascii="Arial" w:cs="Arial" w:eastAsia="Arial" w:hAnsi="Arial"/>
                  <w:sz w:val="18"/>
                  <w:szCs w:val="18"/>
                  <w:color w:val="0000EE"/>
                </w:rPr>
                <w:t>MAJOR SHAREHOLDERS AND RELATED PARTY TRANSACTIONS</w:t>
              </w:r>
            </w:hyperlink>
          </w:p>
        </w:tc>
        <w:tc>
          <w:tcPr>
            <w:tcW w:w="580" w:type="dxa"/>
            <w:vAlign w:val="bottom"/>
            <w:gridSpan w:val="5"/>
          </w:tcPr>
          <w:p>
            <w:pPr>
              <w:jc w:val="right"/>
              <w:ind w:right="20"/>
              <w:spacing w:after="0" w:line="196" w:lineRule="exact"/>
              <w:rPr>
                <w:rFonts w:ascii="Arial" w:cs="Arial" w:eastAsia="Arial" w:hAnsi="Arial"/>
                <w:sz w:val="18"/>
                <w:szCs w:val="18"/>
                <w:color w:val="0000EE"/>
              </w:rPr>
            </w:pPr>
            <w:hyperlink w:anchor="page165">
              <w:r>
                <w:rPr>
                  <w:rFonts w:ascii="Arial" w:cs="Arial" w:eastAsia="Arial" w:hAnsi="Arial"/>
                  <w:sz w:val="18"/>
                  <w:szCs w:val="18"/>
                  <w:color w:val="0000EE"/>
                </w:rPr>
                <w:t>122</w:t>
              </w:r>
            </w:hyperlink>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40" w:type="dxa"/>
            <w:vAlign w:val="bottom"/>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420" w:type="dxa"/>
            <w:vAlign w:val="bottom"/>
            <w:gridSpan w:val="2"/>
            <w:shd w:val="clear" w:color="auto" w:fill="0000EE"/>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00" w:type="dxa"/>
            <w:vAlign w:val="bottom"/>
            <w:gridSpan w:val="2"/>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40" w:type="dxa"/>
            <w:vAlign w:val="bottom"/>
            <w:gridSpan w:val="2"/>
            <w:shd w:val="clear" w:color="auto" w:fill="0000EE"/>
          </w:tcPr>
          <w:p>
            <w:pPr>
              <w:spacing w:after="0" w:line="20" w:lineRule="exact"/>
              <w:rPr>
                <w:sz w:val="1"/>
                <w:szCs w:val="1"/>
                <w:color w:val="auto"/>
              </w:rPr>
            </w:pPr>
          </w:p>
        </w:tc>
        <w:tc>
          <w:tcPr>
            <w:tcW w:w="220" w:type="dxa"/>
            <w:vAlign w:val="bottom"/>
            <w:gridSpan w:val="2"/>
            <w:shd w:val="clear" w:color="auto" w:fill="0000EE"/>
          </w:tcPr>
          <w:p>
            <w:pPr>
              <w:spacing w:after="0" w:line="20" w:lineRule="exact"/>
              <w:rPr>
                <w:sz w:val="1"/>
                <w:szCs w:val="1"/>
                <w:color w:val="auto"/>
              </w:rPr>
            </w:pPr>
          </w:p>
        </w:tc>
        <w:tc>
          <w:tcPr>
            <w:tcW w:w="280" w:type="dxa"/>
            <w:vAlign w:val="bottom"/>
            <w:tcBorders>
              <w:left w:val="single" w:sz="8" w:color="0000EE"/>
            </w:tcBorders>
            <w:gridSpan w:val="3"/>
            <w:shd w:val="clear" w:color="auto" w:fill="0000EE"/>
          </w:tcPr>
          <w:p>
            <w:pPr>
              <w:spacing w:after="0" w:line="20" w:lineRule="exact"/>
              <w:rPr>
                <w:sz w:val="1"/>
                <w:szCs w:val="1"/>
                <w:color w:val="auto"/>
              </w:rPr>
            </w:pPr>
          </w:p>
        </w:tc>
        <w:tc>
          <w:tcPr>
            <w:tcW w:w="320" w:type="dxa"/>
            <w:vAlign w:val="bottom"/>
            <w:gridSpan w:val="2"/>
            <w:shd w:val="clear" w:color="auto" w:fill="0000EE"/>
          </w:tcPr>
          <w:p>
            <w:pPr>
              <w:spacing w:after="0" w:line="20" w:lineRule="exact"/>
              <w:rPr>
                <w:sz w:val="1"/>
                <w:szCs w:val="1"/>
                <w:color w:val="auto"/>
              </w:rPr>
            </w:pPr>
          </w:p>
        </w:tc>
        <w:tc>
          <w:tcPr>
            <w:tcW w:w="880" w:type="dxa"/>
            <w:vAlign w:val="bottom"/>
            <w:gridSpan w:val="4"/>
            <w:shd w:val="clear" w:color="auto" w:fill="0000EE"/>
          </w:tcPr>
          <w:p>
            <w:pPr>
              <w:spacing w:after="0" w:line="20" w:lineRule="exact"/>
              <w:rPr>
                <w:sz w:val="1"/>
                <w:szCs w:val="1"/>
                <w:color w:val="auto"/>
              </w:rPr>
            </w:pPr>
          </w:p>
        </w:tc>
        <w:tc>
          <w:tcPr>
            <w:tcW w:w="120" w:type="dxa"/>
            <w:vAlign w:val="bottom"/>
            <w:tcBorders>
              <w:left w:val="single" w:sz="8" w:color="0000EE"/>
            </w:tcBorders>
            <w:shd w:val="clear" w:color="auto" w:fill="0000EE"/>
          </w:tcPr>
          <w:p>
            <w:pPr>
              <w:spacing w:after="0" w:line="20" w:lineRule="exact"/>
              <w:rPr>
                <w:sz w:val="1"/>
                <w:szCs w:val="1"/>
                <w:color w:val="auto"/>
              </w:rPr>
            </w:pPr>
          </w:p>
        </w:tc>
        <w:tc>
          <w:tcPr>
            <w:tcW w:w="160" w:type="dxa"/>
            <w:vAlign w:val="bottom"/>
            <w:tcBorders>
              <w:left w:val="single" w:sz="8" w:color="0000EE"/>
            </w:tcBorders>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2580" w:type="dxa"/>
            <w:vAlign w:val="bottom"/>
            <w:gridSpan w:val="7"/>
            <w:shd w:val="clear" w:color="auto" w:fill="0000EE"/>
          </w:tcPr>
          <w:p>
            <w:pPr>
              <w:spacing w:after="0" w:line="20" w:lineRule="exact"/>
              <w:rPr>
                <w:sz w:val="1"/>
                <w:szCs w:val="1"/>
                <w:color w:val="auto"/>
              </w:rPr>
            </w:pPr>
          </w:p>
        </w:tc>
        <w:tc>
          <w:tcPr>
            <w:tcW w:w="1880" w:type="dxa"/>
            <w:vAlign w:val="bottom"/>
            <w:gridSpan w:val="3"/>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gridSpan w:val="3"/>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140" w:type="dxa"/>
            <w:vAlign w:val="bottom"/>
            <w:gridSpan w:val="35"/>
          </w:tcPr>
          <w:p>
            <w:pPr>
              <w:spacing w:after="0" w:line="196" w:lineRule="exact"/>
              <w:rPr>
                <w:rFonts w:ascii="Arial" w:cs="Arial" w:eastAsia="Arial" w:hAnsi="Arial"/>
                <w:sz w:val="18"/>
                <w:szCs w:val="18"/>
                <w:color w:val="0000EE"/>
              </w:rPr>
            </w:pPr>
            <w:hyperlink w:anchor="page165">
              <w:r>
                <w:rPr>
                  <w:rFonts w:ascii="Arial" w:cs="Arial" w:eastAsia="Arial" w:hAnsi="Arial"/>
                  <w:sz w:val="18"/>
                  <w:szCs w:val="18"/>
                  <w:color w:val="0000EE"/>
                </w:rPr>
                <w:t>Major Shareholders</w:t>
              </w:r>
            </w:hyperlink>
          </w:p>
        </w:tc>
        <w:tc>
          <w:tcPr>
            <w:tcW w:w="580" w:type="dxa"/>
            <w:vAlign w:val="bottom"/>
            <w:gridSpan w:val="5"/>
          </w:tcPr>
          <w:p>
            <w:pPr>
              <w:jc w:val="right"/>
              <w:ind w:right="20"/>
              <w:spacing w:after="0" w:line="196" w:lineRule="exact"/>
              <w:rPr>
                <w:rFonts w:ascii="Arial" w:cs="Arial" w:eastAsia="Arial" w:hAnsi="Arial"/>
                <w:sz w:val="18"/>
                <w:szCs w:val="18"/>
                <w:color w:val="0000EE"/>
              </w:rPr>
            </w:pPr>
            <w:hyperlink w:anchor="page165">
              <w:r>
                <w:rPr>
                  <w:rFonts w:ascii="Arial" w:cs="Arial" w:eastAsia="Arial" w:hAnsi="Arial"/>
                  <w:sz w:val="18"/>
                  <w:szCs w:val="18"/>
                  <w:color w:val="0000EE"/>
                </w:rPr>
                <w:t>122</w:t>
              </w:r>
            </w:hyperlink>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20" w:type="dxa"/>
            <w:vAlign w:val="bottom"/>
            <w:gridSpan w:val="3"/>
            <w:shd w:val="clear" w:color="auto" w:fill="0000EE"/>
          </w:tcPr>
          <w:p>
            <w:pPr>
              <w:spacing w:after="0" w:line="20" w:lineRule="exact"/>
              <w:rPr>
                <w:sz w:val="1"/>
                <w:szCs w:val="1"/>
                <w:color w:val="auto"/>
              </w:rPr>
            </w:pPr>
          </w:p>
        </w:tc>
        <w:tc>
          <w:tcPr>
            <w:tcW w:w="620" w:type="dxa"/>
            <w:vAlign w:val="bottom"/>
            <w:tcBorders>
              <w:left w:val="single" w:sz="8" w:color="0000EE"/>
            </w:tcBorders>
            <w:gridSpan w:val="3"/>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40" w:type="dxa"/>
            <w:vAlign w:val="bottom"/>
            <w:gridSpan w:val="2"/>
            <w:shd w:val="clear" w:color="auto" w:fill="0000EE"/>
          </w:tcPr>
          <w:p>
            <w:pPr>
              <w:spacing w:after="0" w:line="20" w:lineRule="exact"/>
              <w:rPr>
                <w:sz w:val="1"/>
                <w:szCs w:val="1"/>
                <w:color w:val="auto"/>
              </w:rPr>
            </w:pPr>
          </w:p>
        </w:tc>
        <w:tc>
          <w:tcPr>
            <w:tcW w:w="220" w:type="dxa"/>
            <w:vAlign w:val="bottom"/>
            <w:gridSpan w:val="2"/>
          </w:tcPr>
          <w:p>
            <w:pPr>
              <w:spacing w:after="0" w:line="20" w:lineRule="exact"/>
              <w:rPr>
                <w:sz w:val="1"/>
                <w:szCs w:val="1"/>
                <w:color w:val="auto"/>
              </w:rPr>
            </w:pPr>
          </w:p>
        </w:tc>
        <w:tc>
          <w:tcPr>
            <w:tcW w:w="280" w:type="dxa"/>
            <w:vAlign w:val="bottom"/>
            <w:gridSpan w:val="3"/>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880" w:type="dxa"/>
            <w:vAlign w:val="bottom"/>
            <w:gridSpan w:val="4"/>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460" w:type="dxa"/>
            <w:vAlign w:val="bottom"/>
            <w:gridSpan w:val="1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gridSpan w:val="3"/>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140" w:type="dxa"/>
            <w:vAlign w:val="bottom"/>
            <w:gridSpan w:val="35"/>
          </w:tcPr>
          <w:p>
            <w:pPr>
              <w:spacing w:after="0" w:line="196" w:lineRule="exact"/>
              <w:rPr>
                <w:rFonts w:ascii="Arial" w:cs="Arial" w:eastAsia="Arial" w:hAnsi="Arial"/>
                <w:sz w:val="18"/>
                <w:szCs w:val="18"/>
                <w:color w:val="0000EE"/>
              </w:rPr>
            </w:pPr>
            <w:hyperlink w:anchor="page166">
              <w:r>
                <w:rPr>
                  <w:rFonts w:ascii="Arial" w:cs="Arial" w:eastAsia="Arial" w:hAnsi="Arial"/>
                  <w:sz w:val="18"/>
                  <w:szCs w:val="18"/>
                  <w:color w:val="0000EE"/>
                </w:rPr>
                <w:t>Related Party Transactions</w:t>
              </w:r>
            </w:hyperlink>
          </w:p>
        </w:tc>
        <w:tc>
          <w:tcPr>
            <w:tcW w:w="580" w:type="dxa"/>
            <w:vAlign w:val="bottom"/>
            <w:gridSpan w:val="5"/>
          </w:tcPr>
          <w:p>
            <w:pPr>
              <w:jc w:val="right"/>
              <w:ind w:right="20"/>
              <w:spacing w:after="0" w:line="196" w:lineRule="exact"/>
              <w:rPr>
                <w:rFonts w:ascii="Arial" w:cs="Arial" w:eastAsia="Arial" w:hAnsi="Arial"/>
                <w:sz w:val="18"/>
                <w:szCs w:val="18"/>
                <w:color w:val="0000EE"/>
              </w:rPr>
            </w:pPr>
            <w:hyperlink w:anchor="page166">
              <w:r>
                <w:rPr>
                  <w:rFonts w:ascii="Arial" w:cs="Arial" w:eastAsia="Arial" w:hAnsi="Arial"/>
                  <w:sz w:val="18"/>
                  <w:szCs w:val="18"/>
                  <w:color w:val="0000EE"/>
                </w:rPr>
                <w:t>123</w:t>
              </w:r>
            </w:hyperlink>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20" w:type="dxa"/>
            <w:vAlign w:val="bottom"/>
            <w:gridSpan w:val="3"/>
            <w:shd w:val="clear" w:color="auto" w:fill="0000EE"/>
          </w:tcPr>
          <w:p>
            <w:pPr>
              <w:spacing w:after="0" w:line="20" w:lineRule="exact"/>
              <w:rPr>
                <w:sz w:val="1"/>
                <w:szCs w:val="1"/>
                <w:color w:val="auto"/>
              </w:rPr>
            </w:pPr>
          </w:p>
        </w:tc>
        <w:tc>
          <w:tcPr>
            <w:tcW w:w="360" w:type="dxa"/>
            <w:vAlign w:val="bottom"/>
            <w:tcBorders>
              <w:left w:val="single" w:sz="8" w:color="0000EE"/>
            </w:tcBorders>
            <w:shd w:val="clear" w:color="auto" w:fill="0000EE"/>
          </w:tcPr>
          <w:p>
            <w:pPr>
              <w:spacing w:after="0" w:line="20" w:lineRule="exact"/>
              <w:rPr>
                <w:sz w:val="1"/>
                <w:szCs w:val="1"/>
                <w:color w:val="auto"/>
              </w:rPr>
            </w:pPr>
          </w:p>
        </w:tc>
        <w:tc>
          <w:tcPr>
            <w:tcW w:w="260" w:type="dxa"/>
            <w:vAlign w:val="bottom"/>
            <w:gridSpan w:val="2"/>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60" w:type="dxa"/>
            <w:vAlign w:val="bottom"/>
            <w:gridSpan w:val="4"/>
            <w:shd w:val="clear" w:color="auto" w:fill="0000EE"/>
          </w:tcPr>
          <w:p>
            <w:pPr>
              <w:spacing w:after="0" w:line="20" w:lineRule="exact"/>
              <w:rPr>
                <w:sz w:val="1"/>
                <w:szCs w:val="1"/>
                <w:color w:val="auto"/>
              </w:rPr>
            </w:pPr>
          </w:p>
        </w:tc>
        <w:tc>
          <w:tcPr>
            <w:tcW w:w="280" w:type="dxa"/>
            <w:vAlign w:val="bottom"/>
            <w:tcBorders>
              <w:left w:val="single" w:sz="8" w:color="0000EE"/>
            </w:tcBorders>
            <w:gridSpan w:val="3"/>
            <w:shd w:val="clear" w:color="auto" w:fill="0000EE"/>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880" w:type="dxa"/>
            <w:vAlign w:val="bottom"/>
            <w:gridSpan w:val="4"/>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460" w:type="dxa"/>
            <w:vAlign w:val="bottom"/>
            <w:gridSpan w:val="1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gridSpan w:val="3"/>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40" w:type="dxa"/>
            <w:vAlign w:val="bottom"/>
          </w:tcPr>
          <w:p>
            <w:pPr>
              <w:spacing w:after="0"/>
              <w:rPr>
                <w:sz w:val="17"/>
                <w:szCs w:val="17"/>
                <w:color w:val="auto"/>
              </w:rPr>
            </w:pPr>
          </w:p>
        </w:tc>
        <w:tc>
          <w:tcPr>
            <w:tcW w:w="1020" w:type="dxa"/>
            <w:vAlign w:val="bottom"/>
            <w:gridSpan w:val="5"/>
          </w:tcPr>
          <w:p>
            <w:pPr>
              <w:spacing w:after="0" w:line="196" w:lineRule="exact"/>
              <w:rPr>
                <w:rFonts w:ascii="Arial" w:cs="Arial" w:eastAsia="Arial" w:hAnsi="Arial"/>
                <w:sz w:val="18"/>
                <w:szCs w:val="18"/>
                <w:color w:val="0000EE"/>
              </w:rPr>
            </w:pPr>
            <w:hyperlink w:anchor="page166">
              <w:r>
                <w:rPr>
                  <w:rFonts w:ascii="Arial" w:cs="Arial" w:eastAsia="Arial" w:hAnsi="Arial"/>
                  <w:sz w:val="18"/>
                  <w:szCs w:val="18"/>
                  <w:color w:val="0000EE"/>
                </w:rPr>
                <w:t>ITEM 8</w:t>
              </w:r>
            </w:hyperlink>
          </w:p>
        </w:tc>
        <w:tc>
          <w:tcPr>
            <w:tcW w:w="7260" w:type="dxa"/>
            <w:vAlign w:val="bottom"/>
            <w:gridSpan w:val="31"/>
          </w:tcPr>
          <w:p>
            <w:pPr>
              <w:ind w:left="140"/>
              <w:spacing w:after="0" w:line="196" w:lineRule="exact"/>
              <w:rPr>
                <w:rFonts w:ascii="Arial" w:cs="Arial" w:eastAsia="Arial" w:hAnsi="Arial"/>
                <w:sz w:val="18"/>
                <w:szCs w:val="18"/>
                <w:color w:val="0000EE"/>
              </w:rPr>
            </w:pPr>
            <w:hyperlink w:anchor="page166">
              <w:r>
                <w:rPr>
                  <w:rFonts w:ascii="Arial" w:cs="Arial" w:eastAsia="Arial" w:hAnsi="Arial"/>
                  <w:sz w:val="18"/>
                  <w:szCs w:val="18"/>
                  <w:color w:val="0000EE"/>
                </w:rPr>
                <w:t>FINANCIAL INFORMATION</w:t>
              </w:r>
            </w:hyperlink>
          </w:p>
        </w:tc>
        <w:tc>
          <w:tcPr>
            <w:tcW w:w="580" w:type="dxa"/>
            <w:vAlign w:val="bottom"/>
            <w:gridSpan w:val="5"/>
          </w:tcPr>
          <w:p>
            <w:pPr>
              <w:jc w:val="right"/>
              <w:ind w:right="20"/>
              <w:spacing w:after="0" w:line="196" w:lineRule="exact"/>
              <w:rPr>
                <w:rFonts w:ascii="Arial" w:cs="Arial" w:eastAsia="Arial" w:hAnsi="Arial"/>
                <w:sz w:val="18"/>
                <w:szCs w:val="18"/>
                <w:color w:val="0000EE"/>
              </w:rPr>
            </w:pPr>
            <w:hyperlink w:anchor="page166">
              <w:r>
                <w:rPr>
                  <w:rFonts w:ascii="Arial" w:cs="Arial" w:eastAsia="Arial" w:hAnsi="Arial"/>
                  <w:sz w:val="18"/>
                  <w:szCs w:val="18"/>
                  <w:color w:val="0000EE"/>
                </w:rPr>
                <w:t>123</w:t>
              </w:r>
            </w:hyperlink>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40" w:type="dxa"/>
            <w:vAlign w:val="bottom"/>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420" w:type="dxa"/>
            <w:vAlign w:val="bottom"/>
            <w:gridSpan w:val="2"/>
            <w:shd w:val="clear" w:color="auto" w:fill="0000EE"/>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00" w:type="dxa"/>
            <w:vAlign w:val="bottom"/>
            <w:gridSpan w:val="2"/>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60" w:type="dxa"/>
            <w:vAlign w:val="bottom"/>
            <w:gridSpan w:val="4"/>
            <w:shd w:val="clear" w:color="auto" w:fill="0000EE"/>
          </w:tcPr>
          <w:p>
            <w:pPr>
              <w:spacing w:after="0" w:line="20" w:lineRule="exact"/>
              <w:rPr>
                <w:sz w:val="1"/>
                <w:szCs w:val="1"/>
                <w:color w:val="auto"/>
              </w:rPr>
            </w:pPr>
          </w:p>
        </w:tc>
        <w:tc>
          <w:tcPr>
            <w:tcW w:w="280" w:type="dxa"/>
            <w:vAlign w:val="bottom"/>
            <w:tcBorders>
              <w:left w:val="single" w:sz="8" w:color="0000EE"/>
            </w:tcBorders>
            <w:gridSpan w:val="3"/>
            <w:shd w:val="clear" w:color="auto" w:fill="0000EE"/>
          </w:tcPr>
          <w:p>
            <w:pPr>
              <w:spacing w:after="0" w:line="20" w:lineRule="exact"/>
              <w:rPr>
                <w:sz w:val="1"/>
                <w:szCs w:val="1"/>
                <w:color w:val="auto"/>
              </w:rPr>
            </w:pPr>
          </w:p>
        </w:tc>
        <w:tc>
          <w:tcPr>
            <w:tcW w:w="320" w:type="dxa"/>
            <w:vAlign w:val="bottom"/>
            <w:gridSpan w:val="2"/>
            <w:shd w:val="clear" w:color="auto" w:fill="0000EE"/>
          </w:tcPr>
          <w:p>
            <w:pPr>
              <w:spacing w:after="0" w:line="20" w:lineRule="exact"/>
              <w:rPr>
                <w:sz w:val="1"/>
                <w:szCs w:val="1"/>
                <w:color w:val="auto"/>
              </w:rPr>
            </w:pPr>
          </w:p>
        </w:tc>
        <w:tc>
          <w:tcPr>
            <w:tcW w:w="880" w:type="dxa"/>
            <w:vAlign w:val="bottom"/>
            <w:gridSpan w:val="4"/>
            <w:shd w:val="clear" w:color="auto" w:fill="0000EE"/>
          </w:tcPr>
          <w:p>
            <w:pPr>
              <w:spacing w:after="0" w:line="20" w:lineRule="exact"/>
              <w:rPr>
                <w:sz w:val="1"/>
                <w:szCs w:val="1"/>
                <w:color w:val="auto"/>
              </w:rPr>
            </w:pPr>
          </w:p>
        </w:tc>
        <w:tc>
          <w:tcPr>
            <w:tcW w:w="120" w:type="dxa"/>
            <w:vAlign w:val="bottom"/>
            <w:tcBorders>
              <w:left w:val="single" w:sz="8" w:color="0000EE"/>
            </w:tcBorders>
            <w:shd w:val="clear" w:color="auto" w:fill="0000EE"/>
          </w:tcPr>
          <w:p>
            <w:pPr>
              <w:spacing w:after="0" w:line="20" w:lineRule="exact"/>
              <w:rPr>
                <w:sz w:val="1"/>
                <w:szCs w:val="1"/>
                <w:color w:val="auto"/>
              </w:rPr>
            </w:pPr>
          </w:p>
        </w:tc>
        <w:tc>
          <w:tcPr>
            <w:tcW w:w="160" w:type="dxa"/>
            <w:vAlign w:val="bottom"/>
            <w:tcBorders>
              <w:left w:val="single" w:sz="8" w:color="0000EE"/>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460" w:type="dxa"/>
            <w:vAlign w:val="bottom"/>
            <w:gridSpan w:val="1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gridSpan w:val="3"/>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140" w:type="dxa"/>
            <w:vAlign w:val="bottom"/>
            <w:gridSpan w:val="35"/>
          </w:tcPr>
          <w:p>
            <w:pPr>
              <w:spacing w:after="0" w:line="196" w:lineRule="exact"/>
              <w:rPr>
                <w:rFonts w:ascii="Arial" w:cs="Arial" w:eastAsia="Arial" w:hAnsi="Arial"/>
                <w:sz w:val="18"/>
                <w:szCs w:val="18"/>
                <w:color w:val="0000EE"/>
              </w:rPr>
            </w:pPr>
            <w:hyperlink w:anchor="page166">
              <w:r>
                <w:rPr>
                  <w:rFonts w:ascii="Arial" w:cs="Arial" w:eastAsia="Arial" w:hAnsi="Arial"/>
                  <w:sz w:val="18"/>
                  <w:szCs w:val="18"/>
                  <w:color w:val="0000EE"/>
                </w:rPr>
                <w:t>Dividend Policy</w:t>
              </w:r>
            </w:hyperlink>
          </w:p>
        </w:tc>
        <w:tc>
          <w:tcPr>
            <w:tcW w:w="580" w:type="dxa"/>
            <w:vAlign w:val="bottom"/>
            <w:gridSpan w:val="5"/>
          </w:tcPr>
          <w:p>
            <w:pPr>
              <w:jc w:val="right"/>
              <w:ind w:right="20"/>
              <w:spacing w:after="0" w:line="196" w:lineRule="exact"/>
              <w:rPr>
                <w:rFonts w:ascii="Arial" w:cs="Arial" w:eastAsia="Arial" w:hAnsi="Arial"/>
                <w:sz w:val="18"/>
                <w:szCs w:val="18"/>
                <w:color w:val="0000EE"/>
              </w:rPr>
            </w:pPr>
            <w:hyperlink w:anchor="page166">
              <w:r>
                <w:rPr>
                  <w:rFonts w:ascii="Arial" w:cs="Arial" w:eastAsia="Arial" w:hAnsi="Arial"/>
                  <w:sz w:val="18"/>
                  <w:szCs w:val="18"/>
                  <w:color w:val="0000EE"/>
                </w:rPr>
                <w:t>123</w:t>
              </w:r>
            </w:hyperlink>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20" w:type="dxa"/>
            <w:vAlign w:val="bottom"/>
            <w:gridSpan w:val="3"/>
            <w:shd w:val="clear" w:color="auto" w:fill="0000EE"/>
          </w:tcPr>
          <w:p>
            <w:pPr>
              <w:spacing w:after="0" w:line="20" w:lineRule="exact"/>
              <w:rPr>
                <w:sz w:val="1"/>
                <w:szCs w:val="1"/>
                <w:color w:val="auto"/>
              </w:rPr>
            </w:pPr>
          </w:p>
        </w:tc>
        <w:tc>
          <w:tcPr>
            <w:tcW w:w="360" w:type="dxa"/>
            <w:vAlign w:val="bottom"/>
            <w:tcBorders>
              <w:left w:val="single" w:sz="8" w:color="0000EE"/>
            </w:tcBorders>
            <w:shd w:val="clear" w:color="auto" w:fill="0000EE"/>
          </w:tcPr>
          <w:p>
            <w:pPr>
              <w:spacing w:after="0" w:line="20" w:lineRule="exact"/>
              <w:rPr>
                <w:sz w:val="1"/>
                <w:szCs w:val="1"/>
                <w:color w:val="auto"/>
              </w:rPr>
            </w:pPr>
          </w:p>
        </w:tc>
        <w:tc>
          <w:tcPr>
            <w:tcW w:w="260" w:type="dxa"/>
            <w:vAlign w:val="bottom"/>
            <w:gridSpan w:val="2"/>
            <w:shd w:val="clear" w:color="auto" w:fill="0000EE"/>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60" w:type="dxa"/>
            <w:vAlign w:val="bottom"/>
            <w:gridSpan w:val="4"/>
          </w:tcPr>
          <w:p>
            <w:pPr>
              <w:spacing w:after="0" w:line="20" w:lineRule="exact"/>
              <w:rPr>
                <w:sz w:val="1"/>
                <w:szCs w:val="1"/>
                <w:color w:val="auto"/>
              </w:rPr>
            </w:pPr>
          </w:p>
        </w:tc>
        <w:tc>
          <w:tcPr>
            <w:tcW w:w="280" w:type="dxa"/>
            <w:vAlign w:val="bottom"/>
            <w:gridSpan w:val="3"/>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880" w:type="dxa"/>
            <w:vAlign w:val="bottom"/>
            <w:gridSpan w:val="4"/>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460" w:type="dxa"/>
            <w:vAlign w:val="bottom"/>
            <w:gridSpan w:val="1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gridSpan w:val="3"/>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40" w:type="dxa"/>
            <w:vAlign w:val="bottom"/>
          </w:tcPr>
          <w:p>
            <w:pPr>
              <w:spacing w:after="0"/>
              <w:rPr>
                <w:sz w:val="17"/>
                <w:szCs w:val="17"/>
                <w:color w:val="auto"/>
              </w:rPr>
            </w:pPr>
          </w:p>
        </w:tc>
        <w:tc>
          <w:tcPr>
            <w:tcW w:w="1020" w:type="dxa"/>
            <w:vAlign w:val="bottom"/>
            <w:gridSpan w:val="5"/>
          </w:tcPr>
          <w:p>
            <w:pPr>
              <w:spacing w:after="0" w:line="196" w:lineRule="exact"/>
              <w:rPr>
                <w:rFonts w:ascii="Arial" w:cs="Arial" w:eastAsia="Arial" w:hAnsi="Arial"/>
                <w:sz w:val="18"/>
                <w:szCs w:val="18"/>
                <w:color w:val="0000EE"/>
              </w:rPr>
            </w:pPr>
            <w:hyperlink w:anchor="page166">
              <w:r>
                <w:rPr>
                  <w:rFonts w:ascii="Arial" w:cs="Arial" w:eastAsia="Arial" w:hAnsi="Arial"/>
                  <w:sz w:val="18"/>
                  <w:szCs w:val="18"/>
                  <w:color w:val="0000EE"/>
                </w:rPr>
                <w:t>ITEM 9</w:t>
              </w:r>
            </w:hyperlink>
          </w:p>
        </w:tc>
        <w:tc>
          <w:tcPr>
            <w:tcW w:w="7260" w:type="dxa"/>
            <w:vAlign w:val="bottom"/>
            <w:gridSpan w:val="31"/>
          </w:tcPr>
          <w:p>
            <w:pPr>
              <w:ind w:left="140"/>
              <w:spacing w:after="0" w:line="196" w:lineRule="exact"/>
              <w:rPr>
                <w:rFonts w:ascii="Arial" w:cs="Arial" w:eastAsia="Arial" w:hAnsi="Arial"/>
                <w:sz w:val="18"/>
                <w:szCs w:val="18"/>
                <w:color w:val="0000EE"/>
              </w:rPr>
            </w:pPr>
            <w:hyperlink w:anchor="page166">
              <w:r>
                <w:rPr>
                  <w:rFonts w:ascii="Arial" w:cs="Arial" w:eastAsia="Arial" w:hAnsi="Arial"/>
                  <w:sz w:val="18"/>
                  <w:szCs w:val="18"/>
                  <w:color w:val="0000EE"/>
                </w:rPr>
                <w:t>THE OFFER AND LISTING</w:t>
              </w:r>
            </w:hyperlink>
          </w:p>
        </w:tc>
        <w:tc>
          <w:tcPr>
            <w:tcW w:w="580" w:type="dxa"/>
            <w:vAlign w:val="bottom"/>
            <w:gridSpan w:val="5"/>
          </w:tcPr>
          <w:p>
            <w:pPr>
              <w:jc w:val="right"/>
              <w:ind w:right="20"/>
              <w:spacing w:after="0" w:line="196" w:lineRule="exact"/>
              <w:rPr>
                <w:rFonts w:ascii="Arial" w:cs="Arial" w:eastAsia="Arial" w:hAnsi="Arial"/>
                <w:sz w:val="18"/>
                <w:szCs w:val="18"/>
                <w:color w:val="0000EE"/>
              </w:rPr>
            </w:pPr>
            <w:hyperlink w:anchor="page166">
              <w:r>
                <w:rPr>
                  <w:rFonts w:ascii="Arial" w:cs="Arial" w:eastAsia="Arial" w:hAnsi="Arial"/>
                  <w:sz w:val="18"/>
                  <w:szCs w:val="18"/>
                  <w:color w:val="0000EE"/>
                </w:rPr>
                <w:t>123</w:t>
              </w:r>
            </w:hyperlink>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40" w:type="dxa"/>
            <w:vAlign w:val="bottom"/>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420" w:type="dxa"/>
            <w:vAlign w:val="bottom"/>
            <w:gridSpan w:val="2"/>
            <w:shd w:val="clear" w:color="auto" w:fill="0000EE"/>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00" w:type="dxa"/>
            <w:vAlign w:val="bottom"/>
            <w:gridSpan w:val="2"/>
          </w:tcPr>
          <w:p>
            <w:pPr>
              <w:spacing w:after="0" w:line="20" w:lineRule="exact"/>
              <w:rPr>
                <w:sz w:val="1"/>
                <w:szCs w:val="1"/>
                <w:color w:val="auto"/>
              </w:rPr>
            </w:pPr>
          </w:p>
        </w:tc>
        <w:tc>
          <w:tcPr>
            <w:tcW w:w="300" w:type="dxa"/>
            <w:vAlign w:val="bottom"/>
            <w:gridSpan w:val="2"/>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60" w:type="dxa"/>
            <w:vAlign w:val="bottom"/>
            <w:gridSpan w:val="4"/>
            <w:shd w:val="clear" w:color="auto" w:fill="0000EE"/>
          </w:tcPr>
          <w:p>
            <w:pPr>
              <w:spacing w:after="0" w:line="20" w:lineRule="exact"/>
              <w:rPr>
                <w:sz w:val="1"/>
                <w:szCs w:val="1"/>
                <w:color w:val="auto"/>
              </w:rPr>
            </w:pPr>
          </w:p>
        </w:tc>
        <w:tc>
          <w:tcPr>
            <w:tcW w:w="280" w:type="dxa"/>
            <w:vAlign w:val="bottom"/>
            <w:tcBorders>
              <w:left w:val="single" w:sz="8" w:color="0000EE"/>
            </w:tcBorders>
            <w:gridSpan w:val="3"/>
            <w:shd w:val="clear" w:color="auto" w:fill="0000EE"/>
          </w:tcPr>
          <w:p>
            <w:pPr>
              <w:spacing w:after="0" w:line="20" w:lineRule="exact"/>
              <w:rPr>
                <w:sz w:val="1"/>
                <w:szCs w:val="1"/>
                <w:color w:val="auto"/>
              </w:rPr>
            </w:pPr>
          </w:p>
        </w:tc>
        <w:tc>
          <w:tcPr>
            <w:tcW w:w="320" w:type="dxa"/>
            <w:vAlign w:val="bottom"/>
            <w:gridSpan w:val="2"/>
            <w:shd w:val="clear" w:color="auto" w:fill="0000EE"/>
          </w:tcPr>
          <w:p>
            <w:pPr>
              <w:spacing w:after="0" w:line="20" w:lineRule="exact"/>
              <w:rPr>
                <w:sz w:val="1"/>
                <w:szCs w:val="1"/>
                <w:color w:val="auto"/>
              </w:rPr>
            </w:pPr>
          </w:p>
        </w:tc>
        <w:tc>
          <w:tcPr>
            <w:tcW w:w="880" w:type="dxa"/>
            <w:vAlign w:val="bottom"/>
            <w:gridSpan w:val="4"/>
            <w:shd w:val="clear" w:color="auto" w:fill="0000EE"/>
          </w:tcPr>
          <w:p>
            <w:pPr>
              <w:spacing w:after="0" w:line="20" w:lineRule="exact"/>
              <w:rPr>
                <w:sz w:val="1"/>
                <w:szCs w:val="1"/>
                <w:color w:val="auto"/>
              </w:rPr>
            </w:pPr>
          </w:p>
        </w:tc>
        <w:tc>
          <w:tcPr>
            <w:tcW w:w="120" w:type="dxa"/>
            <w:vAlign w:val="bottom"/>
            <w:tcBorders>
              <w:left w:val="single" w:sz="8" w:color="0000EE"/>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460" w:type="dxa"/>
            <w:vAlign w:val="bottom"/>
            <w:gridSpan w:val="1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gridSpan w:val="3"/>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140" w:type="dxa"/>
            <w:vAlign w:val="bottom"/>
            <w:gridSpan w:val="35"/>
          </w:tcPr>
          <w:p>
            <w:pPr>
              <w:spacing w:after="0" w:line="196" w:lineRule="exact"/>
              <w:rPr>
                <w:rFonts w:ascii="Arial" w:cs="Arial" w:eastAsia="Arial" w:hAnsi="Arial"/>
                <w:sz w:val="18"/>
                <w:szCs w:val="18"/>
                <w:color w:val="0000EE"/>
              </w:rPr>
            </w:pPr>
            <w:hyperlink w:anchor="page166">
              <w:r>
                <w:rPr>
                  <w:rFonts w:ascii="Arial" w:cs="Arial" w:eastAsia="Arial" w:hAnsi="Arial"/>
                  <w:sz w:val="18"/>
                  <w:szCs w:val="18"/>
                  <w:color w:val="0000EE"/>
                </w:rPr>
                <w:t>Market and Listing Details</w:t>
              </w:r>
            </w:hyperlink>
          </w:p>
        </w:tc>
        <w:tc>
          <w:tcPr>
            <w:tcW w:w="580" w:type="dxa"/>
            <w:vAlign w:val="bottom"/>
            <w:gridSpan w:val="5"/>
          </w:tcPr>
          <w:p>
            <w:pPr>
              <w:jc w:val="right"/>
              <w:ind w:right="20"/>
              <w:spacing w:after="0" w:line="196" w:lineRule="exact"/>
              <w:rPr>
                <w:rFonts w:ascii="Arial" w:cs="Arial" w:eastAsia="Arial" w:hAnsi="Arial"/>
                <w:sz w:val="18"/>
                <w:szCs w:val="18"/>
                <w:color w:val="0000EE"/>
              </w:rPr>
            </w:pPr>
            <w:hyperlink w:anchor="page166">
              <w:r>
                <w:rPr>
                  <w:rFonts w:ascii="Arial" w:cs="Arial" w:eastAsia="Arial" w:hAnsi="Arial"/>
                  <w:sz w:val="18"/>
                  <w:szCs w:val="18"/>
                  <w:color w:val="0000EE"/>
                </w:rPr>
                <w:t>123</w:t>
              </w:r>
            </w:hyperlink>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20" w:type="dxa"/>
            <w:vAlign w:val="bottom"/>
            <w:gridSpan w:val="3"/>
            <w:shd w:val="clear" w:color="auto" w:fill="0000EE"/>
          </w:tcPr>
          <w:p>
            <w:pPr>
              <w:spacing w:after="0" w:line="20" w:lineRule="exact"/>
              <w:rPr>
                <w:sz w:val="1"/>
                <w:szCs w:val="1"/>
                <w:color w:val="auto"/>
              </w:rPr>
            </w:pPr>
          </w:p>
        </w:tc>
        <w:tc>
          <w:tcPr>
            <w:tcW w:w="360" w:type="dxa"/>
            <w:vAlign w:val="bottom"/>
            <w:tcBorders>
              <w:left w:val="single" w:sz="8" w:color="0000EE"/>
            </w:tcBorders>
            <w:shd w:val="clear" w:color="auto" w:fill="0000EE"/>
          </w:tcPr>
          <w:p>
            <w:pPr>
              <w:spacing w:after="0" w:line="20" w:lineRule="exact"/>
              <w:rPr>
                <w:sz w:val="1"/>
                <w:szCs w:val="1"/>
                <w:color w:val="auto"/>
              </w:rPr>
            </w:pPr>
          </w:p>
        </w:tc>
        <w:tc>
          <w:tcPr>
            <w:tcW w:w="440" w:type="dxa"/>
            <w:vAlign w:val="bottom"/>
            <w:gridSpan w:val="3"/>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60" w:type="dxa"/>
            <w:vAlign w:val="bottom"/>
            <w:gridSpan w:val="4"/>
            <w:shd w:val="clear" w:color="auto" w:fill="0000EE"/>
          </w:tcPr>
          <w:p>
            <w:pPr>
              <w:spacing w:after="0" w:line="20" w:lineRule="exact"/>
              <w:rPr>
                <w:sz w:val="1"/>
                <w:szCs w:val="1"/>
                <w:color w:val="auto"/>
              </w:rPr>
            </w:pPr>
          </w:p>
        </w:tc>
        <w:tc>
          <w:tcPr>
            <w:tcW w:w="280" w:type="dxa"/>
            <w:vAlign w:val="bottom"/>
            <w:tcBorders>
              <w:left w:val="single" w:sz="8" w:color="0000EE"/>
            </w:tcBorders>
            <w:gridSpan w:val="3"/>
            <w:shd w:val="clear" w:color="auto" w:fill="0000EE"/>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880" w:type="dxa"/>
            <w:vAlign w:val="bottom"/>
            <w:gridSpan w:val="4"/>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460" w:type="dxa"/>
            <w:vAlign w:val="bottom"/>
            <w:gridSpan w:val="1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gridSpan w:val="3"/>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40" w:type="dxa"/>
            <w:vAlign w:val="bottom"/>
          </w:tcPr>
          <w:p>
            <w:pPr>
              <w:spacing w:after="0"/>
              <w:rPr>
                <w:sz w:val="17"/>
                <w:szCs w:val="17"/>
                <w:color w:val="auto"/>
              </w:rPr>
            </w:pPr>
          </w:p>
        </w:tc>
        <w:tc>
          <w:tcPr>
            <w:tcW w:w="660" w:type="dxa"/>
            <w:vAlign w:val="bottom"/>
            <w:gridSpan w:val="4"/>
          </w:tcPr>
          <w:p>
            <w:pPr>
              <w:spacing w:after="0" w:line="196" w:lineRule="exact"/>
              <w:rPr>
                <w:rFonts w:ascii="Arial" w:cs="Arial" w:eastAsia="Arial" w:hAnsi="Arial"/>
                <w:sz w:val="18"/>
                <w:szCs w:val="18"/>
                <w:color w:val="0000EE"/>
                <w:w w:val="91"/>
              </w:rPr>
            </w:pPr>
            <w:hyperlink w:anchor="page168">
              <w:r>
                <w:rPr>
                  <w:rFonts w:ascii="Arial" w:cs="Arial" w:eastAsia="Arial" w:hAnsi="Arial"/>
                  <w:sz w:val="18"/>
                  <w:szCs w:val="18"/>
                  <w:color w:val="0000EE"/>
                  <w:w w:val="91"/>
                </w:rPr>
                <w:t>ITEM 10</w:t>
              </w:r>
            </w:hyperlink>
          </w:p>
        </w:tc>
        <w:tc>
          <w:tcPr>
            <w:tcW w:w="360" w:type="dxa"/>
            <w:vAlign w:val="bottom"/>
          </w:tcPr>
          <w:p>
            <w:pPr>
              <w:spacing w:after="0"/>
              <w:rPr>
                <w:sz w:val="17"/>
                <w:szCs w:val="17"/>
                <w:color w:val="auto"/>
              </w:rPr>
            </w:pPr>
          </w:p>
        </w:tc>
        <w:tc>
          <w:tcPr>
            <w:tcW w:w="7260" w:type="dxa"/>
            <w:vAlign w:val="bottom"/>
            <w:gridSpan w:val="31"/>
          </w:tcPr>
          <w:p>
            <w:pPr>
              <w:ind w:left="140"/>
              <w:spacing w:after="0" w:line="196" w:lineRule="exact"/>
              <w:rPr>
                <w:rFonts w:ascii="Arial" w:cs="Arial" w:eastAsia="Arial" w:hAnsi="Arial"/>
                <w:sz w:val="18"/>
                <w:szCs w:val="18"/>
                <w:color w:val="0000EE"/>
              </w:rPr>
            </w:pPr>
            <w:hyperlink w:anchor="page168">
              <w:r>
                <w:rPr>
                  <w:rFonts w:ascii="Arial" w:cs="Arial" w:eastAsia="Arial" w:hAnsi="Arial"/>
                  <w:sz w:val="18"/>
                  <w:szCs w:val="18"/>
                  <w:color w:val="0000EE"/>
                </w:rPr>
                <w:t>ADDITIONAL INFORMATION</w:t>
              </w:r>
            </w:hyperlink>
          </w:p>
        </w:tc>
        <w:tc>
          <w:tcPr>
            <w:tcW w:w="580" w:type="dxa"/>
            <w:vAlign w:val="bottom"/>
            <w:gridSpan w:val="5"/>
          </w:tcPr>
          <w:p>
            <w:pPr>
              <w:jc w:val="right"/>
              <w:ind w:right="20"/>
              <w:spacing w:after="0" w:line="196" w:lineRule="exact"/>
              <w:rPr>
                <w:rFonts w:ascii="Arial" w:cs="Arial" w:eastAsia="Arial" w:hAnsi="Arial"/>
                <w:sz w:val="18"/>
                <w:szCs w:val="18"/>
                <w:color w:val="0000EE"/>
              </w:rPr>
            </w:pPr>
            <w:hyperlink w:anchor="page168">
              <w:r>
                <w:rPr>
                  <w:rFonts w:ascii="Arial" w:cs="Arial" w:eastAsia="Arial" w:hAnsi="Arial"/>
                  <w:sz w:val="18"/>
                  <w:szCs w:val="18"/>
                  <w:color w:val="0000EE"/>
                </w:rPr>
                <w:t>125</w:t>
              </w:r>
            </w:hyperlink>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40" w:type="dxa"/>
            <w:vAlign w:val="bottom"/>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520" w:type="dxa"/>
            <w:vAlign w:val="bottom"/>
            <w:gridSpan w:val="3"/>
            <w:shd w:val="clear" w:color="auto" w:fill="0000EE"/>
          </w:tcPr>
          <w:p>
            <w:pPr>
              <w:spacing w:after="0" w:line="20" w:lineRule="exact"/>
              <w:rPr>
                <w:sz w:val="1"/>
                <w:szCs w:val="1"/>
                <w:color w:val="auto"/>
              </w:rPr>
            </w:pPr>
          </w:p>
        </w:tc>
        <w:tc>
          <w:tcPr>
            <w:tcW w:w="500" w:type="dxa"/>
            <w:vAlign w:val="bottom"/>
            <w:gridSpan w:val="2"/>
          </w:tcPr>
          <w:p>
            <w:pPr>
              <w:spacing w:after="0" w:line="20" w:lineRule="exact"/>
              <w:rPr>
                <w:sz w:val="1"/>
                <w:szCs w:val="1"/>
                <w:color w:val="auto"/>
              </w:rPr>
            </w:pPr>
          </w:p>
        </w:tc>
        <w:tc>
          <w:tcPr>
            <w:tcW w:w="300" w:type="dxa"/>
            <w:vAlign w:val="bottom"/>
            <w:gridSpan w:val="2"/>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60" w:type="dxa"/>
            <w:vAlign w:val="bottom"/>
            <w:gridSpan w:val="4"/>
            <w:shd w:val="clear" w:color="auto" w:fill="0000EE"/>
          </w:tcPr>
          <w:p>
            <w:pPr>
              <w:spacing w:after="0" w:line="20" w:lineRule="exact"/>
              <w:rPr>
                <w:sz w:val="1"/>
                <w:szCs w:val="1"/>
                <w:color w:val="auto"/>
              </w:rPr>
            </w:pPr>
          </w:p>
        </w:tc>
        <w:tc>
          <w:tcPr>
            <w:tcW w:w="600" w:type="dxa"/>
            <w:vAlign w:val="bottom"/>
            <w:tcBorders>
              <w:left w:val="single" w:sz="8" w:color="0000EE"/>
            </w:tcBorders>
            <w:gridSpan w:val="5"/>
            <w:shd w:val="clear" w:color="auto" w:fill="0000EE"/>
          </w:tcPr>
          <w:p>
            <w:pPr>
              <w:spacing w:after="0" w:line="20" w:lineRule="exact"/>
              <w:rPr>
                <w:sz w:val="1"/>
                <w:szCs w:val="1"/>
                <w:color w:val="auto"/>
              </w:rPr>
            </w:pPr>
          </w:p>
        </w:tc>
        <w:tc>
          <w:tcPr>
            <w:tcW w:w="880" w:type="dxa"/>
            <w:vAlign w:val="bottom"/>
            <w:gridSpan w:val="4"/>
            <w:shd w:val="clear" w:color="auto" w:fill="0000EE"/>
          </w:tcPr>
          <w:p>
            <w:pPr>
              <w:spacing w:after="0" w:line="20" w:lineRule="exact"/>
              <w:rPr>
                <w:sz w:val="1"/>
                <w:szCs w:val="1"/>
                <w:color w:val="auto"/>
              </w:rPr>
            </w:pPr>
          </w:p>
        </w:tc>
        <w:tc>
          <w:tcPr>
            <w:tcW w:w="120" w:type="dxa"/>
            <w:vAlign w:val="bottom"/>
            <w:tcBorders>
              <w:left w:val="single" w:sz="8" w:color="0000EE"/>
            </w:tcBorders>
            <w:shd w:val="clear" w:color="auto" w:fill="0000EE"/>
          </w:tcPr>
          <w:p>
            <w:pPr>
              <w:spacing w:after="0" w:line="20" w:lineRule="exact"/>
              <w:rPr>
                <w:sz w:val="1"/>
                <w:szCs w:val="1"/>
                <w:color w:val="auto"/>
              </w:rPr>
            </w:pPr>
          </w:p>
        </w:tc>
        <w:tc>
          <w:tcPr>
            <w:tcW w:w="160" w:type="dxa"/>
            <w:vAlign w:val="bottom"/>
            <w:tcBorders>
              <w:left w:val="single" w:sz="8" w:color="0000EE"/>
            </w:tcBorders>
            <w:shd w:val="clear" w:color="auto" w:fill="0000EE"/>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460" w:type="dxa"/>
            <w:vAlign w:val="bottom"/>
            <w:gridSpan w:val="1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gridSpan w:val="3"/>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140" w:type="dxa"/>
            <w:vAlign w:val="bottom"/>
            <w:gridSpan w:val="35"/>
          </w:tcPr>
          <w:p>
            <w:pPr>
              <w:spacing w:after="0" w:line="196" w:lineRule="exact"/>
              <w:rPr>
                <w:rFonts w:ascii="Arial" w:cs="Arial" w:eastAsia="Arial" w:hAnsi="Arial"/>
                <w:sz w:val="18"/>
                <w:szCs w:val="18"/>
                <w:color w:val="0000EE"/>
              </w:rPr>
            </w:pPr>
            <w:hyperlink w:anchor="page168">
              <w:r>
                <w:rPr>
                  <w:rFonts w:ascii="Arial" w:cs="Arial" w:eastAsia="Arial" w:hAnsi="Arial"/>
                  <w:sz w:val="18"/>
                  <w:szCs w:val="18"/>
                  <w:color w:val="0000EE"/>
                </w:rPr>
                <w:t>Memorandum and Articles of Incorporation</w:t>
              </w:r>
            </w:hyperlink>
          </w:p>
        </w:tc>
        <w:tc>
          <w:tcPr>
            <w:tcW w:w="580" w:type="dxa"/>
            <w:vAlign w:val="bottom"/>
            <w:gridSpan w:val="5"/>
          </w:tcPr>
          <w:p>
            <w:pPr>
              <w:jc w:val="right"/>
              <w:ind w:right="20"/>
              <w:spacing w:after="0" w:line="196" w:lineRule="exact"/>
              <w:rPr>
                <w:rFonts w:ascii="Arial" w:cs="Arial" w:eastAsia="Arial" w:hAnsi="Arial"/>
                <w:sz w:val="18"/>
                <w:szCs w:val="18"/>
                <w:color w:val="0000EE"/>
              </w:rPr>
            </w:pPr>
            <w:hyperlink w:anchor="page168">
              <w:r>
                <w:rPr>
                  <w:rFonts w:ascii="Arial" w:cs="Arial" w:eastAsia="Arial" w:hAnsi="Arial"/>
                  <w:sz w:val="18"/>
                  <w:szCs w:val="18"/>
                  <w:color w:val="0000EE"/>
                </w:rPr>
                <w:t>125</w:t>
              </w:r>
            </w:hyperlink>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320" w:type="dxa"/>
            <w:vAlign w:val="bottom"/>
            <w:gridSpan w:val="7"/>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60" w:type="dxa"/>
            <w:vAlign w:val="bottom"/>
            <w:gridSpan w:val="4"/>
            <w:shd w:val="clear" w:color="auto" w:fill="0000EE"/>
          </w:tcPr>
          <w:p>
            <w:pPr>
              <w:spacing w:after="0" w:line="20" w:lineRule="exact"/>
              <w:rPr>
                <w:sz w:val="1"/>
                <w:szCs w:val="1"/>
                <w:color w:val="auto"/>
              </w:rPr>
            </w:pPr>
          </w:p>
        </w:tc>
        <w:tc>
          <w:tcPr>
            <w:tcW w:w="600" w:type="dxa"/>
            <w:vAlign w:val="bottom"/>
            <w:tcBorders>
              <w:left w:val="single" w:sz="8" w:color="0000EE"/>
            </w:tcBorders>
            <w:gridSpan w:val="5"/>
            <w:shd w:val="clear" w:color="auto" w:fill="0000EE"/>
          </w:tcPr>
          <w:p>
            <w:pPr>
              <w:spacing w:after="0" w:line="20" w:lineRule="exact"/>
              <w:rPr>
                <w:sz w:val="1"/>
                <w:szCs w:val="1"/>
                <w:color w:val="auto"/>
              </w:rPr>
            </w:pPr>
          </w:p>
        </w:tc>
        <w:tc>
          <w:tcPr>
            <w:tcW w:w="880" w:type="dxa"/>
            <w:vAlign w:val="bottom"/>
            <w:gridSpan w:val="4"/>
            <w:shd w:val="clear" w:color="auto" w:fill="0000EE"/>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gridSpan w:val="2"/>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460" w:type="dxa"/>
            <w:vAlign w:val="bottom"/>
            <w:gridSpan w:val="1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gridSpan w:val="3"/>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200" w:type="dxa"/>
            <w:vAlign w:val="bottom"/>
            <w:gridSpan w:val="17"/>
          </w:tcPr>
          <w:p>
            <w:pPr>
              <w:spacing w:after="0" w:line="196" w:lineRule="exact"/>
              <w:rPr>
                <w:rFonts w:ascii="Arial" w:cs="Arial" w:eastAsia="Arial" w:hAnsi="Arial"/>
                <w:sz w:val="18"/>
                <w:szCs w:val="18"/>
                <w:color w:val="0000EE"/>
                <w:w w:val="87"/>
              </w:rPr>
            </w:pPr>
            <w:hyperlink w:anchor="page169">
              <w:r>
                <w:rPr>
                  <w:rFonts w:ascii="Arial" w:cs="Arial" w:eastAsia="Arial" w:hAnsi="Arial"/>
                  <w:sz w:val="18"/>
                  <w:szCs w:val="18"/>
                  <w:color w:val="0000EE"/>
                  <w:w w:val="87"/>
                </w:rPr>
                <w:t>Disclosure of Share Ownership</w:t>
              </w:r>
            </w:hyperlink>
          </w:p>
        </w:tc>
        <w:tc>
          <w:tcPr>
            <w:tcW w:w="880" w:type="dxa"/>
            <w:vAlign w:val="bottom"/>
            <w:gridSpan w:val="4"/>
          </w:tcPr>
          <w:p>
            <w:pPr>
              <w:spacing w:after="0"/>
              <w:rPr>
                <w:sz w:val="17"/>
                <w:szCs w:val="17"/>
                <w:color w:val="auto"/>
              </w:rPr>
            </w:pPr>
          </w:p>
        </w:tc>
        <w:tc>
          <w:tcPr>
            <w:tcW w:w="5060" w:type="dxa"/>
            <w:vAlign w:val="bottom"/>
            <w:gridSpan w:val="14"/>
          </w:tcPr>
          <w:p>
            <w:pPr>
              <w:spacing w:after="0"/>
              <w:rPr>
                <w:sz w:val="17"/>
                <w:szCs w:val="17"/>
                <w:color w:val="auto"/>
              </w:rPr>
            </w:pPr>
          </w:p>
        </w:tc>
        <w:tc>
          <w:tcPr>
            <w:tcW w:w="580" w:type="dxa"/>
            <w:vAlign w:val="bottom"/>
            <w:gridSpan w:val="5"/>
          </w:tcPr>
          <w:p>
            <w:pPr>
              <w:jc w:val="right"/>
              <w:ind w:right="20"/>
              <w:spacing w:after="0" w:line="196" w:lineRule="exact"/>
              <w:rPr>
                <w:rFonts w:ascii="Arial" w:cs="Arial" w:eastAsia="Arial" w:hAnsi="Arial"/>
                <w:sz w:val="18"/>
                <w:szCs w:val="18"/>
                <w:color w:val="0000EE"/>
              </w:rPr>
            </w:pPr>
            <w:hyperlink w:anchor="page169">
              <w:r>
                <w:rPr>
                  <w:rFonts w:ascii="Arial" w:cs="Arial" w:eastAsia="Arial" w:hAnsi="Arial"/>
                  <w:sz w:val="18"/>
                  <w:szCs w:val="18"/>
                  <w:color w:val="0000EE"/>
                </w:rPr>
                <w:t>126</w:t>
              </w:r>
            </w:hyperlink>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320" w:type="dxa"/>
            <w:vAlign w:val="bottom"/>
            <w:gridSpan w:val="7"/>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60" w:type="dxa"/>
            <w:vAlign w:val="bottom"/>
            <w:gridSpan w:val="4"/>
            <w:shd w:val="clear" w:color="auto" w:fill="0000EE"/>
          </w:tcPr>
          <w:p>
            <w:pPr>
              <w:spacing w:after="0" w:line="20" w:lineRule="exact"/>
              <w:rPr>
                <w:sz w:val="1"/>
                <w:szCs w:val="1"/>
                <w:color w:val="auto"/>
              </w:rPr>
            </w:pPr>
          </w:p>
        </w:tc>
        <w:tc>
          <w:tcPr>
            <w:tcW w:w="600" w:type="dxa"/>
            <w:vAlign w:val="bottom"/>
            <w:tcBorders>
              <w:left w:val="single" w:sz="8" w:color="0000EE"/>
            </w:tcBorders>
            <w:gridSpan w:val="5"/>
            <w:shd w:val="clear" w:color="auto" w:fill="0000EE"/>
          </w:tcPr>
          <w:p>
            <w:pPr>
              <w:spacing w:after="0" w:line="20" w:lineRule="exact"/>
              <w:rPr>
                <w:sz w:val="1"/>
                <w:szCs w:val="1"/>
                <w:color w:val="auto"/>
              </w:rPr>
            </w:pPr>
          </w:p>
        </w:tc>
        <w:tc>
          <w:tcPr>
            <w:tcW w:w="1000" w:type="dxa"/>
            <w:vAlign w:val="bottom"/>
            <w:gridSpan w:val="5"/>
          </w:tcPr>
          <w:p>
            <w:pPr>
              <w:spacing w:after="0" w:line="20" w:lineRule="exact"/>
              <w:rPr>
                <w:sz w:val="1"/>
                <w:szCs w:val="1"/>
                <w:color w:val="auto"/>
              </w:rPr>
            </w:pPr>
          </w:p>
        </w:tc>
        <w:tc>
          <w:tcPr>
            <w:tcW w:w="280" w:type="dxa"/>
            <w:vAlign w:val="bottom"/>
            <w:gridSpan w:val="2"/>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460" w:type="dxa"/>
            <w:vAlign w:val="bottom"/>
            <w:gridSpan w:val="1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gridSpan w:val="3"/>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320" w:type="dxa"/>
            <w:vAlign w:val="bottom"/>
            <w:gridSpan w:val="7"/>
          </w:tcPr>
          <w:p>
            <w:pPr>
              <w:spacing w:after="0" w:line="196" w:lineRule="exact"/>
              <w:rPr>
                <w:rFonts w:ascii="Arial" w:cs="Arial" w:eastAsia="Arial" w:hAnsi="Arial"/>
                <w:sz w:val="18"/>
                <w:szCs w:val="18"/>
                <w:color w:val="0000EE"/>
                <w:w w:val="88"/>
              </w:rPr>
            </w:pPr>
            <w:hyperlink w:anchor="page170">
              <w:r>
                <w:rPr>
                  <w:rFonts w:ascii="Arial" w:cs="Arial" w:eastAsia="Arial" w:hAnsi="Arial"/>
                  <w:sz w:val="18"/>
                  <w:szCs w:val="18"/>
                  <w:color w:val="0000EE"/>
                  <w:w w:val="88"/>
                </w:rPr>
                <w:t>Material Contracts</w:t>
              </w:r>
            </w:hyperlink>
          </w:p>
        </w:tc>
        <w:tc>
          <w:tcPr>
            <w:tcW w:w="880" w:type="dxa"/>
            <w:vAlign w:val="bottom"/>
            <w:gridSpan w:val="10"/>
          </w:tcPr>
          <w:p>
            <w:pPr>
              <w:spacing w:after="0"/>
              <w:rPr>
                <w:sz w:val="17"/>
                <w:szCs w:val="17"/>
                <w:color w:val="auto"/>
              </w:rPr>
            </w:pPr>
          </w:p>
        </w:tc>
        <w:tc>
          <w:tcPr>
            <w:tcW w:w="5940" w:type="dxa"/>
            <w:vAlign w:val="bottom"/>
            <w:gridSpan w:val="18"/>
          </w:tcPr>
          <w:p>
            <w:pPr>
              <w:spacing w:after="0"/>
              <w:rPr>
                <w:sz w:val="17"/>
                <w:szCs w:val="17"/>
                <w:color w:val="auto"/>
              </w:rPr>
            </w:pPr>
          </w:p>
        </w:tc>
        <w:tc>
          <w:tcPr>
            <w:tcW w:w="580" w:type="dxa"/>
            <w:vAlign w:val="bottom"/>
            <w:gridSpan w:val="5"/>
          </w:tcPr>
          <w:p>
            <w:pPr>
              <w:jc w:val="right"/>
              <w:ind w:right="20"/>
              <w:spacing w:after="0" w:line="196" w:lineRule="exact"/>
              <w:rPr>
                <w:rFonts w:ascii="Arial" w:cs="Arial" w:eastAsia="Arial" w:hAnsi="Arial"/>
                <w:sz w:val="18"/>
                <w:szCs w:val="18"/>
                <w:color w:val="0000EE"/>
              </w:rPr>
            </w:pPr>
            <w:hyperlink w:anchor="page170">
              <w:r>
                <w:rPr>
                  <w:rFonts w:ascii="Arial" w:cs="Arial" w:eastAsia="Arial" w:hAnsi="Arial"/>
                  <w:sz w:val="18"/>
                  <w:szCs w:val="18"/>
                  <w:color w:val="0000EE"/>
                </w:rPr>
                <w:t>127</w:t>
              </w:r>
            </w:hyperlink>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320" w:type="dxa"/>
            <w:vAlign w:val="bottom"/>
            <w:gridSpan w:val="7"/>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60" w:type="dxa"/>
            <w:vAlign w:val="bottom"/>
            <w:gridSpan w:val="4"/>
          </w:tcPr>
          <w:p>
            <w:pPr>
              <w:spacing w:after="0" w:line="20" w:lineRule="exact"/>
              <w:rPr>
                <w:sz w:val="1"/>
                <w:szCs w:val="1"/>
                <w:color w:val="auto"/>
              </w:rPr>
            </w:pPr>
          </w:p>
        </w:tc>
        <w:tc>
          <w:tcPr>
            <w:tcW w:w="1600" w:type="dxa"/>
            <w:vAlign w:val="bottom"/>
            <w:gridSpan w:val="10"/>
          </w:tcPr>
          <w:p>
            <w:pPr>
              <w:spacing w:after="0" w:line="20" w:lineRule="exact"/>
              <w:rPr>
                <w:sz w:val="1"/>
                <w:szCs w:val="1"/>
                <w:color w:val="auto"/>
              </w:rPr>
            </w:pPr>
          </w:p>
        </w:tc>
        <w:tc>
          <w:tcPr>
            <w:tcW w:w="280" w:type="dxa"/>
            <w:vAlign w:val="bottom"/>
            <w:gridSpan w:val="2"/>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460" w:type="dxa"/>
            <w:vAlign w:val="bottom"/>
            <w:gridSpan w:val="1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gridSpan w:val="3"/>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140" w:type="dxa"/>
            <w:vAlign w:val="bottom"/>
            <w:gridSpan w:val="35"/>
          </w:tcPr>
          <w:p>
            <w:pPr>
              <w:spacing w:after="0" w:line="196" w:lineRule="exact"/>
              <w:rPr>
                <w:rFonts w:ascii="Arial" w:cs="Arial" w:eastAsia="Arial" w:hAnsi="Arial"/>
                <w:sz w:val="18"/>
                <w:szCs w:val="18"/>
                <w:color w:val="0000EE"/>
              </w:rPr>
            </w:pPr>
            <w:hyperlink w:anchor="page174">
              <w:r>
                <w:rPr>
                  <w:rFonts w:ascii="Arial" w:cs="Arial" w:eastAsia="Arial" w:hAnsi="Arial"/>
                  <w:sz w:val="18"/>
                  <w:szCs w:val="18"/>
                  <w:color w:val="0000EE"/>
                </w:rPr>
                <w:t>Exchange Controls</w:t>
              </w:r>
            </w:hyperlink>
          </w:p>
        </w:tc>
        <w:tc>
          <w:tcPr>
            <w:tcW w:w="580" w:type="dxa"/>
            <w:vAlign w:val="bottom"/>
            <w:gridSpan w:val="5"/>
          </w:tcPr>
          <w:p>
            <w:pPr>
              <w:jc w:val="right"/>
              <w:ind w:right="20"/>
              <w:spacing w:after="0" w:line="196" w:lineRule="exact"/>
              <w:rPr>
                <w:rFonts w:ascii="Arial" w:cs="Arial" w:eastAsia="Arial" w:hAnsi="Arial"/>
                <w:sz w:val="18"/>
                <w:szCs w:val="18"/>
                <w:color w:val="0000EE"/>
              </w:rPr>
            </w:pPr>
            <w:hyperlink w:anchor="page174">
              <w:r>
                <w:rPr>
                  <w:rFonts w:ascii="Arial" w:cs="Arial" w:eastAsia="Arial" w:hAnsi="Arial"/>
                  <w:sz w:val="18"/>
                  <w:szCs w:val="18"/>
                  <w:color w:val="0000EE"/>
                </w:rPr>
                <w:t>131</w:t>
              </w:r>
            </w:hyperlink>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340" w:type="dxa"/>
            <w:vAlign w:val="bottom"/>
            <w:gridSpan w:val="8"/>
            <w:shd w:val="clear" w:color="auto" w:fill="0000EE"/>
          </w:tcPr>
          <w:p>
            <w:pPr>
              <w:spacing w:after="0" w:line="20" w:lineRule="exact"/>
              <w:rPr>
                <w:sz w:val="1"/>
                <w:szCs w:val="1"/>
                <w:color w:val="auto"/>
              </w:rPr>
            </w:pPr>
          </w:p>
        </w:tc>
        <w:tc>
          <w:tcPr>
            <w:tcW w:w="260" w:type="dxa"/>
            <w:vAlign w:val="bottom"/>
            <w:gridSpan w:val="4"/>
          </w:tcPr>
          <w:p>
            <w:pPr>
              <w:spacing w:after="0" w:line="20" w:lineRule="exact"/>
              <w:rPr>
                <w:sz w:val="1"/>
                <w:szCs w:val="1"/>
                <w:color w:val="auto"/>
              </w:rPr>
            </w:pPr>
          </w:p>
        </w:tc>
        <w:tc>
          <w:tcPr>
            <w:tcW w:w="1600" w:type="dxa"/>
            <w:vAlign w:val="bottom"/>
            <w:gridSpan w:val="10"/>
          </w:tcPr>
          <w:p>
            <w:pPr>
              <w:spacing w:after="0" w:line="20" w:lineRule="exact"/>
              <w:rPr>
                <w:sz w:val="1"/>
                <w:szCs w:val="1"/>
                <w:color w:val="auto"/>
              </w:rPr>
            </w:pPr>
          </w:p>
        </w:tc>
        <w:tc>
          <w:tcPr>
            <w:tcW w:w="280" w:type="dxa"/>
            <w:vAlign w:val="bottom"/>
            <w:gridSpan w:val="2"/>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460" w:type="dxa"/>
            <w:vAlign w:val="bottom"/>
            <w:gridSpan w:val="1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gridSpan w:val="3"/>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3680" w:type="dxa"/>
            <w:vAlign w:val="bottom"/>
            <w:gridSpan w:val="25"/>
          </w:tcPr>
          <w:p>
            <w:pPr>
              <w:spacing w:after="0" w:line="196" w:lineRule="exact"/>
              <w:rPr>
                <w:rFonts w:ascii="Arial" w:cs="Arial" w:eastAsia="Arial" w:hAnsi="Arial"/>
                <w:sz w:val="18"/>
                <w:szCs w:val="18"/>
                <w:color w:val="0000EE"/>
                <w:w w:val="87"/>
              </w:rPr>
            </w:pPr>
            <w:hyperlink w:anchor="page174">
              <w:r>
                <w:rPr>
                  <w:rFonts w:ascii="Arial" w:cs="Arial" w:eastAsia="Arial" w:hAnsi="Arial"/>
                  <w:sz w:val="18"/>
                  <w:szCs w:val="18"/>
                  <w:color w:val="0000EE"/>
                  <w:w w:val="87"/>
                </w:rPr>
                <w:t>Restrictions on Share Ownership by Non-Canadians</w:t>
              </w:r>
            </w:hyperlink>
          </w:p>
        </w:tc>
        <w:tc>
          <w:tcPr>
            <w:tcW w:w="4460" w:type="dxa"/>
            <w:vAlign w:val="bottom"/>
            <w:gridSpan w:val="10"/>
          </w:tcPr>
          <w:p>
            <w:pPr>
              <w:spacing w:after="0"/>
              <w:rPr>
                <w:sz w:val="17"/>
                <w:szCs w:val="17"/>
                <w:color w:val="auto"/>
              </w:rPr>
            </w:pPr>
          </w:p>
        </w:tc>
        <w:tc>
          <w:tcPr>
            <w:tcW w:w="580" w:type="dxa"/>
            <w:vAlign w:val="bottom"/>
            <w:gridSpan w:val="5"/>
          </w:tcPr>
          <w:p>
            <w:pPr>
              <w:jc w:val="right"/>
              <w:ind w:right="20"/>
              <w:spacing w:after="0" w:line="196" w:lineRule="exact"/>
              <w:rPr>
                <w:rFonts w:ascii="Arial" w:cs="Arial" w:eastAsia="Arial" w:hAnsi="Arial"/>
                <w:sz w:val="18"/>
                <w:szCs w:val="18"/>
                <w:color w:val="0000EE"/>
              </w:rPr>
            </w:pPr>
            <w:hyperlink w:anchor="page174">
              <w:r>
                <w:rPr>
                  <w:rFonts w:ascii="Arial" w:cs="Arial" w:eastAsia="Arial" w:hAnsi="Arial"/>
                  <w:sz w:val="18"/>
                  <w:szCs w:val="18"/>
                  <w:color w:val="0000EE"/>
                </w:rPr>
                <w:t>131</w:t>
              </w:r>
            </w:hyperlink>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0" w:type="dxa"/>
            <w:vAlign w:val="bottom"/>
            <w:gridSpan w:val="12"/>
            <w:shd w:val="clear" w:color="auto" w:fill="0000EE"/>
          </w:tcPr>
          <w:p>
            <w:pPr>
              <w:spacing w:after="0" w:line="20" w:lineRule="exact"/>
              <w:rPr>
                <w:sz w:val="1"/>
                <w:szCs w:val="1"/>
                <w:color w:val="auto"/>
              </w:rPr>
            </w:pPr>
          </w:p>
        </w:tc>
        <w:tc>
          <w:tcPr>
            <w:tcW w:w="1600" w:type="dxa"/>
            <w:vAlign w:val="bottom"/>
            <w:tcBorders>
              <w:left w:val="single" w:sz="8" w:color="0000EE"/>
            </w:tcBorders>
            <w:gridSpan w:val="10"/>
            <w:shd w:val="clear" w:color="auto" w:fill="0000EE"/>
          </w:tcPr>
          <w:p>
            <w:pPr>
              <w:spacing w:after="0" w:line="20" w:lineRule="exact"/>
              <w:rPr>
                <w:sz w:val="1"/>
                <w:szCs w:val="1"/>
                <w:color w:val="auto"/>
              </w:rPr>
            </w:pPr>
          </w:p>
        </w:tc>
        <w:tc>
          <w:tcPr>
            <w:tcW w:w="280" w:type="dxa"/>
            <w:vAlign w:val="bottom"/>
            <w:tcBorders>
              <w:left w:val="single" w:sz="8" w:color="0000EE"/>
            </w:tcBorders>
            <w:gridSpan w:val="2"/>
            <w:shd w:val="clear" w:color="auto" w:fill="0000EE"/>
          </w:tcPr>
          <w:p>
            <w:pPr>
              <w:spacing w:after="0" w:line="20" w:lineRule="exact"/>
              <w:rPr>
                <w:sz w:val="1"/>
                <w:szCs w:val="1"/>
                <w:color w:val="auto"/>
              </w:rPr>
            </w:pPr>
          </w:p>
        </w:tc>
        <w:tc>
          <w:tcPr>
            <w:tcW w:w="200" w:type="dxa"/>
            <w:vAlign w:val="bottom"/>
            <w:shd w:val="clear" w:color="auto" w:fill="0000EE"/>
          </w:tcPr>
          <w:p>
            <w:pPr>
              <w:spacing w:after="0" w:line="20" w:lineRule="exact"/>
              <w:rPr>
                <w:sz w:val="1"/>
                <w:szCs w:val="1"/>
                <w:color w:val="auto"/>
              </w:rPr>
            </w:pPr>
          </w:p>
        </w:tc>
        <w:tc>
          <w:tcPr>
            <w:tcW w:w="4460" w:type="dxa"/>
            <w:vAlign w:val="bottom"/>
            <w:gridSpan w:val="1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gridSpan w:val="3"/>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600" w:type="dxa"/>
            <w:vAlign w:val="bottom"/>
            <w:gridSpan w:val="12"/>
          </w:tcPr>
          <w:p>
            <w:pPr>
              <w:spacing w:after="0" w:line="196" w:lineRule="exact"/>
              <w:rPr>
                <w:rFonts w:ascii="Arial" w:cs="Arial" w:eastAsia="Arial" w:hAnsi="Arial"/>
                <w:sz w:val="18"/>
                <w:szCs w:val="18"/>
                <w:color w:val="0000EE"/>
                <w:w w:val="85"/>
              </w:rPr>
            </w:pPr>
            <w:hyperlink w:anchor="page174">
              <w:r>
                <w:rPr>
                  <w:rFonts w:ascii="Arial" w:cs="Arial" w:eastAsia="Arial" w:hAnsi="Arial"/>
                  <w:sz w:val="18"/>
                  <w:szCs w:val="18"/>
                  <w:color w:val="0000EE"/>
                  <w:w w:val="85"/>
                </w:rPr>
                <w:t>Corporate Governance</w:t>
              </w:r>
            </w:hyperlink>
          </w:p>
        </w:tc>
        <w:tc>
          <w:tcPr>
            <w:tcW w:w="2080" w:type="dxa"/>
            <w:vAlign w:val="bottom"/>
            <w:gridSpan w:val="13"/>
          </w:tcPr>
          <w:p>
            <w:pPr>
              <w:spacing w:after="0"/>
              <w:rPr>
                <w:sz w:val="17"/>
                <w:szCs w:val="17"/>
                <w:color w:val="auto"/>
              </w:rPr>
            </w:pPr>
          </w:p>
        </w:tc>
        <w:tc>
          <w:tcPr>
            <w:tcW w:w="4460" w:type="dxa"/>
            <w:vAlign w:val="bottom"/>
            <w:gridSpan w:val="10"/>
          </w:tcPr>
          <w:p>
            <w:pPr>
              <w:spacing w:after="0"/>
              <w:rPr>
                <w:sz w:val="17"/>
                <w:szCs w:val="17"/>
                <w:color w:val="auto"/>
              </w:rPr>
            </w:pPr>
          </w:p>
        </w:tc>
        <w:tc>
          <w:tcPr>
            <w:tcW w:w="580" w:type="dxa"/>
            <w:vAlign w:val="bottom"/>
            <w:gridSpan w:val="5"/>
          </w:tcPr>
          <w:p>
            <w:pPr>
              <w:jc w:val="right"/>
              <w:ind w:right="20"/>
              <w:spacing w:after="0" w:line="196" w:lineRule="exact"/>
              <w:rPr>
                <w:rFonts w:ascii="Arial" w:cs="Arial" w:eastAsia="Arial" w:hAnsi="Arial"/>
                <w:sz w:val="18"/>
                <w:szCs w:val="18"/>
                <w:color w:val="0000EE"/>
              </w:rPr>
            </w:pPr>
            <w:hyperlink w:anchor="page174">
              <w:r>
                <w:rPr>
                  <w:rFonts w:ascii="Arial" w:cs="Arial" w:eastAsia="Arial" w:hAnsi="Arial"/>
                  <w:sz w:val="18"/>
                  <w:szCs w:val="18"/>
                  <w:color w:val="0000EE"/>
                </w:rPr>
                <w:t>131</w:t>
              </w:r>
            </w:hyperlink>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0" w:type="dxa"/>
            <w:vAlign w:val="bottom"/>
            <w:gridSpan w:val="12"/>
            <w:shd w:val="clear" w:color="auto" w:fill="0000EE"/>
          </w:tcPr>
          <w:p>
            <w:pPr>
              <w:spacing w:after="0" w:line="20" w:lineRule="exact"/>
              <w:rPr>
                <w:sz w:val="1"/>
                <w:szCs w:val="1"/>
                <w:color w:val="auto"/>
              </w:rPr>
            </w:pPr>
          </w:p>
        </w:tc>
        <w:tc>
          <w:tcPr>
            <w:tcW w:w="1600" w:type="dxa"/>
            <w:vAlign w:val="bottom"/>
            <w:gridSpan w:val="10"/>
          </w:tcPr>
          <w:p>
            <w:pPr>
              <w:spacing w:after="0" w:line="20" w:lineRule="exact"/>
              <w:rPr>
                <w:sz w:val="1"/>
                <w:szCs w:val="1"/>
                <w:color w:val="auto"/>
              </w:rPr>
            </w:pPr>
          </w:p>
        </w:tc>
        <w:tc>
          <w:tcPr>
            <w:tcW w:w="280" w:type="dxa"/>
            <w:vAlign w:val="bottom"/>
            <w:gridSpan w:val="2"/>
          </w:tcPr>
          <w:p>
            <w:pPr>
              <w:spacing w:after="0" w:line="20" w:lineRule="exact"/>
              <w:rPr>
                <w:sz w:val="1"/>
                <w:szCs w:val="1"/>
                <w:color w:val="auto"/>
              </w:rPr>
            </w:pPr>
          </w:p>
        </w:tc>
        <w:tc>
          <w:tcPr>
            <w:tcW w:w="4660" w:type="dxa"/>
            <w:vAlign w:val="bottom"/>
            <w:gridSpan w:val="11"/>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gridSpan w:val="3"/>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140" w:type="dxa"/>
            <w:vAlign w:val="bottom"/>
            <w:gridSpan w:val="35"/>
          </w:tcPr>
          <w:p>
            <w:pPr>
              <w:spacing w:after="0" w:line="196" w:lineRule="exact"/>
              <w:rPr>
                <w:rFonts w:ascii="Arial" w:cs="Arial" w:eastAsia="Arial" w:hAnsi="Arial"/>
                <w:sz w:val="18"/>
                <w:szCs w:val="18"/>
                <w:color w:val="0000EE"/>
              </w:rPr>
            </w:pPr>
            <w:hyperlink w:anchor="page175">
              <w:r>
                <w:rPr>
                  <w:rFonts w:ascii="Arial" w:cs="Arial" w:eastAsia="Arial" w:hAnsi="Arial"/>
                  <w:sz w:val="18"/>
                  <w:szCs w:val="18"/>
                  <w:color w:val="0000EE"/>
                </w:rPr>
                <w:t>Canadian Federal Income Tax Considerations</w:t>
              </w:r>
            </w:hyperlink>
          </w:p>
        </w:tc>
        <w:tc>
          <w:tcPr>
            <w:tcW w:w="580" w:type="dxa"/>
            <w:vAlign w:val="bottom"/>
            <w:gridSpan w:val="5"/>
          </w:tcPr>
          <w:p>
            <w:pPr>
              <w:jc w:val="right"/>
              <w:ind w:right="20"/>
              <w:spacing w:after="0" w:line="196" w:lineRule="exact"/>
              <w:rPr>
                <w:rFonts w:ascii="Arial" w:cs="Arial" w:eastAsia="Arial" w:hAnsi="Arial"/>
                <w:sz w:val="18"/>
                <w:szCs w:val="18"/>
                <w:color w:val="0000EE"/>
              </w:rPr>
            </w:pPr>
            <w:hyperlink w:anchor="page175">
              <w:r>
                <w:rPr>
                  <w:rFonts w:ascii="Arial" w:cs="Arial" w:eastAsia="Arial" w:hAnsi="Arial"/>
                  <w:sz w:val="18"/>
                  <w:szCs w:val="18"/>
                  <w:color w:val="0000EE"/>
                </w:rPr>
                <w:t>132</w:t>
              </w:r>
            </w:hyperlink>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200" w:type="dxa"/>
            <w:vAlign w:val="bottom"/>
            <w:gridSpan w:val="22"/>
            <w:shd w:val="clear" w:color="auto" w:fill="0000EE"/>
          </w:tcPr>
          <w:p>
            <w:pPr>
              <w:spacing w:after="0" w:line="20" w:lineRule="exact"/>
              <w:rPr>
                <w:sz w:val="1"/>
                <w:szCs w:val="1"/>
                <w:color w:val="auto"/>
              </w:rPr>
            </w:pPr>
          </w:p>
        </w:tc>
        <w:tc>
          <w:tcPr>
            <w:tcW w:w="280" w:type="dxa"/>
            <w:vAlign w:val="bottom"/>
            <w:gridSpan w:val="2"/>
          </w:tcPr>
          <w:p>
            <w:pPr>
              <w:spacing w:after="0" w:line="20" w:lineRule="exact"/>
              <w:rPr>
                <w:sz w:val="1"/>
                <w:szCs w:val="1"/>
                <w:color w:val="auto"/>
              </w:rPr>
            </w:pPr>
          </w:p>
        </w:tc>
        <w:tc>
          <w:tcPr>
            <w:tcW w:w="4660" w:type="dxa"/>
            <w:vAlign w:val="bottom"/>
            <w:gridSpan w:val="11"/>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gridSpan w:val="3"/>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140" w:type="dxa"/>
            <w:vAlign w:val="bottom"/>
            <w:gridSpan w:val="35"/>
          </w:tcPr>
          <w:p>
            <w:pPr>
              <w:spacing w:after="0" w:line="196" w:lineRule="exact"/>
              <w:rPr>
                <w:rFonts w:ascii="Arial" w:cs="Arial" w:eastAsia="Arial" w:hAnsi="Arial"/>
                <w:sz w:val="18"/>
                <w:szCs w:val="18"/>
                <w:color w:val="0000EE"/>
              </w:rPr>
            </w:pPr>
            <w:hyperlink w:anchor="page175">
              <w:r>
                <w:rPr>
                  <w:rFonts w:ascii="Arial" w:cs="Arial" w:eastAsia="Arial" w:hAnsi="Arial"/>
                  <w:sz w:val="18"/>
                  <w:szCs w:val="18"/>
                  <w:color w:val="0000EE"/>
                </w:rPr>
                <w:t>United States Federal Income Tax Considerations</w:t>
              </w:r>
            </w:hyperlink>
          </w:p>
        </w:tc>
        <w:tc>
          <w:tcPr>
            <w:tcW w:w="580" w:type="dxa"/>
            <w:vAlign w:val="bottom"/>
            <w:gridSpan w:val="5"/>
          </w:tcPr>
          <w:p>
            <w:pPr>
              <w:jc w:val="right"/>
              <w:ind w:right="20"/>
              <w:spacing w:after="0" w:line="196" w:lineRule="exact"/>
              <w:rPr>
                <w:rFonts w:ascii="Arial" w:cs="Arial" w:eastAsia="Arial" w:hAnsi="Arial"/>
                <w:sz w:val="18"/>
                <w:szCs w:val="18"/>
                <w:color w:val="0000EE"/>
              </w:rPr>
            </w:pPr>
            <w:hyperlink w:anchor="page175">
              <w:r>
                <w:rPr>
                  <w:rFonts w:ascii="Arial" w:cs="Arial" w:eastAsia="Arial" w:hAnsi="Arial"/>
                  <w:sz w:val="18"/>
                  <w:szCs w:val="18"/>
                  <w:color w:val="0000EE"/>
                </w:rPr>
                <w:t>132</w:t>
              </w:r>
            </w:hyperlink>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360" w:type="dxa"/>
            <w:vAlign w:val="bottom"/>
            <w:tcBorders>
              <w:left w:val="single" w:sz="8" w:color="0000EE"/>
            </w:tcBorders>
            <w:shd w:val="clear" w:color="auto" w:fill="0000EE"/>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120" w:type="dxa"/>
            <w:vAlign w:val="bottom"/>
            <w:tcBorders>
              <w:left w:val="single" w:sz="8" w:color="0000EE"/>
            </w:tcBorders>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36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20" w:type="dxa"/>
            <w:vAlign w:val="bottom"/>
            <w:tcBorders>
              <w:left w:val="single" w:sz="8" w:color="0000EE"/>
            </w:tcBorders>
            <w:shd w:val="clear" w:color="auto" w:fill="0000EE"/>
          </w:tcPr>
          <w:p>
            <w:pPr>
              <w:spacing w:after="0" w:line="20" w:lineRule="exact"/>
              <w:rPr>
                <w:sz w:val="1"/>
                <w:szCs w:val="1"/>
                <w:color w:val="auto"/>
              </w:rPr>
            </w:pPr>
          </w:p>
        </w:tc>
        <w:tc>
          <w:tcPr>
            <w:tcW w:w="160" w:type="dxa"/>
            <w:vAlign w:val="bottom"/>
            <w:tcBorders>
              <w:left w:val="single" w:sz="8" w:color="0000EE"/>
            </w:tcBorders>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18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35" w:lineRule="exact"/>
        <w:rPr>
          <w:sz w:val="20"/>
          <w:szCs w:val="20"/>
          <w:color w:val="auto"/>
        </w:rPr>
      </w:pPr>
    </w:p>
    <w:p>
      <w:pPr>
        <w:jc w:val="center"/>
        <w:ind w:right="-60"/>
        <w:spacing w:after="0"/>
        <w:rPr>
          <w:sz w:val="20"/>
          <w:szCs w:val="20"/>
          <w:color w:val="auto"/>
        </w:rPr>
      </w:pPr>
      <w:r>
        <w:rPr>
          <w:rFonts w:ascii="Arial" w:cs="Arial" w:eastAsia="Arial" w:hAnsi="Arial"/>
          <w:sz w:val="18"/>
          <w:szCs w:val="18"/>
          <w:color w:val="auto"/>
        </w:rPr>
        <w: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-720090</wp:posOffset>
            </wp:positionH>
            <wp:positionV relativeFrom="paragraph">
              <wp:posOffset>146050</wp:posOffset>
            </wp:positionV>
            <wp:extent cx="7250430" cy="2159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9079"/>
          </w:cols>
          <w:pgMar w:left="1380" w:top="341" w:right="1440" w:bottom="1440" w:gutter="0" w:footer="0" w:header="0"/>
        </w:sectPr>
      </w:pPr>
    </w:p>
    <w:bookmarkStart w:id="42" w:name="page43"/>
    <w:bookmarkEnd w:id="42"/>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020" w:type="dxa"/>
            <w:vAlign w:val="bottom"/>
            <w:gridSpan w:val="9"/>
            <w:vMerge w:val="restart"/>
          </w:tcPr>
          <w:p>
            <w:pPr>
              <w:spacing w:after="0"/>
              <w:rPr>
                <w:rFonts w:ascii="Arial" w:cs="Arial" w:eastAsia="Arial" w:hAnsi="Arial"/>
                <w:sz w:val="18"/>
                <w:szCs w:val="18"/>
                <w:color w:val="0000EE"/>
              </w:rPr>
            </w:pPr>
            <w:hyperlink w:anchor="page178">
              <w:r>
                <w:rPr>
                  <w:rFonts w:ascii="Arial" w:cs="Arial" w:eastAsia="Arial" w:hAnsi="Arial"/>
                  <w:sz w:val="18"/>
                  <w:szCs w:val="18"/>
                  <w:color w:val="0000EE"/>
                </w:rPr>
                <w:t>Audit Fees</w:t>
              </w:r>
            </w:hyperlink>
          </w:p>
        </w:tc>
        <w:tc>
          <w:tcPr>
            <w:tcW w:w="14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0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740" w:type="dxa"/>
            <w:vAlign w:val="bottom"/>
            <w:gridSpan w:val="4"/>
          </w:tcPr>
          <w:p>
            <w:pPr>
              <w:ind w:left="140"/>
              <w:spacing w:after="0"/>
              <w:rPr>
                <w:sz w:val="20"/>
                <w:szCs w:val="20"/>
                <w:color w:val="auto"/>
              </w:rPr>
            </w:pPr>
            <w:r>
              <w:rPr>
                <w:rFonts w:ascii="Arial" w:cs="Arial" w:eastAsia="Arial" w:hAnsi="Arial"/>
                <w:sz w:val="14"/>
                <w:szCs w:val="14"/>
                <w:b w:val="1"/>
                <w:bCs w:val="1"/>
                <w:color w:val="auto"/>
              </w:rPr>
              <w:t>Page</w:t>
            </w: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020" w:type="dxa"/>
            <w:vAlign w:val="bottom"/>
            <w:gridSpan w:val="9"/>
            <w:vMerge w:val="continue"/>
          </w:tcPr>
          <w:p>
            <w:pPr>
              <w:spacing w:after="0"/>
              <w:rPr>
                <w:sz w:val="14"/>
                <w:szCs w:val="14"/>
                <w:color w:val="auto"/>
              </w:rPr>
            </w:pPr>
          </w:p>
        </w:tc>
        <w:tc>
          <w:tcPr>
            <w:tcW w:w="14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0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580" w:type="dxa"/>
            <w:vAlign w:val="bottom"/>
            <w:tcBorders>
              <w:top w:val="single" w:sz="8" w:color="auto"/>
            </w:tcBorders>
            <w:gridSpan w:val="3"/>
          </w:tcPr>
          <w:p>
            <w:pPr>
              <w:ind w:left="300"/>
              <w:spacing w:after="0" w:line="170" w:lineRule="exact"/>
              <w:rPr>
                <w:rFonts w:ascii="Arial" w:cs="Arial" w:eastAsia="Arial" w:hAnsi="Arial"/>
                <w:sz w:val="18"/>
                <w:szCs w:val="18"/>
                <w:color w:val="0000EE"/>
                <w:w w:val="86"/>
              </w:rPr>
            </w:pPr>
            <w:hyperlink w:anchor="page178">
              <w:r>
                <w:rPr>
                  <w:rFonts w:ascii="Arial" w:cs="Arial" w:eastAsia="Arial" w:hAnsi="Arial"/>
                  <w:sz w:val="18"/>
                  <w:szCs w:val="18"/>
                  <w:color w:val="0000EE"/>
                  <w:w w:val="86"/>
                </w:rPr>
                <w:t>135</w:t>
              </w:r>
            </w:hyperlink>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40" w:type="dxa"/>
            <w:vAlign w:val="bottom"/>
            <w:tcBorders>
              <w:left w:val="single" w:sz="8" w:color="0000EE"/>
            </w:tcBorders>
            <w:shd w:val="clear" w:color="auto" w:fill="0000EE"/>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120" w:type="dxa"/>
            <w:vAlign w:val="bottom"/>
            <w:gridSpan w:val="28"/>
          </w:tcPr>
          <w:p>
            <w:pPr>
              <w:spacing w:after="0" w:line="196" w:lineRule="exact"/>
              <w:rPr>
                <w:rFonts w:ascii="Arial" w:cs="Arial" w:eastAsia="Arial" w:hAnsi="Arial"/>
                <w:sz w:val="18"/>
                <w:szCs w:val="18"/>
                <w:color w:val="0000EE"/>
              </w:rPr>
            </w:pPr>
            <w:hyperlink w:anchor="page179">
              <w:r>
                <w:rPr>
                  <w:rFonts w:ascii="Arial" w:cs="Arial" w:eastAsia="Arial" w:hAnsi="Arial"/>
                  <w:sz w:val="18"/>
                  <w:szCs w:val="18"/>
                  <w:color w:val="0000EE"/>
                </w:rPr>
                <w:t>Documents on Display</w:t>
              </w:r>
            </w:hyperlink>
          </w:p>
        </w:tc>
        <w:tc>
          <w:tcPr>
            <w:tcW w:w="580" w:type="dxa"/>
            <w:vAlign w:val="bottom"/>
            <w:gridSpan w:val="3"/>
          </w:tcPr>
          <w:p>
            <w:pPr>
              <w:ind w:left="300"/>
              <w:spacing w:after="0" w:line="196" w:lineRule="exact"/>
              <w:rPr>
                <w:rFonts w:ascii="Arial" w:cs="Arial" w:eastAsia="Arial" w:hAnsi="Arial"/>
                <w:sz w:val="18"/>
                <w:szCs w:val="18"/>
                <w:color w:val="0000EE"/>
                <w:w w:val="86"/>
              </w:rPr>
            </w:pPr>
            <w:hyperlink w:anchor="page179">
              <w:r>
                <w:rPr>
                  <w:rFonts w:ascii="Arial" w:cs="Arial" w:eastAsia="Arial" w:hAnsi="Arial"/>
                  <w:sz w:val="18"/>
                  <w:szCs w:val="18"/>
                  <w:color w:val="0000EE"/>
                  <w:w w:val="86"/>
                </w:rPr>
                <w:t>136</w:t>
              </w:r>
            </w:hyperlink>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320" w:type="dxa"/>
            <w:vAlign w:val="bottom"/>
            <w:tcBorders>
              <w:left w:val="single" w:sz="8" w:color="0000EE"/>
            </w:tcBorders>
            <w:gridSpan w:val="2"/>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440" w:type="dxa"/>
            <w:vAlign w:val="bottom"/>
            <w:shd w:val="clear" w:color="auto" w:fill="0000EE"/>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60" w:type="dxa"/>
            <w:vAlign w:val="bottom"/>
            <w:gridSpan w:val="10"/>
          </w:tcPr>
          <w:p>
            <w:pPr>
              <w:spacing w:after="0" w:line="196" w:lineRule="exact"/>
              <w:rPr>
                <w:rFonts w:ascii="Arial" w:cs="Arial" w:eastAsia="Arial" w:hAnsi="Arial"/>
                <w:sz w:val="18"/>
                <w:szCs w:val="18"/>
                <w:color w:val="0000EE"/>
              </w:rPr>
            </w:pPr>
            <w:hyperlink w:anchor="page179">
              <w:r>
                <w:rPr>
                  <w:rFonts w:ascii="Arial" w:cs="Arial" w:eastAsia="Arial" w:hAnsi="Arial"/>
                  <w:sz w:val="18"/>
                  <w:szCs w:val="18"/>
                  <w:color w:val="0000EE"/>
                </w:rPr>
                <w:t>ITEM 11</w:t>
              </w:r>
            </w:hyperlink>
          </w:p>
        </w:tc>
        <w:tc>
          <w:tcPr>
            <w:tcW w:w="7100" w:type="dxa"/>
            <w:vAlign w:val="bottom"/>
            <w:gridSpan w:val="19"/>
          </w:tcPr>
          <w:p>
            <w:pPr>
              <w:spacing w:after="0" w:line="196" w:lineRule="exact"/>
              <w:rPr>
                <w:rFonts w:ascii="Arial" w:cs="Arial" w:eastAsia="Arial" w:hAnsi="Arial"/>
                <w:sz w:val="18"/>
                <w:szCs w:val="18"/>
                <w:color w:val="0000EE"/>
              </w:rPr>
            </w:pPr>
            <w:hyperlink w:anchor="page179">
              <w:r>
                <w:rPr>
                  <w:rFonts w:ascii="Arial" w:cs="Arial" w:eastAsia="Arial" w:hAnsi="Arial"/>
                  <w:sz w:val="18"/>
                  <w:szCs w:val="18"/>
                  <w:color w:val="0000EE"/>
                </w:rPr>
                <w:t>QUANTITATIVE AND QUALITATIVE DISCLOSURES ABOUT MARKET RISK</w:t>
              </w:r>
            </w:hyperlink>
          </w:p>
        </w:tc>
        <w:tc>
          <w:tcPr>
            <w:tcW w:w="580" w:type="dxa"/>
            <w:vAlign w:val="bottom"/>
            <w:gridSpan w:val="3"/>
          </w:tcPr>
          <w:p>
            <w:pPr>
              <w:ind w:left="300"/>
              <w:spacing w:after="0" w:line="196" w:lineRule="exact"/>
              <w:rPr>
                <w:rFonts w:ascii="Arial" w:cs="Arial" w:eastAsia="Arial" w:hAnsi="Arial"/>
                <w:sz w:val="18"/>
                <w:szCs w:val="18"/>
                <w:color w:val="0000EE"/>
                <w:w w:val="86"/>
              </w:rPr>
            </w:pPr>
            <w:hyperlink w:anchor="page179">
              <w:r>
                <w:rPr>
                  <w:rFonts w:ascii="Arial" w:cs="Arial" w:eastAsia="Arial" w:hAnsi="Arial"/>
                  <w:sz w:val="18"/>
                  <w:szCs w:val="18"/>
                  <w:color w:val="0000EE"/>
                  <w:w w:val="86"/>
                </w:rPr>
                <w:t>136</w:t>
              </w:r>
            </w:hyperlink>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60" w:type="dxa"/>
            <w:vAlign w:val="bottom"/>
            <w:gridSpan w:val="2"/>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660" w:type="dxa"/>
            <w:vAlign w:val="bottom"/>
            <w:gridSpan w:val="2"/>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68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800" w:type="dxa"/>
            <w:vAlign w:val="bottom"/>
            <w:shd w:val="clear" w:color="auto" w:fill="0000EE"/>
          </w:tcPr>
          <w:p>
            <w:pPr>
              <w:spacing w:after="0" w:line="20" w:lineRule="exact"/>
              <w:rPr>
                <w:sz w:val="1"/>
                <w:szCs w:val="1"/>
                <w:color w:val="auto"/>
              </w:rPr>
            </w:pPr>
          </w:p>
        </w:tc>
        <w:tc>
          <w:tcPr>
            <w:tcW w:w="540" w:type="dxa"/>
            <w:vAlign w:val="bottom"/>
            <w:shd w:val="clear" w:color="auto" w:fill="0000EE"/>
          </w:tcPr>
          <w:p>
            <w:pPr>
              <w:spacing w:after="0" w:line="20" w:lineRule="exact"/>
              <w:rPr>
                <w:sz w:val="1"/>
                <w:szCs w:val="1"/>
                <w:color w:val="auto"/>
              </w:rPr>
            </w:pPr>
          </w:p>
        </w:tc>
        <w:tc>
          <w:tcPr>
            <w:tcW w:w="780" w:type="dxa"/>
            <w:vAlign w:val="bottom"/>
            <w:shd w:val="clear" w:color="auto" w:fill="0000EE"/>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460" w:type="dxa"/>
            <w:vAlign w:val="bottom"/>
            <w:shd w:val="clear" w:color="auto" w:fill="0000EE"/>
          </w:tcPr>
          <w:p>
            <w:pPr>
              <w:spacing w:after="0" w:line="20" w:lineRule="exact"/>
              <w:rPr>
                <w:sz w:val="1"/>
                <w:szCs w:val="1"/>
                <w:color w:val="auto"/>
              </w:rPr>
            </w:pPr>
          </w:p>
        </w:tc>
        <w:tc>
          <w:tcPr>
            <w:tcW w:w="46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60" w:type="dxa"/>
            <w:vAlign w:val="bottom"/>
            <w:gridSpan w:val="5"/>
          </w:tcPr>
          <w:p>
            <w:pPr>
              <w:spacing w:after="0" w:line="196" w:lineRule="exact"/>
              <w:rPr>
                <w:rFonts w:ascii="Arial" w:cs="Arial" w:eastAsia="Arial" w:hAnsi="Arial"/>
                <w:sz w:val="18"/>
                <w:szCs w:val="18"/>
                <w:color w:val="0000EE"/>
                <w:w w:val="94"/>
              </w:rPr>
            </w:pPr>
            <w:hyperlink w:anchor="page181">
              <w:r>
                <w:rPr>
                  <w:rFonts w:ascii="Arial" w:cs="Arial" w:eastAsia="Arial" w:hAnsi="Arial"/>
                  <w:sz w:val="18"/>
                  <w:szCs w:val="18"/>
                  <w:color w:val="0000EE"/>
                  <w:w w:val="94"/>
                </w:rPr>
                <w:t>ITEM 12</w:t>
              </w:r>
            </w:hyperlink>
          </w:p>
        </w:tc>
        <w:tc>
          <w:tcPr>
            <w:tcW w:w="500" w:type="dxa"/>
            <w:vAlign w:val="bottom"/>
            <w:gridSpan w:val="5"/>
          </w:tcPr>
          <w:p>
            <w:pPr>
              <w:spacing w:after="0"/>
              <w:rPr>
                <w:sz w:val="17"/>
                <w:szCs w:val="17"/>
                <w:color w:val="auto"/>
              </w:rPr>
            </w:pPr>
          </w:p>
        </w:tc>
        <w:tc>
          <w:tcPr>
            <w:tcW w:w="5340" w:type="dxa"/>
            <w:vAlign w:val="bottom"/>
            <w:gridSpan w:val="14"/>
          </w:tcPr>
          <w:p>
            <w:pPr>
              <w:spacing w:after="0" w:line="196" w:lineRule="exact"/>
              <w:rPr>
                <w:rFonts w:ascii="Arial" w:cs="Arial" w:eastAsia="Arial" w:hAnsi="Arial"/>
                <w:sz w:val="18"/>
                <w:szCs w:val="18"/>
                <w:color w:val="0000EE"/>
                <w:w w:val="92"/>
              </w:rPr>
            </w:pPr>
            <w:hyperlink w:anchor="page181">
              <w:r>
                <w:rPr>
                  <w:rFonts w:ascii="Arial" w:cs="Arial" w:eastAsia="Arial" w:hAnsi="Arial"/>
                  <w:sz w:val="18"/>
                  <w:szCs w:val="18"/>
                  <w:color w:val="0000EE"/>
                  <w:w w:val="92"/>
                </w:rPr>
                <w:t>DESCRIPTION OF SECURITIES OTHER THAN EQUITY SECURITIES</w:t>
              </w:r>
            </w:hyperlink>
          </w:p>
        </w:tc>
        <w:tc>
          <w:tcPr>
            <w:tcW w:w="1760" w:type="dxa"/>
            <w:vAlign w:val="bottom"/>
            <w:gridSpan w:val="5"/>
          </w:tcPr>
          <w:p>
            <w:pPr>
              <w:spacing w:after="0"/>
              <w:rPr>
                <w:sz w:val="17"/>
                <w:szCs w:val="17"/>
                <w:color w:val="auto"/>
              </w:rPr>
            </w:pPr>
          </w:p>
        </w:tc>
        <w:tc>
          <w:tcPr>
            <w:tcW w:w="580" w:type="dxa"/>
            <w:vAlign w:val="bottom"/>
            <w:gridSpan w:val="3"/>
          </w:tcPr>
          <w:p>
            <w:pPr>
              <w:ind w:left="300"/>
              <w:spacing w:after="0" w:line="196" w:lineRule="exact"/>
              <w:rPr>
                <w:rFonts w:ascii="Arial" w:cs="Arial" w:eastAsia="Arial" w:hAnsi="Arial"/>
                <w:sz w:val="18"/>
                <w:szCs w:val="18"/>
                <w:color w:val="0000EE"/>
                <w:w w:val="86"/>
              </w:rPr>
            </w:pPr>
            <w:hyperlink w:anchor="page181">
              <w:r>
                <w:rPr>
                  <w:rFonts w:ascii="Arial" w:cs="Arial" w:eastAsia="Arial" w:hAnsi="Arial"/>
                  <w:sz w:val="18"/>
                  <w:szCs w:val="18"/>
                  <w:color w:val="0000EE"/>
                  <w:w w:val="86"/>
                </w:rPr>
                <w:t>138</w:t>
              </w:r>
            </w:hyperlink>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60" w:type="dxa"/>
            <w:vAlign w:val="bottom"/>
            <w:gridSpan w:val="2"/>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140" w:type="dxa"/>
            <w:vAlign w:val="bottom"/>
            <w:gridSpan w:val="2"/>
            <w:shd w:val="clear" w:color="auto" w:fill="0000EE"/>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440" w:type="dxa"/>
            <w:vAlign w:val="bottom"/>
            <w:shd w:val="clear" w:color="auto" w:fill="0000EE"/>
          </w:tcPr>
          <w:p>
            <w:pPr>
              <w:spacing w:after="0" w:line="20" w:lineRule="exact"/>
              <w:rPr>
                <w:sz w:val="1"/>
                <w:szCs w:val="1"/>
                <w:color w:val="auto"/>
              </w:rPr>
            </w:pPr>
          </w:p>
        </w:tc>
        <w:tc>
          <w:tcPr>
            <w:tcW w:w="22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68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800" w:type="dxa"/>
            <w:vAlign w:val="bottom"/>
            <w:shd w:val="clear" w:color="auto" w:fill="0000EE"/>
          </w:tcPr>
          <w:p>
            <w:pPr>
              <w:spacing w:after="0" w:line="20" w:lineRule="exact"/>
              <w:rPr>
                <w:sz w:val="1"/>
                <w:szCs w:val="1"/>
                <w:color w:val="auto"/>
              </w:rPr>
            </w:pPr>
          </w:p>
        </w:tc>
        <w:tc>
          <w:tcPr>
            <w:tcW w:w="540" w:type="dxa"/>
            <w:vAlign w:val="bottom"/>
            <w:shd w:val="clear" w:color="auto" w:fill="0000EE"/>
          </w:tcPr>
          <w:p>
            <w:pPr>
              <w:spacing w:after="0" w:line="20" w:lineRule="exact"/>
              <w:rPr>
                <w:sz w:val="1"/>
                <w:szCs w:val="1"/>
                <w:color w:val="auto"/>
              </w:rPr>
            </w:pPr>
          </w:p>
        </w:tc>
        <w:tc>
          <w:tcPr>
            <w:tcW w:w="780" w:type="dxa"/>
            <w:vAlign w:val="bottom"/>
            <w:shd w:val="clear" w:color="auto" w:fill="0000EE"/>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460" w:type="dxa"/>
            <w:vAlign w:val="bottom"/>
            <w:shd w:val="clear" w:color="auto" w:fill="0000EE"/>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2"/>
        </w:trPr>
        <w:tc>
          <w:tcPr>
            <w:tcW w:w="600" w:type="dxa"/>
            <w:vAlign w:val="bottom"/>
            <w:gridSpan w:val="4"/>
          </w:tcPr>
          <w:p>
            <w:pPr>
              <w:spacing w:after="0"/>
              <w:rPr>
                <w:rFonts w:ascii="Arial" w:cs="Arial" w:eastAsia="Arial" w:hAnsi="Arial"/>
                <w:sz w:val="18"/>
                <w:szCs w:val="18"/>
                <w:color w:val="0000EE"/>
                <w:w w:val="91"/>
              </w:rPr>
            </w:pPr>
            <w:hyperlink w:anchor="page182">
              <w:r>
                <w:rPr>
                  <w:rFonts w:ascii="Arial" w:cs="Arial" w:eastAsia="Arial" w:hAnsi="Arial"/>
                  <w:sz w:val="18"/>
                  <w:szCs w:val="18"/>
                  <w:color w:val="0000EE"/>
                  <w:w w:val="91"/>
                </w:rPr>
                <w:t>PART II</w:t>
              </w:r>
            </w:hyperlink>
          </w:p>
        </w:tc>
        <w:tc>
          <w:tcPr>
            <w:tcW w:w="700" w:type="dxa"/>
            <w:vAlign w:val="bottom"/>
            <w:gridSpan w:val="8"/>
          </w:tcPr>
          <w:p>
            <w:pPr>
              <w:spacing w:after="0"/>
              <w:rPr>
                <w:sz w:val="24"/>
                <w:szCs w:val="24"/>
                <w:color w:val="auto"/>
              </w:rPr>
            </w:pPr>
          </w:p>
        </w:tc>
        <w:tc>
          <w:tcPr>
            <w:tcW w:w="14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580" w:type="dxa"/>
            <w:vAlign w:val="bottom"/>
            <w:gridSpan w:val="3"/>
          </w:tcPr>
          <w:p>
            <w:pPr>
              <w:ind w:left="300"/>
              <w:spacing w:after="0"/>
              <w:rPr>
                <w:rFonts w:ascii="Arial" w:cs="Arial" w:eastAsia="Arial" w:hAnsi="Arial"/>
                <w:sz w:val="18"/>
                <w:szCs w:val="18"/>
                <w:color w:val="0000EE"/>
                <w:w w:val="86"/>
              </w:rPr>
            </w:pPr>
            <w:hyperlink w:anchor="page182">
              <w:r>
                <w:rPr>
                  <w:rFonts w:ascii="Arial" w:cs="Arial" w:eastAsia="Arial" w:hAnsi="Arial"/>
                  <w:sz w:val="18"/>
                  <w:szCs w:val="18"/>
                  <w:color w:val="0000EE"/>
                  <w:w w:val="86"/>
                </w:rPr>
                <w:t>139</w:t>
              </w:r>
            </w:hyperlink>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2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460" w:type="dxa"/>
            <w:vAlign w:val="bottom"/>
            <w:gridSpan w:val="2"/>
            <w:shd w:val="clear" w:color="auto" w:fill="0000EE"/>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6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920" w:type="dxa"/>
            <w:vAlign w:val="bottom"/>
            <w:gridSpan w:val="2"/>
          </w:tcPr>
          <w:p>
            <w:pPr>
              <w:spacing w:after="0" w:line="20" w:lineRule="exact"/>
              <w:rPr>
                <w:sz w:val="1"/>
                <w:szCs w:val="1"/>
                <w:color w:val="auto"/>
              </w:rPr>
            </w:pPr>
          </w:p>
        </w:tc>
        <w:tc>
          <w:tcPr>
            <w:tcW w:w="200" w:type="dxa"/>
            <w:vAlign w:val="bottom"/>
            <w:gridSpan w:val="2"/>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60" w:type="dxa"/>
            <w:vAlign w:val="bottom"/>
            <w:gridSpan w:val="5"/>
          </w:tcPr>
          <w:p>
            <w:pPr>
              <w:spacing w:after="0" w:line="196" w:lineRule="exact"/>
              <w:rPr>
                <w:rFonts w:ascii="Arial" w:cs="Arial" w:eastAsia="Arial" w:hAnsi="Arial"/>
                <w:sz w:val="18"/>
                <w:szCs w:val="18"/>
                <w:color w:val="0000EE"/>
                <w:w w:val="94"/>
              </w:rPr>
            </w:pPr>
            <w:hyperlink w:anchor="page182">
              <w:r>
                <w:rPr>
                  <w:rFonts w:ascii="Arial" w:cs="Arial" w:eastAsia="Arial" w:hAnsi="Arial"/>
                  <w:sz w:val="18"/>
                  <w:szCs w:val="18"/>
                  <w:color w:val="0000EE"/>
                  <w:w w:val="94"/>
                </w:rPr>
                <w:t>ITEM 13</w:t>
              </w:r>
            </w:hyperlink>
          </w:p>
        </w:tc>
        <w:tc>
          <w:tcPr>
            <w:tcW w:w="500" w:type="dxa"/>
            <w:vAlign w:val="bottom"/>
            <w:gridSpan w:val="5"/>
          </w:tcPr>
          <w:p>
            <w:pPr>
              <w:spacing w:after="0"/>
              <w:rPr>
                <w:sz w:val="17"/>
                <w:szCs w:val="17"/>
                <w:color w:val="auto"/>
              </w:rPr>
            </w:pPr>
          </w:p>
        </w:tc>
        <w:tc>
          <w:tcPr>
            <w:tcW w:w="7100" w:type="dxa"/>
            <w:vAlign w:val="bottom"/>
            <w:gridSpan w:val="19"/>
          </w:tcPr>
          <w:p>
            <w:pPr>
              <w:spacing w:after="0" w:line="196" w:lineRule="exact"/>
              <w:rPr>
                <w:rFonts w:ascii="Arial" w:cs="Arial" w:eastAsia="Arial" w:hAnsi="Arial"/>
                <w:sz w:val="18"/>
                <w:szCs w:val="18"/>
                <w:color w:val="0000EE"/>
              </w:rPr>
            </w:pPr>
            <w:hyperlink w:anchor="page182">
              <w:r>
                <w:rPr>
                  <w:rFonts w:ascii="Arial" w:cs="Arial" w:eastAsia="Arial" w:hAnsi="Arial"/>
                  <w:sz w:val="18"/>
                  <w:szCs w:val="18"/>
                  <w:color w:val="0000EE"/>
                </w:rPr>
                <w:t>DEFAULTS, DIVIDEND ARREARAGES AND DELINQUENCIES</w:t>
              </w:r>
            </w:hyperlink>
          </w:p>
        </w:tc>
        <w:tc>
          <w:tcPr>
            <w:tcW w:w="580" w:type="dxa"/>
            <w:vAlign w:val="bottom"/>
            <w:gridSpan w:val="3"/>
          </w:tcPr>
          <w:p>
            <w:pPr>
              <w:ind w:left="300"/>
              <w:spacing w:after="0" w:line="196" w:lineRule="exact"/>
              <w:rPr>
                <w:rFonts w:ascii="Arial" w:cs="Arial" w:eastAsia="Arial" w:hAnsi="Arial"/>
                <w:sz w:val="18"/>
                <w:szCs w:val="18"/>
                <w:color w:val="0000EE"/>
                <w:w w:val="86"/>
              </w:rPr>
            </w:pPr>
            <w:hyperlink w:anchor="page182">
              <w:r>
                <w:rPr>
                  <w:rFonts w:ascii="Arial" w:cs="Arial" w:eastAsia="Arial" w:hAnsi="Arial"/>
                  <w:sz w:val="18"/>
                  <w:szCs w:val="18"/>
                  <w:color w:val="0000EE"/>
                  <w:w w:val="86"/>
                </w:rPr>
                <w:t>139</w:t>
              </w:r>
            </w:hyperlink>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gridSpan w:val="3"/>
            <w:shd w:val="clear" w:color="auto" w:fill="0000EE"/>
          </w:tcPr>
          <w:p>
            <w:pPr>
              <w:spacing w:after="0" w:line="20" w:lineRule="exact"/>
              <w:rPr>
                <w:sz w:val="1"/>
                <w:szCs w:val="1"/>
                <w:color w:val="auto"/>
              </w:rPr>
            </w:pPr>
          </w:p>
        </w:tc>
        <w:tc>
          <w:tcPr>
            <w:tcW w:w="140" w:type="dxa"/>
            <w:vAlign w:val="bottom"/>
            <w:gridSpan w:val="2"/>
            <w:shd w:val="clear" w:color="auto" w:fill="0000EE"/>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660" w:type="dxa"/>
            <w:vAlign w:val="bottom"/>
            <w:gridSpan w:val="2"/>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68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800" w:type="dxa"/>
            <w:vAlign w:val="bottom"/>
            <w:shd w:val="clear" w:color="auto" w:fill="0000EE"/>
          </w:tcPr>
          <w:p>
            <w:pPr>
              <w:spacing w:after="0" w:line="20" w:lineRule="exact"/>
              <w:rPr>
                <w:sz w:val="1"/>
                <w:szCs w:val="1"/>
                <w:color w:val="auto"/>
              </w:rPr>
            </w:pPr>
          </w:p>
        </w:tc>
        <w:tc>
          <w:tcPr>
            <w:tcW w:w="540" w:type="dxa"/>
            <w:vAlign w:val="bottom"/>
            <w:shd w:val="clear" w:color="auto" w:fill="0000EE"/>
          </w:tcPr>
          <w:p>
            <w:pPr>
              <w:spacing w:after="0" w:line="20" w:lineRule="exact"/>
              <w:rPr>
                <w:sz w:val="1"/>
                <w:szCs w:val="1"/>
                <w:color w:val="auto"/>
              </w:rPr>
            </w:pPr>
          </w:p>
        </w:tc>
        <w:tc>
          <w:tcPr>
            <w:tcW w:w="780" w:type="dxa"/>
            <w:vAlign w:val="bottom"/>
            <w:shd w:val="clear" w:color="auto" w:fill="0000EE"/>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920" w:type="dxa"/>
            <w:vAlign w:val="bottom"/>
            <w:gridSpan w:val="2"/>
          </w:tcPr>
          <w:p>
            <w:pPr>
              <w:spacing w:after="0" w:line="20" w:lineRule="exact"/>
              <w:rPr>
                <w:sz w:val="1"/>
                <w:szCs w:val="1"/>
                <w:color w:val="auto"/>
              </w:rPr>
            </w:pPr>
          </w:p>
        </w:tc>
        <w:tc>
          <w:tcPr>
            <w:tcW w:w="200" w:type="dxa"/>
            <w:vAlign w:val="bottom"/>
            <w:gridSpan w:val="2"/>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60" w:type="dxa"/>
            <w:vAlign w:val="bottom"/>
            <w:tcBorders>
              <w:bottom w:val="single" w:sz="8" w:color="0000EE"/>
            </w:tcBorders>
            <w:gridSpan w:val="5"/>
          </w:tcPr>
          <w:p>
            <w:pPr>
              <w:spacing w:after="0" w:line="196" w:lineRule="exact"/>
              <w:rPr>
                <w:rFonts w:ascii="Arial" w:cs="Arial" w:eastAsia="Arial" w:hAnsi="Arial"/>
                <w:sz w:val="18"/>
                <w:szCs w:val="18"/>
                <w:color w:val="0000EE"/>
                <w:w w:val="94"/>
              </w:rPr>
            </w:pPr>
            <w:hyperlink w:anchor="page182">
              <w:r>
                <w:rPr>
                  <w:rFonts w:ascii="Arial" w:cs="Arial" w:eastAsia="Arial" w:hAnsi="Arial"/>
                  <w:sz w:val="18"/>
                  <w:szCs w:val="18"/>
                  <w:color w:val="0000EE"/>
                  <w:w w:val="94"/>
                </w:rPr>
                <w:t>ITEM 14</w:t>
              </w:r>
            </w:hyperlink>
          </w:p>
        </w:tc>
        <w:tc>
          <w:tcPr>
            <w:tcW w:w="500" w:type="dxa"/>
            <w:vAlign w:val="bottom"/>
            <w:gridSpan w:val="5"/>
          </w:tcPr>
          <w:p>
            <w:pPr>
              <w:spacing w:after="0"/>
              <w:rPr>
                <w:sz w:val="17"/>
                <w:szCs w:val="17"/>
                <w:color w:val="auto"/>
              </w:rPr>
            </w:pPr>
          </w:p>
        </w:tc>
        <w:tc>
          <w:tcPr>
            <w:tcW w:w="6720" w:type="dxa"/>
            <w:vAlign w:val="bottom"/>
            <w:tcBorders>
              <w:bottom w:val="single" w:sz="8" w:color="0000EE"/>
            </w:tcBorders>
            <w:gridSpan w:val="18"/>
          </w:tcPr>
          <w:p>
            <w:pPr>
              <w:spacing w:after="0" w:line="196" w:lineRule="exact"/>
              <w:rPr>
                <w:rFonts w:ascii="Arial" w:cs="Arial" w:eastAsia="Arial" w:hAnsi="Arial"/>
                <w:sz w:val="18"/>
                <w:szCs w:val="18"/>
                <w:color w:val="0000EE"/>
                <w:w w:val="93"/>
              </w:rPr>
            </w:pPr>
            <w:hyperlink w:anchor="page182">
              <w:r>
                <w:rPr>
                  <w:rFonts w:ascii="Arial" w:cs="Arial" w:eastAsia="Arial" w:hAnsi="Arial"/>
                  <w:sz w:val="18"/>
                  <w:szCs w:val="18"/>
                  <w:color w:val="0000EE"/>
                  <w:w w:val="93"/>
                </w:rPr>
                <w:t>MATERIAL MODIFICATIONS TO THE RIGHTS OF SECURITY HOLDERS AND USE OF</w:t>
              </w:r>
            </w:hyperlink>
          </w:p>
        </w:tc>
        <w:tc>
          <w:tcPr>
            <w:tcW w:w="3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7100" w:type="dxa"/>
            <w:vAlign w:val="bottom"/>
            <w:gridSpan w:val="19"/>
          </w:tcPr>
          <w:p>
            <w:pPr>
              <w:spacing w:after="0" w:line="196" w:lineRule="exact"/>
              <w:rPr>
                <w:rFonts w:ascii="Arial" w:cs="Arial" w:eastAsia="Arial" w:hAnsi="Arial"/>
                <w:sz w:val="18"/>
                <w:szCs w:val="18"/>
                <w:color w:val="0000EE"/>
              </w:rPr>
            </w:pPr>
            <w:hyperlink w:anchor="page182">
              <w:r>
                <w:rPr>
                  <w:rFonts w:ascii="Arial" w:cs="Arial" w:eastAsia="Arial" w:hAnsi="Arial"/>
                  <w:sz w:val="18"/>
                  <w:szCs w:val="18"/>
                  <w:color w:val="0000EE"/>
                </w:rPr>
                <w:t>PROCEEDS</w:t>
              </w:r>
            </w:hyperlink>
          </w:p>
        </w:tc>
        <w:tc>
          <w:tcPr>
            <w:tcW w:w="580" w:type="dxa"/>
            <w:vAlign w:val="bottom"/>
            <w:gridSpan w:val="3"/>
          </w:tcPr>
          <w:p>
            <w:pPr>
              <w:ind w:left="300"/>
              <w:spacing w:after="0" w:line="196" w:lineRule="exact"/>
              <w:rPr>
                <w:rFonts w:ascii="Arial" w:cs="Arial" w:eastAsia="Arial" w:hAnsi="Arial"/>
                <w:sz w:val="18"/>
                <w:szCs w:val="18"/>
                <w:color w:val="0000EE"/>
                <w:w w:val="86"/>
              </w:rPr>
            </w:pPr>
            <w:hyperlink w:anchor="page182">
              <w:r>
                <w:rPr>
                  <w:rFonts w:ascii="Arial" w:cs="Arial" w:eastAsia="Arial" w:hAnsi="Arial"/>
                  <w:sz w:val="18"/>
                  <w:szCs w:val="18"/>
                  <w:color w:val="0000EE"/>
                  <w:w w:val="86"/>
                </w:rPr>
                <w:t>139</w:t>
              </w:r>
            </w:hyperlink>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gridSpan w:val="3"/>
          </w:tcPr>
          <w:p>
            <w:pPr>
              <w:spacing w:after="0" w:line="20" w:lineRule="exact"/>
              <w:rPr>
                <w:sz w:val="1"/>
                <w:szCs w:val="1"/>
                <w:color w:val="auto"/>
              </w:rPr>
            </w:pPr>
          </w:p>
        </w:tc>
        <w:tc>
          <w:tcPr>
            <w:tcW w:w="240" w:type="dxa"/>
            <w:vAlign w:val="bottom"/>
            <w:gridSpan w:val="3"/>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660" w:type="dxa"/>
            <w:vAlign w:val="bottom"/>
            <w:gridSpan w:val="2"/>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1160" w:type="dxa"/>
            <w:vAlign w:val="bottom"/>
            <w:gridSpan w:val="3"/>
          </w:tcPr>
          <w:p>
            <w:pPr>
              <w:spacing w:after="0" w:line="20" w:lineRule="exact"/>
              <w:rPr>
                <w:sz w:val="1"/>
                <w:szCs w:val="1"/>
                <w:color w:val="auto"/>
              </w:rPr>
            </w:pPr>
          </w:p>
        </w:tc>
        <w:tc>
          <w:tcPr>
            <w:tcW w:w="200" w:type="dxa"/>
            <w:vAlign w:val="bottom"/>
            <w:gridSpan w:val="2"/>
          </w:tcPr>
          <w:p>
            <w:pPr>
              <w:spacing w:after="0" w:line="20" w:lineRule="exact"/>
              <w:rPr>
                <w:sz w:val="1"/>
                <w:szCs w:val="1"/>
                <w:color w:val="auto"/>
              </w:rPr>
            </w:pPr>
          </w:p>
        </w:tc>
        <w:tc>
          <w:tcPr>
            <w:tcW w:w="1100" w:type="dxa"/>
            <w:vAlign w:val="bottom"/>
            <w:gridSpan w:val="2"/>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60" w:type="dxa"/>
            <w:vAlign w:val="bottom"/>
            <w:gridSpan w:val="5"/>
          </w:tcPr>
          <w:p>
            <w:pPr>
              <w:spacing w:after="0" w:line="196" w:lineRule="exact"/>
              <w:rPr>
                <w:rFonts w:ascii="Arial" w:cs="Arial" w:eastAsia="Arial" w:hAnsi="Arial"/>
                <w:sz w:val="18"/>
                <w:szCs w:val="18"/>
                <w:color w:val="0000EE"/>
                <w:w w:val="94"/>
              </w:rPr>
            </w:pPr>
            <w:hyperlink w:anchor="page182">
              <w:r>
                <w:rPr>
                  <w:rFonts w:ascii="Arial" w:cs="Arial" w:eastAsia="Arial" w:hAnsi="Arial"/>
                  <w:sz w:val="18"/>
                  <w:szCs w:val="18"/>
                  <w:color w:val="0000EE"/>
                  <w:w w:val="94"/>
                </w:rPr>
                <w:t>ITEM 15</w:t>
              </w:r>
            </w:hyperlink>
          </w:p>
        </w:tc>
        <w:tc>
          <w:tcPr>
            <w:tcW w:w="500" w:type="dxa"/>
            <w:vAlign w:val="bottom"/>
            <w:gridSpan w:val="5"/>
          </w:tcPr>
          <w:p>
            <w:pPr>
              <w:spacing w:after="0"/>
              <w:rPr>
                <w:sz w:val="17"/>
                <w:szCs w:val="17"/>
                <w:color w:val="auto"/>
              </w:rPr>
            </w:pPr>
          </w:p>
        </w:tc>
        <w:tc>
          <w:tcPr>
            <w:tcW w:w="7100" w:type="dxa"/>
            <w:vAlign w:val="bottom"/>
            <w:gridSpan w:val="19"/>
          </w:tcPr>
          <w:p>
            <w:pPr>
              <w:spacing w:after="0" w:line="196" w:lineRule="exact"/>
              <w:rPr>
                <w:rFonts w:ascii="Arial" w:cs="Arial" w:eastAsia="Arial" w:hAnsi="Arial"/>
                <w:sz w:val="18"/>
                <w:szCs w:val="18"/>
                <w:color w:val="0000EE"/>
              </w:rPr>
            </w:pPr>
            <w:hyperlink w:anchor="page182">
              <w:r>
                <w:rPr>
                  <w:rFonts w:ascii="Arial" w:cs="Arial" w:eastAsia="Arial" w:hAnsi="Arial"/>
                  <w:sz w:val="18"/>
                  <w:szCs w:val="18"/>
                  <w:color w:val="0000EE"/>
                </w:rPr>
                <w:t>CONTROLS AND PROCEDURES</w:t>
              </w:r>
            </w:hyperlink>
          </w:p>
        </w:tc>
        <w:tc>
          <w:tcPr>
            <w:tcW w:w="580" w:type="dxa"/>
            <w:vAlign w:val="bottom"/>
            <w:gridSpan w:val="3"/>
          </w:tcPr>
          <w:p>
            <w:pPr>
              <w:ind w:left="300"/>
              <w:spacing w:after="0" w:line="196" w:lineRule="exact"/>
              <w:rPr>
                <w:rFonts w:ascii="Arial" w:cs="Arial" w:eastAsia="Arial" w:hAnsi="Arial"/>
                <w:sz w:val="18"/>
                <w:szCs w:val="18"/>
                <w:color w:val="0000EE"/>
                <w:w w:val="86"/>
              </w:rPr>
            </w:pPr>
            <w:hyperlink w:anchor="page182">
              <w:r>
                <w:rPr>
                  <w:rFonts w:ascii="Arial" w:cs="Arial" w:eastAsia="Arial" w:hAnsi="Arial"/>
                  <w:sz w:val="18"/>
                  <w:szCs w:val="18"/>
                  <w:color w:val="0000EE"/>
                  <w:w w:val="86"/>
                </w:rPr>
                <w:t>139</w:t>
              </w:r>
            </w:hyperlink>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gridSpan w:val="3"/>
            <w:shd w:val="clear" w:color="auto" w:fill="0000EE"/>
          </w:tcPr>
          <w:p>
            <w:pPr>
              <w:spacing w:after="0" w:line="20" w:lineRule="exact"/>
              <w:rPr>
                <w:sz w:val="1"/>
                <w:szCs w:val="1"/>
                <w:color w:val="auto"/>
              </w:rPr>
            </w:pPr>
          </w:p>
        </w:tc>
        <w:tc>
          <w:tcPr>
            <w:tcW w:w="140" w:type="dxa"/>
            <w:vAlign w:val="bottom"/>
            <w:gridSpan w:val="2"/>
            <w:shd w:val="clear" w:color="auto" w:fill="0000EE"/>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660" w:type="dxa"/>
            <w:vAlign w:val="bottom"/>
            <w:gridSpan w:val="2"/>
            <w:shd w:val="clear" w:color="auto" w:fill="0000EE"/>
          </w:tcPr>
          <w:p>
            <w:pPr>
              <w:spacing w:after="0" w:line="20" w:lineRule="exact"/>
              <w:rPr>
                <w:sz w:val="1"/>
                <w:szCs w:val="1"/>
                <w:color w:val="auto"/>
              </w:rPr>
            </w:pPr>
          </w:p>
        </w:tc>
        <w:tc>
          <w:tcPr>
            <w:tcW w:w="320" w:type="dxa"/>
            <w:vAlign w:val="bottom"/>
            <w:gridSpan w:val="2"/>
            <w:shd w:val="clear" w:color="auto" w:fill="0000EE"/>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68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1160" w:type="dxa"/>
            <w:vAlign w:val="bottom"/>
            <w:gridSpan w:val="3"/>
          </w:tcPr>
          <w:p>
            <w:pPr>
              <w:spacing w:after="0" w:line="20" w:lineRule="exact"/>
              <w:rPr>
                <w:sz w:val="1"/>
                <w:szCs w:val="1"/>
                <w:color w:val="auto"/>
              </w:rPr>
            </w:pPr>
          </w:p>
        </w:tc>
        <w:tc>
          <w:tcPr>
            <w:tcW w:w="200" w:type="dxa"/>
            <w:vAlign w:val="bottom"/>
            <w:gridSpan w:val="2"/>
          </w:tcPr>
          <w:p>
            <w:pPr>
              <w:spacing w:after="0" w:line="20" w:lineRule="exact"/>
              <w:rPr>
                <w:sz w:val="1"/>
                <w:szCs w:val="1"/>
                <w:color w:val="auto"/>
              </w:rPr>
            </w:pPr>
          </w:p>
        </w:tc>
        <w:tc>
          <w:tcPr>
            <w:tcW w:w="1100" w:type="dxa"/>
            <w:vAlign w:val="bottom"/>
            <w:gridSpan w:val="2"/>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60" w:type="dxa"/>
            <w:vAlign w:val="bottom"/>
            <w:gridSpan w:val="6"/>
          </w:tcPr>
          <w:p>
            <w:pPr>
              <w:spacing w:after="0" w:line="196" w:lineRule="exact"/>
              <w:rPr>
                <w:rFonts w:ascii="Arial" w:cs="Arial" w:eastAsia="Arial" w:hAnsi="Arial"/>
                <w:sz w:val="18"/>
                <w:szCs w:val="18"/>
                <w:color w:val="0000EE"/>
                <w:w w:val="91"/>
              </w:rPr>
            </w:pPr>
            <w:hyperlink w:anchor="page183">
              <w:r>
                <w:rPr>
                  <w:rFonts w:ascii="Arial" w:cs="Arial" w:eastAsia="Arial" w:hAnsi="Arial"/>
                  <w:sz w:val="18"/>
                  <w:szCs w:val="18"/>
                  <w:color w:val="0000EE"/>
                  <w:w w:val="91"/>
                </w:rPr>
                <w:t>ITEM 15T</w:t>
              </w:r>
            </w:hyperlink>
          </w:p>
        </w:tc>
        <w:tc>
          <w:tcPr>
            <w:tcW w:w="400" w:type="dxa"/>
            <w:vAlign w:val="bottom"/>
            <w:gridSpan w:val="4"/>
          </w:tcPr>
          <w:p>
            <w:pPr>
              <w:spacing w:after="0"/>
              <w:rPr>
                <w:sz w:val="17"/>
                <w:szCs w:val="17"/>
                <w:color w:val="auto"/>
              </w:rPr>
            </w:pPr>
          </w:p>
        </w:tc>
        <w:tc>
          <w:tcPr>
            <w:tcW w:w="7100" w:type="dxa"/>
            <w:vAlign w:val="bottom"/>
            <w:gridSpan w:val="19"/>
          </w:tcPr>
          <w:p>
            <w:pPr>
              <w:spacing w:after="0" w:line="196" w:lineRule="exact"/>
              <w:rPr>
                <w:rFonts w:ascii="Arial" w:cs="Arial" w:eastAsia="Arial" w:hAnsi="Arial"/>
                <w:sz w:val="18"/>
                <w:szCs w:val="18"/>
                <w:color w:val="0000EE"/>
              </w:rPr>
            </w:pPr>
            <w:hyperlink w:anchor="page183">
              <w:r>
                <w:rPr>
                  <w:rFonts w:ascii="Arial" w:cs="Arial" w:eastAsia="Arial" w:hAnsi="Arial"/>
                  <w:sz w:val="18"/>
                  <w:szCs w:val="18"/>
                  <w:color w:val="0000EE"/>
                </w:rPr>
                <w:t>CONTROLS AND PROCEDURES</w:t>
              </w:r>
            </w:hyperlink>
          </w:p>
        </w:tc>
        <w:tc>
          <w:tcPr>
            <w:tcW w:w="580" w:type="dxa"/>
            <w:vAlign w:val="bottom"/>
            <w:gridSpan w:val="3"/>
          </w:tcPr>
          <w:p>
            <w:pPr>
              <w:ind w:left="300"/>
              <w:spacing w:after="0" w:line="196" w:lineRule="exact"/>
              <w:rPr>
                <w:rFonts w:ascii="Arial" w:cs="Arial" w:eastAsia="Arial" w:hAnsi="Arial"/>
                <w:sz w:val="18"/>
                <w:szCs w:val="18"/>
                <w:color w:val="0000EE"/>
                <w:w w:val="86"/>
              </w:rPr>
            </w:pPr>
            <w:hyperlink w:anchor="page183">
              <w:r>
                <w:rPr>
                  <w:rFonts w:ascii="Arial" w:cs="Arial" w:eastAsia="Arial" w:hAnsi="Arial"/>
                  <w:sz w:val="18"/>
                  <w:szCs w:val="18"/>
                  <w:color w:val="0000EE"/>
                  <w:w w:val="86"/>
                </w:rPr>
                <w:t>140</w:t>
              </w:r>
            </w:hyperlink>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gridSpan w:val="3"/>
            <w:shd w:val="clear" w:color="auto" w:fill="0000EE"/>
          </w:tcPr>
          <w:p>
            <w:pPr>
              <w:spacing w:after="0" w:line="20" w:lineRule="exact"/>
              <w:rPr>
                <w:sz w:val="1"/>
                <w:szCs w:val="1"/>
                <w:color w:val="auto"/>
              </w:rPr>
            </w:pPr>
          </w:p>
        </w:tc>
        <w:tc>
          <w:tcPr>
            <w:tcW w:w="240" w:type="dxa"/>
            <w:vAlign w:val="bottom"/>
            <w:gridSpan w:val="3"/>
            <w:shd w:val="clear" w:color="auto" w:fill="0000EE"/>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660" w:type="dxa"/>
            <w:vAlign w:val="bottom"/>
            <w:gridSpan w:val="2"/>
            <w:shd w:val="clear" w:color="auto" w:fill="0000EE"/>
          </w:tcPr>
          <w:p>
            <w:pPr>
              <w:spacing w:after="0" w:line="20" w:lineRule="exact"/>
              <w:rPr>
                <w:sz w:val="1"/>
                <w:szCs w:val="1"/>
                <w:color w:val="auto"/>
              </w:rPr>
            </w:pPr>
          </w:p>
        </w:tc>
        <w:tc>
          <w:tcPr>
            <w:tcW w:w="320" w:type="dxa"/>
            <w:vAlign w:val="bottom"/>
            <w:gridSpan w:val="2"/>
            <w:shd w:val="clear" w:color="auto" w:fill="0000EE"/>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68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1160" w:type="dxa"/>
            <w:vAlign w:val="bottom"/>
            <w:gridSpan w:val="3"/>
          </w:tcPr>
          <w:p>
            <w:pPr>
              <w:spacing w:after="0" w:line="20" w:lineRule="exact"/>
              <w:rPr>
                <w:sz w:val="1"/>
                <w:szCs w:val="1"/>
                <w:color w:val="auto"/>
              </w:rPr>
            </w:pPr>
          </w:p>
        </w:tc>
        <w:tc>
          <w:tcPr>
            <w:tcW w:w="200" w:type="dxa"/>
            <w:vAlign w:val="bottom"/>
            <w:gridSpan w:val="2"/>
          </w:tcPr>
          <w:p>
            <w:pPr>
              <w:spacing w:after="0" w:line="20" w:lineRule="exact"/>
              <w:rPr>
                <w:sz w:val="1"/>
                <w:szCs w:val="1"/>
                <w:color w:val="auto"/>
              </w:rPr>
            </w:pPr>
          </w:p>
        </w:tc>
        <w:tc>
          <w:tcPr>
            <w:tcW w:w="1100" w:type="dxa"/>
            <w:vAlign w:val="bottom"/>
            <w:gridSpan w:val="2"/>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60" w:type="dxa"/>
            <w:vAlign w:val="bottom"/>
            <w:gridSpan w:val="6"/>
          </w:tcPr>
          <w:p>
            <w:pPr>
              <w:spacing w:after="0" w:line="196" w:lineRule="exact"/>
              <w:rPr>
                <w:rFonts w:ascii="Arial" w:cs="Arial" w:eastAsia="Arial" w:hAnsi="Arial"/>
                <w:sz w:val="18"/>
                <w:szCs w:val="18"/>
                <w:color w:val="0000EE"/>
                <w:w w:val="89"/>
              </w:rPr>
            </w:pPr>
            <w:hyperlink w:anchor="page183">
              <w:r>
                <w:rPr>
                  <w:rFonts w:ascii="Arial" w:cs="Arial" w:eastAsia="Arial" w:hAnsi="Arial"/>
                  <w:sz w:val="18"/>
                  <w:szCs w:val="18"/>
                  <w:color w:val="0000EE"/>
                  <w:w w:val="89"/>
                </w:rPr>
                <w:t>ITEM 16A</w:t>
              </w:r>
            </w:hyperlink>
          </w:p>
        </w:tc>
        <w:tc>
          <w:tcPr>
            <w:tcW w:w="400" w:type="dxa"/>
            <w:vAlign w:val="bottom"/>
            <w:gridSpan w:val="4"/>
          </w:tcPr>
          <w:p>
            <w:pPr>
              <w:spacing w:after="0"/>
              <w:rPr>
                <w:sz w:val="17"/>
                <w:szCs w:val="17"/>
                <w:color w:val="auto"/>
              </w:rPr>
            </w:pPr>
          </w:p>
        </w:tc>
        <w:tc>
          <w:tcPr>
            <w:tcW w:w="3320" w:type="dxa"/>
            <w:vAlign w:val="bottom"/>
            <w:gridSpan w:val="10"/>
          </w:tcPr>
          <w:p>
            <w:pPr>
              <w:spacing w:after="0" w:line="196" w:lineRule="exact"/>
              <w:rPr>
                <w:rFonts w:ascii="Arial" w:cs="Arial" w:eastAsia="Arial" w:hAnsi="Arial"/>
                <w:sz w:val="18"/>
                <w:szCs w:val="18"/>
                <w:color w:val="0000EE"/>
                <w:w w:val="96"/>
              </w:rPr>
            </w:pPr>
            <w:hyperlink w:anchor="page183">
              <w:r>
                <w:rPr>
                  <w:rFonts w:ascii="Arial" w:cs="Arial" w:eastAsia="Arial" w:hAnsi="Arial"/>
                  <w:sz w:val="18"/>
                  <w:szCs w:val="18"/>
                  <w:color w:val="0000EE"/>
                  <w:w w:val="96"/>
                </w:rPr>
                <w:t>AUDIT COMMITTEE FINANCIAL EXPERT</w:t>
              </w:r>
            </w:hyperlink>
          </w:p>
        </w:tc>
        <w:tc>
          <w:tcPr>
            <w:tcW w:w="3780" w:type="dxa"/>
            <w:vAlign w:val="bottom"/>
            <w:gridSpan w:val="9"/>
          </w:tcPr>
          <w:p>
            <w:pPr>
              <w:spacing w:after="0"/>
              <w:rPr>
                <w:sz w:val="17"/>
                <w:szCs w:val="17"/>
                <w:color w:val="auto"/>
              </w:rPr>
            </w:pPr>
          </w:p>
        </w:tc>
        <w:tc>
          <w:tcPr>
            <w:tcW w:w="580" w:type="dxa"/>
            <w:vAlign w:val="bottom"/>
            <w:gridSpan w:val="3"/>
          </w:tcPr>
          <w:p>
            <w:pPr>
              <w:ind w:left="300"/>
              <w:spacing w:after="0" w:line="196" w:lineRule="exact"/>
              <w:rPr>
                <w:rFonts w:ascii="Arial" w:cs="Arial" w:eastAsia="Arial" w:hAnsi="Arial"/>
                <w:sz w:val="18"/>
                <w:szCs w:val="18"/>
                <w:color w:val="0000EE"/>
                <w:w w:val="86"/>
              </w:rPr>
            </w:pPr>
            <w:hyperlink w:anchor="page183">
              <w:r>
                <w:rPr>
                  <w:rFonts w:ascii="Arial" w:cs="Arial" w:eastAsia="Arial" w:hAnsi="Arial"/>
                  <w:sz w:val="18"/>
                  <w:szCs w:val="18"/>
                  <w:color w:val="0000EE"/>
                  <w:w w:val="86"/>
                </w:rPr>
                <w:t>140</w:t>
              </w:r>
            </w:hyperlink>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gridSpan w:val="3"/>
            <w:shd w:val="clear" w:color="auto" w:fill="0000EE"/>
          </w:tcPr>
          <w:p>
            <w:pPr>
              <w:spacing w:after="0" w:line="20" w:lineRule="exact"/>
              <w:rPr>
                <w:sz w:val="1"/>
                <w:szCs w:val="1"/>
                <w:color w:val="auto"/>
              </w:rPr>
            </w:pPr>
          </w:p>
        </w:tc>
        <w:tc>
          <w:tcPr>
            <w:tcW w:w="240" w:type="dxa"/>
            <w:vAlign w:val="bottom"/>
            <w:gridSpan w:val="3"/>
            <w:shd w:val="clear" w:color="auto" w:fill="0000EE"/>
          </w:tcPr>
          <w:p>
            <w:pPr>
              <w:spacing w:after="0" w:line="20" w:lineRule="exact"/>
              <w:rPr>
                <w:sz w:val="1"/>
                <w:szCs w:val="1"/>
                <w:color w:val="auto"/>
              </w:rPr>
            </w:pPr>
          </w:p>
        </w:tc>
        <w:tc>
          <w:tcPr>
            <w:tcW w:w="320" w:type="dxa"/>
            <w:vAlign w:val="bottom"/>
            <w:tcBorders>
              <w:left w:val="single" w:sz="8" w:color="0000EE"/>
            </w:tcBorders>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660" w:type="dxa"/>
            <w:vAlign w:val="bottom"/>
            <w:gridSpan w:val="2"/>
            <w:shd w:val="clear" w:color="auto" w:fill="0000EE"/>
          </w:tcPr>
          <w:p>
            <w:pPr>
              <w:spacing w:after="0" w:line="20" w:lineRule="exact"/>
              <w:rPr>
                <w:sz w:val="1"/>
                <w:szCs w:val="1"/>
                <w:color w:val="auto"/>
              </w:rPr>
            </w:pPr>
          </w:p>
        </w:tc>
        <w:tc>
          <w:tcPr>
            <w:tcW w:w="320" w:type="dxa"/>
            <w:vAlign w:val="bottom"/>
            <w:gridSpan w:val="2"/>
            <w:shd w:val="clear" w:color="auto" w:fill="0000EE"/>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68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1060" w:type="dxa"/>
            <w:vAlign w:val="bottom"/>
            <w:gridSpan w:val="2"/>
            <w:shd w:val="clear" w:color="auto" w:fill="0000EE"/>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1160" w:type="dxa"/>
            <w:vAlign w:val="bottom"/>
            <w:gridSpan w:val="3"/>
          </w:tcPr>
          <w:p>
            <w:pPr>
              <w:spacing w:after="0" w:line="20" w:lineRule="exact"/>
              <w:rPr>
                <w:sz w:val="1"/>
                <w:szCs w:val="1"/>
                <w:color w:val="auto"/>
              </w:rPr>
            </w:pPr>
          </w:p>
        </w:tc>
        <w:tc>
          <w:tcPr>
            <w:tcW w:w="200" w:type="dxa"/>
            <w:vAlign w:val="bottom"/>
            <w:gridSpan w:val="2"/>
          </w:tcPr>
          <w:p>
            <w:pPr>
              <w:spacing w:after="0" w:line="20" w:lineRule="exact"/>
              <w:rPr>
                <w:sz w:val="1"/>
                <w:szCs w:val="1"/>
                <w:color w:val="auto"/>
              </w:rPr>
            </w:pPr>
          </w:p>
        </w:tc>
        <w:tc>
          <w:tcPr>
            <w:tcW w:w="1100" w:type="dxa"/>
            <w:vAlign w:val="bottom"/>
            <w:gridSpan w:val="2"/>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60" w:type="dxa"/>
            <w:vAlign w:val="bottom"/>
            <w:gridSpan w:val="6"/>
          </w:tcPr>
          <w:p>
            <w:pPr>
              <w:spacing w:after="0" w:line="196" w:lineRule="exact"/>
              <w:rPr>
                <w:rFonts w:ascii="Arial" w:cs="Arial" w:eastAsia="Arial" w:hAnsi="Arial"/>
                <w:sz w:val="18"/>
                <w:szCs w:val="18"/>
                <w:color w:val="0000EE"/>
                <w:w w:val="89"/>
              </w:rPr>
            </w:pPr>
            <w:hyperlink w:anchor="page183">
              <w:r>
                <w:rPr>
                  <w:rFonts w:ascii="Arial" w:cs="Arial" w:eastAsia="Arial" w:hAnsi="Arial"/>
                  <w:sz w:val="18"/>
                  <w:szCs w:val="18"/>
                  <w:color w:val="0000EE"/>
                  <w:w w:val="89"/>
                </w:rPr>
                <w:t>ITEM 16B</w:t>
              </w:r>
            </w:hyperlink>
          </w:p>
        </w:tc>
        <w:tc>
          <w:tcPr>
            <w:tcW w:w="400" w:type="dxa"/>
            <w:vAlign w:val="bottom"/>
            <w:gridSpan w:val="4"/>
          </w:tcPr>
          <w:p>
            <w:pPr>
              <w:spacing w:after="0"/>
              <w:rPr>
                <w:sz w:val="17"/>
                <w:szCs w:val="17"/>
                <w:color w:val="auto"/>
              </w:rPr>
            </w:pPr>
          </w:p>
        </w:tc>
        <w:tc>
          <w:tcPr>
            <w:tcW w:w="1400" w:type="dxa"/>
            <w:vAlign w:val="bottom"/>
            <w:gridSpan w:val="6"/>
          </w:tcPr>
          <w:p>
            <w:pPr>
              <w:spacing w:after="0" w:line="196" w:lineRule="exact"/>
              <w:rPr>
                <w:rFonts w:ascii="Arial" w:cs="Arial" w:eastAsia="Arial" w:hAnsi="Arial"/>
                <w:sz w:val="18"/>
                <w:szCs w:val="18"/>
                <w:color w:val="0000EE"/>
                <w:w w:val="90"/>
              </w:rPr>
            </w:pPr>
            <w:hyperlink w:anchor="page183">
              <w:r>
                <w:rPr>
                  <w:rFonts w:ascii="Arial" w:cs="Arial" w:eastAsia="Arial" w:hAnsi="Arial"/>
                  <w:sz w:val="18"/>
                  <w:szCs w:val="18"/>
                  <w:color w:val="0000EE"/>
                  <w:w w:val="90"/>
                </w:rPr>
                <w:t>CODE OF ETHICS</w:t>
              </w:r>
            </w:hyperlink>
          </w:p>
        </w:tc>
        <w:tc>
          <w:tcPr>
            <w:tcW w:w="1920" w:type="dxa"/>
            <w:vAlign w:val="bottom"/>
            <w:gridSpan w:val="4"/>
          </w:tcPr>
          <w:p>
            <w:pPr>
              <w:spacing w:after="0"/>
              <w:rPr>
                <w:sz w:val="17"/>
                <w:szCs w:val="17"/>
                <w:color w:val="auto"/>
              </w:rPr>
            </w:pPr>
          </w:p>
        </w:tc>
        <w:tc>
          <w:tcPr>
            <w:tcW w:w="3780" w:type="dxa"/>
            <w:vAlign w:val="bottom"/>
            <w:gridSpan w:val="9"/>
          </w:tcPr>
          <w:p>
            <w:pPr>
              <w:spacing w:after="0"/>
              <w:rPr>
                <w:sz w:val="17"/>
                <w:szCs w:val="17"/>
                <w:color w:val="auto"/>
              </w:rPr>
            </w:pPr>
          </w:p>
        </w:tc>
        <w:tc>
          <w:tcPr>
            <w:tcW w:w="580" w:type="dxa"/>
            <w:vAlign w:val="bottom"/>
            <w:gridSpan w:val="3"/>
          </w:tcPr>
          <w:p>
            <w:pPr>
              <w:ind w:left="300"/>
              <w:spacing w:after="0" w:line="196" w:lineRule="exact"/>
              <w:rPr>
                <w:rFonts w:ascii="Arial" w:cs="Arial" w:eastAsia="Arial" w:hAnsi="Arial"/>
                <w:sz w:val="18"/>
                <w:szCs w:val="18"/>
                <w:color w:val="0000EE"/>
                <w:w w:val="86"/>
              </w:rPr>
            </w:pPr>
            <w:hyperlink w:anchor="page183">
              <w:r>
                <w:rPr>
                  <w:rFonts w:ascii="Arial" w:cs="Arial" w:eastAsia="Arial" w:hAnsi="Arial"/>
                  <w:sz w:val="18"/>
                  <w:szCs w:val="18"/>
                  <w:color w:val="0000EE"/>
                  <w:w w:val="86"/>
                </w:rPr>
                <w:t>140</w:t>
              </w:r>
            </w:hyperlink>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gridSpan w:val="3"/>
            <w:shd w:val="clear" w:color="auto" w:fill="0000EE"/>
          </w:tcPr>
          <w:p>
            <w:pPr>
              <w:spacing w:after="0" w:line="20" w:lineRule="exact"/>
              <w:rPr>
                <w:sz w:val="1"/>
                <w:szCs w:val="1"/>
                <w:color w:val="auto"/>
              </w:rPr>
            </w:pPr>
          </w:p>
        </w:tc>
        <w:tc>
          <w:tcPr>
            <w:tcW w:w="240" w:type="dxa"/>
            <w:vAlign w:val="bottom"/>
            <w:gridSpan w:val="3"/>
            <w:shd w:val="clear" w:color="auto" w:fill="0000EE"/>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660" w:type="dxa"/>
            <w:vAlign w:val="bottom"/>
            <w:gridSpan w:val="2"/>
            <w:shd w:val="clear" w:color="auto" w:fill="0000EE"/>
          </w:tcPr>
          <w:p>
            <w:pPr>
              <w:spacing w:after="0" w:line="20" w:lineRule="exact"/>
              <w:rPr>
                <w:sz w:val="1"/>
                <w:szCs w:val="1"/>
                <w:color w:val="auto"/>
              </w:rPr>
            </w:pPr>
          </w:p>
        </w:tc>
        <w:tc>
          <w:tcPr>
            <w:tcW w:w="320" w:type="dxa"/>
            <w:vAlign w:val="bottom"/>
            <w:gridSpan w:val="2"/>
            <w:shd w:val="clear" w:color="auto" w:fill="0000EE"/>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600" w:type="dxa"/>
            <w:vAlign w:val="bottom"/>
            <w:gridSpan w:val="3"/>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1160" w:type="dxa"/>
            <w:vAlign w:val="bottom"/>
            <w:gridSpan w:val="3"/>
          </w:tcPr>
          <w:p>
            <w:pPr>
              <w:spacing w:after="0" w:line="20" w:lineRule="exact"/>
              <w:rPr>
                <w:sz w:val="1"/>
                <w:szCs w:val="1"/>
                <w:color w:val="auto"/>
              </w:rPr>
            </w:pPr>
          </w:p>
        </w:tc>
        <w:tc>
          <w:tcPr>
            <w:tcW w:w="200" w:type="dxa"/>
            <w:vAlign w:val="bottom"/>
            <w:gridSpan w:val="2"/>
          </w:tcPr>
          <w:p>
            <w:pPr>
              <w:spacing w:after="0" w:line="20" w:lineRule="exact"/>
              <w:rPr>
                <w:sz w:val="1"/>
                <w:szCs w:val="1"/>
                <w:color w:val="auto"/>
              </w:rPr>
            </w:pPr>
          </w:p>
        </w:tc>
        <w:tc>
          <w:tcPr>
            <w:tcW w:w="1100" w:type="dxa"/>
            <w:vAlign w:val="bottom"/>
            <w:gridSpan w:val="2"/>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60" w:type="dxa"/>
            <w:vAlign w:val="bottom"/>
            <w:gridSpan w:val="6"/>
          </w:tcPr>
          <w:p>
            <w:pPr>
              <w:spacing w:after="0" w:line="196" w:lineRule="exact"/>
              <w:rPr>
                <w:rFonts w:ascii="Arial" w:cs="Arial" w:eastAsia="Arial" w:hAnsi="Arial"/>
                <w:sz w:val="18"/>
                <w:szCs w:val="18"/>
                <w:color w:val="0000EE"/>
                <w:w w:val="88"/>
              </w:rPr>
            </w:pPr>
            <w:hyperlink w:anchor="page183">
              <w:r>
                <w:rPr>
                  <w:rFonts w:ascii="Arial" w:cs="Arial" w:eastAsia="Arial" w:hAnsi="Arial"/>
                  <w:sz w:val="18"/>
                  <w:szCs w:val="18"/>
                  <w:color w:val="0000EE"/>
                  <w:w w:val="88"/>
                </w:rPr>
                <w:t>ITEM 16C</w:t>
              </w:r>
            </w:hyperlink>
          </w:p>
        </w:tc>
        <w:tc>
          <w:tcPr>
            <w:tcW w:w="400" w:type="dxa"/>
            <w:vAlign w:val="bottom"/>
            <w:gridSpan w:val="4"/>
          </w:tcPr>
          <w:p>
            <w:pPr>
              <w:spacing w:after="0"/>
              <w:rPr>
                <w:sz w:val="17"/>
                <w:szCs w:val="17"/>
                <w:color w:val="auto"/>
              </w:rPr>
            </w:pPr>
          </w:p>
        </w:tc>
        <w:tc>
          <w:tcPr>
            <w:tcW w:w="3860" w:type="dxa"/>
            <w:vAlign w:val="bottom"/>
            <w:gridSpan w:val="11"/>
          </w:tcPr>
          <w:p>
            <w:pPr>
              <w:spacing w:after="0" w:line="196" w:lineRule="exact"/>
              <w:rPr>
                <w:rFonts w:ascii="Arial" w:cs="Arial" w:eastAsia="Arial" w:hAnsi="Arial"/>
                <w:sz w:val="18"/>
                <w:szCs w:val="18"/>
                <w:color w:val="0000EE"/>
                <w:w w:val="92"/>
              </w:rPr>
            </w:pPr>
            <w:hyperlink w:anchor="page183">
              <w:r>
                <w:rPr>
                  <w:rFonts w:ascii="Arial" w:cs="Arial" w:eastAsia="Arial" w:hAnsi="Arial"/>
                  <w:sz w:val="18"/>
                  <w:szCs w:val="18"/>
                  <w:color w:val="0000EE"/>
                  <w:w w:val="92"/>
                </w:rPr>
                <w:t>PRINCIPAL ACCOUNTANT FEES AND SERVICES</w:t>
              </w:r>
            </w:hyperlink>
          </w:p>
        </w:tc>
        <w:tc>
          <w:tcPr>
            <w:tcW w:w="3240" w:type="dxa"/>
            <w:vAlign w:val="bottom"/>
            <w:gridSpan w:val="8"/>
          </w:tcPr>
          <w:p>
            <w:pPr>
              <w:spacing w:after="0"/>
              <w:rPr>
                <w:sz w:val="17"/>
                <w:szCs w:val="17"/>
                <w:color w:val="auto"/>
              </w:rPr>
            </w:pPr>
          </w:p>
        </w:tc>
        <w:tc>
          <w:tcPr>
            <w:tcW w:w="580" w:type="dxa"/>
            <w:vAlign w:val="bottom"/>
            <w:gridSpan w:val="3"/>
          </w:tcPr>
          <w:p>
            <w:pPr>
              <w:ind w:left="300"/>
              <w:spacing w:after="0" w:line="196" w:lineRule="exact"/>
              <w:rPr>
                <w:rFonts w:ascii="Arial" w:cs="Arial" w:eastAsia="Arial" w:hAnsi="Arial"/>
                <w:sz w:val="18"/>
                <w:szCs w:val="18"/>
                <w:color w:val="0000EE"/>
                <w:w w:val="86"/>
              </w:rPr>
            </w:pPr>
            <w:hyperlink w:anchor="page183">
              <w:r>
                <w:rPr>
                  <w:rFonts w:ascii="Arial" w:cs="Arial" w:eastAsia="Arial" w:hAnsi="Arial"/>
                  <w:sz w:val="18"/>
                  <w:szCs w:val="18"/>
                  <w:color w:val="0000EE"/>
                  <w:w w:val="86"/>
                </w:rPr>
                <w:t>140</w:t>
              </w:r>
            </w:hyperlink>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gridSpan w:val="3"/>
            <w:shd w:val="clear" w:color="auto" w:fill="0000EE"/>
          </w:tcPr>
          <w:p>
            <w:pPr>
              <w:spacing w:after="0" w:line="20" w:lineRule="exact"/>
              <w:rPr>
                <w:sz w:val="1"/>
                <w:szCs w:val="1"/>
                <w:color w:val="auto"/>
              </w:rPr>
            </w:pPr>
          </w:p>
        </w:tc>
        <w:tc>
          <w:tcPr>
            <w:tcW w:w="240" w:type="dxa"/>
            <w:vAlign w:val="bottom"/>
            <w:gridSpan w:val="3"/>
            <w:shd w:val="clear" w:color="auto" w:fill="0000EE"/>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660" w:type="dxa"/>
            <w:vAlign w:val="bottom"/>
            <w:gridSpan w:val="2"/>
            <w:shd w:val="clear" w:color="auto" w:fill="0000EE"/>
          </w:tcPr>
          <w:p>
            <w:pPr>
              <w:spacing w:after="0" w:line="20" w:lineRule="exact"/>
              <w:rPr>
                <w:sz w:val="1"/>
                <w:szCs w:val="1"/>
                <w:color w:val="auto"/>
              </w:rPr>
            </w:pPr>
          </w:p>
        </w:tc>
        <w:tc>
          <w:tcPr>
            <w:tcW w:w="320" w:type="dxa"/>
            <w:vAlign w:val="bottom"/>
            <w:gridSpan w:val="2"/>
            <w:shd w:val="clear" w:color="auto" w:fill="0000EE"/>
          </w:tcPr>
          <w:p>
            <w:pPr>
              <w:spacing w:after="0" w:line="20" w:lineRule="exact"/>
              <w:rPr>
                <w:sz w:val="1"/>
                <w:szCs w:val="1"/>
                <w:color w:val="auto"/>
              </w:rPr>
            </w:pPr>
          </w:p>
        </w:tc>
        <w:tc>
          <w:tcPr>
            <w:tcW w:w="960" w:type="dxa"/>
            <w:vAlign w:val="bottom"/>
            <w:gridSpan w:val="2"/>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1600" w:type="dxa"/>
            <w:vAlign w:val="bottom"/>
            <w:gridSpan w:val="3"/>
            <w:shd w:val="clear" w:color="auto" w:fill="0000EE"/>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1160" w:type="dxa"/>
            <w:vAlign w:val="bottom"/>
            <w:gridSpan w:val="3"/>
          </w:tcPr>
          <w:p>
            <w:pPr>
              <w:spacing w:after="0" w:line="20" w:lineRule="exact"/>
              <w:rPr>
                <w:sz w:val="1"/>
                <w:szCs w:val="1"/>
                <w:color w:val="auto"/>
              </w:rPr>
            </w:pPr>
          </w:p>
        </w:tc>
        <w:tc>
          <w:tcPr>
            <w:tcW w:w="200" w:type="dxa"/>
            <w:vAlign w:val="bottom"/>
            <w:gridSpan w:val="2"/>
          </w:tcPr>
          <w:p>
            <w:pPr>
              <w:spacing w:after="0" w:line="20" w:lineRule="exact"/>
              <w:rPr>
                <w:sz w:val="1"/>
                <w:szCs w:val="1"/>
                <w:color w:val="auto"/>
              </w:rPr>
            </w:pPr>
          </w:p>
        </w:tc>
        <w:tc>
          <w:tcPr>
            <w:tcW w:w="1100" w:type="dxa"/>
            <w:vAlign w:val="bottom"/>
            <w:gridSpan w:val="2"/>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60" w:type="dxa"/>
            <w:vAlign w:val="bottom"/>
            <w:gridSpan w:val="6"/>
          </w:tcPr>
          <w:p>
            <w:pPr>
              <w:spacing w:after="0" w:line="196" w:lineRule="exact"/>
              <w:rPr>
                <w:rFonts w:ascii="Arial" w:cs="Arial" w:eastAsia="Arial" w:hAnsi="Arial"/>
                <w:sz w:val="18"/>
                <w:szCs w:val="18"/>
                <w:color w:val="0000EE"/>
                <w:w w:val="88"/>
              </w:rPr>
            </w:pPr>
            <w:hyperlink w:anchor="page183">
              <w:r>
                <w:rPr>
                  <w:rFonts w:ascii="Arial" w:cs="Arial" w:eastAsia="Arial" w:hAnsi="Arial"/>
                  <w:sz w:val="18"/>
                  <w:szCs w:val="18"/>
                  <w:color w:val="0000EE"/>
                  <w:w w:val="88"/>
                </w:rPr>
                <w:t>ITEM 16D</w:t>
              </w:r>
            </w:hyperlink>
          </w:p>
        </w:tc>
        <w:tc>
          <w:tcPr>
            <w:tcW w:w="400" w:type="dxa"/>
            <w:vAlign w:val="bottom"/>
            <w:gridSpan w:val="4"/>
          </w:tcPr>
          <w:p>
            <w:pPr>
              <w:spacing w:after="0"/>
              <w:rPr>
                <w:sz w:val="17"/>
                <w:szCs w:val="17"/>
                <w:color w:val="auto"/>
              </w:rPr>
            </w:pPr>
          </w:p>
        </w:tc>
        <w:tc>
          <w:tcPr>
            <w:tcW w:w="7100" w:type="dxa"/>
            <w:vAlign w:val="bottom"/>
            <w:gridSpan w:val="19"/>
          </w:tcPr>
          <w:p>
            <w:pPr>
              <w:spacing w:after="0" w:line="196" w:lineRule="exact"/>
              <w:rPr>
                <w:rFonts w:ascii="Arial" w:cs="Arial" w:eastAsia="Arial" w:hAnsi="Arial"/>
                <w:sz w:val="18"/>
                <w:szCs w:val="18"/>
                <w:color w:val="0000EE"/>
              </w:rPr>
            </w:pPr>
            <w:hyperlink w:anchor="page183">
              <w:r>
                <w:rPr>
                  <w:rFonts w:ascii="Arial" w:cs="Arial" w:eastAsia="Arial" w:hAnsi="Arial"/>
                  <w:sz w:val="18"/>
                  <w:szCs w:val="18"/>
                  <w:color w:val="0000EE"/>
                </w:rPr>
                <w:t>EXEMPTIONS FROM THE LISTING STANDARDS FOR AUDIT COMMITTEES</w:t>
              </w:r>
            </w:hyperlink>
          </w:p>
        </w:tc>
        <w:tc>
          <w:tcPr>
            <w:tcW w:w="580" w:type="dxa"/>
            <w:vAlign w:val="bottom"/>
            <w:gridSpan w:val="3"/>
          </w:tcPr>
          <w:p>
            <w:pPr>
              <w:ind w:left="300"/>
              <w:spacing w:after="0" w:line="196" w:lineRule="exact"/>
              <w:rPr>
                <w:rFonts w:ascii="Arial" w:cs="Arial" w:eastAsia="Arial" w:hAnsi="Arial"/>
                <w:sz w:val="18"/>
                <w:szCs w:val="18"/>
                <w:color w:val="0000EE"/>
                <w:w w:val="86"/>
              </w:rPr>
            </w:pPr>
            <w:hyperlink w:anchor="page183">
              <w:r>
                <w:rPr>
                  <w:rFonts w:ascii="Arial" w:cs="Arial" w:eastAsia="Arial" w:hAnsi="Arial"/>
                  <w:sz w:val="18"/>
                  <w:szCs w:val="18"/>
                  <w:color w:val="0000EE"/>
                  <w:w w:val="86"/>
                </w:rPr>
                <w:t>140</w:t>
              </w:r>
            </w:hyperlink>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60" w:type="dxa"/>
            <w:vAlign w:val="bottom"/>
            <w:tcBorders>
              <w:top w:val="single" w:sz="8" w:color="0000EE"/>
              <w:bottom w:val="single" w:sz="8" w:color="0000EE"/>
            </w:tcBorders>
            <w:gridSpan w:val="6"/>
          </w:tcPr>
          <w:p>
            <w:pPr>
              <w:spacing w:after="0" w:line="196" w:lineRule="exact"/>
              <w:rPr>
                <w:rFonts w:ascii="Arial" w:cs="Arial" w:eastAsia="Arial" w:hAnsi="Arial"/>
                <w:sz w:val="18"/>
                <w:szCs w:val="18"/>
                <w:color w:val="0000EE"/>
                <w:w w:val="89"/>
              </w:rPr>
            </w:pPr>
            <w:hyperlink w:anchor="page183">
              <w:r>
                <w:rPr>
                  <w:rFonts w:ascii="Arial" w:cs="Arial" w:eastAsia="Arial" w:hAnsi="Arial"/>
                  <w:sz w:val="18"/>
                  <w:szCs w:val="18"/>
                  <w:color w:val="0000EE"/>
                  <w:w w:val="89"/>
                </w:rPr>
                <w:t>ITEM 16E</w:t>
              </w:r>
            </w:hyperlink>
          </w:p>
        </w:tc>
        <w:tc>
          <w:tcPr>
            <w:tcW w:w="400" w:type="dxa"/>
            <w:vAlign w:val="bottom"/>
            <w:gridSpan w:val="4"/>
          </w:tcPr>
          <w:p>
            <w:pPr>
              <w:spacing w:after="0"/>
              <w:rPr>
                <w:sz w:val="17"/>
                <w:szCs w:val="17"/>
                <w:color w:val="auto"/>
              </w:rPr>
            </w:pPr>
          </w:p>
        </w:tc>
        <w:tc>
          <w:tcPr>
            <w:tcW w:w="5800" w:type="dxa"/>
            <w:vAlign w:val="bottom"/>
            <w:tcBorders>
              <w:top w:val="single" w:sz="8" w:color="0000EE"/>
              <w:bottom w:val="single" w:sz="8" w:color="0000EE"/>
            </w:tcBorders>
            <w:gridSpan w:val="15"/>
          </w:tcPr>
          <w:p>
            <w:pPr>
              <w:spacing w:after="0" w:line="196" w:lineRule="exact"/>
              <w:rPr>
                <w:rFonts w:ascii="Arial" w:cs="Arial" w:eastAsia="Arial" w:hAnsi="Arial"/>
                <w:sz w:val="18"/>
                <w:szCs w:val="18"/>
                <w:color w:val="0000EE"/>
                <w:w w:val="93"/>
              </w:rPr>
            </w:pPr>
            <w:hyperlink w:anchor="page183">
              <w:r>
                <w:rPr>
                  <w:rFonts w:ascii="Arial" w:cs="Arial" w:eastAsia="Arial" w:hAnsi="Arial"/>
                  <w:sz w:val="18"/>
                  <w:szCs w:val="18"/>
                  <w:color w:val="0000EE"/>
                  <w:w w:val="93"/>
                </w:rPr>
                <w:t>PURCHASES OF EQUITY SECURITIES BY THE ISSUER AND AFFILIATED</w:t>
              </w:r>
            </w:hyperlink>
          </w:p>
        </w:tc>
        <w:tc>
          <w:tcPr>
            <w:tcW w:w="200" w:type="dxa"/>
            <w:vAlign w:val="bottom"/>
            <w:tcBorders>
              <w:top w:val="single" w:sz="8" w:color="0000EE"/>
            </w:tcBorders>
            <w:gridSpan w:val="2"/>
          </w:tcPr>
          <w:p>
            <w:pPr>
              <w:spacing w:after="0"/>
              <w:rPr>
                <w:sz w:val="17"/>
                <w:szCs w:val="17"/>
                <w:color w:val="auto"/>
              </w:rPr>
            </w:pPr>
          </w:p>
        </w:tc>
        <w:tc>
          <w:tcPr>
            <w:tcW w:w="1100" w:type="dxa"/>
            <w:vAlign w:val="bottom"/>
            <w:gridSpan w:val="2"/>
          </w:tcPr>
          <w:p>
            <w:pPr>
              <w:spacing w:after="0"/>
              <w:rPr>
                <w:sz w:val="17"/>
                <w:szCs w:val="17"/>
                <w:color w:val="auto"/>
              </w:rPr>
            </w:pPr>
          </w:p>
        </w:tc>
        <w:tc>
          <w:tcPr>
            <w:tcW w:w="300" w:type="dxa"/>
            <w:vAlign w:val="bottom"/>
          </w:tcPr>
          <w:p>
            <w:pPr>
              <w:spacing w:after="0"/>
              <w:rPr>
                <w:sz w:val="17"/>
                <w:szCs w:val="17"/>
                <w:color w:val="auto"/>
              </w:rPr>
            </w:pPr>
          </w:p>
        </w:tc>
        <w:tc>
          <w:tcPr>
            <w:tcW w:w="260" w:type="dxa"/>
            <w:vAlign w:val="bottom"/>
            <w:tcBorders>
              <w:top w:val="single" w:sz="8" w:color="0000EE"/>
            </w:tcBorders>
          </w:tcPr>
          <w:p>
            <w:pPr>
              <w:spacing w:after="0"/>
              <w:rPr>
                <w:sz w:val="17"/>
                <w:szCs w:val="17"/>
                <w:color w:val="auto"/>
              </w:rPr>
            </w:pPr>
          </w:p>
        </w:tc>
        <w:tc>
          <w:tcPr>
            <w:tcW w:w="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7100" w:type="dxa"/>
            <w:vAlign w:val="bottom"/>
            <w:gridSpan w:val="19"/>
          </w:tcPr>
          <w:p>
            <w:pPr>
              <w:spacing w:after="0" w:line="196" w:lineRule="exact"/>
              <w:rPr>
                <w:rFonts w:ascii="Arial" w:cs="Arial" w:eastAsia="Arial" w:hAnsi="Arial"/>
                <w:sz w:val="18"/>
                <w:szCs w:val="18"/>
                <w:color w:val="0000EE"/>
              </w:rPr>
            </w:pPr>
            <w:hyperlink w:anchor="page183">
              <w:r>
                <w:rPr>
                  <w:rFonts w:ascii="Arial" w:cs="Arial" w:eastAsia="Arial" w:hAnsi="Arial"/>
                  <w:sz w:val="18"/>
                  <w:szCs w:val="18"/>
                  <w:color w:val="0000EE"/>
                </w:rPr>
                <w:t>PURCHASERS</w:t>
              </w:r>
            </w:hyperlink>
          </w:p>
        </w:tc>
        <w:tc>
          <w:tcPr>
            <w:tcW w:w="580" w:type="dxa"/>
            <w:vAlign w:val="bottom"/>
            <w:gridSpan w:val="3"/>
          </w:tcPr>
          <w:p>
            <w:pPr>
              <w:ind w:left="300"/>
              <w:spacing w:after="0" w:line="196" w:lineRule="exact"/>
              <w:rPr>
                <w:rFonts w:ascii="Arial" w:cs="Arial" w:eastAsia="Arial" w:hAnsi="Arial"/>
                <w:sz w:val="18"/>
                <w:szCs w:val="18"/>
                <w:color w:val="0000EE"/>
                <w:w w:val="86"/>
              </w:rPr>
            </w:pPr>
            <w:hyperlink w:anchor="page183">
              <w:r>
                <w:rPr>
                  <w:rFonts w:ascii="Arial" w:cs="Arial" w:eastAsia="Arial" w:hAnsi="Arial"/>
                  <w:sz w:val="18"/>
                  <w:szCs w:val="18"/>
                  <w:color w:val="0000EE"/>
                  <w:w w:val="86"/>
                </w:rPr>
                <w:t>140</w:t>
              </w:r>
            </w:hyperlink>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gridSpan w:val="3"/>
          </w:tcPr>
          <w:p>
            <w:pPr>
              <w:spacing w:after="0" w:line="20" w:lineRule="exact"/>
              <w:rPr>
                <w:sz w:val="1"/>
                <w:szCs w:val="1"/>
                <w:color w:val="auto"/>
              </w:rPr>
            </w:pPr>
          </w:p>
        </w:tc>
        <w:tc>
          <w:tcPr>
            <w:tcW w:w="240" w:type="dxa"/>
            <w:vAlign w:val="bottom"/>
            <w:gridSpan w:val="3"/>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660" w:type="dxa"/>
            <w:vAlign w:val="bottom"/>
            <w:gridSpan w:val="2"/>
            <w:shd w:val="clear" w:color="auto" w:fill="0000EE"/>
          </w:tcPr>
          <w:p>
            <w:pPr>
              <w:spacing w:after="0" w:line="20" w:lineRule="exact"/>
              <w:rPr>
                <w:sz w:val="1"/>
                <w:szCs w:val="1"/>
                <w:color w:val="auto"/>
              </w:rPr>
            </w:pPr>
          </w:p>
        </w:tc>
        <w:tc>
          <w:tcPr>
            <w:tcW w:w="320" w:type="dxa"/>
            <w:vAlign w:val="bottom"/>
            <w:gridSpan w:val="2"/>
            <w:shd w:val="clear" w:color="auto" w:fill="0000EE"/>
          </w:tcPr>
          <w:p>
            <w:pPr>
              <w:spacing w:after="0" w:line="20" w:lineRule="exact"/>
              <w:rPr>
                <w:sz w:val="1"/>
                <w:szCs w:val="1"/>
                <w:color w:val="auto"/>
              </w:rPr>
            </w:pPr>
          </w:p>
        </w:tc>
        <w:tc>
          <w:tcPr>
            <w:tcW w:w="960" w:type="dxa"/>
            <w:vAlign w:val="bottom"/>
            <w:gridSpan w:val="2"/>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380" w:type="dxa"/>
            <w:vAlign w:val="bottom"/>
            <w:gridSpan w:val="4"/>
          </w:tcPr>
          <w:p>
            <w:pPr>
              <w:spacing w:after="0" w:line="20" w:lineRule="exact"/>
              <w:rPr>
                <w:sz w:val="1"/>
                <w:szCs w:val="1"/>
                <w:color w:val="auto"/>
              </w:rPr>
            </w:pPr>
          </w:p>
        </w:tc>
        <w:tc>
          <w:tcPr>
            <w:tcW w:w="2460" w:type="dxa"/>
            <w:vAlign w:val="bottom"/>
            <w:gridSpan w:val="7"/>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60" w:type="dxa"/>
            <w:vAlign w:val="bottom"/>
            <w:gridSpan w:val="6"/>
          </w:tcPr>
          <w:p>
            <w:pPr>
              <w:spacing w:after="0" w:line="196" w:lineRule="exact"/>
              <w:rPr>
                <w:rFonts w:ascii="Arial" w:cs="Arial" w:eastAsia="Arial" w:hAnsi="Arial"/>
                <w:sz w:val="18"/>
                <w:szCs w:val="18"/>
                <w:color w:val="0000EE"/>
                <w:w w:val="91"/>
              </w:rPr>
            </w:pPr>
            <w:hyperlink w:anchor="page183">
              <w:r>
                <w:rPr>
                  <w:rFonts w:ascii="Arial" w:cs="Arial" w:eastAsia="Arial" w:hAnsi="Arial"/>
                  <w:sz w:val="18"/>
                  <w:szCs w:val="18"/>
                  <w:color w:val="0000EE"/>
                  <w:w w:val="91"/>
                </w:rPr>
                <w:t>ITEM 16F</w:t>
              </w:r>
            </w:hyperlink>
          </w:p>
        </w:tc>
        <w:tc>
          <w:tcPr>
            <w:tcW w:w="400" w:type="dxa"/>
            <w:vAlign w:val="bottom"/>
            <w:gridSpan w:val="4"/>
          </w:tcPr>
          <w:p>
            <w:pPr>
              <w:spacing w:after="0"/>
              <w:rPr>
                <w:sz w:val="17"/>
                <w:szCs w:val="17"/>
                <w:color w:val="auto"/>
              </w:rPr>
            </w:pPr>
          </w:p>
        </w:tc>
        <w:tc>
          <w:tcPr>
            <w:tcW w:w="4640" w:type="dxa"/>
            <w:vAlign w:val="bottom"/>
            <w:gridSpan w:val="12"/>
          </w:tcPr>
          <w:p>
            <w:pPr>
              <w:spacing w:after="0" w:line="196" w:lineRule="exact"/>
              <w:rPr>
                <w:rFonts w:ascii="Arial" w:cs="Arial" w:eastAsia="Arial" w:hAnsi="Arial"/>
                <w:sz w:val="18"/>
                <w:szCs w:val="18"/>
                <w:color w:val="0000EE"/>
                <w:w w:val="93"/>
              </w:rPr>
            </w:pPr>
            <w:hyperlink w:anchor="page183">
              <w:r>
                <w:rPr>
                  <w:rFonts w:ascii="Arial" w:cs="Arial" w:eastAsia="Arial" w:hAnsi="Arial"/>
                  <w:sz w:val="18"/>
                  <w:szCs w:val="18"/>
                  <w:color w:val="0000EE"/>
                  <w:w w:val="93"/>
                </w:rPr>
                <w:t>CHANGES IN REGISTRANT'S CERTIFYING ACCOUNTANT</w:t>
              </w:r>
            </w:hyperlink>
          </w:p>
        </w:tc>
        <w:tc>
          <w:tcPr>
            <w:tcW w:w="2460" w:type="dxa"/>
            <w:vAlign w:val="bottom"/>
            <w:gridSpan w:val="7"/>
          </w:tcPr>
          <w:p>
            <w:pPr>
              <w:spacing w:after="0"/>
              <w:rPr>
                <w:sz w:val="17"/>
                <w:szCs w:val="17"/>
                <w:color w:val="auto"/>
              </w:rPr>
            </w:pPr>
          </w:p>
        </w:tc>
        <w:tc>
          <w:tcPr>
            <w:tcW w:w="580" w:type="dxa"/>
            <w:vAlign w:val="bottom"/>
            <w:gridSpan w:val="3"/>
          </w:tcPr>
          <w:p>
            <w:pPr>
              <w:ind w:left="300"/>
              <w:spacing w:after="0" w:line="196" w:lineRule="exact"/>
              <w:rPr>
                <w:rFonts w:ascii="Arial" w:cs="Arial" w:eastAsia="Arial" w:hAnsi="Arial"/>
                <w:sz w:val="18"/>
                <w:szCs w:val="18"/>
                <w:color w:val="0000EE"/>
                <w:w w:val="86"/>
              </w:rPr>
            </w:pPr>
            <w:hyperlink w:anchor="page183">
              <w:r>
                <w:rPr>
                  <w:rFonts w:ascii="Arial" w:cs="Arial" w:eastAsia="Arial" w:hAnsi="Arial"/>
                  <w:sz w:val="18"/>
                  <w:szCs w:val="18"/>
                  <w:color w:val="0000EE"/>
                  <w:w w:val="86"/>
                </w:rPr>
                <w:t>140</w:t>
              </w:r>
            </w:hyperlink>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gridSpan w:val="3"/>
            <w:shd w:val="clear" w:color="auto" w:fill="0000EE"/>
          </w:tcPr>
          <w:p>
            <w:pPr>
              <w:spacing w:after="0" w:line="20" w:lineRule="exact"/>
              <w:rPr>
                <w:sz w:val="1"/>
                <w:szCs w:val="1"/>
                <w:color w:val="auto"/>
              </w:rPr>
            </w:pPr>
          </w:p>
        </w:tc>
        <w:tc>
          <w:tcPr>
            <w:tcW w:w="240" w:type="dxa"/>
            <w:vAlign w:val="bottom"/>
            <w:gridSpan w:val="3"/>
            <w:shd w:val="clear" w:color="auto" w:fill="0000EE"/>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660" w:type="dxa"/>
            <w:vAlign w:val="bottom"/>
            <w:gridSpan w:val="2"/>
            <w:shd w:val="clear" w:color="auto" w:fill="0000EE"/>
          </w:tcPr>
          <w:p>
            <w:pPr>
              <w:spacing w:after="0" w:line="20" w:lineRule="exact"/>
              <w:rPr>
                <w:sz w:val="1"/>
                <w:szCs w:val="1"/>
                <w:color w:val="auto"/>
              </w:rPr>
            </w:pPr>
          </w:p>
        </w:tc>
        <w:tc>
          <w:tcPr>
            <w:tcW w:w="1280" w:type="dxa"/>
            <w:vAlign w:val="bottom"/>
            <w:gridSpan w:val="4"/>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2380" w:type="dxa"/>
            <w:vAlign w:val="bottom"/>
            <w:gridSpan w:val="4"/>
            <w:shd w:val="clear" w:color="auto" w:fill="0000EE"/>
          </w:tcPr>
          <w:p>
            <w:pPr>
              <w:spacing w:after="0" w:line="20" w:lineRule="exact"/>
              <w:rPr>
                <w:sz w:val="1"/>
                <w:szCs w:val="1"/>
                <w:color w:val="auto"/>
              </w:rPr>
            </w:pPr>
          </w:p>
        </w:tc>
        <w:tc>
          <w:tcPr>
            <w:tcW w:w="2460" w:type="dxa"/>
            <w:vAlign w:val="bottom"/>
            <w:gridSpan w:val="7"/>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60" w:type="dxa"/>
            <w:vAlign w:val="bottom"/>
            <w:gridSpan w:val="6"/>
          </w:tcPr>
          <w:p>
            <w:pPr>
              <w:spacing w:after="0" w:line="196" w:lineRule="exact"/>
              <w:rPr>
                <w:rFonts w:ascii="Arial" w:cs="Arial" w:eastAsia="Arial" w:hAnsi="Arial"/>
                <w:sz w:val="18"/>
                <w:szCs w:val="18"/>
                <w:color w:val="0000EE"/>
                <w:w w:val="87"/>
              </w:rPr>
            </w:pPr>
            <w:hyperlink w:anchor="page183">
              <w:r>
                <w:rPr>
                  <w:rFonts w:ascii="Arial" w:cs="Arial" w:eastAsia="Arial" w:hAnsi="Arial"/>
                  <w:sz w:val="18"/>
                  <w:szCs w:val="18"/>
                  <w:color w:val="0000EE"/>
                  <w:w w:val="87"/>
                </w:rPr>
                <w:t>ITEM 16G</w:t>
              </w:r>
            </w:hyperlink>
          </w:p>
        </w:tc>
        <w:tc>
          <w:tcPr>
            <w:tcW w:w="400" w:type="dxa"/>
            <w:vAlign w:val="bottom"/>
            <w:gridSpan w:val="4"/>
          </w:tcPr>
          <w:p>
            <w:pPr>
              <w:spacing w:after="0"/>
              <w:rPr>
                <w:sz w:val="17"/>
                <w:szCs w:val="17"/>
                <w:color w:val="auto"/>
              </w:rPr>
            </w:pPr>
          </w:p>
        </w:tc>
        <w:tc>
          <w:tcPr>
            <w:tcW w:w="7100" w:type="dxa"/>
            <w:vAlign w:val="bottom"/>
            <w:gridSpan w:val="19"/>
          </w:tcPr>
          <w:p>
            <w:pPr>
              <w:spacing w:after="0" w:line="196" w:lineRule="exact"/>
              <w:rPr>
                <w:rFonts w:ascii="Arial" w:cs="Arial" w:eastAsia="Arial" w:hAnsi="Arial"/>
                <w:sz w:val="18"/>
                <w:szCs w:val="18"/>
                <w:color w:val="0000EE"/>
              </w:rPr>
            </w:pPr>
            <w:hyperlink w:anchor="page183">
              <w:r>
                <w:rPr>
                  <w:rFonts w:ascii="Arial" w:cs="Arial" w:eastAsia="Arial" w:hAnsi="Arial"/>
                  <w:sz w:val="18"/>
                  <w:szCs w:val="18"/>
                  <w:color w:val="0000EE"/>
                </w:rPr>
                <w:t>CORPORATE GOVERNANCE</w:t>
              </w:r>
            </w:hyperlink>
          </w:p>
        </w:tc>
        <w:tc>
          <w:tcPr>
            <w:tcW w:w="580" w:type="dxa"/>
            <w:vAlign w:val="bottom"/>
            <w:gridSpan w:val="3"/>
          </w:tcPr>
          <w:p>
            <w:pPr>
              <w:ind w:left="300"/>
              <w:spacing w:after="0" w:line="196" w:lineRule="exact"/>
              <w:rPr>
                <w:rFonts w:ascii="Arial" w:cs="Arial" w:eastAsia="Arial" w:hAnsi="Arial"/>
                <w:sz w:val="18"/>
                <w:szCs w:val="18"/>
                <w:color w:val="0000EE"/>
                <w:w w:val="86"/>
              </w:rPr>
            </w:pPr>
            <w:hyperlink w:anchor="page183">
              <w:r>
                <w:rPr>
                  <w:rFonts w:ascii="Arial" w:cs="Arial" w:eastAsia="Arial" w:hAnsi="Arial"/>
                  <w:sz w:val="18"/>
                  <w:szCs w:val="18"/>
                  <w:color w:val="0000EE"/>
                  <w:w w:val="86"/>
                </w:rPr>
                <w:t>140</w:t>
              </w:r>
            </w:hyperlink>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gridSpan w:val="3"/>
            <w:shd w:val="clear" w:color="auto" w:fill="0000EE"/>
          </w:tcPr>
          <w:p>
            <w:pPr>
              <w:spacing w:after="0" w:line="20" w:lineRule="exact"/>
              <w:rPr>
                <w:sz w:val="1"/>
                <w:szCs w:val="1"/>
                <w:color w:val="auto"/>
              </w:rPr>
            </w:pPr>
          </w:p>
        </w:tc>
        <w:tc>
          <w:tcPr>
            <w:tcW w:w="240" w:type="dxa"/>
            <w:vAlign w:val="bottom"/>
            <w:gridSpan w:val="3"/>
            <w:shd w:val="clear" w:color="auto" w:fill="0000EE"/>
          </w:tcPr>
          <w:p>
            <w:pPr>
              <w:spacing w:after="0" w:line="20" w:lineRule="exact"/>
              <w:rPr>
                <w:sz w:val="1"/>
                <w:szCs w:val="1"/>
                <w:color w:val="auto"/>
              </w:rPr>
            </w:pPr>
          </w:p>
        </w:tc>
        <w:tc>
          <w:tcPr>
            <w:tcW w:w="320" w:type="dxa"/>
            <w:vAlign w:val="bottom"/>
            <w:tcBorders>
              <w:left w:val="single" w:sz="8" w:color="0000EE"/>
            </w:tcBorders>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440" w:type="dxa"/>
            <w:vAlign w:val="bottom"/>
            <w:shd w:val="clear" w:color="auto" w:fill="0000EE"/>
          </w:tcPr>
          <w:p>
            <w:pPr>
              <w:spacing w:after="0" w:line="20" w:lineRule="exact"/>
              <w:rPr>
                <w:sz w:val="1"/>
                <w:szCs w:val="1"/>
                <w:color w:val="auto"/>
              </w:rPr>
            </w:pPr>
          </w:p>
        </w:tc>
        <w:tc>
          <w:tcPr>
            <w:tcW w:w="22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68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2"/>
        </w:trPr>
        <w:tc>
          <w:tcPr>
            <w:tcW w:w="660" w:type="dxa"/>
            <w:vAlign w:val="bottom"/>
            <w:gridSpan w:val="5"/>
          </w:tcPr>
          <w:p>
            <w:pPr>
              <w:spacing w:after="0"/>
              <w:rPr>
                <w:rFonts w:ascii="Arial" w:cs="Arial" w:eastAsia="Arial" w:hAnsi="Arial"/>
                <w:sz w:val="18"/>
                <w:szCs w:val="18"/>
                <w:color w:val="0000EE"/>
                <w:w w:val="94"/>
              </w:rPr>
            </w:pPr>
            <w:hyperlink w:anchor="page184">
              <w:r>
                <w:rPr>
                  <w:rFonts w:ascii="Arial" w:cs="Arial" w:eastAsia="Arial" w:hAnsi="Arial"/>
                  <w:sz w:val="18"/>
                  <w:szCs w:val="18"/>
                  <w:color w:val="0000EE"/>
                  <w:w w:val="94"/>
                </w:rPr>
                <w:t>PART III</w:t>
              </w:r>
            </w:hyperlink>
          </w:p>
        </w:tc>
        <w:tc>
          <w:tcPr>
            <w:tcW w:w="640" w:type="dxa"/>
            <w:vAlign w:val="bottom"/>
            <w:gridSpan w:val="7"/>
          </w:tcPr>
          <w:p>
            <w:pPr>
              <w:spacing w:after="0"/>
              <w:rPr>
                <w:sz w:val="24"/>
                <w:szCs w:val="24"/>
                <w:color w:val="auto"/>
              </w:rPr>
            </w:pPr>
          </w:p>
        </w:tc>
        <w:tc>
          <w:tcPr>
            <w:tcW w:w="14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580" w:type="dxa"/>
            <w:vAlign w:val="bottom"/>
            <w:gridSpan w:val="3"/>
          </w:tcPr>
          <w:p>
            <w:pPr>
              <w:ind w:left="300"/>
              <w:spacing w:after="0"/>
              <w:rPr>
                <w:rFonts w:ascii="Arial" w:cs="Arial" w:eastAsia="Arial" w:hAnsi="Arial"/>
                <w:sz w:val="18"/>
                <w:szCs w:val="18"/>
                <w:color w:val="0000EE"/>
                <w:w w:val="86"/>
              </w:rPr>
            </w:pPr>
            <w:hyperlink w:anchor="page184">
              <w:r>
                <w:rPr>
                  <w:rFonts w:ascii="Arial" w:cs="Arial" w:eastAsia="Arial" w:hAnsi="Arial"/>
                  <w:sz w:val="18"/>
                  <w:szCs w:val="18"/>
                  <w:color w:val="0000EE"/>
                  <w:w w:val="86"/>
                </w:rPr>
                <w:t>141</w:t>
              </w:r>
            </w:hyperlink>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2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520" w:type="dxa"/>
            <w:vAlign w:val="bottom"/>
            <w:gridSpan w:val="3"/>
            <w:shd w:val="clear" w:color="auto" w:fill="0000EE"/>
          </w:tcPr>
          <w:p>
            <w:pPr>
              <w:spacing w:after="0" w:line="20" w:lineRule="exact"/>
              <w:rPr>
                <w:sz w:val="1"/>
                <w:szCs w:val="1"/>
                <w:color w:val="auto"/>
              </w:rPr>
            </w:pPr>
          </w:p>
        </w:tc>
        <w:tc>
          <w:tcPr>
            <w:tcW w:w="560" w:type="dxa"/>
            <w:vAlign w:val="bottom"/>
            <w:gridSpan w:val="5"/>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60" w:type="dxa"/>
            <w:vAlign w:val="bottom"/>
            <w:gridSpan w:val="2"/>
          </w:tcPr>
          <w:p>
            <w:pPr>
              <w:spacing w:after="0" w:line="20" w:lineRule="exact"/>
              <w:rPr>
                <w:sz w:val="1"/>
                <w:szCs w:val="1"/>
                <w:color w:val="auto"/>
              </w:rPr>
            </w:pPr>
          </w:p>
        </w:tc>
        <w:tc>
          <w:tcPr>
            <w:tcW w:w="1280" w:type="dxa"/>
            <w:vAlign w:val="bottom"/>
            <w:gridSpan w:val="4"/>
          </w:tcPr>
          <w:p>
            <w:pPr>
              <w:spacing w:after="0" w:line="20" w:lineRule="exact"/>
              <w:rPr>
                <w:sz w:val="1"/>
                <w:szCs w:val="1"/>
                <w:color w:val="auto"/>
              </w:rPr>
            </w:pPr>
          </w:p>
        </w:tc>
        <w:tc>
          <w:tcPr>
            <w:tcW w:w="5020" w:type="dxa"/>
            <w:vAlign w:val="bottom"/>
            <w:gridSpan w:val="12"/>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18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60" w:type="dxa"/>
            <w:vAlign w:val="bottom"/>
            <w:gridSpan w:val="5"/>
          </w:tcPr>
          <w:p>
            <w:pPr>
              <w:spacing w:after="0" w:line="196" w:lineRule="exact"/>
              <w:rPr>
                <w:rFonts w:ascii="Arial" w:cs="Arial" w:eastAsia="Arial" w:hAnsi="Arial"/>
                <w:sz w:val="18"/>
                <w:szCs w:val="18"/>
                <w:color w:val="0000EE"/>
                <w:w w:val="94"/>
              </w:rPr>
            </w:pPr>
            <w:hyperlink w:anchor="page184">
              <w:r>
                <w:rPr>
                  <w:rFonts w:ascii="Arial" w:cs="Arial" w:eastAsia="Arial" w:hAnsi="Arial"/>
                  <w:sz w:val="18"/>
                  <w:szCs w:val="18"/>
                  <w:color w:val="0000EE"/>
                  <w:w w:val="94"/>
                </w:rPr>
                <w:t>ITEM 17</w:t>
              </w:r>
            </w:hyperlink>
          </w:p>
        </w:tc>
        <w:tc>
          <w:tcPr>
            <w:tcW w:w="500" w:type="dxa"/>
            <w:vAlign w:val="bottom"/>
            <w:gridSpan w:val="5"/>
          </w:tcPr>
          <w:p>
            <w:pPr>
              <w:spacing w:after="0"/>
              <w:rPr>
                <w:sz w:val="17"/>
                <w:szCs w:val="17"/>
                <w:color w:val="auto"/>
              </w:rPr>
            </w:pPr>
          </w:p>
        </w:tc>
        <w:tc>
          <w:tcPr>
            <w:tcW w:w="7100" w:type="dxa"/>
            <w:vAlign w:val="bottom"/>
            <w:gridSpan w:val="19"/>
          </w:tcPr>
          <w:p>
            <w:pPr>
              <w:spacing w:after="0" w:line="196" w:lineRule="exact"/>
              <w:rPr>
                <w:rFonts w:ascii="Arial" w:cs="Arial" w:eastAsia="Arial" w:hAnsi="Arial"/>
                <w:sz w:val="18"/>
                <w:szCs w:val="18"/>
                <w:color w:val="0000EE"/>
              </w:rPr>
            </w:pPr>
            <w:hyperlink w:anchor="page184">
              <w:r>
                <w:rPr>
                  <w:rFonts w:ascii="Arial" w:cs="Arial" w:eastAsia="Arial" w:hAnsi="Arial"/>
                  <w:sz w:val="18"/>
                  <w:szCs w:val="18"/>
                  <w:color w:val="0000EE"/>
                </w:rPr>
                <w:t>FINANCIAL STATEMENTS</w:t>
              </w:r>
            </w:hyperlink>
          </w:p>
        </w:tc>
        <w:tc>
          <w:tcPr>
            <w:tcW w:w="740" w:type="dxa"/>
            <w:vAlign w:val="bottom"/>
            <w:gridSpan w:val="4"/>
          </w:tcPr>
          <w:p>
            <w:pPr>
              <w:ind w:left="300"/>
              <w:spacing w:after="0" w:line="196" w:lineRule="exact"/>
              <w:rPr>
                <w:rFonts w:ascii="Arial" w:cs="Arial" w:eastAsia="Arial" w:hAnsi="Arial"/>
                <w:sz w:val="18"/>
                <w:szCs w:val="18"/>
                <w:color w:val="0000EE"/>
                <w:w w:val="95"/>
              </w:rPr>
            </w:pPr>
            <w:hyperlink w:anchor="page184">
              <w:r>
                <w:rPr>
                  <w:rFonts w:ascii="Arial" w:cs="Arial" w:eastAsia="Arial" w:hAnsi="Arial"/>
                  <w:sz w:val="18"/>
                  <w:szCs w:val="18"/>
                  <w:color w:val="0000EE"/>
                  <w:w w:val="95"/>
                </w:rPr>
                <w:t>141**</w:t>
              </w:r>
            </w:hyperlink>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60" w:type="dxa"/>
            <w:vAlign w:val="bottom"/>
            <w:gridSpan w:val="5"/>
            <w:shd w:val="clear" w:color="auto" w:fill="0000EE"/>
          </w:tcPr>
          <w:p>
            <w:pPr>
              <w:spacing w:after="0" w:line="20" w:lineRule="exact"/>
              <w:rPr>
                <w:sz w:val="1"/>
                <w:szCs w:val="1"/>
                <w:color w:val="auto"/>
              </w:rPr>
            </w:pPr>
          </w:p>
        </w:tc>
        <w:tc>
          <w:tcPr>
            <w:tcW w:w="420" w:type="dxa"/>
            <w:vAlign w:val="bottom"/>
            <w:gridSpan w:val="3"/>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660" w:type="dxa"/>
            <w:vAlign w:val="bottom"/>
            <w:gridSpan w:val="2"/>
            <w:shd w:val="clear" w:color="auto" w:fill="0000EE"/>
          </w:tcPr>
          <w:p>
            <w:pPr>
              <w:spacing w:after="0" w:line="20" w:lineRule="exact"/>
              <w:rPr>
                <w:sz w:val="1"/>
                <w:szCs w:val="1"/>
                <w:color w:val="auto"/>
              </w:rPr>
            </w:pPr>
          </w:p>
        </w:tc>
        <w:tc>
          <w:tcPr>
            <w:tcW w:w="1280" w:type="dxa"/>
            <w:vAlign w:val="bottom"/>
            <w:gridSpan w:val="4"/>
            <w:shd w:val="clear" w:color="auto" w:fill="0000EE"/>
          </w:tcPr>
          <w:p>
            <w:pPr>
              <w:spacing w:after="0" w:line="20" w:lineRule="exact"/>
              <w:rPr>
                <w:sz w:val="1"/>
                <w:szCs w:val="1"/>
                <w:color w:val="auto"/>
              </w:rPr>
            </w:pPr>
          </w:p>
        </w:tc>
        <w:tc>
          <w:tcPr>
            <w:tcW w:w="5020" w:type="dxa"/>
            <w:vAlign w:val="bottom"/>
            <w:gridSpan w:val="12"/>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gridSpan w:val="2"/>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60" w:type="dxa"/>
            <w:vAlign w:val="bottom"/>
            <w:gridSpan w:val="5"/>
          </w:tcPr>
          <w:p>
            <w:pPr>
              <w:spacing w:after="0" w:line="196" w:lineRule="exact"/>
              <w:rPr>
                <w:rFonts w:ascii="Arial" w:cs="Arial" w:eastAsia="Arial" w:hAnsi="Arial"/>
                <w:sz w:val="18"/>
                <w:szCs w:val="18"/>
                <w:color w:val="0000EE"/>
                <w:w w:val="94"/>
              </w:rPr>
            </w:pPr>
            <w:hyperlink w:anchor="page184">
              <w:r>
                <w:rPr>
                  <w:rFonts w:ascii="Arial" w:cs="Arial" w:eastAsia="Arial" w:hAnsi="Arial"/>
                  <w:sz w:val="18"/>
                  <w:szCs w:val="18"/>
                  <w:color w:val="0000EE"/>
                  <w:w w:val="94"/>
                </w:rPr>
                <w:t>ITEM 18</w:t>
              </w:r>
            </w:hyperlink>
          </w:p>
        </w:tc>
        <w:tc>
          <w:tcPr>
            <w:tcW w:w="500" w:type="dxa"/>
            <w:vAlign w:val="bottom"/>
            <w:gridSpan w:val="5"/>
          </w:tcPr>
          <w:p>
            <w:pPr>
              <w:spacing w:after="0"/>
              <w:rPr>
                <w:sz w:val="17"/>
                <w:szCs w:val="17"/>
                <w:color w:val="auto"/>
              </w:rPr>
            </w:pPr>
          </w:p>
        </w:tc>
        <w:tc>
          <w:tcPr>
            <w:tcW w:w="7100" w:type="dxa"/>
            <w:vAlign w:val="bottom"/>
            <w:gridSpan w:val="19"/>
          </w:tcPr>
          <w:p>
            <w:pPr>
              <w:spacing w:after="0" w:line="196" w:lineRule="exact"/>
              <w:rPr>
                <w:rFonts w:ascii="Arial" w:cs="Arial" w:eastAsia="Arial" w:hAnsi="Arial"/>
                <w:sz w:val="18"/>
                <w:szCs w:val="18"/>
                <w:color w:val="0000EE"/>
              </w:rPr>
            </w:pPr>
            <w:hyperlink w:anchor="page184">
              <w:r>
                <w:rPr>
                  <w:rFonts w:ascii="Arial" w:cs="Arial" w:eastAsia="Arial" w:hAnsi="Arial"/>
                  <w:sz w:val="18"/>
                  <w:szCs w:val="18"/>
                  <w:color w:val="0000EE"/>
                </w:rPr>
                <w:t>FINANCIAL STATEMENTS</w:t>
              </w:r>
            </w:hyperlink>
          </w:p>
        </w:tc>
        <w:tc>
          <w:tcPr>
            <w:tcW w:w="580" w:type="dxa"/>
            <w:vAlign w:val="bottom"/>
            <w:gridSpan w:val="3"/>
          </w:tcPr>
          <w:p>
            <w:pPr>
              <w:ind w:left="300"/>
              <w:spacing w:after="0" w:line="196" w:lineRule="exact"/>
              <w:rPr>
                <w:rFonts w:ascii="Arial" w:cs="Arial" w:eastAsia="Arial" w:hAnsi="Arial"/>
                <w:sz w:val="18"/>
                <w:szCs w:val="18"/>
                <w:color w:val="0000EE"/>
                <w:w w:val="86"/>
              </w:rPr>
            </w:pPr>
            <w:hyperlink w:anchor="page184">
              <w:r>
                <w:rPr>
                  <w:rFonts w:ascii="Arial" w:cs="Arial" w:eastAsia="Arial" w:hAnsi="Arial"/>
                  <w:sz w:val="18"/>
                  <w:szCs w:val="18"/>
                  <w:color w:val="0000EE"/>
                  <w:w w:val="86"/>
                </w:rPr>
                <w:t>141</w:t>
              </w:r>
            </w:hyperlink>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60" w:type="dxa"/>
            <w:vAlign w:val="bottom"/>
            <w:gridSpan w:val="5"/>
            <w:shd w:val="clear" w:color="auto" w:fill="0000EE"/>
          </w:tcPr>
          <w:p>
            <w:pPr>
              <w:spacing w:after="0" w:line="20" w:lineRule="exact"/>
              <w:rPr>
                <w:sz w:val="1"/>
                <w:szCs w:val="1"/>
                <w:color w:val="auto"/>
              </w:rPr>
            </w:pPr>
          </w:p>
        </w:tc>
        <w:tc>
          <w:tcPr>
            <w:tcW w:w="420" w:type="dxa"/>
            <w:vAlign w:val="bottom"/>
            <w:gridSpan w:val="3"/>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660" w:type="dxa"/>
            <w:vAlign w:val="bottom"/>
            <w:gridSpan w:val="2"/>
            <w:shd w:val="clear" w:color="auto" w:fill="0000EE"/>
          </w:tcPr>
          <w:p>
            <w:pPr>
              <w:spacing w:after="0" w:line="20" w:lineRule="exact"/>
              <w:rPr>
                <w:sz w:val="1"/>
                <w:szCs w:val="1"/>
                <w:color w:val="auto"/>
              </w:rPr>
            </w:pPr>
          </w:p>
        </w:tc>
        <w:tc>
          <w:tcPr>
            <w:tcW w:w="1280" w:type="dxa"/>
            <w:vAlign w:val="bottom"/>
            <w:gridSpan w:val="4"/>
            <w:shd w:val="clear" w:color="auto" w:fill="0000EE"/>
          </w:tcPr>
          <w:p>
            <w:pPr>
              <w:spacing w:after="0" w:line="20" w:lineRule="exact"/>
              <w:rPr>
                <w:sz w:val="1"/>
                <w:szCs w:val="1"/>
                <w:color w:val="auto"/>
              </w:rPr>
            </w:pPr>
          </w:p>
        </w:tc>
        <w:tc>
          <w:tcPr>
            <w:tcW w:w="5020" w:type="dxa"/>
            <w:vAlign w:val="bottom"/>
            <w:gridSpan w:val="12"/>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60" w:type="dxa"/>
            <w:vAlign w:val="bottom"/>
            <w:gridSpan w:val="5"/>
          </w:tcPr>
          <w:p>
            <w:pPr>
              <w:spacing w:after="0" w:line="196" w:lineRule="exact"/>
              <w:rPr>
                <w:rFonts w:ascii="Arial" w:cs="Arial" w:eastAsia="Arial" w:hAnsi="Arial"/>
                <w:sz w:val="18"/>
                <w:szCs w:val="18"/>
                <w:color w:val="0000EE"/>
                <w:w w:val="94"/>
              </w:rPr>
            </w:pPr>
            <w:hyperlink w:anchor="page221">
              <w:r>
                <w:rPr>
                  <w:rFonts w:ascii="Arial" w:cs="Arial" w:eastAsia="Arial" w:hAnsi="Arial"/>
                  <w:sz w:val="18"/>
                  <w:szCs w:val="18"/>
                  <w:color w:val="0000EE"/>
                  <w:w w:val="94"/>
                </w:rPr>
                <w:t>ITEM 19</w:t>
              </w:r>
            </w:hyperlink>
          </w:p>
        </w:tc>
        <w:tc>
          <w:tcPr>
            <w:tcW w:w="500" w:type="dxa"/>
            <w:vAlign w:val="bottom"/>
            <w:gridSpan w:val="5"/>
          </w:tcPr>
          <w:p>
            <w:pPr>
              <w:spacing w:after="0"/>
              <w:rPr>
                <w:sz w:val="17"/>
                <w:szCs w:val="17"/>
                <w:color w:val="auto"/>
              </w:rPr>
            </w:pPr>
          </w:p>
        </w:tc>
        <w:tc>
          <w:tcPr>
            <w:tcW w:w="800" w:type="dxa"/>
            <w:vAlign w:val="bottom"/>
            <w:gridSpan w:val="3"/>
          </w:tcPr>
          <w:p>
            <w:pPr>
              <w:spacing w:after="0" w:line="196" w:lineRule="exact"/>
              <w:rPr>
                <w:rFonts w:ascii="Arial" w:cs="Arial" w:eastAsia="Arial" w:hAnsi="Arial"/>
                <w:sz w:val="18"/>
                <w:szCs w:val="18"/>
                <w:color w:val="0000EE"/>
                <w:w w:val="95"/>
              </w:rPr>
            </w:pPr>
            <w:hyperlink w:anchor="page221">
              <w:r>
                <w:rPr>
                  <w:rFonts w:ascii="Arial" w:cs="Arial" w:eastAsia="Arial" w:hAnsi="Arial"/>
                  <w:sz w:val="18"/>
                  <w:szCs w:val="18"/>
                  <w:color w:val="0000EE"/>
                  <w:w w:val="95"/>
                </w:rPr>
                <w:t>EXHIBITS</w:t>
              </w:r>
            </w:hyperlink>
          </w:p>
        </w:tc>
        <w:tc>
          <w:tcPr>
            <w:tcW w:w="1280" w:type="dxa"/>
            <w:vAlign w:val="bottom"/>
            <w:gridSpan w:val="4"/>
          </w:tcPr>
          <w:p>
            <w:pPr>
              <w:spacing w:after="0"/>
              <w:rPr>
                <w:sz w:val="17"/>
                <w:szCs w:val="17"/>
                <w:color w:val="auto"/>
              </w:rPr>
            </w:pPr>
          </w:p>
        </w:tc>
        <w:tc>
          <w:tcPr>
            <w:tcW w:w="5020" w:type="dxa"/>
            <w:vAlign w:val="bottom"/>
            <w:gridSpan w:val="12"/>
          </w:tcPr>
          <w:p>
            <w:pPr>
              <w:spacing w:after="0"/>
              <w:rPr>
                <w:sz w:val="17"/>
                <w:szCs w:val="17"/>
                <w:color w:val="auto"/>
              </w:rPr>
            </w:pPr>
          </w:p>
        </w:tc>
        <w:tc>
          <w:tcPr>
            <w:tcW w:w="580" w:type="dxa"/>
            <w:vAlign w:val="bottom"/>
            <w:gridSpan w:val="3"/>
          </w:tcPr>
          <w:p>
            <w:pPr>
              <w:ind w:left="300"/>
              <w:spacing w:after="0" w:line="196" w:lineRule="exact"/>
              <w:rPr>
                <w:rFonts w:ascii="Arial" w:cs="Arial" w:eastAsia="Arial" w:hAnsi="Arial"/>
                <w:sz w:val="18"/>
                <w:szCs w:val="18"/>
                <w:color w:val="0000EE"/>
                <w:w w:val="86"/>
              </w:rPr>
            </w:pPr>
            <w:hyperlink w:anchor="page221">
              <w:r>
                <w:rPr>
                  <w:rFonts w:ascii="Arial" w:cs="Arial" w:eastAsia="Arial" w:hAnsi="Arial"/>
                  <w:sz w:val="18"/>
                  <w:szCs w:val="18"/>
                  <w:color w:val="0000EE"/>
                  <w:w w:val="86"/>
                </w:rPr>
                <w:t>178</w:t>
              </w:r>
            </w:hyperlink>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60" w:type="dxa"/>
            <w:vAlign w:val="bottom"/>
            <w:gridSpan w:val="5"/>
            <w:shd w:val="clear" w:color="auto" w:fill="0000EE"/>
          </w:tcPr>
          <w:p>
            <w:pPr>
              <w:spacing w:after="0" w:line="20" w:lineRule="exact"/>
              <w:rPr>
                <w:sz w:val="1"/>
                <w:szCs w:val="1"/>
                <w:color w:val="auto"/>
              </w:rPr>
            </w:pPr>
          </w:p>
        </w:tc>
        <w:tc>
          <w:tcPr>
            <w:tcW w:w="420" w:type="dxa"/>
            <w:vAlign w:val="bottom"/>
            <w:gridSpan w:val="3"/>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660" w:type="dxa"/>
            <w:vAlign w:val="bottom"/>
            <w:gridSpan w:val="2"/>
            <w:shd w:val="clear" w:color="auto" w:fill="0000EE"/>
          </w:tcPr>
          <w:p>
            <w:pPr>
              <w:spacing w:after="0" w:line="20" w:lineRule="exact"/>
              <w:rPr>
                <w:sz w:val="1"/>
                <w:szCs w:val="1"/>
                <w:color w:val="auto"/>
              </w:rPr>
            </w:pPr>
          </w:p>
        </w:tc>
        <w:tc>
          <w:tcPr>
            <w:tcW w:w="6300" w:type="dxa"/>
            <w:vAlign w:val="bottom"/>
            <w:gridSpan w:val="16"/>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300" w:type="dxa"/>
            <w:vAlign w:val="bottom"/>
            <w:gridSpan w:val="11"/>
          </w:tcPr>
          <w:p>
            <w:pPr>
              <w:spacing w:after="0" w:line="196" w:lineRule="exact"/>
              <w:rPr>
                <w:rFonts w:ascii="Arial" w:cs="Arial" w:eastAsia="Arial" w:hAnsi="Arial"/>
                <w:sz w:val="18"/>
                <w:szCs w:val="18"/>
                <w:color w:val="0000EE"/>
                <w:w w:val="98"/>
              </w:rPr>
            </w:pPr>
            <w:hyperlink w:anchor="page221">
              <w:r>
                <w:rPr>
                  <w:rFonts w:ascii="Arial" w:cs="Arial" w:eastAsia="Arial" w:hAnsi="Arial"/>
                  <w:sz w:val="18"/>
                  <w:szCs w:val="18"/>
                  <w:color w:val="0000EE"/>
                  <w:w w:val="98"/>
                </w:rPr>
                <w:t>EXHIBIT INDEX</w:t>
              </w:r>
            </w:hyperlink>
          </w:p>
        </w:tc>
        <w:tc>
          <w:tcPr>
            <w:tcW w:w="6960" w:type="dxa"/>
            <w:vAlign w:val="bottom"/>
            <w:gridSpan w:val="18"/>
          </w:tcPr>
          <w:p>
            <w:pPr>
              <w:spacing w:after="0"/>
              <w:rPr>
                <w:sz w:val="17"/>
                <w:szCs w:val="17"/>
                <w:color w:val="auto"/>
              </w:rPr>
            </w:pPr>
          </w:p>
        </w:tc>
        <w:tc>
          <w:tcPr>
            <w:tcW w:w="580" w:type="dxa"/>
            <w:vAlign w:val="bottom"/>
            <w:gridSpan w:val="3"/>
          </w:tcPr>
          <w:p>
            <w:pPr>
              <w:ind w:left="300"/>
              <w:spacing w:after="0" w:line="196" w:lineRule="exact"/>
              <w:rPr>
                <w:rFonts w:ascii="Arial" w:cs="Arial" w:eastAsia="Arial" w:hAnsi="Arial"/>
                <w:sz w:val="18"/>
                <w:szCs w:val="18"/>
                <w:color w:val="0000EE"/>
                <w:w w:val="86"/>
              </w:rPr>
            </w:pPr>
            <w:hyperlink w:anchor="page221">
              <w:r>
                <w:rPr>
                  <w:rFonts w:ascii="Arial" w:cs="Arial" w:eastAsia="Arial" w:hAnsi="Arial"/>
                  <w:sz w:val="18"/>
                  <w:szCs w:val="18"/>
                  <w:color w:val="0000EE"/>
                  <w:w w:val="86"/>
                </w:rPr>
                <w:t>178</w:t>
              </w:r>
            </w:hyperlink>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80" w:type="dxa"/>
            <w:vAlign w:val="bottom"/>
            <w:gridSpan w:val="8"/>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60" w:type="dxa"/>
            <w:vAlign w:val="bottom"/>
            <w:gridSpan w:val="10"/>
          </w:tcPr>
          <w:p>
            <w:pPr>
              <w:spacing w:after="0" w:line="196" w:lineRule="exact"/>
              <w:rPr>
                <w:rFonts w:ascii="Arial" w:cs="Arial" w:eastAsia="Arial" w:hAnsi="Arial"/>
                <w:sz w:val="18"/>
                <w:szCs w:val="18"/>
                <w:color w:val="0000EE"/>
                <w:w w:val="97"/>
              </w:rPr>
            </w:pPr>
            <w:hyperlink w:anchor="page223">
              <w:r>
                <w:rPr>
                  <w:rFonts w:ascii="Arial" w:cs="Arial" w:eastAsia="Arial" w:hAnsi="Arial"/>
                  <w:sz w:val="18"/>
                  <w:szCs w:val="18"/>
                  <w:color w:val="0000EE"/>
                  <w:w w:val="97"/>
                </w:rPr>
                <w:t>SIGNATURES</w:t>
              </w:r>
            </w:hyperlink>
          </w:p>
        </w:tc>
        <w:tc>
          <w:tcPr>
            <w:tcW w:w="14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580" w:type="dxa"/>
            <w:vAlign w:val="bottom"/>
            <w:gridSpan w:val="3"/>
          </w:tcPr>
          <w:p>
            <w:pPr>
              <w:ind w:left="300"/>
              <w:spacing w:after="0" w:line="196" w:lineRule="exact"/>
              <w:rPr>
                <w:rFonts w:ascii="Arial" w:cs="Arial" w:eastAsia="Arial" w:hAnsi="Arial"/>
                <w:sz w:val="18"/>
                <w:szCs w:val="18"/>
                <w:color w:val="0000EE"/>
                <w:w w:val="86"/>
              </w:rPr>
            </w:pPr>
            <w:hyperlink w:anchor="page223">
              <w:r>
                <w:rPr>
                  <w:rFonts w:ascii="Arial" w:cs="Arial" w:eastAsia="Arial" w:hAnsi="Arial"/>
                  <w:sz w:val="18"/>
                  <w:szCs w:val="18"/>
                  <w:color w:val="0000EE"/>
                  <w:w w:val="86"/>
                </w:rPr>
                <w:t>180</w:t>
              </w:r>
            </w:hyperlink>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120" w:type="dxa"/>
            <w:vAlign w:val="bottom"/>
            <w:tcBorders>
              <w:bottom w:val="single" w:sz="8" w:color="auto"/>
            </w:tcBorders>
          </w:tcPr>
          <w:p>
            <w:pPr>
              <w:spacing w:after="0"/>
              <w:rPr>
                <w:sz w:val="11"/>
                <w:szCs w:val="11"/>
                <w:color w:val="auto"/>
              </w:rPr>
            </w:pPr>
          </w:p>
        </w:tc>
        <w:tc>
          <w:tcPr>
            <w:tcW w:w="140" w:type="dxa"/>
            <w:vAlign w:val="bottom"/>
            <w:tcBorders>
              <w:top w:val="single" w:sz="8" w:color="0000EE"/>
              <w:bottom w:val="single" w:sz="8" w:color="auto"/>
            </w:tcBorders>
          </w:tcPr>
          <w:p>
            <w:pPr>
              <w:spacing w:after="0"/>
              <w:rPr>
                <w:sz w:val="11"/>
                <w:szCs w:val="11"/>
                <w:color w:val="auto"/>
              </w:rPr>
            </w:pPr>
          </w:p>
        </w:tc>
        <w:tc>
          <w:tcPr>
            <w:tcW w:w="320" w:type="dxa"/>
            <w:vAlign w:val="bottom"/>
            <w:tcBorders>
              <w:top w:val="single" w:sz="8" w:color="0000EE"/>
              <w:bottom w:val="single" w:sz="8" w:color="auto"/>
            </w:tcBorders>
          </w:tcPr>
          <w:p>
            <w:pPr>
              <w:spacing w:after="0"/>
              <w:rPr>
                <w:sz w:val="11"/>
                <w:szCs w:val="11"/>
                <w:color w:val="auto"/>
              </w:rPr>
            </w:pPr>
          </w:p>
        </w:tc>
        <w:tc>
          <w:tcPr>
            <w:tcW w:w="60" w:type="dxa"/>
            <w:vAlign w:val="bottom"/>
            <w:tcBorders>
              <w:top w:val="single" w:sz="8" w:color="0000EE"/>
              <w:bottom w:val="single" w:sz="8" w:color="auto"/>
            </w:tcBorders>
          </w:tcPr>
          <w:p>
            <w:pPr>
              <w:spacing w:after="0"/>
              <w:rPr>
                <w:sz w:val="11"/>
                <w:szCs w:val="11"/>
                <w:color w:val="auto"/>
              </w:rPr>
            </w:pPr>
          </w:p>
        </w:tc>
        <w:tc>
          <w:tcPr>
            <w:tcW w:w="120" w:type="dxa"/>
            <w:vAlign w:val="bottom"/>
            <w:tcBorders>
              <w:top w:val="single" w:sz="8" w:color="0000EE"/>
              <w:bottom w:val="single" w:sz="8" w:color="auto"/>
            </w:tcBorders>
          </w:tcPr>
          <w:p>
            <w:pPr>
              <w:spacing w:after="0"/>
              <w:rPr>
                <w:sz w:val="11"/>
                <w:szCs w:val="11"/>
                <w:color w:val="auto"/>
              </w:rPr>
            </w:pPr>
          </w:p>
        </w:tc>
        <w:tc>
          <w:tcPr>
            <w:tcW w:w="20" w:type="dxa"/>
            <w:vAlign w:val="bottom"/>
            <w:tcBorders>
              <w:top w:val="single" w:sz="8" w:color="0000EE"/>
              <w:bottom w:val="single" w:sz="8" w:color="auto"/>
            </w:tcBorders>
          </w:tcPr>
          <w:p>
            <w:pPr>
              <w:spacing w:after="0"/>
              <w:rPr>
                <w:sz w:val="11"/>
                <w:szCs w:val="11"/>
                <w:color w:val="auto"/>
              </w:rPr>
            </w:pPr>
          </w:p>
        </w:tc>
        <w:tc>
          <w:tcPr>
            <w:tcW w:w="100" w:type="dxa"/>
            <w:vAlign w:val="bottom"/>
            <w:tcBorders>
              <w:top w:val="single" w:sz="8" w:color="0000EE"/>
              <w:bottom w:val="single" w:sz="8" w:color="auto"/>
            </w:tcBorders>
          </w:tcPr>
          <w:p>
            <w:pPr>
              <w:spacing w:after="0"/>
              <w:rPr>
                <w:sz w:val="11"/>
                <w:szCs w:val="11"/>
                <w:color w:val="auto"/>
              </w:rPr>
            </w:pPr>
          </w:p>
        </w:tc>
        <w:tc>
          <w:tcPr>
            <w:tcW w:w="140" w:type="dxa"/>
            <w:vAlign w:val="bottom"/>
            <w:tcBorders>
              <w:top w:val="single" w:sz="8" w:color="0000EE"/>
              <w:bottom w:val="single" w:sz="8" w:color="auto"/>
            </w:tcBorders>
          </w:tcPr>
          <w:p>
            <w:pPr>
              <w:spacing w:after="0"/>
              <w:rPr>
                <w:sz w:val="11"/>
                <w:szCs w:val="11"/>
                <w:color w:val="auto"/>
              </w:rPr>
            </w:pPr>
          </w:p>
        </w:tc>
        <w:tc>
          <w:tcPr>
            <w:tcW w:w="180" w:type="dxa"/>
            <w:vAlign w:val="bottom"/>
            <w:tcBorders>
              <w:top w:val="single" w:sz="8" w:color="0000EE"/>
              <w:bottom w:val="single" w:sz="8" w:color="auto"/>
            </w:tcBorders>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260" w:type="dxa"/>
            <w:vAlign w:val="bottom"/>
            <w:tcBorders>
              <w:top w:val="single" w:sz="8" w:color="0000EE"/>
            </w:tcBorders>
          </w:tcPr>
          <w:p>
            <w:pPr>
              <w:spacing w:after="0"/>
              <w:rPr>
                <w:sz w:val="11"/>
                <w:szCs w:val="11"/>
                <w:color w:val="auto"/>
              </w:rPr>
            </w:pPr>
          </w:p>
        </w:tc>
        <w:tc>
          <w:tcPr>
            <w:tcW w:w="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p>
    <w:p>
      <w:pPr>
        <w:ind w:left="540" w:hanging="531"/>
        <w:spacing w:after="0"/>
        <w:tabs>
          <w:tab w:leader="none" w:pos="540" w:val="left"/>
        </w:tabs>
        <w:numPr>
          <w:ilvl w:val="0"/>
          <w:numId w:val="4"/>
        </w:numPr>
        <w:rPr>
          <w:rFonts w:ascii="Arial" w:cs="Arial" w:eastAsia="Arial" w:hAnsi="Arial"/>
          <w:sz w:val="14"/>
          <w:szCs w:val="14"/>
          <w:color w:val="auto"/>
        </w:rPr>
      </w:pPr>
      <w:r>
        <w:rPr>
          <w:rFonts w:ascii="Arial" w:cs="Arial" w:eastAsia="Arial" w:hAnsi="Arial"/>
          <w:sz w:val="14"/>
          <w:szCs w:val="14"/>
          <w:color w:val="auto"/>
        </w:rPr>
        <w:t>Omitted pursuant to General Instruction E(b) of Form 20-F.</w:t>
      </w:r>
    </w:p>
    <w:p>
      <w:pPr>
        <w:spacing w:after="0" w:line="123" w:lineRule="exact"/>
        <w:rPr>
          <w:sz w:val="20"/>
          <w:szCs w:val="20"/>
          <w:color w:val="auto"/>
        </w:rPr>
      </w:pPr>
    </w:p>
    <w:p>
      <w:pPr>
        <w:ind w:left="540" w:hanging="531"/>
        <w:spacing w:after="0"/>
        <w:tabs>
          <w:tab w:leader="none" w:pos="540" w:val="left"/>
        </w:tabs>
        <w:numPr>
          <w:ilvl w:val="0"/>
          <w:numId w:val="5"/>
        </w:numPr>
        <w:rPr>
          <w:rFonts w:ascii="Arial" w:cs="Arial" w:eastAsia="Arial" w:hAnsi="Arial"/>
          <w:sz w:val="12"/>
          <w:szCs w:val="12"/>
          <w:color w:val="auto"/>
        </w:rPr>
      </w:pPr>
      <w:r>
        <w:rPr>
          <w:rFonts w:ascii="Arial" w:cs="Arial" w:eastAsia="Arial" w:hAnsi="Arial"/>
          <w:sz w:val="12"/>
          <w:szCs w:val="12"/>
          <w:color w:val="auto"/>
        </w:rPr>
        <w:t>Pursuant to General Instruction E(c) of Form 20-F, the registrant has elected to provide the financial statements and related information specified in Item 18.</w:t>
      </w: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-720090</wp:posOffset>
            </wp:positionH>
            <wp:positionV relativeFrom="paragraph">
              <wp:posOffset>146050</wp:posOffset>
            </wp:positionV>
            <wp:extent cx="7250430" cy="215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9140"/>
          </w:cols>
          <w:pgMar w:left="1380" w:top="181" w:right="1379" w:bottom="1440" w:gutter="0" w:footer="0" w:header="0"/>
        </w:sectPr>
      </w:pPr>
    </w:p>
    <w:bookmarkStart w:id="43" w:name="page44"/>
    <w:bookmarkEnd w:id="43"/>
    <w:p>
      <w:pPr>
        <w:jc w:val="center"/>
        <w:ind w:right="40"/>
        <w:spacing w:after="0"/>
        <w:rPr>
          <w:sz w:val="20"/>
          <w:szCs w:val="20"/>
          <w:color w:val="auto"/>
        </w:rPr>
      </w:pPr>
      <w:r>
        <w:rPr>
          <w:rFonts w:ascii="Arial" w:cs="Arial" w:eastAsia="Arial" w:hAnsi="Arial"/>
          <w:sz w:val="18"/>
          <w:szCs w:val="18"/>
          <w:b w:val="1"/>
          <w:bCs w:val="1"/>
          <w:color w:val="auto"/>
        </w:rPr>
        <w:t>PRELIMINARY NOTE</w:t>
      </w:r>
    </w:p>
    <w:p>
      <w:pPr>
        <w:spacing w:after="0" w:line="231" w:lineRule="exact"/>
        <w:rPr>
          <w:sz w:val="20"/>
          <w:szCs w:val="20"/>
          <w:color w:val="auto"/>
        </w:rPr>
      </w:pPr>
    </w:p>
    <w:p>
      <w:pPr>
        <w:jc w:val="both"/>
        <w:ind w:firstLine="392"/>
        <w:spacing w:after="0" w:line="298" w:lineRule="auto"/>
        <w:rPr>
          <w:sz w:val="20"/>
          <w:szCs w:val="20"/>
          <w:color w:val="auto"/>
        </w:rPr>
      </w:pPr>
      <w:r>
        <w:rPr>
          <w:rFonts w:ascii="Arial" w:cs="Arial" w:eastAsia="Arial" w:hAnsi="Arial"/>
          <w:sz w:val="16"/>
          <w:szCs w:val="16"/>
          <w:b w:val="1"/>
          <w:bCs w:val="1"/>
          <w:i w:val="1"/>
          <w:iCs w:val="1"/>
          <w:color w:val="auto"/>
        </w:rPr>
        <w:t xml:space="preserve">Currencies: </w:t>
      </w:r>
      <w:r>
        <w:rPr>
          <w:rFonts w:ascii="Arial" w:cs="Arial" w:eastAsia="Arial" w:hAnsi="Arial"/>
          <w:sz w:val="16"/>
          <w:szCs w:val="16"/>
          <w:color w:val="auto"/>
        </w:rPr>
        <w:t>Agnico-Eagle Mines Limited ("Agnico-Eagle" or the "Company") presents its consolidated financial statements in United States dollars. All</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dollar amounts in this Annual Report on Form 20-F ("Form 20-F") are stated in United States dollars ("U.S. dollars", "$" or "US$"), except where otherwise indicated. Certain information in this Form 20-F is presented in Canadian dollars ("C$") or European Union euros ("Euro" or "€"). See "Item 3 Key Information — Currency Exchange Rates" for a history of exchange rates of Canadian dollars into U.S. dollars.</w:t>
      </w:r>
    </w:p>
    <w:p>
      <w:pPr>
        <w:spacing w:after="0" w:line="167" w:lineRule="exact"/>
        <w:rPr>
          <w:sz w:val="20"/>
          <w:szCs w:val="20"/>
          <w:color w:val="auto"/>
        </w:rPr>
      </w:pPr>
    </w:p>
    <w:p>
      <w:pPr>
        <w:jc w:val="both"/>
        <w:ind w:firstLine="528"/>
        <w:spacing w:after="0" w:line="259" w:lineRule="auto"/>
        <w:rPr>
          <w:sz w:val="20"/>
          <w:szCs w:val="20"/>
          <w:color w:val="auto"/>
        </w:rPr>
      </w:pPr>
      <w:r>
        <w:rPr>
          <w:rFonts w:ascii="Arial" w:cs="Arial" w:eastAsia="Arial" w:hAnsi="Arial"/>
          <w:sz w:val="18"/>
          <w:szCs w:val="18"/>
          <w:b w:val="1"/>
          <w:bCs w:val="1"/>
          <w:i w:val="1"/>
          <w:iCs w:val="1"/>
          <w:color w:val="auto"/>
        </w:rPr>
        <w:t xml:space="preserve">Generally Accepted Accounting Principles: </w:t>
      </w:r>
      <w:r>
        <w:rPr>
          <w:rFonts w:ascii="Arial" w:cs="Arial" w:eastAsia="Arial" w:hAnsi="Arial"/>
          <w:sz w:val="18"/>
          <w:szCs w:val="18"/>
          <w:color w:val="auto"/>
        </w:rPr>
        <w:t>Agnico-Eagle reports its financial results using United States generally accepted accounting principles</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("US GAAP") due to its substantial U.S. shareholder base and to maintain comparability with other gold mining companies. Unless otherwise specified, all references to financial results herein are to those calculated under US GAAP.</w:t>
      </w:r>
    </w:p>
    <w:p>
      <w:pPr>
        <w:spacing w:after="0" w:line="194" w:lineRule="exact"/>
        <w:rPr>
          <w:sz w:val="20"/>
          <w:szCs w:val="20"/>
          <w:color w:val="auto"/>
        </w:rPr>
      </w:pPr>
    </w:p>
    <w:p>
      <w:pPr>
        <w:jc w:val="both"/>
        <w:ind w:firstLine="459"/>
        <w:spacing w:after="0" w:line="291" w:lineRule="auto"/>
        <w:rPr>
          <w:sz w:val="20"/>
          <w:szCs w:val="20"/>
          <w:color w:val="auto"/>
        </w:rPr>
      </w:pPr>
      <w:r>
        <w:rPr>
          <w:rFonts w:ascii="Arial" w:cs="Arial" w:eastAsia="Arial" w:hAnsi="Arial"/>
          <w:sz w:val="16"/>
          <w:szCs w:val="16"/>
          <w:b w:val="1"/>
          <w:bCs w:val="1"/>
          <w:i w:val="1"/>
          <w:iCs w:val="1"/>
          <w:color w:val="auto"/>
        </w:rPr>
        <w:t xml:space="preserve">Forward-Looking Information: </w:t>
      </w:r>
      <w:r>
        <w:rPr>
          <w:rFonts w:ascii="Arial" w:cs="Arial" w:eastAsia="Arial" w:hAnsi="Arial"/>
          <w:sz w:val="16"/>
          <w:szCs w:val="16"/>
          <w:color w:val="auto"/>
        </w:rPr>
        <w:t>Certain statements in this Form 20-F, referred to herein as "forward-looking statements", constitute "forward-looking</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statements" within the meaning of the United States Private Securities Litigation Reform Act of 1995 and "forward-looking information" under the provisions of Canadian provincial securities laws. These statements relate to, among other things, the Company's plans, objectives, expectations, estimates, beliefs, strategies and intentions and can generally be identified by the use of words such as "anticipate", "believe", "budget", "could", "estimate", "expect", "forecast", "intend", "likely", "may", "plan", "project", "schedule", "should", "target", "will", "would" or other variations of these terms or comparable terminology. Forward-looking statements in this report include, but are not limited to, the following:</w:t>
      </w:r>
    </w:p>
    <w:p>
      <w:pPr>
        <w:spacing w:after="0" w:line="188" w:lineRule="exact"/>
        <w:rPr>
          <w:sz w:val="20"/>
          <w:szCs w:val="20"/>
          <w:color w:val="auto"/>
        </w:rPr>
      </w:pPr>
    </w:p>
    <w:p>
      <w:pPr>
        <w:ind w:left="1080" w:hanging="532"/>
        <w:spacing w:after="0"/>
        <w:tabs>
          <w:tab w:leader="none" w:pos="1080" w:val="left"/>
        </w:tabs>
        <w:numPr>
          <w:ilvl w:val="0"/>
          <w:numId w:val="6"/>
        </w:numPr>
        <w:rPr>
          <w:rFonts w:ascii="Arial" w:cs="Arial" w:eastAsia="Arial" w:hAnsi="Arial"/>
          <w:sz w:val="18"/>
          <w:szCs w:val="18"/>
          <w:color w:val="auto"/>
        </w:rPr>
      </w:pPr>
      <w:r>
        <w:rPr>
          <w:rFonts w:ascii="Arial" w:cs="Arial" w:eastAsia="Arial" w:hAnsi="Arial"/>
          <w:sz w:val="18"/>
          <w:szCs w:val="18"/>
          <w:color w:val="auto"/>
        </w:rPr>
        <w:t>the Company's outlook for 2010 and future periods;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
        </w:numPr>
        <w:rPr>
          <w:rFonts w:ascii="Arial" w:cs="Arial" w:eastAsia="Arial" w:hAnsi="Arial"/>
          <w:sz w:val="18"/>
          <w:szCs w:val="18"/>
          <w:color w:val="auto"/>
        </w:rPr>
      </w:pPr>
      <w:r>
        <w:rPr>
          <w:rFonts w:ascii="Arial" w:cs="Arial" w:eastAsia="Arial" w:hAnsi="Arial"/>
          <w:sz w:val="18"/>
          <w:szCs w:val="18"/>
          <w:color w:val="auto"/>
        </w:rPr>
        <w:t>statements regarding future earnings, and the sensitivity of earnings to gold and other metal prices;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
        </w:numPr>
        <w:rPr>
          <w:rFonts w:ascii="Arial" w:cs="Arial" w:eastAsia="Arial" w:hAnsi="Arial"/>
          <w:sz w:val="18"/>
          <w:szCs w:val="18"/>
          <w:color w:val="auto"/>
        </w:rPr>
      </w:pPr>
      <w:r>
        <w:rPr>
          <w:rFonts w:ascii="Arial" w:cs="Arial" w:eastAsia="Arial" w:hAnsi="Arial"/>
          <w:sz w:val="18"/>
          <w:szCs w:val="18"/>
          <w:color w:val="auto"/>
        </w:rPr>
        <w:t>anticipated trends for prices of gold and byproduct metals mined by the Company;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
        </w:numPr>
        <w:rPr>
          <w:rFonts w:ascii="Arial" w:cs="Arial" w:eastAsia="Arial" w:hAnsi="Arial"/>
          <w:sz w:val="18"/>
          <w:szCs w:val="18"/>
          <w:color w:val="auto"/>
        </w:rPr>
      </w:pPr>
      <w:r>
        <w:rPr>
          <w:rFonts w:ascii="Arial" w:cs="Arial" w:eastAsia="Arial" w:hAnsi="Arial"/>
          <w:sz w:val="18"/>
          <w:szCs w:val="18"/>
          <w:color w:val="auto"/>
        </w:rPr>
        <w:t>estimates of future mineral production and sales;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
        </w:numPr>
        <w:rPr>
          <w:rFonts w:ascii="Arial" w:cs="Arial" w:eastAsia="Arial" w:hAnsi="Arial"/>
          <w:sz w:val="18"/>
          <w:szCs w:val="18"/>
          <w:color w:val="auto"/>
        </w:rPr>
      </w:pPr>
      <w:r>
        <w:rPr>
          <w:rFonts w:ascii="Arial" w:cs="Arial" w:eastAsia="Arial" w:hAnsi="Arial"/>
          <w:sz w:val="18"/>
          <w:szCs w:val="18"/>
          <w:color w:val="auto"/>
        </w:rPr>
        <w:t>estimates of future costs, including mining costs, total cash costs per ounce, minesite costs per tonne and other expenses;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
        </w:numPr>
        <w:rPr>
          <w:rFonts w:ascii="Arial" w:cs="Arial" w:eastAsia="Arial" w:hAnsi="Arial"/>
          <w:sz w:val="18"/>
          <w:szCs w:val="18"/>
          <w:color w:val="auto"/>
        </w:rPr>
      </w:pPr>
      <w:r>
        <w:rPr>
          <w:rFonts w:ascii="Arial" w:cs="Arial" w:eastAsia="Arial" w:hAnsi="Arial"/>
          <w:sz w:val="18"/>
          <w:szCs w:val="18"/>
          <w:color w:val="auto"/>
        </w:rPr>
        <w:t>estimates of future capital expenditure, exploration expenditure and other cash needs, and expectations as to the funding thereof;</w:t>
      </w:r>
    </w:p>
    <w:p>
      <w:pPr>
        <w:spacing w:after="0" w:line="238" w:lineRule="exact"/>
        <w:rPr>
          <w:rFonts w:ascii="Arial" w:cs="Arial" w:eastAsia="Arial" w:hAnsi="Arial"/>
          <w:sz w:val="18"/>
          <w:szCs w:val="18"/>
          <w:color w:val="auto"/>
        </w:rPr>
      </w:pPr>
    </w:p>
    <w:p>
      <w:pPr>
        <w:ind w:left="1080" w:hanging="532"/>
        <w:spacing w:after="0" w:line="332" w:lineRule="auto"/>
        <w:tabs>
          <w:tab w:leader="none" w:pos="1080" w:val="left"/>
        </w:tabs>
        <w:numPr>
          <w:ilvl w:val="0"/>
          <w:numId w:val="6"/>
        </w:numPr>
        <w:rPr>
          <w:rFonts w:ascii="Arial" w:cs="Arial" w:eastAsia="Arial" w:hAnsi="Arial"/>
          <w:sz w:val="16"/>
          <w:szCs w:val="16"/>
          <w:color w:val="auto"/>
        </w:rPr>
      </w:pPr>
      <w:r>
        <w:rPr>
          <w:rFonts w:ascii="Arial" w:cs="Arial" w:eastAsia="Arial" w:hAnsi="Arial"/>
          <w:sz w:val="16"/>
          <w:szCs w:val="16"/>
          <w:color w:val="auto"/>
        </w:rPr>
        <w:t>statements regarding the projected development of certain ore deposits, including estimates of exploration, development and production and other capital costs and estimates of the timing of such development and production or decisions with respect to such development and production;</w:t>
      </w:r>
    </w:p>
    <w:p>
      <w:pPr>
        <w:spacing w:after="0" w:line="166" w:lineRule="exact"/>
        <w:rPr>
          <w:rFonts w:ascii="Arial" w:cs="Arial" w:eastAsia="Arial" w:hAnsi="Arial"/>
          <w:sz w:val="16"/>
          <w:szCs w:val="16"/>
          <w:color w:val="auto"/>
        </w:rPr>
      </w:pPr>
    </w:p>
    <w:p>
      <w:pPr>
        <w:ind w:left="1080" w:hanging="532"/>
        <w:spacing w:after="0"/>
        <w:tabs>
          <w:tab w:leader="none" w:pos="1080" w:val="left"/>
        </w:tabs>
        <w:numPr>
          <w:ilvl w:val="0"/>
          <w:numId w:val="6"/>
        </w:numPr>
        <w:rPr>
          <w:rFonts w:ascii="Arial" w:cs="Arial" w:eastAsia="Arial" w:hAnsi="Arial"/>
          <w:sz w:val="18"/>
          <w:szCs w:val="18"/>
          <w:color w:val="auto"/>
        </w:rPr>
      </w:pPr>
      <w:r>
        <w:rPr>
          <w:rFonts w:ascii="Arial" w:cs="Arial" w:eastAsia="Arial" w:hAnsi="Arial"/>
          <w:sz w:val="18"/>
          <w:szCs w:val="18"/>
          <w:color w:val="auto"/>
        </w:rPr>
        <w:t>estimates of mineral reserves, mineral resources and ore grades and statements regarding anticipated future exploration results;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
        </w:numPr>
        <w:rPr>
          <w:rFonts w:ascii="Arial" w:cs="Arial" w:eastAsia="Arial" w:hAnsi="Arial"/>
          <w:sz w:val="18"/>
          <w:szCs w:val="18"/>
          <w:color w:val="auto"/>
        </w:rPr>
      </w:pPr>
      <w:r>
        <w:rPr>
          <w:rFonts w:ascii="Arial" w:cs="Arial" w:eastAsia="Arial" w:hAnsi="Arial"/>
          <w:sz w:val="18"/>
          <w:szCs w:val="18"/>
          <w:color w:val="auto"/>
        </w:rPr>
        <w:t>estimates of cash flow;</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
        </w:numPr>
        <w:rPr>
          <w:rFonts w:ascii="Arial" w:cs="Arial" w:eastAsia="Arial" w:hAnsi="Arial"/>
          <w:sz w:val="18"/>
          <w:szCs w:val="18"/>
          <w:color w:val="auto"/>
        </w:rPr>
      </w:pPr>
      <w:r>
        <w:rPr>
          <w:rFonts w:ascii="Arial" w:cs="Arial" w:eastAsia="Arial" w:hAnsi="Arial"/>
          <w:sz w:val="18"/>
          <w:szCs w:val="18"/>
          <w:color w:val="auto"/>
        </w:rPr>
        <w:t>estimates of mine life;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
        </w:numPr>
        <w:rPr>
          <w:rFonts w:ascii="Arial" w:cs="Arial" w:eastAsia="Arial" w:hAnsi="Arial"/>
          <w:sz w:val="18"/>
          <w:szCs w:val="18"/>
          <w:color w:val="auto"/>
        </w:rPr>
      </w:pPr>
      <w:r>
        <w:rPr>
          <w:rFonts w:ascii="Arial" w:cs="Arial" w:eastAsia="Arial" w:hAnsi="Arial"/>
          <w:sz w:val="18"/>
          <w:szCs w:val="18"/>
          <w:color w:val="auto"/>
        </w:rPr>
        <w:t>anticipated timing of events with respect to the Company's minesites, mine construction projects and exploration projects;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
        </w:numPr>
        <w:rPr>
          <w:rFonts w:ascii="Arial" w:cs="Arial" w:eastAsia="Arial" w:hAnsi="Arial"/>
          <w:sz w:val="18"/>
          <w:szCs w:val="18"/>
          <w:color w:val="auto"/>
        </w:rPr>
      </w:pPr>
      <w:r>
        <w:rPr>
          <w:rFonts w:ascii="Arial" w:cs="Arial" w:eastAsia="Arial" w:hAnsi="Arial"/>
          <w:sz w:val="18"/>
          <w:szCs w:val="18"/>
          <w:color w:val="auto"/>
        </w:rPr>
        <w:t>estimates of future costs and other liabilities for environmental remediation;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
        </w:numPr>
        <w:rPr>
          <w:rFonts w:ascii="Arial" w:cs="Arial" w:eastAsia="Arial" w:hAnsi="Arial"/>
          <w:sz w:val="16"/>
          <w:szCs w:val="16"/>
          <w:color w:val="auto"/>
        </w:rPr>
      </w:pPr>
      <w:r>
        <w:rPr>
          <w:rFonts w:ascii="Arial" w:cs="Arial" w:eastAsia="Arial" w:hAnsi="Arial"/>
          <w:sz w:val="16"/>
          <w:szCs w:val="16"/>
          <w:color w:val="auto"/>
        </w:rPr>
        <w:t>statements regarding anticipated legislation and regulation regarding climate change and estimates of the impact on the Company;</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6"/>
        </w:numPr>
        <w:rPr>
          <w:rFonts w:ascii="Arial" w:cs="Arial" w:eastAsia="Arial" w:hAnsi="Arial"/>
          <w:sz w:val="16"/>
          <w:szCs w:val="16"/>
          <w:color w:val="auto"/>
        </w:rPr>
      </w:pPr>
      <w:r>
        <w:rPr>
          <w:rFonts w:ascii="Arial" w:cs="Arial" w:eastAsia="Arial" w:hAnsi="Arial"/>
          <w:sz w:val="16"/>
          <w:szCs w:val="16"/>
          <w:color w:val="auto"/>
        </w:rPr>
        <w:t>statements regarding the Company's expectations regarding the issuance of an aggregate of $600 million of notes to institutional investors; and</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6"/>
        </w:numPr>
        <w:rPr>
          <w:rFonts w:ascii="Arial" w:cs="Arial" w:eastAsia="Arial" w:hAnsi="Arial"/>
          <w:sz w:val="18"/>
          <w:szCs w:val="18"/>
          <w:color w:val="auto"/>
        </w:rPr>
      </w:pPr>
      <w:r>
        <w:rPr>
          <w:rFonts w:ascii="Arial" w:cs="Arial" w:eastAsia="Arial" w:hAnsi="Arial"/>
          <w:sz w:val="18"/>
          <w:szCs w:val="18"/>
          <w:color w:val="auto"/>
        </w:rPr>
        <w:t>other anticipated trends with respect to the Company's capital resources and results of operations.</w:t>
      </w:r>
    </w:p>
    <w:p>
      <w:pPr>
        <w:spacing w:after="0" w:line="225" w:lineRule="exact"/>
        <w:rPr>
          <w:sz w:val="20"/>
          <w:szCs w:val="20"/>
          <w:color w:val="auto"/>
        </w:rPr>
      </w:pPr>
    </w:p>
    <w:p>
      <w:pPr>
        <w:ind w:right="20" w:firstLine="428"/>
        <w:spacing w:after="0" w:line="268" w:lineRule="auto"/>
        <w:rPr>
          <w:sz w:val="20"/>
          <w:szCs w:val="20"/>
          <w:color w:val="auto"/>
        </w:rPr>
      </w:pPr>
      <w:r>
        <w:rPr>
          <w:rFonts w:ascii="Arial" w:cs="Arial" w:eastAsia="Arial" w:hAnsi="Arial"/>
          <w:sz w:val="18"/>
          <w:szCs w:val="18"/>
          <w:color w:val="auto"/>
        </w:rPr>
        <w:t>Forward-looking statements are necessarily based upon a number of factors and assumptions that, while considered reasonable by Agnico-Eagle as of the date of such statements, are inherently subject to significant</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44" w:name="page45"/>
    <w:bookmarkEnd w:id="44"/>
    <w:p>
      <w:pPr>
        <w:jc w:val="both"/>
        <w:spacing w:after="0" w:line="287" w:lineRule="auto"/>
        <w:rPr>
          <w:sz w:val="20"/>
          <w:szCs w:val="20"/>
          <w:color w:val="auto"/>
        </w:rPr>
      </w:pPr>
      <w:r>
        <w:rPr>
          <w:rFonts w:ascii="Arial" w:cs="Arial" w:eastAsia="Arial" w:hAnsi="Arial"/>
          <w:sz w:val="16"/>
          <w:szCs w:val="16"/>
          <w:color w:val="auto"/>
        </w:rPr>
        <w:t>business, economic and competitive uncertainties and contingencies. The factors and assumptions of Agnico-Eagle upon which the forward-looking statements in this Form 20-F are based, and which may prove to be incorrect, include, but are not limited to, the assumptions set out in this Form 20-F as well as: that there are no significant disruptions affecting Agnico-Eagle's operations, whether due to labour disruptions, supply disruptions, damage to equipment, natural occurrences, political changes, title issues or otherwise; that permitting, development and expansion at each of Agnico-Eagle's mines and mine development projects proceeds on a basis consistent with current expectations, and that Agnico-Eagle does not change its development plans relating to such projects; that the exchange rate between the Canadian dollar, Euro, Mexican peso and the U.S. dollar will be approximately consistent with current levels or as set out in this Form 20-F; that prices for gold, silver, zinc, copper and lead will be consistent with Agnico-Eagle's expectations; that prices for key mining and construction supplies, including labour costs, remain consistent with Agnico-Eagle's current expectations; that production meets expectations; that Agnico-Eagle's current estimates of mineral reserves, mineral resources, mineral grades and mineral recovery are accurate; that there are no material delays in the timing for completion of development projects; and that there are no material variations in the current tax and regulatory environment that affect Agnico-Eagle.</w:t>
      </w:r>
    </w:p>
    <w:p>
      <w:pPr>
        <w:spacing w:after="0" w:line="177" w:lineRule="exact"/>
        <w:rPr>
          <w:sz w:val="20"/>
          <w:szCs w:val="20"/>
          <w:color w:val="auto"/>
        </w:rPr>
      </w:pPr>
    </w:p>
    <w:p>
      <w:pPr>
        <w:jc w:val="both"/>
        <w:ind w:firstLine="459"/>
        <w:spacing w:after="0" w:line="287" w:lineRule="auto"/>
        <w:rPr>
          <w:sz w:val="20"/>
          <w:szCs w:val="20"/>
          <w:color w:val="auto"/>
        </w:rPr>
      </w:pPr>
      <w:r>
        <w:rPr>
          <w:rFonts w:ascii="Arial" w:cs="Arial" w:eastAsia="Arial" w:hAnsi="Arial"/>
          <w:sz w:val="16"/>
          <w:szCs w:val="16"/>
          <w:color w:val="auto"/>
        </w:rPr>
        <w:t>The forward-looking statements in this Form 20-F reflect the Company's views as at the date of this Form 20-F and involve known and unknown risks, uncertainties and other factors which could cause the actual results, performance or achievements of the Company or industry results to be materially different from any future results, performance or achievements expressed or implied by such forward-looking statements. Such factors include, among others, the Risk Factors set forth in "Item 3 Key Information — Risk Factors". Given these uncertainties, readers are cautioned not to place undue reliance on these forward-looking statements, which speak only as of the date made. Except as otherwise required by law, the Company expressly disclaims any obligation or undertaking to release publicly any updates or revisions to any such statements to reflect any change in the Company's expectations or any change in events, conditions or circumstances on which any such statement is based. This Form 20-F contains information regarding anticipated total cash costs per ounce and minesite costs per tonne at certain of the Company's mines and mine development projects. The Company believes that these generally accepted industry measures are realistic indicators of operating performance and are useful in allowing year over year comparisons. Investors are cautioned that this information may not be suitable for other purposes.</w:t>
      </w:r>
    </w:p>
    <w:p>
      <w:pPr>
        <w:spacing w:after="0" w:line="387"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NOTE TO INVESTORS CONCERNING ESTIMATES OF MINERAL RESOURCES</w:t>
      </w:r>
    </w:p>
    <w:p>
      <w:pPr>
        <w:spacing w:after="0" w:line="231" w:lineRule="exact"/>
        <w:rPr>
          <w:sz w:val="20"/>
          <w:szCs w:val="20"/>
          <w:color w:val="auto"/>
        </w:rPr>
      </w:pPr>
    </w:p>
    <w:p>
      <w:pPr>
        <w:jc w:val="both"/>
        <w:ind w:firstLine="408"/>
        <w:spacing w:after="0" w:line="290" w:lineRule="auto"/>
        <w:rPr>
          <w:sz w:val="20"/>
          <w:szCs w:val="20"/>
          <w:color w:val="auto"/>
        </w:rPr>
      </w:pPr>
      <w:r>
        <w:rPr>
          <w:rFonts w:ascii="Arial" w:cs="Arial" w:eastAsia="Arial" w:hAnsi="Arial"/>
          <w:sz w:val="16"/>
          <w:szCs w:val="16"/>
          <w:color w:val="auto"/>
        </w:rPr>
        <w:t xml:space="preserve">The mineral reserve and mineral resource estimates contained in this Form 20-F have been prepared in accordance with the Canadian securities regulatory authorities' (the "CSA") National Instrument 43-101 </w:t>
      </w:r>
      <w:r>
        <w:rPr>
          <w:rFonts w:ascii="Arial" w:cs="Arial" w:eastAsia="Arial" w:hAnsi="Arial"/>
          <w:sz w:val="16"/>
          <w:szCs w:val="16"/>
          <w:i w:val="1"/>
          <w:iCs w:val="1"/>
          <w:color w:val="auto"/>
        </w:rPr>
        <w:t>Standards of Disclosure for Mineral Projects</w:t>
      </w:r>
      <w:r>
        <w:rPr>
          <w:rFonts w:ascii="Arial" w:cs="Arial" w:eastAsia="Arial" w:hAnsi="Arial"/>
          <w:sz w:val="16"/>
          <w:szCs w:val="16"/>
          <w:color w:val="auto"/>
        </w:rPr>
        <w:t xml:space="preserve"> ("NI 43-101"). These standards are similar to those used by the United States Securities and Exchange Commission's ("SEC") Industry Guide No. 7, as interpreted by Staff at the SEC ("Guide 7"). However, the definitions in NI 43-101 differ in certain respects from those under Guide 7. Accordingly, mineral reserve information contained or incorporated by reference herein may not be comparable to similar information disclosed by U.S. companies. Under the requirements of the SEC, mineralization may not be classified as a "reserve" unless the determination has been made that the mineralization could be economically and legally produced or extracted at the time the reserve determination is made. The SEC does not recognize measures of "mineral resource".</w:t>
      </w:r>
    </w:p>
    <w:p>
      <w:pPr>
        <w:spacing w:after="0" w:line="172" w:lineRule="exact"/>
        <w:rPr>
          <w:sz w:val="20"/>
          <w:szCs w:val="20"/>
          <w:color w:val="auto"/>
        </w:rPr>
      </w:pPr>
    </w:p>
    <w:p>
      <w:pPr>
        <w:jc w:val="both"/>
        <w:ind w:firstLine="397"/>
        <w:spacing w:after="0" w:line="298" w:lineRule="auto"/>
        <w:rPr>
          <w:sz w:val="20"/>
          <w:szCs w:val="20"/>
          <w:color w:val="auto"/>
        </w:rPr>
      </w:pPr>
      <w:r>
        <w:rPr>
          <w:rFonts w:ascii="Arial" w:cs="Arial" w:eastAsia="Arial" w:hAnsi="Arial"/>
          <w:sz w:val="16"/>
          <w:szCs w:val="16"/>
          <w:color w:val="auto"/>
        </w:rPr>
        <w:t>The metal grades reported in the mineral reserve and mineral resource estimates represent in-place grades and do not reflect losses in the recovery process, that is, the metallurgical losses associated with processing the extracted ore. The mineral reserve figures presented herein are estimates, and no assurance can be given that the anticipated tonnages and grades will be achieved or that the indicated level of recovery will be realized. The Company does not include equivalent gold ounces for byproduct metals contained in mineral reserves in its calculation of contained ounces.</w:t>
      </w:r>
    </w:p>
    <w:p>
      <w:pPr>
        <w:spacing w:after="0" w:line="37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Cautionary Note to Investors Concerning Estimates of Measured and Indicated Mineral Resources</w:t>
      </w:r>
    </w:p>
    <w:p>
      <w:pPr>
        <w:spacing w:after="0" w:line="231" w:lineRule="exact"/>
        <w:rPr>
          <w:sz w:val="20"/>
          <w:szCs w:val="20"/>
          <w:color w:val="auto"/>
        </w:rPr>
      </w:pPr>
    </w:p>
    <w:p>
      <w:pPr>
        <w:jc w:val="both"/>
        <w:ind w:firstLine="398"/>
        <w:spacing w:after="0" w:line="268" w:lineRule="auto"/>
        <w:rPr>
          <w:sz w:val="20"/>
          <w:szCs w:val="20"/>
          <w:color w:val="auto"/>
        </w:rPr>
      </w:pPr>
      <w:r>
        <w:rPr>
          <w:rFonts w:ascii="Arial" w:cs="Arial" w:eastAsia="Arial" w:hAnsi="Arial"/>
          <w:sz w:val="18"/>
          <w:szCs w:val="18"/>
          <w:color w:val="auto"/>
        </w:rPr>
        <w:t>This document uses the terms "measured mineral resources" and "indicated mineral resources". Investors are advised that while those terms are recognized and required by Canadian regulations, the SEC does not</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5" w:name="page46"/>
    <w:bookmarkEnd w:id="45"/>
    <w:p>
      <w:pPr>
        <w:jc w:val="both"/>
        <w:ind w:right="20"/>
        <w:spacing w:after="0" w:line="275" w:lineRule="auto"/>
        <w:rPr>
          <w:sz w:val="20"/>
          <w:szCs w:val="20"/>
          <w:color w:val="auto"/>
        </w:rPr>
      </w:pPr>
      <w:r>
        <w:rPr>
          <w:rFonts w:ascii="Arial" w:cs="Arial" w:eastAsia="Arial" w:hAnsi="Arial"/>
          <w:sz w:val="18"/>
          <w:szCs w:val="18"/>
          <w:color w:val="auto"/>
        </w:rPr>
        <w:t xml:space="preserve">recognize them. </w:t>
      </w:r>
      <w:r>
        <w:rPr>
          <w:rFonts w:ascii="Arial" w:cs="Arial" w:eastAsia="Arial" w:hAnsi="Arial"/>
          <w:sz w:val="18"/>
          <w:szCs w:val="18"/>
          <w:b w:val="1"/>
          <w:bCs w:val="1"/>
          <w:color w:val="auto"/>
        </w:rPr>
        <w:t>Investors are cautioned not to assume that any part or all of mineral deposits in these categories will ever be converted into mineral</w:t>
      </w:r>
      <w:r>
        <w:rPr>
          <w:rFonts w:ascii="Arial" w:cs="Arial" w:eastAsia="Arial" w:hAnsi="Arial"/>
          <w:sz w:val="18"/>
          <w:szCs w:val="18"/>
          <w:color w:val="auto"/>
        </w:rPr>
        <w:t xml:space="preserve"> </w:t>
      </w:r>
      <w:r>
        <w:rPr>
          <w:rFonts w:ascii="Arial" w:cs="Arial" w:eastAsia="Arial" w:hAnsi="Arial"/>
          <w:sz w:val="18"/>
          <w:szCs w:val="18"/>
          <w:b w:val="1"/>
          <w:bCs w:val="1"/>
          <w:color w:val="auto"/>
        </w:rPr>
        <w:t>reserves</w:t>
      </w:r>
      <w:r>
        <w:rPr>
          <w:rFonts w:ascii="Arial" w:cs="Arial" w:eastAsia="Arial" w:hAnsi="Arial"/>
          <w:sz w:val="18"/>
          <w:szCs w:val="18"/>
          <w:color w:val="auto"/>
        </w:rPr>
        <w:t>.</w:t>
      </w:r>
    </w:p>
    <w:p>
      <w:pPr>
        <w:spacing w:after="0" w:line="39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Cautionary Note to Investors Concerning Estimates of Inferred Mineral Resources</w:t>
      </w:r>
    </w:p>
    <w:p>
      <w:pPr>
        <w:spacing w:after="0" w:line="231" w:lineRule="exact"/>
        <w:rPr>
          <w:sz w:val="20"/>
          <w:szCs w:val="20"/>
          <w:color w:val="auto"/>
        </w:rPr>
      </w:pPr>
    </w:p>
    <w:p>
      <w:pPr>
        <w:jc w:val="both"/>
        <w:ind w:firstLine="370"/>
        <w:spacing w:after="0" w:line="294" w:lineRule="auto"/>
        <w:rPr>
          <w:sz w:val="20"/>
          <w:szCs w:val="20"/>
          <w:color w:val="auto"/>
        </w:rPr>
      </w:pPr>
      <w:r>
        <w:rPr>
          <w:rFonts w:ascii="Arial" w:cs="Arial" w:eastAsia="Arial" w:hAnsi="Arial"/>
          <w:sz w:val="16"/>
          <w:szCs w:val="16"/>
          <w:color w:val="auto"/>
        </w:rPr>
        <w:t xml:space="preserve">This document uses the term "inferred mineral resources". Investors are advised that while this term is recognized and required by Canadian regulations, the SEC does not recognize it. "Inferred mineral resources" have a great amount of uncertainty as to their existence and as to their economic and legal feasibility. It cannot be assumed that any part or all of an inferred mineral resource will ever be upgraded to a higher category. Under Canadian rules, estimates of inferred mineral resources may not form the basis of feasibility or pre-feasibility studies, except in rare cases. </w:t>
      </w:r>
      <w:r>
        <w:rPr>
          <w:rFonts w:ascii="Arial" w:cs="Arial" w:eastAsia="Arial" w:hAnsi="Arial"/>
          <w:sz w:val="16"/>
          <w:szCs w:val="16"/>
          <w:b w:val="1"/>
          <w:bCs w:val="1"/>
          <w:color w:val="auto"/>
        </w:rPr>
        <w:t>Investors are cautioned not to assume that any part or</w:t>
      </w:r>
      <w:r>
        <w:rPr>
          <w:rFonts w:ascii="Arial" w:cs="Arial" w:eastAsia="Arial" w:hAnsi="Arial"/>
          <w:sz w:val="16"/>
          <w:szCs w:val="16"/>
          <w:color w:val="auto"/>
        </w:rPr>
        <w:t xml:space="preserve"> </w:t>
      </w:r>
      <w:r>
        <w:rPr>
          <w:rFonts w:ascii="Arial" w:cs="Arial" w:eastAsia="Arial" w:hAnsi="Arial"/>
          <w:sz w:val="16"/>
          <w:szCs w:val="16"/>
          <w:b w:val="1"/>
          <w:bCs w:val="1"/>
          <w:color w:val="auto"/>
        </w:rPr>
        <w:t>all of an inferred mineral resource exists, or is economically or legally mineable</w:t>
      </w:r>
      <w:r>
        <w:rPr>
          <w:rFonts w:ascii="Arial" w:cs="Arial" w:eastAsia="Arial" w:hAnsi="Arial"/>
          <w:sz w:val="16"/>
          <w:szCs w:val="16"/>
          <w:color w:val="auto"/>
        </w:rPr>
        <w:t>.</w:t>
      </w:r>
    </w:p>
    <w:p>
      <w:pPr>
        <w:spacing w:after="0" w:line="380"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NOTE TO INVESTORS CONCERNING CERTAIN MEASURES OF PERFORMANCE</w:t>
      </w:r>
    </w:p>
    <w:p>
      <w:pPr>
        <w:spacing w:after="0" w:line="231" w:lineRule="exact"/>
        <w:rPr>
          <w:sz w:val="20"/>
          <w:szCs w:val="20"/>
          <w:color w:val="auto"/>
        </w:rPr>
      </w:pPr>
    </w:p>
    <w:p>
      <w:pPr>
        <w:jc w:val="both"/>
        <w:ind w:firstLine="445"/>
        <w:spacing w:after="0" w:line="286" w:lineRule="auto"/>
        <w:rPr>
          <w:sz w:val="20"/>
          <w:szCs w:val="20"/>
          <w:color w:val="auto"/>
        </w:rPr>
      </w:pPr>
      <w:r>
        <w:rPr>
          <w:rFonts w:ascii="Arial" w:cs="Arial" w:eastAsia="Arial" w:hAnsi="Arial"/>
          <w:sz w:val="16"/>
          <w:szCs w:val="16"/>
          <w:color w:val="auto"/>
        </w:rPr>
        <w:t>This Form 20-F presents certain measures, including "total cash costs per ounce" and "minesite costs per tonne", that are not recognized measures under US GAAP. This data may not be comparable to data presented by other gold producers. For a reconciliation of these measures to the figures presented in the consolidated financial statements prepared in accordance with US GAAP see "Item 5 Operating and Financial Review and Prospects — Results of Operations — Production Costs". The Company believes that these generally accepted industry measures are realistic indicators of operating performance and are useful in allowing year over year comparisons. However, both of these non-US GAAP measures should be considered together with other data prepared in accordance with US GAAP, and these measures, taken by themselves, are not necessarily indicative of operating costs or cash flow measures prepared in accordance with US GAAP. This Form 20-F also contains information as to estimated future total cash costs per ounce and minesite costs per tonne for projects under development. These estimates are based upon the total cash costs per ounce and minesite costs per tonne that the Company expects to incur to mine gold at those projects and, consistent with the reconciliation provided, do not include production costs attributable to accretion expense and other asset retirement costs, which will vary over time as each project is developed and mined. It is therefore not practicable to reconcile these forward-looking non-US GAAP financial measures to the most comparable US GAAP measure.</w:t>
      </w:r>
    </w:p>
    <w:p>
      <w:pPr>
        <w:spacing w:after="0" w:line="1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84" w:right="239" w:bottom="1440" w:gutter="0" w:footer="0" w:header="0"/>
        </w:sectPr>
      </w:pPr>
    </w:p>
    <w:bookmarkStart w:id="46" w:name="page47"/>
    <w:bookmarkEnd w:id="46"/>
    <w:p>
      <w:pPr>
        <w:jc w:val="center"/>
        <w:ind w:right="40"/>
        <w:spacing w:after="0"/>
        <w:rPr>
          <w:sz w:val="20"/>
          <w:szCs w:val="20"/>
          <w:color w:val="auto"/>
        </w:rPr>
      </w:pPr>
      <w:r>
        <w:rPr>
          <w:rFonts w:ascii="Arial" w:cs="Arial" w:eastAsia="Arial" w:hAnsi="Arial"/>
          <w:sz w:val="18"/>
          <w:szCs w:val="18"/>
          <w:b w:val="1"/>
          <w:bCs w:val="1"/>
          <w:color w:val="auto"/>
        </w:rPr>
        <w:t>PART I</w:t>
      </w:r>
    </w:p>
    <w:p>
      <w:pPr>
        <w:spacing w:after="0" w:line="225" w:lineRule="exact"/>
        <w:rPr>
          <w:sz w:val="20"/>
          <w:szCs w:val="20"/>
          <w:color w:val="auto"/>
        </w:rPr>
      </w:pPr>
    </w:p>
    <w:p>
      <w:pPr>
        <w:spacing w:after="0"/>
        <w:tabs>
          <w:tab w:leader="none" w:pos="760" w:val="left"/>
        </w:tabs>
        <w:rPr>
          <w:sz w:val="20"/>
          <w:szCs w:val="20"/>
          <w:color w:val="auto"/>
        </w:rPr>
      </w:pPr>
      <w:r>
        <w:rPr>
          <w:rFonts w:ascii="Arial" w:cs="Arial" w:eastAsia="Arial" w:hAnsi="Arial"/>
          <w:sz w:val="18"/>
          <w:szCs w:val="18"/>
          <w:b w:val="1"/>
          <w:bCs w:val="1"/>
          <w:color w:val="auto"/>
        </w:rPr>
        <w:t>ITEM 1</w:t>
      </w:r>
      <w:r>
        <w:rPr>
          <w:sz w:val="20"/>
          <w:szCs w:val="20"/>
          <w:color w:val="auto"/>
        </w:rPr>
        <w:tab/>
      </w:r>
      <w:r>
        <w:rPr>
          <w:rFonts w:ascii="Arial" w:cs="Arial" w:eastAsia="Arial" w:hAnsi="Arial"/>
          <w:sz w:val="16"/>
          <w:szCs w:val="16"/>
          <w:b w:val="1"/>
          <w:bCs w:val="1"/>
          <w:color w:val="auto"/>
        </w:rPr>
        <w:t>IDENTITY OF DIRECTORS, SENIOR MANAGEMENT AND ADVISERS</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Pursuant to the instructions to Item 1 of Form 20-F, this information has not been provided.</w:t>
      </w:r>
    </w:p>
    <w:p>
      <w:pPr>
        <w:spacing w:after="0" w:line="219" w:lineRule="exact"/>
        <w:rPr>
          <w:sz w:val="20"/>
          <w:szCs w:val="20"/>
          <w:color w:val="auto"/>
        </w:rPr>
      </w:pPr>
    </w:p>
    <w:p>
      <w:pPr>
        <w:spacing w:after="0"/>
        <w:tabs>
          <w:tab w:leader="none" w:pos="760" w:val="left"/>
        </w:tabs>
        <w:rPr>
          <w:sz w:val="20"/>
          <w:szCs w:val="20"/>
          <w:color w:val="auto"/>
        </w:rPr>
      </w:pPr>
      <w:r>
        <w:rPr>
          <w:rFonts w:ascii="Arial" w:cs="Arial" w:eastAsia="Arial" w:hAnsi="Arial"/>
          <w:sz w:val="18"/>
          <w:szCs w:val="18"/>
          <w:b w:val="1"/>
          <w:bCs w:val="1"/>
          <w:color w:val="auto"/>
        </w:rPr>
        <w:t>ITEM 2</w:t>
      </w:r>
      <w:r>
        <w:rPr>
          <w:sz w:val="20"/>
          <w:szCs w:val="20"/>
          <w:color w:val="auto"/>
        </w:rPr>
        <w:tab/>
      </w:r>
      <w:r>
        <w:rPr>
          <w:rFonts w:ascii="Arial" w:cs="Arial" w:eastAsia="Arial" w:hAnsi="Arial"/>
          <w:sz w:val="16"/>
          <w:szCs w:val="16"/>
          <w:b w:val="1"/>
          <w:bCs w:val="1"/>
          <w:color w:val="auto"/>
        </w:rPr>
        <w:t>OFFER STATISTICS AND EXPECTED TIMETABLE</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Not applicable.</w:t>
      </w:r>
    </w:p>
    <w:p>
      <w:pPr>
        <w:spacing w:after="0" w:line="219" w:lineRule="exact"/>
        <w:rPr>
          <w:sz w:val="20"/>
          <w:szCs w:val="20"/>
          <w:color w:val="auto"/>
        </w:rPr>
      </w:pPr>
    </w:p>
    <w:p>
      <w:pPr>
        <w:spacing w:after="0"/>
        <w:tabs>
          <w:tab w:leader="none" w:pos="760" w:val="left"/>
        </w:tabs>
        <w:rPr>
          <w:sz w:val="20"/>
          <w:szCs w:val="20"/>
          <w:color w:val="auto"/>
        </w:rPr>
      </w:pPr>
      <w:r>
        <w:rPr>
          <w:rFonts w:ascii="Arial" w:cs="Arial" w:eastAsia="Arial" w:hAnsi="Arial"/>
          <w:sz w:val="18"/>
          <w:szCs w:val="18"/>
          <w:b w:val="1"/>
          <w:bCs w:val="1"/>
          <w:color w:val="auto"/>
        </w:rPr>
        <w:t>ITEM 3</w:t>
        <w:tab/>
        <w:t>KEY INFORMATION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Selected Financial Data</w:t>
      </w:r>
    </w:p>
    <w:p>
      <w:pPr>
        <w:spacing w:after="0" w:line="231" w:lineRule="exact"/>
        <w:rPr>
          <w:sz w:val="20"/>
          <w:szCs w:val="20"/>
          <w:color w:val="auto"/>
        </w:rPr>
      </w:pPr>
    </w:p>
    <w:p>
      <w:pPr>
        <w:jc w:val="both"/>
        <w:ind w:firstLine="456"/>
        <w:spacing w:after="0" w:line="256" w:lineRule="auto"/>
        <w:rPr>
          <w:sz w:val="20"/>
          <w:szCs w:val="20"/>
          <w:color w:val="auto"/>
        </w:rPr>
      </w:pPr>
      <w:r>
        <w:rPr>
          <w:rFonts w:ascii="Arial" w:cs="Arial" w:eastAsia="Arial" w:hAnsi="Arial"/>
          <w:sz w:val="18"/>
          <w:szCs w:val="18"/>
          <w:color w:val="auto"/>
        </w:rPr>
        <w:t>The following selected financial data for each of the years in the five-year period ended December 31, 2009 are derived from the consolidated financial statements of Agnico-Eagle audited by Ernst &amp; Young LLP. The selected financial data should be read in conjunction with the Company's operating and financial review and prospects set out in Item 5 of this Form 20-F, the consolidated financial statements and the notes thereto set out in Item 18 of this Form 20-F and other financial information included elsewhere in this Form 20-F.</w:t>
      </w:r>
    </w:p>
    <w:p>
      <w:pPr>
        <w:spacing w:after="0" w:line="247"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160" w:type="dxa"/>
            <w:vAlign w:val="bottom"/>
          </w:tcPr>
          <w:p>
            <w:pPr>
              <w:spacing w:after="0"/>
              <w:rPr>
                <w:sz w:val="14"/>
                <w:szCs w:val="14"/>
                <w:color w:val="auto"/>
              </w:rPr>
            </w:pPr>
          </w:p>
        </w:tc>
        <w:tc>
          <w:tcPr>
            <w:tcW w:w="3640" w:type="dxa"/>
            <w:vAlign w:val="bottom"/>
          </w:tcPr>
          <w:p>
            <w:pPr>
              <w:spacing w:after="0"/>
              <w:rPr>
                <w:sz w:val="14"/>
                <w:szCs w:val="14"/>
                <w:color w:val="auto"/>
              </w:rPr>
            </w:pPr>
          </w:p>
        </w:tc>
        <w:tc>
          <w:tcPr>
            <w:tcW w:w="96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2320" w:type="dxa"/>
            <w:vAlign w:val="bottom"/>
            <w:tcBorders>
              <w:bottom w:val="single" w:sz="8" w:color="auto"/>
            </w:tcBorders>
            <w:gridSpan w:val="5"/>
          </w:tcPr>
          <w:p>
            <w:pPr>
              <w:jc w:val="center"/>
              <w:ind w:left="696"/>
              <w:spacing w:after="0"/>
              <w:rPr>
                <w:sz w:val="20"/>
                <w:szCs w:val="20"/>
                <w:color w:val="auto"/>
              </w:rPr>
            </w:pPr>
            <w:r>
              <w:rPr>
                <w:rFonts w:ascii="Arial" w:cs="Arial" w:eastAsia="Arial" w:hAnsi="Arial"/>
                <w:sz w:val="14"/>
                <w:szCs w:val="14"/>
                <w:b w:val="1"/>
                <w:bCs w:val="1"/>
                <w:color w:val="auto"/>
                <w:w w:val="87"/>
              </w:rPr>
              <w:t>Year Ended December 31,</w:t>
            </w:r>
          </w:p>
        </w:tc>
        <w:tc>
          <w:tcPr>
            <w:tcW w:w="88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88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1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1160" w:type="dxa"/>
            <w:vAlign w:val="bottom"/>
          </w:tcPr>
          <w:p>
            <w:pPr>
              <w:spacing w:after="0"/>
              <w:rPr>
                <w:sz w:val="12"/>
                <w:szCs w:val="12"/>
                <w:color w:val="auto"/>
              </w:rPr>
            </w:pPr>
          </w:p>
        </w:tc>
        <w:tc>
          <w:tcPr>
            <w:tcW w:w="3640" w:type="dxa"/>
            <w:vAlign w:val="bottom"/>
          </w:tcPr>
          <w:p>
            <w:pPr>
              <w:spacing w:after="0"/>
              <w:rPr>
                <w:sz w:val="12"/>
                <w:szCs w:val="12"/>
                <w:color w:val="auto"/>
              </w:rPr>
            </w:pPr>
          </w:p>
        </w:tc>
        <w:tc>
          <w:tcPr>
            <w:tcW w:w="960" w:type="dxa"/>
            <w:vAlign w:val="bottom"/>
            <w:tcBorders>
              <w:bottom w:val="single" w:sz="8" w:color="auto"/>
            </w:tcBorders>
          </w:tcPr>
          <w:p>
            <w:pPr>
              <w:jc w:val="right"/>
              <w:ind w:right="253"/>
              <w:spacing w:after="0" w:line="142" w:lineRule="exact"/>
              <w:rPr>
                <w:sz w:val="20"/>
                <w:szCs w:val="20"/>
                <w:color w:val="auto"/>
              </w:rPr>
            </w:pPr>
            <w:r>
              <w:rPr>
                <w:rFonts w:ascii="Arial" w:cs="Arial" w:eastAsia="Arial" w:hAnsi="Arial"/>
                <w:sz w:val="14"/>
                <w:szCs w:val="14"/>
                <w:b w:val="1"/>
                <w:bCs w:val="1"/>
                <w:color w:val="auto"/>
              </w:rPr>
              <w:t>2009</w:t>
            </w:r>
          </w:p>
        </w:tc>
        <w:tc>
          <w:tcPr>
            <w:tcW w:w="160" w:type="dxa"/>
            <w:vAlign w:val="bottom"/>
          </w:tcPr>
          <w:p>
            <w:pPr>
              <w:spacing w:after="0"/>
              <w:rPr>
                <w:sz w:val="12"/>
                <w:szCs w:val="12"/>
                <w:color w:val="auto"/>
              </w:rPr>
            </w:pPr>
          </w:p>
        </w:tc>
        <w:tc>
          <w:tcPr>
            <w:tcW w:w="960" w:type="dxa"/>
            <w:vAlign w:val="bottom"/>
            <w:tcBorders>
              <w:bottom w:val="single" w:sz="8" w:color="auto"/>
            </w:tcBorders>
          </w:tcPr>
          <w:p>
            <w:pPr>
              <w:jc w:val="right"/>
              <w:ind w:right="256"/>
              <w:spacing w:after="0" w:line="142" w:lineRule="exact"/>
              <w:rPr>
                <w:sz w:val="20"/>
                <w:szCs w:val="20"/>
                <w:color w:val="auto"/>
              </w:rPr>
            </w:pPr>
            <w:r>
              <w:rPr>
                <w:rFonts w:ascii="Arial" w:cs="Arial" w:eastAsia="Arial" w:hAnsi="Arial"/>
                <w:sz w:val="14"/>
                <w:szCs w:val="14"/>
                <w:b w:val="1"/>
                <w:bCs w:val="1"/>
                <w:color w:val="auto"/>
              </w:rPr>
              <w:t>2008</w:t>
            </w:r>
          </w:p>
        </w:tc>
        <w:tc>
          <w:tcPr>
            <w:tcW w:w="160" w:type="dxa"/>
            <w:vAlign w:val="bottom"/>
          </w:tcPr>
          <w:p>
            <w:pPr>
              <w:spacing w:after="0"/>
              <w:rPr>
                <w:sz w:val="12"/>
                <w:szCs w:val="12"/>
                <w:color w:val="auto"/>
              </w:rPr>
            </w:pPr>
          </w:p>
        </w:tc>
        <w:tc>
          <w:tcPr>
            <w:tcW w:w="960" w:type="dxa"/>
            <w:vAlign w:val="bottom"/>
            <w:tcBorders>
              <w:bottom w:val="single" w:sz="8" w:color="auto"/>
            </w:tcBorders>
          </w:tcPr>
          <w:p>
            <w:pPr>
              <w:jc w:val="right"/>
              <w:ind w:right="256"/>
              <w:spacing w:after="0" w:line="142" w:lineRule="exact"/>
              <w:rPr>
                <w:sz w:val="20"/>
                <w:szCs w:val="20"/>
                <w:color w:val="auto"/>
              </w:rPr>
            </w:pPr>
            <w:r>
              <w:rPr>
                <w:rFonts w:ascii="Arial" w:cs="Arial" w:eastAsia="Arial" w:hAnsi="Arial"/>
                <w:sz w:val="14"/>
                <w:szCs w:val="14"/>
                <w:b w:val="1"/>
                <w:bCs w:val="1"/>
                <w:color w:val="auto"/>
              </w:rPr>
              <w:t>2007</w:t>
            </w:r>
          </w:p>
        </w:tc>
        <w:tc>
          <w:tcPr>
            <w:tcW w:w="160" w:type="dxa"/>
            <w:vAlign w:val="bottom"/>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880" w:type="dxa"/>
            <w:vAlign w:val="bottom"/>
            <w:tcBorders>
              <w:bottom w:val="single" w:sz="8" w:color="auto"/>
            </w:tcBorders>
          </w:tcPr>
          <w:p>
            <w:pPr>
              <w:jc w:val="right"/>
              <w:ind w:right="253"/>
              <w:spacing w:after="0" w:line="142" w:lineRule="exact"/>
              <w:rPr>
                <w:sz w:val="20"/>
                <w:szCs w:val="20"/>
                <w:color w:val="auto"/>
              </w:rPr>
            </w:pPr>
            <w:r>
              <w:rPr>
                <w:rFonts w:ascii="Arial" w:cs="Arial" w:eastAsia="Arial" w:hAnsi="Arial"/>
                <w:sz w:val="14"/>
                <w:szCs w:val="14"/>
                <w:b w:val="1"/>
                <w:bCs w:val="1"/>
                <w:color w:val="auto"/>
              </w:rPr>
              <w:t>2006</w:t>
            </w:r>
          </w:p>
        </w:tc>
        <w:tc>
          <w:tcPr>
            <w:tcW w:w="160" w:type="dxa"/>
            <w:vAlign w:val="bottom"/>
          </w:tcPr>
          <w:p>
            <w:pPr>
              <w:spacing w:after="0"/>
              <w:rPr>
                <w:sz w:val="12"/>
                <w:szCs w:val="12"/>
                <w:color w:val="auto"/>
              </w:rPr>
            </w:pPr>
          </w:p>
        </w:tc>
        <w:tc>
          <w:tcPr>
            <w:tcW w:w="880" w:type="dxa"/>
            <w:vAlign w:val="bottom"/>
            <w:tcBorders>
              <w:bottom w:val="single" w:sz="8" w:color="auto"/>
            </w:tcBorders>
          </w:tcPr>
          <w:p>
            <w:pPr>
              <w:jc w:val="right"/>
              <w:ind w:right="213"/>
              <w:spacing w:after="0" w:line="142" w:lineRule="exact"/>
              <w:rPr>
                <w:sz w:val="20"/>
                <w:szCs w:val="20"/>
                <w:color w:val="auto"/>
              </w:rPr>
            </w:pPr>
            <w:r>
              <w:rPr>
                <w:rFonts w:ascii="Arial" w:cs="Arial" w:eastAsia="Arial" w:hAnsi="Arial"/>
                <w:sz w:val="14"/>
                <w:szCs w:val="14"/>
                <w:b w:val="1"/>
                <w:bCs w:val="1"/>
                <w:color w:val="auto"/>
              </w:rPr>
              <w:t>2005</w:t>
            </w:r>
          </w:p>
        </w:tc>
        <w:tc>
          <w:tcPr>
            <w:tcW w:w="160" w:type="dxa"/>
            <w:vAlign w:val="bottom"/>
          </w:tcPr>
          <w:p>
            <w:pPr>
              <w:spacing w:after="0"/>
              <w:rPr>
                <w:sz w:val="12"/>
                <w:szCs w:val="12"/>
                <w:color w:val="auto"/>
              </w:rPr>
            </w:pPr>
          </w:p>
        </w:tc>
        <w:tc>
          <w:tcPr>
            <w:tcW w:w="1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9"/>
        </w:trPr>
        <w:tc>
          <w:tcPr>
            <w:tcW w:w="1160" w:type="dxa"/>
            <w:vAlign w:val="bottom"/>
          </w:tcPr>
          <w:p>
            <w:pPr>
              <w:spacing w:after="0"/>
              <w:rPr>
                <w:sz w:val="11"/>
                <w:szCs w:val="11"/>
                <w:color w:val="auto"/>
              </w:rPr>
            </w:pPr>
          </w:p>
        </w:tc>
        <w:tc>
          <w:tcPr>
            <w:tcW w:w="3640" w:type="dxa"/>
            <w:vAlign w:val="bottom"/>
          </w:tcPr>
          <w:p>
            <w:pPr>
              <w:spacing w:after="0"/>
              <w:rPr>
                <w:sz w:val="11"/>
                <w:szCs w:val="11"/>
                <w:color w:val="auto"/>
              </w:rPr>
            </w:pPr>
          </w:p>
        </w:tc>
        <w:tc>
          <w:tcPr>
            <w:tcW w:w="9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960" w:type="dxa"/>
            <w:vAlign w:val="bottom"/>
          </w:tcPr>
          <w:p>
            <w:pPr>
              <w:jc w:val="right"/>
              <w:spacing w:after="0" w:line="129" w:lineRule="exact"/>
              <w:rPr>
                <w:sz w:val="20"/>
                <w:szCs w:val="20"/>
                <w:color w:val="auto"/>
              </w:rPr>
            </w:pPr>
            <w:r>
              <w:rPr>
                <w:rFonts w:ascii="Arial" w:cs="Arial" w:eastAsia="Arial" w:hAnsi="Arial"/>
                <w:sz w:val="14"/>
                <w:szCs w:val="14"/>
                <w:b w:val="1"/>
                <w:bCs w:val="1"/>
                <w:color w:val="auto"/>
              </w:rPr>
              <w:t>(in thousands</w:t>
            </w:r>
          </w:p>
        </w:tc>
        <w:tc>
          <w:tcPr>
            <w:tcW w:w="1120" w:type="dxa"/>
            <w:vAlign w:val="bottom"/>
            <w:gridSpan w:val="2"/>
          </w:tcPr>
          <w:p>
            <w:pPr>
              <w:jc w:val="center"/>
              <w:spacing w:after="0" w:line="129" w:lineRule="exact"/>
              <w:rPr>
                <w:sz w:val="20"/>
                <w:szCs w:val="20"/>
                <w:color w:val="auto"/>
              </w:rPr>
            </w:pPr>
            <w:r>
              <w:rPr>
                <w:rFonts w:ascii="Arial" w:cs="Arial" w:eastAsia="Arial" w:hAnsi="Arial"/>
                <w:sz w:val="14"/>
                <w:szCs w:val="14"/>
                <w:b w:val="1"/>
                <w:bCs w:val="1"/>
                <w:color w:val="auto"/>
                <w:w w:val="85"/>
              </w:rPr>
              <w:t>of U.S. dollars, US</w:t>
            </w:r>
          </w:p>
        </w:tc>
        <w:tc>
          <w:tcPr>
            <w:tcW w:w="1280" w:type="dxa"/>
            <w:vAlign w:val="bottom"/>
            <w:gridSpan w:val="4"/>
          </w:tcPr>
          <w:p>
            <w:pPr>
              <w:jc w:val="right"/>
              <w:ind w:right="480"/>
              <w:spacing w:after="0" w:line="129" w:lineRule="exact"/>
              <w:rPr>
                <w:sz w:val="20"/>
                <w:szCs w:val="20"/>
                <w:color w:val="auto"/>
              </w:rPr>
            </w:pPr>
            <w:r>
              <w:rPr>
                <w:rFonts w:ascii="Arial" w:cs="Arial" w:eastAsia="Arial" w:hAnsi="Arial"/>
                <w:sz w:val="14"/>
                <w:szCs w:val="14"/>
                <w:b w:val="1"/>
                <w:bCs w:val="1"/>
                <w:color w:val="auto"/>
                <w:w w:val="92"/>
              </w:rPr>
              <w:t>GAAP basis,</w:t>
            </w:r>
          </w:p>
        </w:tc>
        <w:tc>
          <w:tcPr>
            <w:tcW w:w="8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1"/>
        </w:trPr>
        <w:tc>
          <w:tcPr>
            <w:tcW w:w="1160" w:type="dxa"/>
            <w:vAlign w:val="bottom"/>
          </w:tcPr>
          <w:p>
            <w:pPr>
              <w:spacing w:after="0"/>
              <w:rPr>
                <w:sz w:val="14"/>
                <w:szCs w:val="14"/>
                <w:color w:val="auto"/>
              </w:rPr>
            </w:pPr>
          </w:p>
        </w:tc>
        <w:tc>
          <w:tcPr>
            <w:tcW w:w="3640" w:type="dxa"/>
            <w:vAlign w:val="bottom"/>
          </w:tcPr>
          <w:p>
            <w:pPr>
              <w:spacing w:after="0"/>
              <w:rPr>
                <w:sz w:val="14"/>
                <w:szCs w:val="14"/>
                <w:color w:val="auto"/>
              </w:rPr>
            </w:pPr>
          </w:p>
        </w:tc>
        <w:tc>
          <w:tcPr>
            <w:tcW w:w="9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3360" w:type="dxa"/>
            <w:vAlign w:val="bottom"/>
            <w:gridSpan w:val="7"/>
          </w:tcPr>
          <w:p>
            <w:pPr>
              <w:jc w:val="center"/>
              <w:ind w:right="260"/>
              <w:spacing w:after="0"/>
              <w:rPr>
                <w:sz w:val="20"/>
                <w:szCs w:val="20"/>
                <w:color w:val="auto"/>
              </w:rPr>
            </w:pPr>
            <w:r>
              <w:rPr>
                <w:rFonts w:ascii="Arial" w:cs="Arial" w:eastAsia="Arial" w:hAnsi="Arial"/>
                <w:sz w:val="14"/>
                <w:szCs w:val="14"/>
                <w:b w:val="1"/>
                <w:bCs w:val="1"/>
                <w:color w:val="auto"/>
                <w:w w:val="87"/>
              </w:rPr>
              <w:t>other than share and per share information)</w:t>
            </w:r>
          </w:p>
        </w:tc>
        <w:tc>
          <w:tcPr>
            <w:tcW w:w="8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36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Income Statement Data</w:t>
            </w:r>
          </w:p>
        </w:tc>
        <w:tc>
          <w:tcPr>
            <w:tcW w:w="9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3640" w:type="dxa"/>
            <w:vAlign w:val="bottom"/>
          </w:tcPr>
          <w:p>
            <w:pPr>
              <w:spacing w:after="0"/>
              <w:rPr>
                <w:sz w:val="20"/>
                <w:szCs w:val="20"/>
                <w:color w:val="auto"/>
              </w:rPr>
            </w:pPr>
            <w:r>
              <w:rPr>
                <w:rFonts w:ascii="Arial" w:cs="Arial" w:eastAsia="Arial" w:hAnsi="Arial"/>
                <w:sz w:val="18"/>
                <w:szCs w:val="18"/>
                <w:color w:val="auto"/>
              </w:rPr>
              <w:t>Revenues from mining operations</w:t>
            </w:r>
          </w:p>
        </w:tc>
        <w:tc>
          <w:tcPr>
            <w:tcW w:w="960" w:type="dxa"/>
            <w:vAlign w:val="bottom"/>
          </w:tcPr>
          <w:p>
            <w:pPr>
              <w:jc w:val="right"/>
              <w:spacing w:after="0"/>
              <w:rPr>
                <w:sz w:val="20"/>
                <w:szCs w:val="20"/>
                <w:color w:val="auto"/>
              </w:rPr>
            </w:pPr>
            <w:r>
              <w:rPr>
                <w:rFonts w:ascii="Arial" w:cs="Arial" w:eastAsia="Arial" w:hAnsi="Arial"/>
                <w:sz w:val="18"/>
                <w:szCs w:val="18"/>
                <w:color w:val="auto"/>
              </w:rPr>
              <w:t>613,762</w:t>
            </w:r>
          </w:p>
        </w:tc>
        <w:tc>
          <w:tcPr>
            <w:tcW w:w="160" w:type="dxa"/>
            <w:vAlign w:val="bottom"/>
          </w:tcPr>
          <w:p>
            <w:pPr>
              <w:spacing w:after="0"/>
              <w:rPr>
                <w:sz w:val="18"/>
                <w:szCs w:val="18"/>
                <w:color w:val="auto"/>
              </w:rPr>
            </w:pPr>
          </w:p>
        </w:tc>
        <w:tc>
          <w:tcPr>
            <w:tcW w:w="960" w:type="dxa"/>
            <w:vAlign w:val="bottom"/>
          </w:tcPr>
          <w:p>
            <w:pPr>
              <w:jc w:val="right"/>
              <w:spacing w:after="0"/>
              <w:rPr>
                <w:sz w:val="20"/>
                <w:szCs w:val="20"/>
                <w:color w:val="auto"/>
              </w:rPr>
            </w:pPr>
            <w:r>
              <w:rPr>
                <w:rFonts w:ascii="Arial" w:cs="Arial" w:eastAsia="Arial" w:hAnsi="Arial"/>
                <w:sz w:val="18"/>
                <w:szCs w:val="18"/>
                <w:color w:val="auto"/>
              </w:rPr>
              <w:t>368,938</w:t>
            </w:r>
          </w:p>
        </w:tc>
        <w:tc>
          <w:tcPr>
            <w:tcW w:w="1120" w:type="dxa"/>
            <w:vAlign w:val="bottom"/>
            <w:gridSpan w:val="2"/>
          </w:tcPr>
          <w:p>
            <w:pPr>
              <w:jc w:val="right"/>
              <w:spacing w:after="0"/>
              <w:rPr>
                <w:sz w:val="20"/>
                <w:szCs w:val="20"/>
                <w:color w:val="auto"/>
              </w:rPr>
            </w:pPr>
            <w:r>
              <w:rPr>
                <w:rFonts w:ascii="Arial" w:cs="Arial" w:eastAsia="Arial" w:hAnsi="Arial"/>
                <w:sz w:val="18"/>
                <w:szCs w:val="18"/>
                <w:color w:val="auto"/>
              </w:rPr>
              <w:t>432,205</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464,632</w:t>
            </w:r>
          </w:p>
        </w:tc>
        <w:tc>
          <w:tcPr>
            <w:tcW w:w="16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241,338</w:t>
            </w:r>
          </w:p>
        </w:tc>
        <w:tc>
          <w:tcPr>
            <w:tcW w:w="160" w:type="dxa"/>
            <w:vAlign w:val="bottom"/>
          </w:tcPr>
          <w:p>
            <w:pPr>
              <w:spacing w:after="0"/>
              <w:rPr>
                <w:sz w:val="18"/>
                <w:szCs w:val="18"/>
                <w:color w:val="auto"/>
              </w:rPr>
            </w:pPr>
          </w:p>
        </w:tc>
        <w:tc>
          <w:tcPr>
            <w:tcW w:w="1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3640" w:type="dxa"/>
            <w:vAlign w:val="bottom"/>
            <w:shd w:val="clear" w:color="auto" w:fill="CCEEFF"/>
          </w:tcPr>
          <w:p>
            <w:pPr>
              <w:spacing w:after="0"/>
              <w:rPr>
                <w:sz w:val="20"/>
                <w:szCs w:val="20"/>
                <w:color w:val="auto"/>
              </w:rPr>
            </w:pPr>
            <w:r>
              <w:rPr>
                <w:rFonts w:ascii="Arial" w:cs="Arial" w:eastAsia="Arial" w:hAnsi="Arial"/>
                <w:sz w:val="18"/>
                <w:szCs w:val="18"/>
                <w:color w:val="auto"/>
              </w:rPr>
              <w:t>Interest and sundry income</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16,172</w:t>
            </w:r>
          </w:p>
        </w:tc>
        <w:tc>
          <w:tcPr>
            <w:tcW w:w="160" w:type="dxa"/>
            <w:vAlign w:val="bottom"/>
            <w:shd w:val="clear" w:color="auto" w:fill="CCEEFF"/>
          </w:tcPr>
          <w:p>
            <w:pPr>
              <w:spacing w:after="0"/>
              <w:rPr>
                <w:sz w:val="18"/>
                <w:szCs w:val="18"/>
                <w:color w:val="auto"/>
              </w:rPr>
            </w:pP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11,721</w:t>
            </w:r>
          </w:p>
        </w:tc>
        <w:tc>
          <w:tcPr>
            <w:tcW w:w="11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29,230</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45,915</w:t>
            </w: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4,996</w:t>
            </w:r>
          </w:p>
        </w:tc>
        <w:tc>
          <w:tcPr>
            <w:tcW w:w="160" w:type="dxa"/>
            <w:vAlign w:val="bottom"/>
            <w:shd w:val="clear" w:color="auto" w:fill="CCEEFF"/>
          </w:tcPr>
          <w:p>
            <w:pPr>
              <w:spacing w:after="0"/>
              <w:rPr>
                <w:sz w:val="18"/>
                <w:szCs w:val="18"/>
                <w:color w:val="auto"/>
              </w:rPr>
            </w:pPr>
          </w:p>
        </w:tc>
        <w:tc>
          <w:tcPr>
            <w:tcW w:w="1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1160" w:type="dxa"/>
            <w:vAlign w:val="bottom"/>
          </w:tcPr>
          <w:p>
            <w:pPr>
              <w:spacing w:after="0"/>
              <w:rPr>
                <w:sz w:val="2"/>
                <w:szCs w:val="2"/>
                <w:color w:val="auto"/>
              </w:rPr>
            </w:pPr>
          </w:p>
        </w:tc>
        <w:tc>
          <w:tcPr>
            <w:tcW w:w="3640" w:type="dxa"/>
            <w:vAlign w:val="bottom"/>
          </w:tcPr>
          <w:p>
            <w:pPr>
              <w:spacing w:after="0"/>
              <w:rPr>
                <w:sz w:val="2"/>
                <w:szCs w:val="2"/>
                <w:color w:val="auto"/>
              </w:rPr>
            </w:pPr>
          </w:p>
        </w:tc>
        <w:tc>
          <w:tcPr>
            <w:tcW w:w="960" w:type="dxa"/>
            <w:vAlign w:val="bottom"/>
          </w:tcPr>
          <w:p>
            <w:pPr>
              <w:spacing w:after="0"/>
              <w:rPr>
                <w:sz w:val="2"/>
                <w:szCs w:val="2"/>
                <w:color w:val="auto"/>
              </w:rPr>
            </w:pPr>
          </w:p>
        </w:tc>
        <w:tc>
          <w:tcPr>
            <w:tcW w:w="160" w:type="dxa"/>
            <w:vAlign w:val="bottom"/>
          </w:tcPr>
          <w:p>
            <w:pPr>
              <w:spacing w:after="0"/>
              <w:rPr>
                <w:sz w:val="2"/>
                <w:szCs w:val="2"/>
                <w:color w:val="auto"/>
              </w:rPr>
            </w:pPr>
          </w:p>
        </w:tc>
        <w:tc>
          <w:tcPr>
            <w:tcW w:w="960" w:type="dxa"/>
            <w:vAlign w:val="bottom"/>
          </w:tcPr>
          <w:p>
            <w:pPr>
              <w:spacing w:after="0"/>
              <w:rPr>
                <w:sz w:val="2"/>
                <w:szCs w:val="2"/>
                <w:color w:val="auto"/>
              </w:rPr>
            </w:pPr>
          </w:p>
        </w:tc>
        <w:tc>
          <w:tcPr>
            <w:tcW w:w="1120" w:type="dxa"/>
            <w:vAlign w:val="bottom"/>
            <w:gridSpan w:val="2"/>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Pr>
          <w:p>
            <w:pPr>
              <w:spacing w:after="0"/>
              <w:rPr>
                <w:sz w:val="2"/>
                <w:szCs w:val="2"/>
                <w:color w:val="auto"/>
              </w:rPr>
            </w:pPr>
          </w:p>
        </w:tc>
        <w:tc>
          <w:tcPr>
            <w:tcW w:w="880" w:type="dxa"/>
            <w:vAlign w:val="bottom"/>
          </w:tcPr>
          <w:p>
            <w:pPr>
              <w:spacing w:after="0"/>
              <w:rPr>
                <w:sz w:val="2"/>
                <w:szCs w:val="2"/>
                <w:color w:val="auto"/>
              </w:rPr>
            </w:pPr>
          </w:p>
        </w:tc>
        <w:tc>
          <w:tcPr>
            <w:tcW w:w="160" w:type="dxa"/>
            <w:vAlign w:val="bottom"/>
          </w:tcPr>
          <w:p>
            <w:pPr>
              <w:spacing w:after="0"/>
              <w:rPr>
                <w:sz w:val="2"/>
                <w:szCs w:val="2"/>
                <w:color w:val="auto"/>
              </w:rPr>
            </w:pPr>
          </w:p>
        </w:tc>
        <w:tc>
          <w:tcPr>
            <w:tcW w:w="880" w:type="dxa"/>
            <w:vAlign w:val="bottom"/>
          </w:tcPr>
          <w:p>
            <w:pPr>
              <w:spacing w:after="0"/>
              <w:rPr>
                <w:sz w:val="2"/>
                <w:szCs w:val="2"/>
                <w:color w:val="auto"/>
              </w:rPr>
            </w:pPr>
          </w:p>
        </w:tc>
        <w:tc>
          <w:tcPr>
            <w:tcW w:w="160" w:type="dxa"/>
            <w:vAlign w:val="bottom"/>
          </w:tcPr>
          <w:p>
            <w:pPr>
              <w:spacing w:after="0"/>
              <w:rPr>
                <w:sz w:val="2"/>
                <w:szCs w:val="2"/>
                <w:color w:val="auto"/>
              </w:rPr>
            </w:pPr>
          </w:p>
        </w:tc>
        <w:tc>
          <w:tcPr>
            <w:tcW w:w="110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3640" w:type="dxa"/>
            <w:vAlign w:val="bottom"/>
          </w:tcPr>
          <w:p>
            <w:pPr>
              <w:spacing w:after="0"/>
              <w:rPr>
                <w:sz w:val="18"/>
                <w:szCs w:val="18"/>
                <w:color w:val="auto"/>
              </w:rPr>
            </w:pPr>
          </w:p>
        </w:tc>
        <w:tc>
          <w:tcPr>
            <w:tcW w:w="9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629,934</w:t>
            </w:r>
          </w:p>
        </w:tc>
        <w:tc>
          <w:tcPr>
            <w:tcW w:w="160" w:type="dxa"/>
            <w:vAlign w:val="bottom"/>
          </w:tcPr>
          <w:p>
            <w:pPr>
              <w:spacing w:after="0"/>
              <w:rPr>
                <w:sz w:val="18"/>
                <w:szCs w:val="18"/>
                <w:color w:val="auto"/>
              </w:rPr>
            </w:pPr>
          </w:p>
        </w:tc>
        <w:tc>
          <w:tcPr>
            <w:tcW w:w="9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380,659</w:t>
            </w:r>
          </w:p>
        </w:tc>
        <w:tc>
          <w:tcPr>
            <w:tcW w:w="160" w:type="dxa"/>
            <w:vAlign w:val="bottom"/>
          </w:tcPr>
          <w:p>
            <w:pPr>
              <w:spacing w:after="0"/>
              <w:rPr>
                <w:sz w:val="18"/>
                <w:szCs w:val="18"/>
                <w:color w:val="auto"/>
              </w:rPr>
            </w:pPr>
          </w:p>
        </w:tc>
        <w:tc>
          <w:tcPr>
            <w:tcW w:w="9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461,435</w:t>
            </w:r>
          </w:p>
        </w:tc>
        <w:tc>
          <w:tcPr>
            <w:tcW w:w="160" w:type="dxa"/>
            <w:vAlign w:val="bottom"/>
          </w:tcPr>
          <w:p>
            <w:pPr>
              <w:spacing w:after="0"/>
              <w:rPr>
                <w:sz w:val="18"/>
                <w:szCs w:val="18"/>
                <w:color w:val="auto"/>
              </w:rPr>
            </w:pPr>
          </w:p>
        </w:tc>
        <w:tc>
          <w:tcPr>
            <w:tcW w:w="80" w:type="dxa"/>
            <w:vAlign w:val="bottom"/>
            <w:tcBorders>
              <w:top w:val="single" w:sz="8" w:color="auto"/>
            </w:tcBorders>
          </w:tcPr>
          <w:p>
            <w:pPr>
              <w:spacing w:after="0"/>
              <w:rPr>
                <w:sz w:val="18"/>
                <w:szCs w:val="18"/>
                <w:color w:val="auto"/>
              </w:rPr>
            </w:pPr>
          </w:p>
        </w:tc>
        <w:tc>
          <w:tcPr>
            <w:tcW w:w="8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510,547</w:t>
            </w:r>
          </w:p>
        </w:tc>
        <w:tc>
          <w:tcPr>
            <w:tcW w:w="160" w:type="dxa"/>
            <w:vAlign w:val="bottom"/>
          </w:tcPr>
          <w:p>
            <w:pPr>
              <w:spacing w:after="0"/>
              <w:rPr>
                <w:sz w:val="18"/>
                <w:szCs w:val="18"/>
                <w:color w:val="auto"/>
              </w:rPr>
            </w:pPr>
          </w:p>
        </w:tc>
        <w:tc>
          <w:tcPr>
            <w:tcW w:w="8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246,334</w:t>
            </w:r>
          </w:p>
        </w:tc>
        <w:tc>
          <w:tcPr>
            <w:tcW w:w="160" w:type="dxa"/>
            <w:vAlign w:val="bottom"/>
          </w:tcPr>
          <w:p>
            <w:pPr>
              <w:spacing w:after="0"/>
              <w:rPr>
                <w:sz w:val="18"/>
                <w:szCs w:val="18"/>
                <w:color w:val="auto"/>
              </w:rPr>
            </w:pPr>
          </w:p>
        </w:tc>
        <w:tc>
          <w:tcPr>
            <w:tcW w:w="1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
        </w:trPr>
        <w:tc>
          <w:tcPr>
            <w:tcW w:w="1160" w:type="dxa"/>
            <w:vAlign w:val="bottom"/>
          </w:tcPr>
          <w:p>
            <w:pPr>
              <w:spacing w:after="0" w:line="20" w:lineRule="exact"/>
              <w:rPr>
                <w:sz w:val="1"/>
                <w:szCs w:val="1"/>
                <w:color w:val="auto"/>
              </w:rPr>
            </w:pPr>
          </w:p>
        </w:tc>
        <w:tc>
          <w:tcPr>
            <w:tcW w:w="3640" w:type="dxa"/>
            <w:vAlign w:val="bottom"/>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10"/>
        </w:trPr>
        <w:tc>
          <w:tcPr>
            <w:tcW w:w="1160" w:type="dxa"/>
            <w:vAlign w:val="bottom"/>
          </w:tcPr>
          <w:p>
            <w:pPr>
              <w:spacing w:after="0"/>
              <w:rPr>
                <w:sz w:val="18"/>
                <w:szCs w:val="18"/>
                <w:color w:val="auto"/>
              </w:rPr>
            </w:pPr>
          </w:p>
        </w:tc>
        <w:tc>
          <w:tcPr>
            <w:tcW w:w="3640" w:type="dxa"/>
            <w:vAlign w:val="bottom"/>
            <w:shd w:val="clear" w:color="auto" w:fill="CCEEFF"/>
          </w:tcPr>
          <w:p>
            <w:pPr>
              <w:spacing w:after="0"/>
              <w:rPr>
                <w:sz w:val="20"/>
                <w:szCs w:val="20"/>
                <w:color w:val="auto"/>
              </w:rPr>
            </w:pPr>
            <w:r>
              <w:rPr>
                <w:rFonts w:ascii="Arial" w:cs="Arial" w:eastAsia="Arial" w:hAnsi="Arial"/>
                <w:sz w:val="18"/>
                <w:szCs w:val="18"/>
                <w:color w:val="auto"/>
              </w:rPr>
              <w:t>Production costs</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306,318</w:t>
            </w:r>
          </w:p>
        </w:tc>
        <w:tc>
          <w:tcPr>
            <w:tcW w:w="160" w:type="dxa"/>
            <w:vAlign w:val="bottom"/>
            <w:shd w:val="clear" w:color="auto" w:fill="CCEEFF"/>
          </w:tcPr>
          <w:p>
            <w:pPr>
              <w:spacing w:after="0"/>
              <w:rPr>
                <w:sz w:val="18"/>
                <w:szCs w:val="18"/>
                <w:color w:val="auto"/>
              </w:rPr>
            </w:pP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186,862</w:t>
            </w:r>
          </w:p>
        </w:tc>
        <w:tc>
          <w:tcPr>
            <w:tcW w:w="11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166,104</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143,753</w:t>
            </w: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127,365</w:t>
            </w:r>
          </w:p>
        </w:tc>
        <w:tc>
          <w:tcPr>
            <w:tcW w:w="160" w:type="dxa"/>
            <w:vAlign w:val="bottom"/>
            <w:shd w:val="clear" w:color="auto" w:fill="CCEEFF"/>
          </w:tcPr>
          <w:p>
            <w:pPr>
              <w:spacing w:after="0"/>
              <w:rPr>
                <w:sz w:val="18"/>
                <w:szCs w:val="18"/>
                <w:color w:val="auto"/>
              </w:rPr>
            </w:pPr>
          </w:p>
        </w:tc>
        <w:tc>
          <w:tcPr>
            <w:tcW w:w="1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3640" w:type="dxa"/>
            <w:vAlign w:val="bottom"/>
          </w:tcPr>
          <w:p>
            <w:pPr>
              <w:spacing w:after="0"/>
              <w:rPr>
                <w:sz w:val="20"/>
                <w:szCs w:val="20"/>
                <w:color w:val="auto"/>
              </w:rPr>
            </w:pPr>
            <w:r>
              <w:rPr>
                <w:rFonts w:ascii="Arial" w:cs="Arial" w:eastAsia="Arial" w:hAnsi="Arial"/>
                <w:sz w:val="18"/>
                <w:szCs w:val="18"/>
                <w:color w:val="auto"/>
              </w:rPr>
              <w:t>Loss on derivative financial instruments</w:t>
            </w:r>
          </w:p>
        </w:tc>
        <w:tc>
          <w:tcPr>
            <w:tcW w:w="11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960" w:type="dxa"/>
            <w:vAlign w:val="bottom"/>
          </w:tcPr>
          <w:p>
            <w:pPr>
              <w:jc w:val="right"/>
              <w:spacing w:after="0"/>
              <w:rPr>
                <w:sz w:val="20"/>
                <w:szCs w:val="20"/>
                <w:color w:val="auto"/>
              </w:rPr>
            </w:pPr>
            <w:r>
              <w:rPr>
                <w:rFonts w:ascii="Arial" w:cs="Arial" w:eastAsia="Arial" w:hAnsi="Arial"/>
                <w:sz w:val="18"/>
                <w:szCs w:val="18"/>
                <w:color w:val="auto"/>
              </w:rPr>
              <w:t>—</w:t>
            </w:r>
          </w:p>
        </w:tc>
        <w:tc>
          <w:tcPr>
            <w:tcW w:w="1120" w:type="dxa"/>
            <w:vAlign w:val="bottom"/>
            <w:gridSpan w:val="2"/>
          </w:tcPr>
          <w:p>
            <w:pPr>
              <w:jc w:val="right"/>
              <w:spacing w:after="0"/>
              <w:rPr>
                <w:sz w:val="20"/>
                <w:szCs w:val="20"/>
                <w:color w:val="auto"/>
              </w:rPr>
            </w:pPr>
            <w:r>
              <w:rPr>
                <w:rFonts w:ascii="Arial" w:cs="Arial" w:eastAsia="Arial" w:hAnsi="Arial"/>
                <w:sz w:val="18"/>
                <w:szCs w:val="18"/>
                <w:color w:val="auto"/>
              </w:rPr>
              <w:t>5,829</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15,148</w:t>
            </w:r>
          </w:p>
        </w:tc>
        <w:tc>
          <w:tcPr>
            <w:tcW w:w="16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15,396</w:t>
            </w:r>
          </w:p>
        </w:tc>
        <w:tc>
          <w:tcPr>
            <w:tcW w:w="160" w:type="dxa"/>
            <w:vAlign w:val="bottom"/>
          </w:tcPr>
          <w:p>
            <w:pPr>
              <w:spacing w:after="0"/>
              <w:rPr>
                <w:sz w:val="18"/>
                <w:szCs w:val="18"/>
                <w:color w:val="auto"/>
              </w:rPr>
            </w:pPr>
          </w:p>
        </w:tc>
        <w:tc>
          <w:tcPr>
            <w:tcW w:w="1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3640" w:type="dxa"/>
            <w:vAlign w:val="bottom"/>
            <w:shd w:val="clear" w:color="auto" w:fill="CCEEFF"/>
          </w:tcPr>
          <w:p>
            <w:pPr>
              <w:spacing w:after="0"/>
              <w:rPr>
                <w:sz w:val="20"/>
                <w:szCs w:val="20"/>
                <w:color w:val="auto"/>
              </w:rPr>
            </w:pPr>
            <w:r>
              <w:rPr>
                <w:rFonts w:ascii="Arial" w:cs="Arial" w:eastAsia="Arial" w:hAnsi="Arial"/>
                <w:sz w:val="18"/>
                <w:szCs w:val="18"/>
                <w:color w:val="auto"/>
              </w:rPr>
              <w:t>Exploration and corporate development</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36,279</w:t>
            </w:r>
          </w:p>
        </w:tc>
        <w:tc>
          <w:tcPr>
            <w:tcW w:w="160" w:type="dxa"/>
            <w:vAlign w:val="bottom"/>
            <w:shd w:val="clear" w:color="auto" w:fill="CCEEFF"/>
          </w:tcPr>
          <w:p>
            <w:pPr>
              <w:spacing w:after="0"/>
              <w:rPr>
                <w:sz w:val="18"/>
                <w:szCs w:val="18"/>
                <w:color w:val="auto"/>
              </w:rPr>
            </w:pP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34,704</w:t>
            </w:r>
          </w:p>
        </w:tc>
        <w:tc>
          <w:tcPr>
            <w:tcW w:w="11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25,507</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30,414</w:t>
            </w: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16,581</w:t>
            </w:r>
          </w:p>
        </w:tc>
        <w:tc>
          <w:tcPr>
            <w:tcW w:w="160" w:type="dxa"/>
            <w:vAlign w:val="bottom"/>
            <w:shd w:val="clear" w:color="auto" w:fill="CCEEFF"/>
          </w:tcPr>
          <w:p>
            <w:pPr>
              <w:spacing w:after="0"/>
              <w:rPr>
                <w:sz w:val="18"/>
                <w:szCs w:val="18"/>
                <w:color w:val="auto"/>
              </w:rPr>
            </w:pPr>
          </w:p>
        </w:tc>
        <w:tc>
          <w:tcPr>
            <w:tcW w:w="1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3640" w:type="dxa"/>
            <w:vAlign w:val="bottom"/>
          </w:tcPr>
          <w:p>
            <w:pPr>
              <w:spacing w:after="0"/>
              <w:rPr>
                <w:sz w:val="20"/>
                <w:szCs w:val="20"/>
                <w:color w:val="auto"/>
              </w:rPr>
            </w:pPr>
            <w:r>
              <w:rPr>
                <w:rFonts w:ascii="Arial" w:cs="Arial" w:eastAsia="Arial" w:hAnsi="Arial"/>
                <w:sz w:val="18"/>
                <w:szCs w:val="18"/>
                <w:color w:val="auto"/>
              </w:rPr>
              <w:t>Equity loss in junior exploration company</w:t>
            </w:r>
          </w:p>
        </w:tc>
        <w:tc>
          <w:tcPr>
            <w:tcW w:w="11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96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1200" w:type="dxa"/>
            <w:vAlign w:val="bottom"/>
            <w:gridSpan w:val="3"/>
          </w:tcPr>
          <w:p>
            <w:pPr>
              <w:jc w:val="right"/>
              <w:ind w:right="240"/>
              <w:spacing w:after="0"/>
              <w:rPr>
                <w:sz w:val="20"/>
                <w:szCs w:val="20"/>
                <w:color w:val="auto"/>
              </w:rPr>
            </w:pPr>
            <w:r>
              <w:rPr>
                <w:rFonts w:ascii="Arial" w:cs="Arial" w:eastAsia="Arial" w:hAnsi="Arial"/>
                <w:sz w:val="18"/>
                <w:szCs w:val="18"/>
                <w:color w:val="auto"/>
              </w:rPr>
              <w:t>—</w:t>
            </w:r>
          </w:p>
        </w:tc>
        <w:tc>
          <w:tcPr>
            <w:tcW w:w="880" w:type="dxa"/>
            <w:vAlign w:val="bottom"/>
          </w:tcPr>
          <w:p>
            <w:pPr>
              <w:jc w:val="right"/>
              <w:spacing w:after="0"/>
              <w:rPr>
                <w:sz w:val="20"/>
                <w:szCs w:val="20"/>
                <w:color w:val="auto"/>
              </w:rPr>
            </w:pPr>
            <w:r>
              <w:rPr>
                <w:rFonts w:ascii="Arial" w:cs="Arial" w:eastAsia="Arial" w:hAnsi="Arial"/>
                <w:sz w:val="18"/>
                <w:szCs w:val="18"/>
                <w:color w:val="auto"/>
              </w:rPr>
              <w:t>663</w:t>
            </w:r>
          </w:p>
        </w:tc>
        <w:tc>
          <w:tcPr>
            <w:tcW w:w="16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2,899</w:t>
            </w:r>
          </w:p>
        </w:tc>
        <w:tc>
          <w:tcPr>
            <w:tcW w:w="160" w:type="dxa"/>
            <w:vAlign w:val="bottom"/>
          </w:tcPr>
          <w:p>
            <w:pPr>
              <w:spacing w:after="0"/>
              <w:rPr>
                <w:sz w:val="18"/>
                <w:szCs w:val="18"/>
                <w:color w:val="auto"/>
              </w:rPr>
            </w:pPr>
          </w:p>
        </w:tc>
        <w:tc>
          <w:tcPr>
            <w:tcW w:w="1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3640" w:type="dxa"/>
            <w:vAlign w:val="bottom"/>
            <w:shd w:val="clear" w:color="auto" w:fill="CCEEFF"/>
          </w:tcPr>
          <w:p>
            <w:pPr>
              <w:spacing w:after="0"/>
              <w:rPr>
                <w:sz w:val="20"/>
                <w:szCs w:val="20"/>
                <w:color w:val="auto"/>
              </w:rPr>
            </w:pPr>
            <w:r>
              <w:rPr>
                <w:rFonts w:ascii="Arial" w:cs="Arial" w:eastAsia="Arial" w:hAnsi="Arial"/>
                <w:sz w:val="18"/>
                <w:szCs w:val="18"/>
                <w:color w:val="auto"/>
              </w:rPr>
              <w:t>Amortization</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72,461</w:t>
            </w:r>
          </w:p>
        </w:tc>
        <w:tc>
          <w:tcPr>
            <w:tcW w:w="160" w:type="dxa"/>
            <w:vAlign w:val="bottom"/>
            <w:shd w:val="clear" w:color="auto" w:fill="CCEEFF"/>
          </w:tcPr>
          <w:p>
            <w:pPr>
              <w:spacing w:after="0"/>
              <w:rPr>
                <w:sz w:val="18"/>
                <w:szCs w:val="18"/>
                <w:color w:val="auto"/>
              </w:rPr>
            </w:pP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36,133</w:t>
            </w:r>
          </w:p>
        </w:tc>
        <w:tc>
          <w:tcPr>
            <w:tcW w:w="11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27,757</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25,255</w:t>
            </w: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26,062</w:t>
            </w:r>
          </w:p>
        </w:tc>
        <w:tc>
          <w:tcPr>
            <w:tcW w:w="160" w:type="dxa"/>
            <w:vAlign w:val="bottom"/>
            <w:shd w:val="clear" w:color="auto" w:fill="CCEEFF"/>
          </w:tcPr>
          <w:p>
            <w:pPr>
              <w:spacing w:after="0"/>
              <w:rPr>
                <w:sz w:val="18"/>
                <w:szCs w:val="18"/>
                <w:color w:val="auto"/>
              </w:rPr>
            </w:pPr>
          </w:p>
        </w:tc>
        <w:tc>
          <w:tcPr>
            <w:tcW w:w="1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3640" w:type="dxa"/>
            <w:vAlign w:val="bottom"/>
          </w:tcPr>
          <w:p>
            <w:pPr>
              <w:spacing w:after="0"/>
              <w:rPr>
                <w:sz w:val="20"/>
                <w:szCs w:val="20"/>
                <w:color w:val="auto"/>
              </w:rPr>
            </w:pPr>
            <w:r>
              <w:rPr>
                <w:rFonts w:ascii="Arial" w:cs="Arial" w:eastAsia="Arial" w:hAnsi="Arial"/>
                <w:sz w:val="18"/>
                <w:szCs w:val="18"/>
                <w:color w:val="auto"/>
              </w:rPr>
              <w:t>General and administrative</w:t>
            </w:r>
          </w:p>
        </w:tc>
        <w:tc>
          <w:tcPr>
            <w:tcW w:w="960" w:type="dxa"/>
            <w:vAlign w:val="bottom"/>
          </w:tcPr>
          <w:p>
            <w:pPr>
              <w:jc w:val="right"/>
              <w:spacing w:after="0"/>
              <w:rPr>
                <w:sz w:val="20"/>
                <w:szCs w:val="20"/>
                <w:color w:val="auto"/>
              </w:rPr>
            </w:pPr>
            <w:r>
              <w:rPr>
                <w:rFonts w:ascii="Arial" w:cs="Arial" w:eastAsia="Arial" w:hAnsi="Arial"/>
                <w:sz w:val="18"/>
                <w:szCs w:val="18"/>
                <w:color w:val="auto"/>
              </w:rPr>
              <w:t>63,687</w:t>
            </w:r>
          </w:p>
        </w:tc>
        <w:tc>
          <w:tcPr>
            <w:tcW w:w="160" w:type="dxa"/>
            <w:vAlign w:val="bottom"/>
          </w:tcPr>
          <w:p>
            <w:pPr>
              <w:spacing w:after="0"/>
              <w:rPr>
                <w:sz w:val="18"/>
                <w:szCs w:val="18"/>
                <w:color w:val="auto"/>
              </w:rPr>
            </w:pPr>
          </w:p>
        </w:tc>
        <w:tc>
          <w:tcPr>
            <w:tcW w:w="960" w:type="dxa"/>
            <w:vAlign w:val="bottom"/>
          </w:tcPr>
          <w:p>
            <w:pPr>
              <w:jc w:val="right"/>
              <w:spacing w:after="0"/>
              <w:rPr>
                <w:sz w:val="20"/>
                <w:szCs w:val="20"/>
                <w:color w:val="auto"/>
              </w:rPr>
            </w:pPr>
            <w:r>
              <w:rPr>
                <w:rFonts w:ascii="Arial" w:cs="Arial" w:eastAsia="Arial" w:hAnsi="Arial"/>
                <w:sz w:val="18"/>
                <w:szCs w:val="18"/>
                <w:color w:val="auto"/>
              </w:rPr>
              <w:t>47,187</w:t>
            </w:r>
          </w:p>
        </w:tc>
        <w:tc>
          <w:tcPr>
            <w:tcW w:w="1120" w:type="dxa"/>
            <w:vAlign w:val="bottom"/>
            <w:gridSpan w:val="2"/>
          </w:tcPr>
          <w:p>
            <w:pPr>
              <w:jc w:val="right"/>
              <w:spacing w:after="0"/>
              <w:rPr>
                <w:sz w:val="20"/>
                <w:szCs w:val="20"/>
                <w:color w:val="auto"/>
              </w:rPr>
            </w:pPr>
            <w:r>
              <w:rPr>
                <w:rFonts w:ascii="Arial" w:cs="Arial" w:eastAsia="Arial" w:hAnsi="Arial"/>
                <w:sz w:val="18"/>
                <w:szCs w:val="18"/>
                <w:color w:val="auto"/>
              </w:rPr>
              <w:t>38,167</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25,884</w:t>
            </w:r>
          </w:p>
        </w:tc>
        <w:tc>
          <w:tcPr>
            <w:tcW w:w="16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11,727</w:t>
            </w:r>
          </w:p>
        </w:tc>
        <w:tc>
          <w:tcPr>
            <w:tcW w:w="160" w:type="dxa"/>
            <w:vAlign w:val="bottom"/>
          </w:tcPr>
          <w:p>
            <w:pPr>
              <w:spacing w:after="0"/>
              <w:rPr>
                <w:sz w:val="18"/>
                <w:szCs w:val="18"/>
                <w:color w:val="auto"/>
              </w:rPr>
            </w:pPr>
          </w:p>
        </w:tc>
        <w:tc>
          <w:tcPr>
            <w:tcW w:w="1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3640" w:type="dxa"/>
            <w:vAlign w:val="bottom"/>
            <w:shd w:val="clear" w:color="auto" w:fill="CCEEFF"/>
          </w:tcPr>
          <w:p>
            <w:pPr>
              <w:spacing w:after="0"/>
              <w:rPr>
                <w:sz w:val="20"/>
                <w:szCs w:val="20"/>
                <w:color w:val="auto"/>
              </w:rPr>
            </w:pPr>
            <w:r>
              <w:rPr>
                <w:rFonts w:ascii="Arial" w:cs="Arial" w:eastAsia="Arial" w:hAnsi="Arial"/>
                <w:sz w:val="18"/>
                <w:szCs w:val="18"/>
                <w:color w:val="auto"/>
              </w:rPr>
              <w:t>Provincial capital tax</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5,014</w:t>
            </w:r>
          </w:p>
        </w:tc>
        <w:tc>
          <w:tcPr>
            <w:tcW w:w="160" w:type="dxa"/>
            <w:vAlign w:val="bottom"/>
            <w:shd w:val="clear" w:color="auto" w:fill="CCEEFF"/>
          </w:tcPr>
          <w:p>
            <w:pPr>
              <w:spacing w:after="0"/>
              <w:rPr>
                <w:sz w:val="18"/>
                <w:szCs w:val="18"/>
                <w:color w:val="auto"/>
              </w:rPr>
            </w:pP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5,332</w:t>
            </w:r>
          </w:p>
        </w:tc>
        <w:tc>
          <w:tcPr>
            <w:tcW w:w="11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3,202</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3,758</w:t>
            </w: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1,352</w:t>
            </w:r>
          </w:p>
        </w:tc>
        <w:tc>
          <w:tcPr>
            <w:tcW w:w="160" w:type="dxa"/>
            <w:vAlign w:val="bottom"/>
            <w:shd w:val="clear" w:color="auto" w:fill="CCEEFF"/>
          </w:tcPr>
          <w:p>
            <w:pPr>
              <w:spacing w:after="0"/>
              <w:rPr>
                <w:sz w:val="18"/>
                <w:szCs w:val="18"/>
                <w:color w:val="auto"/>
              </w:rPr>
            </w:pPr>
          </w:p>
        </w:tc>
        <w:tc>
          <w:tcPr>
            <w:tcW w:w="1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3640" w:type="dxa"/>
            <w:vAlign w:val="bottom"/>
          </w:tcPr>
          <w:p>
            <w:pPr>
              <w:spacing w:after="0"/>
              <w:rPr>
                <w:sz w:val="20"/>
                <w:szCs w:val="20"/>
                <w:color w:val="auto"/>
              </w:rPr>
            </w:pPr>
            <w:r>
              <w:rPr>
                <w:rFonts w:ascii="Arial" w:cs="Arial" w:eastAsia="Arial" w:hAnsi="Arial"/>
                <w:sz w:val="18"/>
                <w:szCs w:val="18"/>
                <w:color w:val="auto"/>
              </w:rPr>
              <w:t>Interest</w:t>
            </w:r>
          </w:p>
        </w:tc>
        <w:tc>
          <w:tcPr>
            <w:tcW w:w="960" w:type="dxa"/>
            <w:vAlign w:val="bottom"/>
          </w:tcPr>
          <w:p>
            <w:pPr>
              <w:jc w:val="right"/>
              <w:spacing w:after="0"/>
              <w:rPr>
                <w:sz w:val="20"/>
                <w:szCs w:val="20"/>
                <w:color w:val="auto"/>
              </w:rPr>
            </w:pPr>
            <w:r>
              <w:rPr>
                <w:rFonts w:ascii="Arial" w:cs="Arial" w:eastAsia="Arial" w:hAnsi="Arial"/>
                <w:sz w:val="18"/>
                <w:szCs w:val="18"/>
                <w:color w:val="auto"/>
              </w:rPr>
              <w:t>8,448</w:t>
            </w:r>
          </w:p>
        </w:tc>
        <w:tc>
          <w:tcPr>
            <w:tcW w:w="160" w:type="dxa"/>
            <w:vAlign w:val="bottom"/>
          </w:tcPr>
          <w:p>
            <w:pPr>
              <w:spacing w:after="0"/>
              <w:rPr>
                <w:sz w:val="18"/>
                <w:szCs w:val="18"/>
                <w:color w:val="auto"/>
              </w:rPr>
            </w:pPr>
          </w:p>
        </w:tc>
        <w:tc>
          <w:tcPr>
            <w:tcW w:w="960" w:type="dxa"/>
            <w:vAlign w:val="bottom"/>
          </w:tcPr>
          <w:p>
            <w:pPr>
              <w:jc w:val="right"/>
              <w:spacing w:after="0"/>
              <w:rPr>
                <w:sz w:val="20"/>
                <w:szCs w:val="20"/>
                <w:color w:val="auto"/>
              </w:rPr>
            </w:pPr>
            <w:r>
              <w:rPr>
                <w:rFonts w:ascii="Arial" w:cs="Arial" w:eastAsia="Arial" w:hAnsi="Arial"/>
                <w:sz w:val="18"/>
                <w:szCs w:val="18"/>
                <w:color w:val="auto"/>
              </w:rPr>
              <w:t>2,952</w:t>
            </w:r>
          </w:p>
        </w:tc>
        <w:tc>
          <w:tcPr>
            <w:tcW w:w="1120" w:type="dxa"/>
            <w:vAlign w:val="bottom"/>
            <w:gridSpan w:val="2"/>
          </w:tcPr>
          <w:p>
            <w:pPr>
              <w:jc w:val="right"/>
              <w:spacing w:after="0"/>
              <w:rPr>
                <w:sz w:val="20"/>
                <w:szCs w:val="20"/>
                <w:color w:val="auto"/>
              </w:rPr>
            </w:pPr>
            <w:r>
              <w:rPr>
                <w:rFonts w:ascii="Arial" w:cs="Arial" w:eastAsia="Arial" w:hAnsi="Arial"/>
                <w:sz w:val="18"/>
                <w:szCs w:val="18"/>
                <w:color w:val="auto"/>
              </w:rPr>
              <w:t>3,294</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2,902</w:t>
            </w:r>
          </w:p>
        </w:tc>
        <w:tc>
          <w:tcPr>
            <w:tcW w:w="16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7,813</w:t>
            </w:r>
          </w:p>
        </w:tc>
        <w:tc>
          <w:tcPr>
            <w:tcW w:w="160" w:type="dxa"/>
            <w:vAlign w:val="bottom"/>
          </w:tcPr>
          <w:p>
            <w:pPr>
              <w:spacing w:after="0"/>
              <w:rPr>
                <w:sz w:val="18"/>
                <w:szCs w:val="18"/>
                <w:color w:val="auto"/>
              </w:rPr>
            </w:pPr>
          </w:p>
        </w:tc>
        <w:tc>
          <w:tcPr>
            <w:tcW w:w="1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3640" w:type="dxa"/>
            <w:vAlign w:val="bottom"/>
            <w:shd w:val="clear" w:color="auto" w:fill="CCEEFF"/>
          </w:tcPr>
          <w:p>
            <w:pPr>
              <w:spacing w:after="0"/>
              <w:rPr>
                <w:sz w:val="20"/>
                <w:szCs w:val="20"/>
                <w:color w:val="auto"/>
              </w:rPr>
            </w:pPr>
            <w:r>
              <w:rPr>
                <w:rFonts w:ascii="Arial" w:cs="Arial" w:eastAsia="Arial" w:hAnsi="Arial"/>
                <w:sz w:val="18"/>
                <w:szCs w:val="18"/>
                <w:color w:val="auto"/>
              </w:rPr>
              <w:t>Foreign exchange gain (loss)</w:t>
            </w:r>
          </w:p>
        </w:tc>
        <w:tc>
          <w:tcPr>
            <w:tcW w:w="11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(39,831)</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77,688</w:t>
            </w:r>
          </w:p>
        </w:tc>
        <w:tc>
          <w:tcPr>
            <w:tcW w:w="1280" w:type="dxa"/>
            <w:vAlign w:val="bottom"/>
            <w:gridSpan w:val="3"/>
            <w:shd w:val="clear" w:color="auto" w:fill="CCEEFF"/>
          </w:tcPr>
          <w:p>
            <w:pPr>
              <w:jc w:val="right"/>
              <w:ind w:right="32"/>
              <w:spacing w:after="0"/>
              <w:rPr>
                <w:sz w:val="20"/>
                <w:szCs w:val="20"/>
                <w:color w:val="auto"/>
              </w:rPr>
            </w:pPr>
            <w:r>
              <w:rPr>
                <w:rFonts w:ascii="Arial" w:cs="Arial" w:eastAsia="Arial" w:hAnsi="Arial"/>
                <w:sz w:val="18"/>
                <w:szCs w:val="18"/>
                <w:color w:val="auto"/>
              </w:rPr>
              <w:t>(32,297)</w:t>
            </w:r>
          </w:p>
        </w:tc>
        <w:tc>
          <w:tcPr>
            <w:tcW w:w="8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(2,127)</w:t>
            </w:r>
          </w:p>
        </w:tc>
        <w:tc>
          <w:tcPr>
            <w:tcW w:w="10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(1,860)</w:t>
            </w:r>
          </w:p>
        </w:tc>
        <w:tc>
          <w:tcPr>
            <w:tcW w:w="1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4800" w:type="dxa"/>
            <w:vAlign w:val="bottom"/>
            <w:gridSpan w:val="2"/>
            <w:vMerge w:val="restart"/>
          </w:tcPr>
          <w:p>
            <w:pPr>
              <w:ind w:left="1140"/>
              <w:spacing w:after="0"/>
              <w:rPr>
                <w:sz w:val="20"/>
                <w:szCs w:val="20"/>
                <w:color w:val="auto"/>
              </w:rPr>
            </w:pPr>
            <w:r>
              <w:rPr>
                <w:rFonts w:ascii="Arial" w:cs="Arial" w:eastAsia="Arial" w:hAnsi="Arial"/>
                <w:sz w:val="18"/>
                <w:szCs w:val="18"/>
                <w:color w:val="auto"/>
              </w:rPr>
              <w:t>Income before income and mining taxes</w:t>
            </w:r>
          </w:p>
        </w:tc>
        <w:tc>
          <w:tcPr>
            <w:tcW w:w="960" w:type="dxa"/>
            <w:vAlign w:val="bottom"/>
          </w:tcPr>
          <w:p>
            <w:pPr>
              <w:spacing w:after="0"/>
              <w:rPr>
                <w:sz w:val="2"/>
                <w:szCs w:val="2"/>
                <w:color w:val="auto"/>
              </w:rPr>
            </w:pPr>
          </w:p>
        </w:tc>
        <w:tc>
          <w:tcPr>
            <w:tcW w:w="160" w:type="dxa"/>
            <w:vAlign w:val="bottom"/>
          </w:tcPr>
          <w:p>
            <w:pPr>
              <w:spacing w:after="0"/>
              <w:rPr>
                <w:sz w:val="2"/>
                <w:szCs w:val="2"/>
                <w:color w:val="auto"/>
              </w:rPr>
            </w:pPr>
          </w:p>
        </w:tc>
        <w:tc>
          <w:tcPr>
            <w:tcW w:w="960" w:type="dxa"/>
            <w:vAlign w:val="bottom"/>
          </w:tcPr>
          <w:p>
            <w:pPr>
              <w:spacing w:after="0"/>
              <w:rPr>
                <w:sz w:val="2"/>
                <w:szCs w:val="2"/>
                <w:color w:val="auto"/>
              </w:rPr>
            </w:pPr>
          </w:p>
        </w:tc>
        <w:tc>
          <w:tcPr>
            <w:tcW w:w="1120" w:type="dxa"/>
            <w:vAlign w:val="bottom"/>
            <w:gridSpan w:val="2"/>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Pr>
          <w:p>
            <w:pPr>
              <w:spacing w:after="0"/>
              <w:rPr>
                <w:sz w:val="2"/>
                <w:szCs w:val="2"/>
                <w:color w:val="auto"/>
              </w:rPr>
            </w:pPr>
          </w:p>
        </w:tc>
        <w:tc>
          <w:tcPr>
            <w:tcW w:w="880" w:type="dxa"/>
            <w:vAlign w:val="bottom"/>
          </w:tcPr>
          <w:p>
            <w:pPr>
              <w:spacing w:after="0"/>
              <w:rPr>
                <w:sz w:val="2"/>
                <w:szCs w:val="2"/>
                <w:color w:val="auto"/>
              </w:rPr>
            </w:pPr>
          </w:p>
        </w:tc>
        <w:tc>
          <w:tcPr>
            <w:tcW w:w="160" w:type="dxa"/>
            <w:vAlign w:val="bottom"/>
          </w:tcPr>
          <w:p>
            <w:pPr>
              <w:spacing w:after="0"/>
              <w:rPr>
                <w:sz w:val="2"/>
                <w:szCs w:val="2"/>
                <w:color w:val="auto"/>
              </w:rPr>
            </w:pPr>
          </w:p>
        </w:tc>
        <w:tc>
          <w:tcPr>
            <w:tcW w:w="880" w:type="dxa"/>
            <w:vAlign w:val="bottom"/>
          </w:tcPr>
          <w:p>
            <w:pPr>
              <w:spacing w:after="0"/>
              <w:rPr>
                <w:sz w:val="2"/>
                <w:szCs w:val="2"/>
                <w:color w:val="auto"/>
              </w:rPr>
            </w:pPr>
          </w:p>
        </w:tc>
        <w:tc>
          <w:tcPr>
            <w:tcW w:w="160" w:type="dxa"/>
            <w:vAlign w:val="bottom"/>
          </w:tcPr>
          <w:p>
            <w:pPr>
              <w:spacing w:after="0"/>
              <w:rPr>
                <w:sz w:val="2"/>
                <w:szCs w:val="2"/>
                <w:color w:val="auto"/>
              </w:rPr>
            </w:pPr>
          </w:p>
        </w:tc>
        <w:tc>
          <w:tcPr>
            <w:tcW w:w="110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10"/>
        </w:trPr>
        <w:tc>
          <w:tcPr>
            <w:tcW w:w="4800" w:type="dxa"/>
            <w:vAlign w:val="bottom"/>
            <w:gridSpan w:val="2"/>
            <w:vMerge w:val="continue"/>
          </w:tcPr>
          <w:p>
            <w:pPr>
              <w:spacing w:after="0"/>
              <w:rPr>
                <w:sz w:val="18"/>
                <w:szCs w:val="18"/>
                <w:color w:val="auto"/>
              </w:rPr>
            </w:pPr>
          </w:p>
        </w:tc>
        <w:tc>
          <w:tcPr>
            <w:tcW w:w="9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108,038</w:t>
            </w:r>
          </w:p>
        </w:tc>
        <w:tc>
          <w:tcPr>
            <w:tcW w:w="160" w:type="dxa"/>
            <w:vAlign w:val="bottom"/>
          </w:tcPr>
          <w:p>
            <w:pPr>
              <w:spacing w:after="0"/>
              <w:rPr>
                <w:sz w:val="18"/>
                <w:szCs w:val="18"/>
                <w:color w:val="auto"/>
              </w:rPr>
            </w:pPr>
          </w:p>
        </w:tc>
        <w:tc>
          <w:tcPr>
            <w:tcW w:w="9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95,991</w:t>
            </w:r>
          </w:p>
        </w:tc>
        <w:tc>
          <w:tcPr>
            <w:tcW w:w="160" w:type="dxa"/>
            <w:vAlign w:val="bottom"/>
          </w:tcPr>
          <w:p>
            <w:pPr>
              <w:spacing w:after="0"/>
              <w:rPr>
                <w:sz w:val="18"/>
                <w:szCs w:val="18"/>
                <w:color w:val="auto"/>
              </w:rPr>
            </w:pPr>
          </w:p>
        </w:tc>
        <w:tc>
          <w:tcPr>
            <w:tcW w:w="9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159,278</w:t>
            </w:r>
          </w:p>
        </w:tc>
        <w:tc>
          <w:tcPr>
            <w:tcW w:w="160" w:type="dxa"/>
            <w:vAlign w:val="bottom"/>
          </w:tcPr>
          <w:p>
            <w:pPr>
              <w:spacing w:after="0"/>
              <w:rPr>
                <w:sz w:val="18"/>
                <w:szCs w:val="18"/>
                <w:color w:val="auto"/>
              </w:rPr>
            </w:pPr>
          </w:p>
        </w:tc>
        <w:tc>
          <w:tcPr>
            <w:tcW w:w="80" w:type="dxa"/>
            <w:vAlign w:val="bottom"/>
            <w:tcBorders>
              <w:top w:val="single" w:sz="8" w:color="auto"/>
            </w:tcBorders>
          </w:tcPr>
          <w:p>
            <w:pPr>
              <w:spacing w:after="0"/>
              <w:rPr>
                <w:sz w:val="18"/>
                <w:szCs w:val="18"/>
                <w:color w:val="auto"/>
              </w:rPr>
            </w:pPr>
          </w:p>
        </w:tc>
        <w:tc>
          <w:tcPr>
            <w:tcW w:w="8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260,643</w:t>
            </w:r>
          </w:p>
        </w:tc>
        <w:tc>
          <w:tcPr>
            <w:tcW w:w="160" w:type="dxa"/>
            <w:vAlign w:val="bottom"/>
          </w:tcPr>
          <w:p>
            <w:pPr>
              <w:spacing w:after="0"/>
              <w:rPr>
                <w:sz w:val="18"/>
                <w:szCs w:val="18"/>
                <w:color w:val="auto"/>
              </w:rPr>
            </w:pPr>
          </w:p>
        </w:tc>
        <w:tc>
          <w:tcPr>
            <w:tcW w:w="8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35,279</w:t>
            </w:r>
          </w:p>
        </w:tc>
        <w:tc>
          <w:tcPr>
            <w:tcW w:w="160" w:type="dxa"/>
            <w:vAlign w:val="bottom"/>
          </w:tcPr>
          <w:p>
            <w:pPr>
              <w:spacing w:after="0"/>
              <w:rPr>
                <w:sz w:val="18"/>
                <w:szCs w:val="18"/>
                <w:color w:val="auto"/>
              </w:rPr>
            </w:pPr>
          </w:p>
        </w:tc>
        <w:tc>
          <w:tcPr>
            <w:tcW w:w="1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3640" w:type="dxa"/>
            <w:vAlign w:val="bottom"/>
            <w:shd w:val="clear" w:color="auto" w:fill="CCEEFF"/>
          </w:tcPr>
          <w:p>
            <w:pPr>
              <w:spacing w:after="0"/>
              <w:rPr>
                <w:sz w:val="20"/>
                <w:szCs w:val="20"/>
                <w:color w:val="auto"/>
              </w:rPr>
            </w:pPr>
            <w:r>
              <w:rPr>
                <w:rFonts w:ascii="Arial" w:cs="Arial" w:eastAsia="Arial" w:hAnsi="Arial"/>
                <w:sz w:val="18"/>
                <w:szCs w:val="18"/>
                <w:color w:val="auto"/>
              </w:rPr>
              <w:t>Income and mining taxes (recoveries)</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21,500</w:t>
            </w:r>
          </w:p>
        </w:tc>
        <w:tc>
          <w:tcPr>
            <w:tcW w:w="160" w:type="dxa"/>
            <w:vAlign w:val="bottom"/>
            <w:shd w:val="clear" w:color="auto" w:fill="CCEEFF"/>
          </w:tcPr>
          <w:p>
            <w:pPr>
              <w:spacing w:after="0"/>
              <w:rPr>
                <w:sz w:val="18"/>
                <w:szCs w:val="18"/>
                <w:color w:val="auto"/>
              </w:rPr>
            </w:pP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22,824</w:t>
            </w:r>
          </w:p>
        </w:tc>
        <w:tc>
          <w:tcPr>
            <w:tcW w:w="11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19,933</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99,306</w:t>
            </w:r>
          </w:p>
        </w:tc>
        <w:tc>
          <w:tcPr>
            <w:tcW w:w="16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(1,715)</w:t>
            </w:r>
          </w:p>
        </w:tc>
        <w:tc>
          <w:tcPr>
            <w:tcW w:w="1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4800" w:type="dxa"/>
            <w:vAlign w:val="bottom"/>
            <w:gridSpan w:val="2"/>
            <w:vMerge w:val="restart"/>
          </w:tcPr>
          <w:p>
            <w:pPr>
              <w:ind w:left="1140"/>
              <w:spacing w:after="0"/>
              <w:rPr>
                <w:sz w:val="20"/>
                <w:szCs w:val="20"/>
                <w:color w:val="auto"/>
              </w:rPr>
            </w:pPr>
            <w:r>
              <w:rPr>
                <w:rFonts w:ascii="Arial" w:cs="Arial" w:eastAsia="Arial" w:hAnsi="Arial"/>
                <w:sz w:val="18"/>
                <w:szCs w:val="18"/>
                <w:color w:val="auto"/>
              </w:rPr>
              <w:t>Net income</w:t>
            </w:r>
          </w:p>
        </w:tc>
        <w:tc>
          <w:tcPr>
            <w:tcW w:w="960" w:type="dxa"/>
            <w:vAlign w:val="bottom"/>
          </w:tcPr>
          <w:p>
            <w:pPr>
              <w:spacing w:after="0"/>
              <w:rPr>
                <w:sz w:val="2"/>
                <w:szCs w:val="2"/>
                <w:color w:val="auto"/>
              </w:rPr>
            </w:pPr>
          </w:p>
        </w:tc>
        <w:tc>
          <w:tcPr>
            <w:tcW w:w="160" w:type="dxa"/>
            <w:vAlign w:val="bottom"/>
          </w:tcPr>
          <w:p>
            <w:pPr>
              <w:spacing w:after="0"/>
              <w:rPr>
                <w:sz w:val="2"/>
                <w:szCs w:val="2"/>
                <w:color w:val="auto"/>
              </w:rPr>
            </w:pPr>
          </w:p>
        </w:tc>
        <w:tc>
          <w:tcPr>
            <w:tcW w:w="960" w:type="dxa"/>
            <w:vAlign w:val="bottom"/>
          </w:tcPr>
          <w:p>
            <w:pPr>
              <w:spacing w:after="0"/>
              <w:rPr>
                <w:sz w:val="2"/>
                <w:szCs w:val="2"/>
                <w:color w:val="auto"/>
              </w:rPr>
            </w:pPr>
          </w:p>
        </w:tc>
        <w:tc>
          <w:tcPr>
            <w:tcW w:w="1120" w:type="dxa"/>
            <w:vAlign w:val="bottom"/>
            <w:gridSpan w:val="2"/>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Pr>
          <w:p>
            <w:pPr>
              <w:spacing w:after="0"/>
              <w:rPr>
                <w:sz w:val="2"/>
                <w:szCs w:val="2"/>
                <w:color w:val="auto"/>
              </w:rPr>
            </w:pPr>
          </w:p>
        </w:tc>
        <w:tc>
          <w:tcPr>
            <w:tcW w:w="880" w:type="dxa"/>
            <w:vAlign w:val="bottom"/>
          </w:tcPr>
          <w:p>
            <w:pPr>
              <w:spacing w:after="0"/>
              <w:rPr>
                <w:sz w:val="2"/>
                <w:szCs w:val="2"/>
                <w:color w:val="auto"/>
              </w:rPr>
            </w:pPr>
          </w:p>
        </w:tc>
        <w:tc>
          <w:tcPr>
            <w:tcW w:w="160" w:type="dxa"/>
            <w:vAlign w:val="bottom"/>
          </w:tcPr>
          <w:p>
            <w:pPr>
              <w:spacing w:after="0"/>
              <w:rPr>
                <w:sz w:val="2"/>
                <w:szCs w:val="2"/>
                <w:color w:val="auto"/>
              </w:rPr>
            </w:pPr>
          </w:p>
        </w:tc>
        <w:tc>
          <w:tcPr>
            <w:tcW w:w="880" w:type="dxa"/>
            <w:vAlign w:val="bottom"/>
          </w:tcPr>
          <w:p>
            <w:pPr>
              <w:spacing w:after="0"/>
              <w:rPr>
                <w:sz w:val="2"/>
                <w:szCs w:val="2"/>
                <w:color w:val="auto"/>
              </w:rPr>
            </w:pPr>
          </w:p>
        </w:tc>
        <w:tc>
          <w:tcPr>
            <w:tcW w:w="160" w:type="dxa"/>
            <w:vAlign w:val="bottom"/>
          </w:tcPr>
          <w:p>
            <w:pPr>
              <w:spacing w:after="0"/>
              <w:rPr>
                <w:sz w:val="2"/>
                <w:szCs w:val="2"/>
                <w:color w:val="auto"/>
              </w:rPr>
            </w:pPr>
          </w:p>
        </w:tc>
        <w:tc>
          <w:tcPr>
            <w:tcW w:w="110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16"/>
        </w:trPr>
        <w:tc>
          <w:tcPr>
            <w:tcW w:w="4800" w:type="dxa"/>
            <w:vAlign w:val="bottom"/>
            <w:gridSpan w:val="2"/>
            <w:vMerge w:val="continue"/>
          </w:tcPr>
          <w:p>
            <w:pPr>
              <w:spacing w:after="0"/>
              <w:rPr>
                <w:sz w:val="18"/>
                <w:szCs w:val="18"/>
                <w:color w:val="auto"/>
              </w:rPr>
            </w:pPr>
          </w:p>
        </w:tc>
        <w:tc>
          <w:tcPr>
            <w:tcW w:w="9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86,538</w:t>
            </w:r>
          </w:p>
        </w:tc>
        <w:tc>
          <w:tcPr>
            <w:tcW w:w="160" w:type="dxa"/>
            <w:vAlign w:val="bottom"/>
          </w:tcPr>
          <w:p>
            <w:pPr>
              <w:spacing w:after="0"/>
              <w:rPr>
                <w:sz w:val="18"/>
                <w:szCs w:val="18"/>
                <w:color w:val="auto"/>
              </w:rPr>
            </w:pPr>
          </w:p>
        </w:tc>
        <w:tc>
          <w:tcPr>
            <w:tcW w:w="9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73,167</w:t>
            </w:r>
          </w:p>
        </w:tc>
        <w:tc>
          <w:tcPr>
            <w:tcW w:w="160" w:type="dxa"/>
            <w:vAlign w:val="bottom"/>
          </w:tcPr>
          <w:p>
            <w:pPr>
              <w:spacing w:after="0"/>
              <w:rPr>
                <w:sz w:val="18"/>
                <w:szCs w:val="18"/>
                <w:color w:val="auto"/>
              </w:rPr>
            </w:pPr>
          </w:p>
        </w:tc>
        <w:tc>
          <w:tcPr>
            <w:tcW w:w="9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139,345</w:t>
            </w:r>
          </w:p>
        </w:tc>
        <w:tc>
          <w:tcPr>
            <w:tcW w:w="160" w:type="dxa"/>
            <w:vAlign w:val="bottom"/>
          </w:tcPr>
          <w:p>
            <w:pPr>
              <w:spacing w:after="0"/>
              <w:rPr>
                <w:sz w:val="18"/>
                <w:szCs w:val="18"/>
                <w:color w:val="auto"/>
              </w:rPr>
            </w:pPr>
          </w:p>
        </w:tc>
        <w:tc>
          <w:tcPr>
            <w:tcW w:w="80" w:type="dxa"/>
            <w:vAlign w:val="bottom"/>
            <w:tcBorders>
              <w:top w:val="single" w:sz="8" w:color="auto"/>
            </w:tcBorders>
          </w:tcPr>
          <w:p>
            <w:pPr>
              <w:spacing w:after="0"/>
              <w:rPr>
                <w:sz w:val="18"/>
                <w:szCs w:val="18"/>
                <w:color w:val="auto"/>
              </w:rPr>
            </w:pPr>
          </w:p>
        </w:tc>
        <w:tc>
          <w:tcPr>
            <w:tcW w:w="8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161,337</w:t>
            </w:r>
          </w:p>
        </w:tc>
        <w:tc>
          <w:tcPr>
            <w:tcW w:w="160" w:type="dxa"/>
            <w:vAlign w:val="bottom"/>
          </w:tcPr>
          <w:p>
            <w:pPr>
              <w:spacing w:after="0"/>
              <w:rPr>
                <w:sz w:val="18"/>
                <w:szCs w:val="18"/>
                <w:color w:val="auto"/>
              </w:rPr>
            </w:pPr>
          </w:p>
        </w:tc>
        <w:tc>
          <w:tcPr>
            <w:tcW w:w="8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36,994</w:t>
            </w:r>
          </w:p>
        </w:tc>
        <w:tc>
          <w:tcPr>
            <w:tcW w:w="160" w:type="dxa"/>
            <w:vAlign w:val="bottom"/>
          </w:tcPr>
          <w:p>
            <w:pPr>
              <w:spacing w:after="0"/>
              <w:rPr>
                <w:sz w:val="18"/>
                <w:szCs w:val="18"/>
                <w:color w:val="auto"/>
              </w:rPr>
            </w:pPr>
          </w:p>
        </w:tc>
        <w:tc>
          <w:tcPr>
            <w:tcW w:w="1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
        </w:trPr>
        <w:tc>
          <w:tcPr>
            <w:tcW w:w="1160" w:type="dxa"/>
            <w:vAlign w:val="bottom"/>
          </w:tcPr>
          <w:p>
            <w:pPr>
              <w:spacing w:after="0" w:line="20" w:lineRule="exact"/>
              <w:rPr>
                <w:sz w:val="1"/>
                <w:szCs w:val="1"/>
                <w:color w:val="auto"/>
              </w:rPr>
            </w:pPr>
          </w:p>
        </w:tc>
        <w:tc>
          <w:tcPr>
            <w:tcW w:w="3640" w:type="dxa"/>
            <w:vAlign w:val="bottom"/>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10"/>
        </w:trPr>
        <w:tc>
          <w:tcPr>
            <w:tcW w:w="1160" w:type="dxa"/>
            <w:vAlign w:val="bottom"/>
          </w:tcPr>
          <w:p>
            <w:pPr>
              <w:spacing w:after="0"/>
              <w:rPr>
                <w:sz w:val="18"/>
                <w:szCs w:val="18"/>
                <w:color w:val="auto"/>
              </w:rPr>
            </w:pPr>
          </w:p>
        </w:tc>
        <w:tc>
          <w:tcPr>
            <w:tcW w:w="3640" w:type="dxa"/>
            <w:vAlign w:val="bottom"/>
            <w:shd w:val="clear" w:color="auto" w:fill="CCEEFF"/>
          </w:tcPr>
          <w:p>
            <w:pPr>
              <w:spacing w:after="0"/>
              <w:rPr>
                <w:sz w:val="20"/>
                <w:szCs w:val="20"/>
                <w:color w:val="auto"/>
              </w:rPr>
            </w:pPr>
            <w:r>
              <w:rPr>
                <w:rFonts w:ascii="Arial" w:cs="Arial" w:eastAsia="Arial" w:hAnsi="Arial"/>
                <w:sz w:val="18"/>
                <w:szCs w:val="18"/>
                <w:color w:val="auto"/>
              </w:rPr>
              <w:t>Net income per share — basic</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0.55</w:t>
            </w:r>
          </w:p>
        </w:tc>
        <w:tc>
          <w:tcPr>
            <w:tcW w:w="160" w:type="dxa"/>
            <w:vAlign w:val="bottom"/>
            <w:shd w:val="clear" w:color="auto" w:fill="CCEEFF"/>
          </w:tcPr>
          <w:p>
            <w:pPr>
              <w:spacing w:after="0"/>
              <w:rPr>
                <w:sz w:val="18"/>
                <w:szCs w:val="18"/>
                <w:color w:val="auto"/>
              </w:rPr>
            </w:pP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0.51</w:t>
            </w:r>
          </w:p>
        </w:tc>
        <w:tc>
          <w:tcPr>
            <w:tcW w:w="11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1.05</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1.40</w:t>
            </w: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0.42</w:t>
            </w:r>
          </w:p>
        </w:tc>
        <w:tc>
          <w:tcPr>
            <w:tcW w:w="160" w:type="dxa"/>
            <w:vAlign w:val="bottom"/>
            <w:shd w:val="clear" w:color="auto" w:fill="CCEEFF"/>
          </w:tcPr>
          <w:p>
            <w:pPr>
              <w:spacing w:after="0"/>
              <w:rPr>
                <w:sz w:val="18"/>
                <w:szCs w:val="18"/>
                <w:color w:val="auto"/>
              </w:rPr>
            </w:pPr>
          </w:p>
        </w:tc>
        <w:tc>
          <w:tcPr>
            <w:tcW w:w="1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4800" w:type="dxa"/>
            <w:vAlign w:val="bottom"/>
            <w:gridSpan w:val="2"/>
            <w:vMerge w:val="restart"/>
          </w:tcPr>
          <w:p>
            <w:pPr>
              <w:ind w:left="1140"/>
              <w:spacing w:after="0"/>
              <w:rPr>
                <w:sz w:val="20"/>
                <w:szCs w:val="20"/>
                <w:color w:val="auto"/>
              </w:rPr>
            </w:pPr>
            <w:r>
              <w:rPr>
                <w:rFonts w:ascii="Arial" w:cs="Arial" w:eastAsia="Arial" w:hAnsi="Arial"/>
                <w:sz w:val="18"/>
                <w:szCs w:val="18"/>
                <w:color w:val="auto"/>
              </w:rPr>
              <w:t>Net income per share — diluted</w:t>
            </w:r>
          </w:p>
        </w:tc>
        <w:tc>
          <w:tcPr>
            <w:tcW w:w="960" w:type="dxa"/>
            <w:vAlign w:val="bottom"/>
          </w:tcPr>
          <w:p>
            <w:pPr>
              <w:spacing w:after="0"/>
              <w:rPr>
                <w:sz w:val="2"/>
                <w:szCs w:val="2"/>
                <w:color w:val="auto"/>
              </w:rPr>
            </w:pPr>
          </w:p>
        </w:tc>
        <w:tc>
          <w:tcPr>
            <w:tcW w:w="160" w:type="dxa"/>
            <w:vAlign w:val="bottom"/>
          </w:tcPr>
          <w:p>
            <w:pPr>
              <w:spacing w:after="0"/>
              <w:rPr>
                <w:sz w:val="2"/>
                <w:szCs w:val="2"/>
                <w:color w:val="auto"/>
              </w:rPr>
            </w:pPr>
          </w:p>
        </w:tc>
        <w:tc>
          <w:tcPr>
            <w:tcW w:w="960" w:type="dxa"/>
            <w:vAlign w:val="bottom"/>
          </w:tcPr>
          <w:p>
            <w:pPr>
              <w:spacing w:after="0"/>
              <w:rPr>
                <w:sz w:val="2"/>
                <w:szCs w:val="2"/>
                <w:color w:val="auto"/>
              </w:rPr>
            </w:pPr>
          </w:p>
        </w:tc>
        <w:tc>
          <w:tcPr>
            <w:tcW w:w="1120" w:type="dxa"/>
            <w:vAlign w:val="bottom"/>
            <w:gridSpan w:val="2"/>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Pr>
          <w:p>
            <w:pPr>
              <w:spacing w:after="0"/>
              <w:rPr>
                <w:sz w:val="2"/>
                <w:szCs w:val="2"/>
                <w:color w:val="auto"/>
              </w:rPr>
            </w:pPr>
          </w:p>
        </w:tc>
        <w:tc>
          <w:tcPr>
            <w:tcW w:w="880" w:type="dxa"/>
            <w:vAlign w:val="bottom"/>
          </w:tcPr>
          <w:p>
            <w:pPr>
              <w:spacing w:after="0"/>
              <w:rPr>
                <w:sz w:val="2"/>
                <w:szCs w:val="2"/>
                <w:color w:val="auto"/>
              </w:rPr>
            </w:pPr>
          </w:p>
        </w:tc>
        <w:tc>
          <w:tcPr>
            <w:tcW w:w="160" w:type="dxa"/>
            <w:vAlign w:val="bottom"/>
          </w:tcPr>
          <w:p>
            <w:pPr>
              <w:spacing w:after="0"/>
              <w:rPr>
                <w:sz w:val="2"/>
                <w:szCs w:val="2"/>
                <w:color w:val="auto"/>
              </w:rPr>
            </w:pPr>
          </w:p>
        </w:tc>
        <w:tc>
          <w:tcPr>
            <w:tcW w:w="880" w:type="dxa"/>
            <w:vAlign w:val="bottom"/>
          </w:tcPr>
          <w:p>
            <w:pPr>
              <w:spacing w:after="0"/>
              <w:rPr>
                <w:sz w:val="2"/>
                <w:szCs w:val="2"/>
                <w:color w:val="auto"/>
              </w:rPr>
            </w:pPr>
          </w:p>
        </w:tc>
        <w:tc>
          <w:tcPr>
            <w:tcW w:w="160" w:type="dxa"/>
            <w:vAlign w:val="bottom"/>
          </w:tcPr>
          <w:p>
            <w:pPr>
              <w:spacing w:after="0"/>
              <w:rPr>
                <w:sz w:val="2"/>
                <w:szCs w:val="2"/>
                <w:color w:val="auto"/>
              </w:rPr>
            </w:pPr>
          </w:p>
        </w:tc>
        <w:tc>
          <w:tcPr>
            <w:tcW w:w="110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16"/>
        </w:trPr>
        <w:tc>
          <w:tcPr>
            <w:tcW w:w="4800" w:type="dxa"/>
            <w:vAlign w:val="bottom"/>
            <w:gridSpan w:val="2"/>
            <w:vMerge w:val="continue"/>
          </w:tcPr>
          <w:p>
            <w:pPr>
              <w:spacing w:after="0"/>
              <w:rPr>
                <w:sz w:val="18"/>
                <w:szCs w:val="18"/>
                <w:color w:val="auto"/>
              </w:rPr>
            </w:pPr>
          </w:p>
        </w:tc>
        <w:tc>
          <w:tcPr>
            <w:tcW w:w="9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0.55</w:t>
            </w:r>
          </w:p>
        </w:tc>
        <w:tc>
          <w:tcPr>
            <w:tcW w:w="160" w:type="dxa"/>
            <w:vAlign w:val="bottom"/>
          </w:tcPr>
          <w:p>
            <w:pPr>
              <w:spacing w:after="0"/>
              <w:rPr>
                <w:sz w:val="18"/>
                <w:szCs w:val="18"/>
                <w:color w:val="auto"/>
              </w:rPr>
            </w:pPr>
          </w:p>
        </w:tc>
        <w:tc>
          <w:tcPr>
            <w:tcW w:w="9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0.50</w:t>
            </w:r>
          </w:p>
        </w:tc>
        <w:tc>
          <w:tcPr>
            <w:tcW w:w="160" w:type="dxa"/>
            <w:vAlign w:val="bottom"/>
          </w:tcPr>
          <w:p>
            <w:pPr>
              <w:spacing w:after="0"/>
              <w:rPr>
                <w:sz w:val="18"/>
                <w:szCs w:val="18"/>
                <w:color w:val="auto"/>
              </w:rPr>
            </w:pPr>
          </w:p>
        </w:tc>
        <w:tc>
          <w:tcPr>
            <w:tcW w:w="9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1.04</w:t>
            </w:r>
          </w:p>
        </w:tc>
        <w:tc>
          <w:tcPr>
            <w:tcW w:w="160" w:type="dxa"/>
            <w:vAlign w:val="bottom"/>
          </w:tcPr>
          <w:p>
            <w:pPr>
              <w:spacing w:after="0"/>
              <w:rPr>
                <w:sz w:val="18"/>
                <w:szCs w:val="18"/>
                <w:color w:val="auto"/>
              </w:rPr>
            </w:pPr>
          </w:p>
        </w:tc>
        <w:tc>
          <w:tcPr>
            <w:tcW w:w="80" w:type="dxa"/>
            <w:vAlign w:val="bottom"/>
            <w:tcBorders>
              <w:top w:val="single" w:sz="8" w:color="auto"/>
            </w:tcBorders>
          </w:tcPr>
          <w:p>
            <w:pPr>
              <w:spacing w:after="0"/>
              <w:rPr>
                <w:sz w:val="18"/>
                <w:szCs w:val="18"/>
                <w:color w:val="auto"/>
              </w:rPr>
            </w:pPr>
          </w:p>
        </w:tc>
        <w:tc>
          <w:tcPr>
            <w:tcW w:w="8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1.35</w:t>
            </w:r>
          </w:p>
        </w:tc>
        <w:tc>
          <w:tcPr>
            <w:tcW w:w="160" w:type="dxa"/>
            <w:vAlign w:val="bottom"/>
          </w:tcPr>
          <w:p>
            <w:pPr>
              <w:spacing w:after="0"/>
              <w:rPr>
                <w:sz w:val="18"/>
                <w:szCs w:val="18"/>
                <w:color w:val="auto"/>
              </w:rPr>
            </w:pPr>
          </w:p>
        </w:tc>
        <w:tc>
          <w:tcPr>
            <w:tcW w:w="8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0.42</w:t>
            </w:r>
          </w:p>
        </w:tc>
        <w:tc>
          <w:tcPr>
            <w:tcW w:w="160" w:type="dxa"/>
            <w:vAlign w:val="bottom"/>
          </w:tcPr>
          <w:p>
            <w:pPr>
              <w:spacing w:after="0"/>
              <w:rPr>
                <w:sz w:val="18"/>
                <w:szCs w:val="18"/>
                <w:color w:val="auto"/>
              </w:rPr>
            </w:pPr>
          </w:p>
        </w:tc>
        <w:tc>
          <w:tcPr>
            <w:tcW w:w="1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
        </w:trPr>
        <w:tc>
          <w:tcPr>
            <w:tcW w:w="1160" w:type="dxa"/>
            <w:vAlign w:val="bottom"/>
          </w:tcPr>
          <w:p>
            <w:pPr>
              <w:spacing w:after="0" w:line="20" w:lineRule="exact"/>
              <w:rPr>
                <w:sz w:val="1"/>
                <w:szCs w:val="1"/>
                <w:color w:val="auto"/>
              </w:rPr>
            </w:pPr>
          </w:p>
        </w:tc>
        <w:tc>
          <w:tcPr>
            <w:tcW w:w="3640" w:type="dxa"/>
            <w:vAlign w:val="bottom"/>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01"/>
        </w:trPr>
        <w:tc>
          <w:tcPr>
            <w:tcW w:w="1160" w:type="dxa"/>
            <w:vAlign w:val="bottom"/>
          </w:tcPr>
          <w:p>
            <w:pPr>
              <w:spacing w:after="0"/>
              <w:rPr>
                <w:sz w:val="17"/>
                <w:szCs w:val="17"/>
                <w:color w:val="auto"/>
              </w:rPr>
            </w:pPr>
          </w:p>
        </w:tc>
        <w:tc>
          <w:tcPr>
            <w:tcW w:w="364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Weighted average number of shares</w:t>
            </w:r>
          </w:p>
        </w:tc>
        <w:tc>
          <w:tcPr>
            <w:tcW w:w="9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24"/>
        </w:trPr>
        <w:tc>
          <w:tcPr>
            <w:tcW w:w="1160" w:type="dxa"/>
            <w:vAlign w:val="bottom"/>
          </w:tcPr>
          <w:p>
            <w:pPr>
              <w:spacing w:after="0"/>
              <w:rPr>
                <w:sz w:val="19"/>
                <w:szCs w:val="19"/>
                <w:color w:val="auto"/>
              </w:rPr>
            </w:pPr>
          </w:p>
        </w:tc>
        <w:tc>
          <w:tcPr>
            <w:tcW w:w="36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outstanding — basic</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3"/>
              </w:rPr>
              <w:t>155,942,151</w:t>
            </w:r>
          </w:p>
        </w:tc>
        <w:tc>
          <w:tcPr>
            <w:tcW w:w="160" w:type="dxa"/>
            <w:vAlign w:val="bottom"/>
            <w:shd w:val="clear" w:color="auto" w:fill="CCEEFF"/>
          </w:tcPr>
          <w:p>
            <w:pPr>
              <w:spacing w:after="0"/>
              <w:rPr>
                <w:sz w:val="19"/>
                <w:szCs w:val="19"/>
                <w:color w:val="auto"/>
              </w:rPr>
            </w:pP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3"/>
              </w:rPr>
              <w:t>144,740,658</w:t>
            </w:r>
          </w:p>
        </w:tc>
        <w:tc>
          <w:tcPr>
            <w:tcW w:w="11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132,768,049</w:t>
            </w:r>
          </w:p>
        </w:tc>
        <w:tc>
          <w:tcPr>
            <w:tcW w:w="1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5"/>
              </w:rPr>
              <w:t>115,461,046</w:t>
            </w:r>
          </w:p>
        </w:tc>
        <w:tc>
          <w:tcPr>
            <w:tcW w:w="160" w:type="dxa"/>
            <w:vAlign w:val="bottom"/>
            <w:shd w:val="clear" w:color="auto" w:fill="CCEEFF"/>
          </w:tcPr>
          <w:p>
            <w:pPr>
              <w:spacing w:after="0"/>
              <w:rPr>
                <w:sz w:val="19"/>
                <w:szCs w:val="19"/>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89,029,754</w:t>
            </w:r>
          </w:p>
        </w:tc>
        <w:tc>
          <w:tcPr>
            <w:tcW w:w="160" w:type="dxa"/>
            <w:vAlign w:val="bottom"/>
            <w:shd w:val="clear" w:color="auto" w:fill="CCEEFF"/>
          </w:tcPr>
          <w:p>
            <w:pPr>
              <w:spacing w:after="0"/>
              <w:rPr>
                <w:sz w:val="19"/>
                <w:szCs w:val="19"/>
                <w:color w:val="auto"/>
              </w:rPr>
            </w:pPr>
          </w:p>
        </w:tc>
        <w:tc>
          <w:tcPr>
            <w:tcW w:w="1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8"/>
        </w:trPr>
        <w:tc>
          <w:tcPr>
            <w:tcW w:w="1160" w:type="dxa"/>
            <w:vAlign w:val="bottom"/>
          </w:tcPr>
          <w:p>
            <w:pPr>
              <w:spacing w:after="0"/>
              <w:rPr>
                <w:sz w:val="18"/>
                <w:szCs w:val="18"/>
                <w:color w:val="auto"/>
              </w:rPr>
            </w:pPr>
          </w:p>
        </w:tc>
        <w:tc>
          <w:tcPr>
            <w:tcW w:w="3640" w:type="dxa"/>
            <w:vAlign w:val="bottom"/>
          </w:tcPr>
          <w:p>
            <w:pPr>
              <w:spacing w:after="0"/>
              <w:rPr>
                <w:sz w:val="20"/>
                <w:szCs w:val="20"/>
                <w:color w:val="auto"/>
              </w:rPr>
            </w:pPr>
            <w:r>
              <w:rPr>
                <w:rFonts w:ascii="Arial" w:cs="Arial" w:eastAsia="Arial" w:hAnsi="Arial"/>
                <w:sz w:val="18"/>
                <w:szCs w:val="18"/>
                <w:color w:val="auto"/>
              </w:rPr>
              <w:t>Weighted average number of shares</w:t>
            </w:r>
          </w:p>
        </w:tc>
        <w:tc>
          <w:tcPr>
            <w:tcW w:w="9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1160" w:type="dxa"/>
            <w:vAlign w:val="bottom"/>
          </w:tcPr>
          <w:p>
            <w:pPr>
              <w:spacing w:after="0"/>
              <w:rPr>
                <w:sz w:val="19"/>
                <w:szCs w:val="19"/>
                <w:color w:val="auto"/>
              </w:rPr>
            </w:pPr>
          </w:p>
        </w:tc>
        <w:tc>
          <w:tcPr>
            <w:tcW w:w="3640" w:type="dxa"/>
            <w:vAlign w:val="bottom"/>
          </w:tcPr>
          <w:p>
            <w:pPr>
              <w:ind w:left="160"/>
              <w:spacing w:after="0"/>
              <w:rPr>
                <w:sz w:val="20"/>
                <w:szCs w:val="20"/>
                <w:color w:val="auto"/>
              </w:rPr>
            </w:pPr>
            <w:r>
              <w:rPr>
                <w:rFonts w:ascii="Arial" w:cs="Arial" w:eastAsia="Arial" w:hAnsi="Arial"/>
                <w:sz w:val="18"/>
                <w:szCs w:val="18"/>
                <w:color w:val="auto"/>
              </w:rPr>
              <w:t>outstanding — diluted</w:t>
            </w:r>
          </w:p>
        </w:tc>
        <w:tc>
          <w:tcPr>
            <w:tcW w:w="960" w:type="dxa"/>
            <w:vAlign w:val="bottom"/>
          </w:tcPr>
          <w:p>
            <w:pPr>
              <w:jc w:val="right"/>
              <w:spacing w:after="0"/>
              <w:rPr>
                <w:sz w:val="20"/>
                <w:szCs w:val="20"/>
                <w:color w:val="auto"/>
              </w:rPr>
            </w:pPr>
            <w:r>
              <w:rPr>
                <w:rFonts w:ascii="Arial" w:cs="Arial" w:eastAsia="Arial" w:hAnsi="Arial"/>
                <w:sz w:val="18"/>
                <w:szCs w:val="18"/>
                <w:color w:val="auto"/>
                <w:w w:val="93"/>
              </w:rPr>
              <w:t>158,620,888</w:t>
            </w:r>
          </w:p>
        </w:tc>
        <w:tc>
          <w:tcPr>
            <w:tcW w:w="160" w:type="dxa"/>
            <w:vAlign w:val="bottom"/>
          </w:tcPr>
          <w:p>
            <w:pPr>
              <w:spacing w:after="0"/>
              <w:rPr>
                <w:sz w:val="19"/>
                <w:szCs w:val="19"/>
                <w:color w:val="auto"/>
              </w:rPr>
            </w:pPr>
          </w:p>
        </w:tc>
        <w:tc>
          <w:tcPr>
            <w:tcW w:w="960" w:type="dxa"/>
            <w:vAlign w:val="bottom"/>
          </w:tcPr>
          <w:p>
            <w:pPr>
              <w:jc w:val="right"/>
              <w:spacing w:after="0"/>
              <w:rPr>
                <w:sz w:val="20"/>
                <w:szCs w:val="20"/>
                <w:color w:val="auto"/>
              </w:rPr>
            </w:pPr>
            <w:r>
              <w:rPr>
                <w:rFonts w:ascii="Arial" w:cs="Arial" w:eastAsia="Arial" w:hAnsi="Arial"/>
                <w:sz w:val="18"/>
                <w:szCs w:val="18"/>
                <w:color w:val="auto"/>
                <w:w w:val="93"/>
              </w:rPr>
              <w:t>145,888,728</w:t>
            </w:r>
          </w:p>
        </w:tc>
        <w:tc>
          <w:tcPr>
            <w:tcW w:w="1120" w:type="dxa"/>
            <w:vAlign w:val="bottom"/>
            <w:gridSpan w:val="2"/>
          </w:tcPr>
          <w:p>
            <w:pPr>
              <w:jc w:val="right"/>
              <w:spacing w:after="0"/>
              <w:rPr>
                <w:sz w:val="20"/>
                <w:szCs w:val="20"/>
                <w:color w:val="auto"/>
              </w:rPr>
            </w:pPr>
            <w:r>
              <w:rPr>
                <w:rFonts w:ascii="Arial" w:cs="Arial" w:eastAsia="Arial" w:hAnsi="Arial"/>
                <w:sz w:val="18"/>
                <w:szCs w:val="18"/>
                <w:color w:val="auto"/>
              </w:rPr>
              <w:t>133,957,869</w:t>
            </w: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w w:val="85"/>
              </w:rPr>
              <w:t>119,110,295</w:t>
            </w:r>
          </w:p>
        </w:tc>
        <w:tc>
          <w:tcPr>
            <w:tcW w:w="16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w w:val="95"/>
              </w:rPr>
              <w:t>89,512,799</w:t>
            </w:r>
          </w:p>
        </w:tc>
        <w:tc>
          <w:tcPr>
            <w:tcW w:w="160" w:type="dxa"/>
            <w:vAlign w:val="bottom"/>
          </w:tcPr>
          <w:p>
            <w:pPr>
              <w:spacing w:after="0"/>
              <w:rPr>
                <w:sz w:val="19"/>
                <w:szCs w:val="19"/>
                <w:color w:val="auto"/>
              </w:rPr>
            </w:pPr>
          </w:p>
        </w:tc>
        <w:tc>
          <w:tcPr>
            <w:tcW w:w="1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8"/>
        </w:trPr>
        <w:tc>
          <w:tcPr>
            <w:tcW w:w="1160" w:type="dxa"/>
            <w:vAlign w:val="bottom"/>
          </w:tcPr>
          <w:p>
            <w:pPr>
              <w:spacing w:after="0"/>
              <w:rPr>
                <w:sz w:val="18"/>
                <w:szCs w:val="18"/>
                <w:color w:val="auto"/>
              </w:rPr>
            </w:pPr>
          </w:p>
        </w:tc>
        <w:tc>
          <w:tcPr>
            <w:tcW w:w="3640" w:type="dxa"/>
            <w:vAlign w:val="bottom"/>
            <w:shd w:val="clear" w:color="auto" w:fill="CCEEFF"/>
          </w:tcPr>
          <w:p>
            <w:pPr>
              <w:spacing w:after="0"/>
              <w:rPr>
                <w:sz w:val="20"/>
                <w:szCs w:val="20"/>
                <w:color w:val="auto"/>
              </w:rPr>
            </w:pPr>
            <w:r>
              <w:rPr>
                <w:rFonts w:ascii="Arial" w:cs="Arial" w:eastAsia="Arial" w:hAnsi="Arial"/>
                <w:sz w:val="18"/>
                <w:szCs w:val="18"/>
                <w:color w:val="auto"/>
              </w:rPr>
              <w:t>Dividends declared per common share</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0.18</w:t>
            </w:r>
          </w:p>
        </w:tc>
        <w:tc>
          <w:tcPr>
            <w:tcW w:w="160" w:type="dxa"/>
            <w:vAlign w:val="bottom"/>
            <w:shd w:val="clear" w:color="auto" w:fill="CCEEFF"/>
          </w:tcPr>
          <w:p>
            <w:pPr>
              <w:spacing w:after="0"/>
              <w:rPr>
                <w:sz w:val="18"/>
                <w:szCs w:val="18"/>
                <w:color w:val="auto"/>
              </w:rPr>
            </w:pP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0.18</w:t>
            </w:r>
          </w:p>
        </w:tc>
        <w:tc>
          <w:tcPr>
            <w:tcW w:w="11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0.18</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0.12</w:t>
            </w: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0.03</w:t>
            </w:r>
          </w:p>
        </w:tc>
        <w:tc>
          <w:tcPr>
            <w:tcW w:w="160" w:type="dxa"/>
            <w:vAlign w:val="bottom"/>
            <w:shd w:val="clear" w:color="auto" w:fill="CCEEFF"/>
          </w:tcPr>
          <w:p>
            <w:pPr>
              <w:spacing w:after="0"/>
              <w:rPr>
                <w:sz w:val="18"/>
                <w:szCs w:val="18"/>
                <w:color w:val="auto"/>
              </w:rPr>
            </w:pPr>
          </w:p>
        </w:tc>
        <w:tc>
          <w:tcPr>
            <w:tcW w:w="1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30"/>
        </w:trPr>
        <w:tc>
          <w:tcPr>
            <w:tcW w:w="1160" w:type="dxa"/>
            <w:vAlign w:val="bottom"/>
          </w:tcPr>
          <w:p>
            <w:pPr>
              <w:spacing w:after="0"/>
              <w:rPr>
                <w:sz w:val="24"/>
                <w:szCs w:val="24"/>
                <w:color w:val="auto"/>
              </w:rPr>
            </w:pPr>
          </w:p>
        </w:tc>
        <w:tc>
          <w:tcPr>
            <w:tcW w:w="3640" w:type="dxa"/>
            <w:vAlign w:val="bottom"/>
          </w:tcPr>
          <w:p>
            <w:pPr>
              <w:spacing w:after="0"/>
              <w:rPr>
                <w:sz w:val="24"/>
                <w:szCs w:val="24"/>
                <w:color w:val="auto"/>
              </w:rPr>
            </w:pPr>
          </w:p>
        </w:tc>
        <w:tc>
          <w:tcPr>
            <w:tcW w:w="960" w:type="dxa"/>
            <w:vAlign w:val="bottom"/>
          </w:tcPr>
          <w:p>
            <w:pPr>
              <w:jc w:val="right"/>
              <w:spacing w:after="0"/>
              <w:rPr>
                <w:sz w:val="20"/>
                <w:szCs w:val="20"/>
                <w:color w:val="auto"/>
              </w:rPr>
            </w:pPr>
            <w:r>
              <w:rPr>
                <w:rFonts w:ascii="Arial" w:cs="Arial" w:eastAsia="Arial" w:hAnsi="Arial"/>
                <w:sz w:val="18"/>
                <w:szCs w:val="18"/>
                <w:color w:val="auto"/>
              </w:rPr>
              <w:t>4</w:t>
            </w:r>
          </w:p>
        </w:tc>
        <w:tc>
          <w:tcPr>
            <w:tcW w:w="16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1160" w:type="dxa"/>
            <w:vAlign w:val="bottom"/>
            <w:tcBorders>
              <w:bottom w:val="single" w:sz="8" w:color="808080"/>
            </w:tcBorders>
          </w:tcPr>
          <w:p>
            <w:pPr>
              <w:spacing w:after="0"/>
              <w:rPr>
                <w:sz w:val="19"/>
                <w:szCs w:val="19"/>
                <w:color w:val="auto"/>
              </w:rPr>
            </w:pPr>
          </w:p>
        </w:tc>
        <w:tc>
          <w:tcPr>
            <w:tcW w:w="3640" w:type="dxa"/>
            <w:vAlign w:val="bottom"/>
            <w:tcBorders>
              <w:bottom w:val="single" w:sz="8" w:color="808080"/>
            </w:tcBorders>
          </w:tcPr>
          <w:p>
            <w:pPr>
              <w:spacing w:after="0"/>
              <w:rPr>
                <w:sz w:val="19"/>
                <w:szCs w:val="19"/>
                <w:color w:val="auto"/>
              </w:rPr>
            </w:pPr>
          </w:p>
        </w:tc>
        <w:tc>
          <w:tcPr>
            <w:tcW w:w="96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96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96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80" w:type="dxa"/>
            <w:vAlign w:val="bottom"/>
            <w:tcBorders>
              <w:bottom w:val="single" w:sz="8" w:color="808080"/>
            </w:tcBorders>
          </w:tcPr>
          <w:p>
            <w:pPr>
              <w:spacing w:after="0"/>
              <w:rPr>
                <w:sz w:val="19"/>
                <w:szCs w:val="19"/>
                <w:color w:val="auto"/>
              </w:rPr>
            </w:pPr>
          </w:p>
        </w:tc>
        <w:tc>
          <w:tcPr>
            <w:tcW w:w="88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88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10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47" w:name="page48"/>
    <w:bookmarkEnd w:id="47"/>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340" w:type="dxa"/>
            <w:vAlign w:val="bottom"/>
          </w:tcPr>
          <w:p>
            <w:pPr>
              <w:spacing w:after="0"/>
              <w:rPr>
                <w:sz w:val="14"/>
                <w:szCs w:val="14"/>
                <w:color w:val="auto"/>
              </w:rPr>
            </w:pPr>
          </w:p>
        </w:tc>
        <w:tc>
          <w:tcPr>
            <w:tcW w:w="102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2440" w:type="dxa"/>
            <w:vAlign w:val="bottom"/>
            <w:tcBorders>
              <w:bottom w:val="single" w:sz="8" w:color="auto"/>
            </w:tcBorders>
            <w:gridSpan w:val="5"/>
          </w:tcPr>
          <w:p>
            <w:pPr>
              <w:jc w:val="center"/>
              <w:ind w:left="792"/>
              <w:spacing w:after="0"/>
              <w:rPr>
                <w:sz w:val="20"/>
                <w:szCs w:val="20"/>
                <w:color w:val="auto"/>
              </w:rPr>
            </w:pPr>
            <w:r>
              <w:rPr>
                <w:rFonts w:ascii="Arial" w:cs="Arial" w:eastAsia="Arial" w:hAnsi="Arial"/>
                <w:sz w:val="14"/>
                <w:szCs w:val="14"/>
                <w:b w:val="1"/>
                <w:bCs w:val="1"/>
                <w:color w:val="auto"/>
                <w:w w:val="87"/>
              </w:rPr>
              <w:t>Year Ended December 31,</w:t>
            </w:r>
          </w:p>
        </w:tc>
        <w:tc>
          <w:tcPr>
            <w:tcW w:w="94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94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r>
      <w:tr>
        <w:trPr>
          <w:trHeight w:val="142"/>
        </w:trPr>
        <w:tc>
          <w:tcPr>
            <w:tcW w:w="20" w:type="dxa"/>
            <w:vAlign w:val="bottom"/>
          </w:tcPr>
          <w:p>
            <w:pPr>
              <w:spacing w:after="0"/>
              <w:rPr>
                <w:sz w:val="12"/>
                <w:szCs w:val="12"/>
                <w:color w:val="auto"/>
              </w:rPr>
            </w:pPr>
          </w:p>
        </w:tc>
        <w:tc>
          <w:tcPr>
            <w:tcW w:w="3340" w:type="dxa"/>
            <w:vAlign w:val="bottom"/>
          </w:tcPr>
          <w:p>
            <w:pPr>
              <w:spacing w:after="0"/>
              <w:rPr>
                <w:sz w:val="12"/>
                <w:szCs w:val="12"/>
                <w:color w:val="auto"/>
              </w:rPr>
            </w:pPr>
          </w:p>
        </w:tc>
        <w:tc>
          <w:tcPr>
            <w:tcW w:w="1020" w:type="dxa"/>
            <w:vAlign w:val="bottom"/>
            <w:tcBorders>
              <w:bottom w:val="single" w:sz="8" w:color="auto"/>
            </w:tcBorders>
          </w:tcPr>
          <w:p>
            <w:pPr>
              <w:jc w:val="right"/>
              <w:ind w:right="294"/>
              <w:spacing w:after="0" w:line="142" w:lineRule="exact"/>
              <w:rPr>
                <w:sz w:val="20"/>
                <w:szCs w:val="20"/>
                <w:color w:val="auto"/>
              </w:rPr>
            </w:pPr>
            <w:r>
              <w:rPr>
                <w:rFonts w:ascii="Arial" w:cs="Arial" w:eastAsia="Arial" w:hAnsi="Arial"/>
                <w:sz w:val="14"/>
                <w:szCs w:val="14"/>
                <w:b w:val="1"/>
                <w:bCs w:val="1"/>
                <w:color w:val="auto"/>
              </w:rPr>
              <w:t>2009</w:t>
            </w:r>
          </w:p>
        </w:tc>
        <w:tc>
          <w:tcPr>
            <w:tcW w:w="160" w:type="dxa"/>
            <w:vAlign w:val="bottom"/>
          </w:tcPr>
          <w:p>
            <w:pPr>
              <w:spacing w:after="0"/>
              <w:rPr>
                <w:sz w:val="12"/>
                <w:szCs w:val="12"/>
                <w:color w:val="auto"/>
              </w:rPr>
            </w:pPr>
          </w:p>
        </w:tc>
        <w:tc>
          <w:tcPr>
            <w:tcW w:w="1020" w:type="dxa"/>
            <w:vAlign w:val="bottom"/>
            <w:tcBorders>
              <w:bottom w:val="single" w:sz="8" w:color="auto"/>
            </w:tcBorders>
          </w:tcPr>
          <w:p>
            <w:pPr>
              <w:jc w:val="right"/>
              <w:ind w:right="312"/>
              <w:spacing w:after="0" w:line="142" w:lineRule="exact"/>
              <w:rPr>
                <w:sz w:val="20"/>
                <w:szCs w:val="20"/>
                <w:color w:val="auto"/>
              </w:rPr>
            </w:pPr>
            <w:r>
              <w:rPr>
                <w:rFonts w:ascii="Arial" w:cs="Arial" w:eastAsia="Arial" w:hAnsi="Arial"/>
                <w:sz w:val="14"/>
                <w:szCs w:val="14"/>
                <w:b w:val="1"/>
                <w:bCs w:val="1"/>
                <w:color w:val="auto"/>
              </w:rPr>
              <w:t>2008</w:t>
            </w:r>
          </w:p>
        </w:tc>
        <w:tc>
          <w:tcPr>
            <w:tcW w:w="160" w:type="dxa"/>
            <w:vAlign w:val="bottom"/>
          </w:tcPr>
          <w:p>
            <w:pPr>
              <w:spacing w:after="0"/>
              <w:rPr>
                <w:sz w:val="12"/>
                <w:szCs w:val="12"/>
                <w:color w:val="auto"/>
              </w:rPr>
            </w:pPr>
          </w:p>
        </w:tc>
        <w:tc>
          <w:tcPr>
            <w:tcW w:w="1000" w:type="dxa"/>
            <w:vAlign w:val="bottom"/>
            <w:tcBorders>
              <w:bottom w:val="single" w:sz="8" w:color="auto"/>
            </w:tcBorders>
          </w:tcPr>
          <w:p>
            <w:pPr>
              <w:jc w:val="right"/>
              <w:ind w:right="282"/>
              <w:spacing w:after="0" w:line="142" w:lineRule="exact"/>
              <w:rPr>
                <w:sz w:val="20"/>
                <w:szCs w:val="20"/>
                <w:color w:val="auto"/>
              </w:rPr>
            </w:pPr>
            <w:r>
              <w:rPr>
                <w:rFonts w:ascii="Arial" w:cs="Arial" w:eastAsia="Arial" w:hAnsi="Arial"/>
                <w:sz w:val="14"/>
                <w:szCs w:val="14"/>
                <w:b w:val="1"/>
                <w:bCs w:val="1"/>
                <w:color w:val="auto"/>
              </w:rPr>
              <w:t>2007</w:t>
            </w:r>
          </w:p>
        </w:tc>
        <w:tc>
          <w:tcPr>
            <w:tcW w:w="180" w:type="dxa"/>
            <w:vAlign w:val="bottom"/>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940" w:type="dxa"/>
            <w:vAlign w:val="bottom"/>
            <w:tcBorders>
              <w:bottom w:val="single" w:sz="8" w:color="auto"/>
            </w:tcBorders>
          </w:tcPr>
          <w:p>
            <w:pPr>
              <w:jc w:val="right"/>
              <w:ind w:right="294"/>
              <w:spacing w:after="0" w:line="142" w:lineRule="exact"/>
              <w:rPr>
                <w:sz w:val="20"/>
                <w:szCs w:val="20"/>
                <w:color w:val="auto"/>
              </w:rPr>
            </w:pPr>
            <w:r>
              <w:rPr>
                <w:rFonts w:ascii="Arial" w:cs="Arial" w:eastAsia="Arial" w:hAnsi="Arial"/>
                <w:sz w:val="14"/>
                <w:szCs w:val="14"/>
                <w:b w:val="1"/>
                <w:bCs w:val="1"/>
                <w:color w:val="auto"/>
              </w:rPr>
              <w:t>2006</w:t>
            </w:r>
          </w:p>
        </w:tc>
        <w:tc>
          <w:tcPr>
            <w:tcW w:w="160" w:type="dxa"/>
            <w:vAlign w:val="bottom"/>
          </w:tcPr>
          <w:p>
            <w:pPr>
              <w:spacing w:after="0"/>
              <w:rPr>
                <w:sz w:val="12"/>
                <w:szCs w:val="12"/>
                <w:color w:val="auto"/>
              </w:rPr>
            </w:pPr>
          </w:p>
        </w:tc>
        <w:tc>
          <w:tcPr>
            <w:tcW w:w="940" w:type="dxa"/>
            <w:vAlign w:val="bottom"/>
            <w:tcBorders>
              <w:bottom w:val="single" w:sz="8" w:color="auto"/>
            </w:tcBorders>
          </w:tcPr>
          <w:p>
            <w:pPr>
              <w:jc w:val="right"/>
              <w:ind w:right="272"/>
              <w:spacing w:after="0" w:line="142" w:lineRule="exact"/>
              <w:rPr>
                <w:sz w:val="20"/>
                <w:szCs w:val="20"/>
                <w:color w:val="auto"/>
              </w:rPr>
            </w:pPr>
            <w:r>
              <w:rPr>
                <w:rFonts w:ascii="Arial" w:cs="Arial" w:eastAsia="Arial" w:hAnsi="Arial"/>
                <w:sz w:val="14"/>
                <w:szCs w:val="14"/>
                <w:b w:val="1"/>
                <w:bCs w:val="1"/>
                <w:color w:val="auto"/>
              </w:rPr>
              <w:t>2005</w:t>
            </w:r>
          </w:p>
        </w:tc>
        <w:tc>
          <w:tcPr>
            <w:tcW w:w="160" w:type="dxa"/>
            <w:vAlign w:val="bottom"/>
          </w:tcPr>
          <w:p>
            <w:pPr>
              <w:spacing w:after="0"/>
              <w:rPr>
                <w:sz w:val="12"/>
                <w:szCs w:val="12"/>
                <w:color w:val="auto"/>
              </w:rPr>
            </w:pPr>
          </w:p>
        </w:tc>
      </w:tr>
      <w:tr>
        <w:trPr>
          <w:trHeight w:val="129"/>
        </w:trPr>
        <w:tc>
          <w:tcPr>
            <w:tcW w:w="20" w:type="dxa"/>
            <w:vAlign w:val="bottom"/>
          </w:tcPr>
          <w:p>
            <w:pPr>
              <w:spacing w:after="0"/>
              <w:rPr>
                <w:sz w:val="11"/>
                <w:szCs w:val="11"/>
                <w:color w:val="auto"/>
              </w:rPr>
            </w:pPr>
          </w:p>
        </w:tc>
        <w:tc>
          <w:tcPr>
            <w:tcW w:w="3340" w:type="dxa"/>
            <w:vAlign w:val="bottom"/>
          </w:tcPr>
          <w:p>
            <w:pPr>
              <w:spacing w:after="0"/>
              <w:rPr>
                <w:sz w:val="11"/>
                <w:szCs w:val="11"/>
                <w:color w:val="auto"/>
              </w:rPr>
            </w:pPr>
          </w:p>
        </w:tc>
        <w:tc>
          <w:tcPr>
            <w:tcW w:w="10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020" w:type="dxa"/>
            <w:vAlign w:val="bottom"/>
          </w:tcPr>
          <w:p>
            <w:pPr>
              <w:jc w:val="right"/>
              <w:spacing w:after="0" w:line="129" w:lineRule="exact"/>
              <w:rPr>
                <w:sz w:val="20"/>
                <w:szCs w:val="20"/>
                <w:color w:val="auto"/>
              </w:rPr>
            </w:pPr>
            <w:r>
              <w:rPr>
                <w:rFonts w:ascii="Arial" w:cs="Arial" w:eastAsia="Arial" w:hAnsi="Arial"/>
                <w:sz w:val="14"/>
                <w:szCs w:val="14"/>
                <w:b w:val="1"/>
                <w:bCs w:val="1"/>
                <w:color w:val="auto"/>
              </w:rPr>
              <w:t>(in thousands</w:t>
            </w:r>
          </w:p>
        </w:tc>
        <w:tc>
          <w:tcPr>
            <w:tcW w:w="1160" w:type="dxa"/>
            <w:vAlign w:val="bottom"/>
            <w:gridSpan w:val="2"/>
          </w:tcPr>
          <w:p>
            <w:pPr>
              <w:jc w:val="center"/>
              <w:ind w:left="35"/>
              <w:spacing w:after="0" w:line="129" w:lineRule="exact"/>
              <w:rPr>
                <w:sz w:val="20"/>
                <w:szCs w:val="20"/>
                <w:color w:val="auto"/>
              </w:rPr>
            </w:pPr>
            <w:r>
              <w:rPr>
                <w:rFonts w:ascii="Arial" w:cs="Arial" w:eastAsia="Arial" w:hAnsi="Arial"/>
                <w:sz w:val="14"/>
                <w:szCs w:val="14"/>
                <w:b w:val="1"/>
                <w:bCs w:val="1"/>
                <w:color w:val="auto"/>
                <w:w w:val="85"/>
              </w:rPr>
              <w:t>of U.S. dollars, US</w:t>
            </w:r>
          </w:p>
        </w:tc>
        <w:tc>
          <w:tcPr>
            <w:tcW w:w="1200" w:type="dxa"/>
            <w:vAlign w:val="bottom"/>
            <w:gridSpan w:val="3"/>
          </w:tcPr>
          <w:p>
            <w:pPr>
              <w:jc w:val="right"/>
              <w:ind w:right="334"/>
              <w:spacing w:after="0" w:line="129" w:lineRule="exact"/>
              <w:rPr>
                <w:sz w:val="20"/>
                <w:szCs w:val="20"/>
                <w:color w:val="auto"/>
              </w:rPr>
            </w:pPr>
            <w:r>
              <w:rPr>
                <w:rFonts w:ascii="Arial" w:cs="Arial" w:eastAsia="Arial" w:hAnsi="Arial"/>
                <w:sz w:val="14"/>
                <w:szCs w:val="14"/>
                <w:b w:val="1"/>
                <w:bCs w:val="1"/>
                <w:color w:val="auto"/>
                <w:w w:val="90"/>
              </w:rPr>
              <w:t>GAAP basis,</w:t>
            </w:r>
          </w:p>
        </w:tc>
        <w:tc>
          <w:tcPr>
            <w:tcW w:w="160" w:type="dxa"/>
            <w:vAlign w:val="bottom"/>
          </w:tcPr>
          <w:p>
            <w:pPr>
              <w:spacing w:after="0"/>
              <w:rPr>
                <w:sz w:val="11"/>
                <w:szCs w:val="11"/>
                <w:color w:val="auto"/>
              </w:rPr>
            </w:pPr>
          </w:p>
        </w:tc>
        <w:tc>
          <w:tcPr>
            <w:tcW w:w="940" w:type="dxa"/>
            <w:vAlign w:val="bottom"/>
          </w:tcPr>
          <w:p>
            <w:pPr>
              <w:spacing w:after="0"/>
              <w:rPr>
                <w:sz w:val="11"/>
                <w:szCs w:val="11"/>
                <w:color w:val="auto"/>
              </w:rPr>
            </w:pPr>
          </w:p>
        </w:tc>
        <w:tc>
          <w:tcPr>
            <w:tcW w:w="160" w:type="dxa"/>
            <w:vAlign w:val="bottom"/>
          </w:tcPr>
          <w:p>
            <w:pPr>
              <w:spacing w:after="0"/>
              <w:rPr>
                <w:sz w:val="11"/>
                <w:szCs w:val="11"/>
                <w:color w:val="auto"/>
              </w:rPr>
            </w:pPr>
          </w:p>
        </w:tc>
      </w:tr>
      <w:tr>
        <w:trPr>
          <w:trHeight w:val="161"/>
        </w:trPr>
        <w:tc>
          <w:tcPr>
            <w:tcW w:w="20" w:type="dxa"/>
            <w:vAlign w:val="bottom"/>
          </w:tcPr>
          <w:p>
            <w:pPr>
              <w:spacing w:after="0"/>
              <w:rPr>
                <w:sz w:val="14"/>
                <w:szCs w:val="14"/>
                <w:color w:val="auto"/>
              </w:rPr>
            </w:pPr>
          </w:p>
        </w:tc>
        <w:tc>
          <w:tcPr>
            <w:tcW w:w="3340" w:type="dxa"/>
            <w:vAlign w:val="bottom"/>
          </w:tcPr>
          <w:p>
            <w:pPr>
              <w:spacing w:after="0"/>
              <w:rPr>
                <w:sz w:val="14"/>
                <w:szCs w:val="14"/>
                <w:color w:val="auto"/>
              </w:rPr>
            </w:pPr>
          </w:p>
        </w:tc>
        <w:tc>
          <w:tcPr>
            <w:tcW w:w="10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3380" w:type="dxa"/>
            <w:vAlign w:val="bottom"/>
            <w:gridSpan w:val="6"/>
          </w:tcPr>
          <w:p>
            <w:pPr>
              <w:jc w:val="center"/>
              <w:spacing w:after="0"/>
              <w:rPr>
                <w:sz w:val="20"/>
                <w:szCs w:val="20"/>
                <w:color w:val="auto"/>
              </w:rPr>
            </w:pPr>
            <w:r>
              <w:rPr>
                <w:rFonts w:ascii="Arial" w:cs="Arial" w:eastAsia="Arial" w:hAnsi="Arial"/>
                <w:sz w:val="14"/>
                <w:szCs w:val="14"/>
                <w:b w:val="1"/>
                <w:bCs w:val="1"/>
                <w:color w:val="auto"/>
                <w:w w:val="87"/>
              </w:rPr>
              <w:t>other than share and per share information)</w:t>
            </w:r>
          </w:p>
        </w:tc>
        <w:tc>
          <w:tcPr>
            <w:tcW w:w="160" w:type="dxa"/>
            <w:vAlign w:val="bottom"/>
          </w:tcPr>
          <w:p>
            <w:pPr>
              <w:spacing w:after="0"/>
              <w:rPr>
                <w:sz w:val="14"/>
                <w:szCs w:val="14"/>
                <w:color w:val="auto"/>
              </w:rPr>
            </w:pPr>
          </w:p>
        </w:tc>
        <w:tc>
          <w:tcPr>
            <w:tcW w:w="940" w:type="dxa"/>
            <w:vAlign w:val="bottom"/>
          </w:tcPr>
          <w:p>
            <w:pPr>
              <w:spacing w:after="0"/>
              <w:rPr>
                <w:sz w:val="14"/>
                <w:szCs w:val="14"/>
                <w:color w:val="auto"/>
              </w:rPr>
            </w:pPr>
          </w:p>
        </w:tc>
        <w:tc>
          <w:tcPr>
            <w:tcW w:w="160" w:type="dxa"/>
            <w:vAlign w:val="bottom"/>
          </w:tcPr>
          <w:p>
            <w:pPr>
              <w:spacing w:after="0"/>
              <w:rPr>
                <w:sz w:val="14"/>
                <w:szCs w:val="14"/>
                <w:color w:val="auto"/>
              </w:rPr>
            </w:pPr>
          </w:p>
        </w:tc>
      </w:tr>
      <w:tr>
        <w:trPr>
          <w:trHeight w:val="216"/>
        </w:trPr>
        <w:tc>
          <w:tcPr>
            <w:tcW w:w="20" w:type="dxa"/>
            <w:vAlign w:val="bottom"/>
          </w:tcPr>
          <w:p>
            <w:pPr>
              <w:spacing w:after="0"/>
              <w:rPr>
                <w:sz w:val="18"/>
                <w:szCs w:val="18"/>
                <w:color w:val="auto"/>
              </w:rPr>
            </w:pPr>
          </w:p>
        </w:tc>
        <w:tc>
          <w:tcPr>
            <w:tcW w:w="33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Balance Sheet Data (at end of period)</w:t>
            </w:r>
          </w:p>
        </w:tc>
        <w:tc>
          <w:tcPr>
            <w:tcW w:w="10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3340" w:type="dxa"/>
            <w:vAlign w:val="bottom"/>
          </w:tcPr>
          <w:p>
            <w:pPr>
              <w:spacing w:after="0"/>
              <w:rPr>
                <w:sz w:val="20"/>
                <w:szCs w:val="20"/>
                <w:color w:val="auto"/>
              </w:rPr>
            </w:pPr>
            <w:r>
              <w:rPr>
                <w:rFonts w:ascii="Arial" w:cs="Arial" w:eastAsia="Arial" w:hAnsi="Arial"/>
                <w:sz w:val="18"/>
                <w:szCs w:val="18"/>
                <w:color w:val="auto"/>
              </w:rPr>
              <w:t>Mining properties (net)</w:t>
            </w:r>
          </w:p>
        </w:tc>
        <w:tc>
          <w:tcPr>
            <w:tcW w:w="1020" w:type="dxa"/>
            <w:vAlign w:val="bottom"/>
          </w:tcPr>
          <w:p>
            <w:pPr>
              <w:jc w:val="right"/>
              <w:spacing w:after="0"/>
              <w:rPr>
                <w:sz w:val="20"/>
                <w:szCs w:val="20"/>
                <w:color w:val="auto"/>
              </w:rPr>
            </w:pPr>
            <w:r>
              <w:rPr>
                <w:rFonts w:ascii="Arial" w:cs="Arial" w:eastAsia="Arial" w:hAnsi="Arial"/>
                <w:sz w:val="18"/>
                <w:szCs w:val="18"/>
                <w:color w:val="auto"/>
              </w:rPr>
              <w:t>3,581,798</w:t>
            </w:r>
          </w:p>
        </w:tc>
        <w:tc>
          <w:tcPr>
            <w:tcW w:w="1180" w:type="dxa"/>
            <w:vAlign w:val="bottom"/>
            <w:gridSpan w:val="2"/>
          </w:tcPr>
          <w:p>
            <w:pPr>
              <w:jc w:val="right"/>
              <w:spacing w:after="0"/>
              <w:rPr>
                <w:sz w:val="20"/>
                <w:szCs w:val="20"/>
                <w:color w:val="auto"/>
              </w:rPr>
            </w:pPr>
            <w:r>
              <w:rPr>
                <w:rFonts w:ascii="Arial" w:cs="Arial" w:eastAsia="Arial" w:hAnsi="Arial"/>
                <w:sz w:val="18"/>
                <w:szCs w:val="18"/>
                <w:color w:val="auto"/>
              </w:rPr>
              <w:t>2,997,500</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2,123,397</w:t>
            </w: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40" w:type="dxa"/>
            <w:vAlign w:val="bottom"/>
          </w:tcPr>
          <w:p>
            <w:pPr>
              <w:jc w:val="right"/>
              <w:spacing w:after="0"/>
              <w:rPr>
                <w:sz w:val="20"/>
                <w:szCs w:val="20"/>
                <w:color w:val="auto"/>
              </w:rPr>
            </w:pPr>
            <w:r>
              <w:rPr>
                <w:rFonts w:ascii="Arial" w:cs="Arial" w:eastAsia="Arial" w:hAnsi="Arial"/>
                <w:sz w:val="18"/>
                <w:szCs w:val="18"/>
                <w:color w:val="auto"/>
              </w:rPr>
              <w:t>859,859</w:t>
            </w:r>
          </w:p>
        </w:tc>
        <w:tc>
          <w:tcPr>
            <w:tcW w:w="1100" w:type="dxa"/>
            <w:vAlign w:val="bottom"/>
            <w:gridSpan w:val="2"/>
          </w:tcPr>
          <w:p>
            <w:pPr>
              <w:jc w:val="right"/>
              <w:spacing w:after="0"/>
              <w:rPr>
                <w:sz w:val="20"/>
                <w:szCs w:val="20"/>
                <w:color w:val="auto"/>
              </w:rPr>
            </w:pPr>
            <w:r>
              <w:rPr>
                <w:rFonts w:ascii="Arial" w:cs="Arial" w:eastAsia="Arial" w:hAnsi="Arial"/>
                <w:sz w:val="18"/>
                <w:szCs w:val="18"/>
                <w:color w:val="auto"/>
              </w:rPr>
              <w:t>661,196</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3340" w:type="dxa"/>
            <w:vAlign w:val="bottom"/>
            <w:shd w:val="clear" w:color="auto" w:fill="CCEEFF"/>
          </w:tcPr>
          <w:p>
            <w:pPr>
              <w:spacing w:after="0"/>
              <w:rPr>
                <w:sz w:val="20"/>
                <w:szCs w:val="20"/>
                <w:color w:val="auto"/>
              </w:rPr>
            </w:pPr>
            <w:r>
              <w:rPr>
                <w:rFonts w:ascii="Arial" w:cs="Arial" w:eastAsia="Arial" w:hAnsi="Arial"/>
                <w:sz w:val="18"/>
                <w:szCs w:val="18"/>
                <w:color w:val="auto"/>
              </w:rPr>
              <w:t>Total assets</w:t>
            </w: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4,247,357</w:t>
            </w:r>
          </w:p>
        </w:tc>
        <w:tc>
          <w:tcPr>
            <w:tcW w:w="1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3,378,824</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2,735,498</w:t>
            </w:r>
          </w:p>
        </w:tc>
        <w:tc>
          <w:tcPr>
            <w:tcW w:w="1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1,521,488</w:t>
            </w: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976,069</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3340" w:type="dxa"/>
            <w:vAlign w:val="bottom"/>
          </w:tcPr>
          <w:p>
            <w:pPr>
              <w:spacing w:after="0"/>
              <w:rPr>
                <w:sz w:val="20"/>
                <w:szCs w:val="20"/>
                <w:color w:val="auto"/>
              </w:rPr>
            </w:pPr>
            <w:r>
              <w:rPr>
                <w:rFonts w:ascii="Arial" w:cs="Arial" w:eastAsia="Arial" w:hAnsi="Arial"/>
                <w:sz w:val="18"/>
                <w:szCs w:val="18"/>
                <w:color w:val="auto"/>
              </w:rPr>
              <w:t>Long-term debt</w:t>
            </w:r>
          </w:p>
        </w:tc>
        <w:tc>
          <w:tcPr>
            <w:tcW w:w="1020" w:type="dxa"/>
            <w:vAlign w:val="bottom"/>
          </w:tcPr>
          <w:p>
            <w:pPr>
              <w:jc w:val="right"/>
              <w:spacing w:after="0"/>
              <w:rPr>
                <w:sz w:val="20"/>
                <w:szCs w:val="20"/>
                <w:color w:val="auto"/>
              </w:rPr>
            </w:pPr>
            <w:r>
              <w:rPr>
                <w:rFonts w:ascii="Arial" w:cs="Arial" w:eastAsia="Arial" w:hAnsi="Arial"/>
                <w:sz w:val="18"/>
                <w:szCs w:val="18"/>
                <w:color w:val="auto"/>
              </w:rPr>
              <w:t>715,000</w:t>
            </w:r>
          </w:p>
        </w:tc>
        <w:tc>
          <w:tcPr>
            <w:tcW w:w="1180" w:type="dxa"/>
            <w:vAlign w:val="bottom"/>
            <w:gridSpan w:val="2"/>
          </w:tcPr>
          <w:p>
            <w:pPr>
              <w:jc w:val="right"/>
              <w:spacing w:after="0"/>
              <w:rPr>
                <w:sz w:val="20"/>
                <w:szCs w:val="20"/>
                <w:color w:val="auto"/>
              </w:rPr>
            </w:pPr>
            <w:r>
              <w:rPr>
                <w:rFonts w:ascii="Arial" w:cs="Arial" w:eastAsia="Arial" w:hAnsi="Arial"/>
                <w:sz w:val="18"/>
                <w:szCs w:val="18"/>
                <w:color w:val="auto"/>
              </w:rPr>
              <w:t>200,000</w:t>
            </w:r>
          </w:p>
        </w:tc>
        <w:tc>
          <w:tcPr>
            <w:tcW w:w="160" w:type="dxa"/>
            <w:vAlign w:val="bottom"/>
          </w:tcPr>
          <w:p>
            <w:pPr>
              <w:spacing w:after="0"/>
              <w:rPr>
                <w:sz w:val="18"/>
                <w:szCs w:val="18"/>
                <w:color w:val="auto"/>
              </w:rPr>
            </w:pPr>
          </w:p>
        </w:tc>
        <w:tc>
          <w:tcPr>
            <w:tcW w:w="1260" w:type="dxa"/>
            <w:vAlign w:val="bottom"/>
            <w:gridSpan w:val="3"/>
          </w:tcPr>
          <w:p>
            <w:pPr>
              <w:jc w:val="right"/>
              <w:ind w:right="260"/>
              <w:spacing w:after="0"/>
              <w:rPr>
                <w:sz w:val="20"/>
                <w:szCs w:val="20"/>
                <w:color w:val="auto"/>
              </w:rPr>
            </w:pPr>
            <w:r>
              <w:rPr>
                <w:rFonts w:ascii="Arial" w:cs="Arial" w:eastAsia="Arial" w:hAnsi="Arial"/>
                <w:sz w:val="18"/>
                <w:szCs w:val="18"/>
                <w:color w:val="auto"/>
              </w:rPr>
              <w:t>—</w:t>
            </w:r>
          </w:p>
        </w:tc>
        <w:tc>
          <w:tcPr>
            <w:tcW w:w="940" w:type="dxa"/>
            <w:vAlign w:val="bottom"/>
          </w:tcPr>
          <w:p>
            <w:pPr>
              <w:jc w:val="right"/>
              <w:spacing w:after="0"/>
              <w:rPr>
                <w:sz w:val="20"/>
                <w:szCs w:val="20"/>
                <w:color w:val="auto"/>
              </w:rPr>
            </w:pPr>
            <w:r>
              <w:rPr>
                <w:rFonts w:ascii="Arial" w:cs="Arial" w:eastAsia="Arial" w:hAnsi="Arial"/>
                <w:sz w:val="18"/>
                <w:szCs w:val="18"/>
                <w:color w:val="auto"/>
              </w:rPr>
              <w:t>—</w:t>
            </w:r>
          </w:p>
        </w:tc>
        <w:tc>
          <w:tcPr>
            <w:tcW w:w="1100" w:type="dxa"/>
            <w:vAlign w:val="bottom"/>
            <w:gridSpan w:val="2"/>
          </w:tcPr>
          <w:p>
            <w:pPr>
              <w:jc w:val="right"/>
              <w:spacing w:after="0"/>
              <w:rPr>
                <w:sz w:val="20"/>
                <w:szCs w:val="20"/>
                <w:color w:val="auto"/>
              </w:rPr>
            </w:pPr>
            <w:r>
              <w:rPr>
                <w:rFonts w:ascii="Arial" w:cs="Arial" w:eastAsia="Arial" w:hAnsi="Arial"/>
                <w:sz w:val="18"/>
                <w:szCs w:val="18"/>
                <w:color w:val="auto"/>
              </w:rPr>
              <w:t>131,056</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3340" w:type="dxa"/>
            <w:vAlign w:val="bottom"/>
            <w:shd w:val="clear" w:color="auto" w:fill="CCEEFF"/>
          </w:tcPr>
          <w:p>
            <w:pPr>
              <w:spacing w:after="0"/>
              <w:rPr>
                <w:sz w:val="20"/>
                <w:szCs w:val="20"/>
                <w:color w:val="auto"/>
              </w:rPr>
            </w:pPr>
            <w:r>
              <w:rPr>
                <w:rFonts w:ascii="Arial" w:cs="Arial" w:eastAsia="Arial" w:hAnsi="Arial"/>
                <w:sz w:val="18"/>
                <w:szCs w:val="18"/>
                <w:color w:val="auto"/>
              </w:rPr>
              <w:t>Reclamation provision and other liabilities</w:t>
            </w: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96,255</w:t>
            </w:r>
          </w:p>
        </w:tc>
        <w:tc>
          <w:tcPr>
            <w:tcW w:w="1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71,770</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57,941</w:t>
            </w:r>
          </w:p>
        </w:tc>
        <w:tc>
          <w:tcPr>
            <w:tcW w:w="1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27,457</w:t>
            </w: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16,220</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3340" w:type="dxa"/>
            <w:vAlign w:val="bottom"/>
          </w:tcPr>
          <w:p>
            <w:pPr>
              <w:spacing w:after="0"/>
              <w:rPr>
                <w:sz w:val="20"/>
                <w:szCs w:val="20"/>
                <w:color w:val="auto"/>
              </w:rPr>
            </w:pPr>
            <w:r>
              <w:rPr>
                <w:rFonts w:ascii="Arial" w:cs="Arial" w:eastAsia="Arial" w:hAnsi="Arial"/>
                <w:sz w:val="18"/>
                <w:szCs w:val="18"/>
                <w:color w:val="auto"/>
              </w:rPr>
              <w:t>Net assets</w:t>
            </w:r>
          </w:p>
        </w:tc>
        <w:tc>
          <w:tcPr>
            <w:tcW w:w="1020" w:type="dxa"/>
            <w:vAlign w:val="bottom"/>
          </w:tcPr>
          <w:p>
            <w:pPr>
              <w:jc w:val="right"/>
              <w:spacing w:after="0"/>
              <w:rPr>
                <w:sz w:val="20"/>
                <w:szCs w:val="20"/>
                <w:color w:val="auto"/>
              </w:rPr>
            </w:pPr>
            <w:r>
              <w:rPr>
                <w:rFonts w:ascii="Arial" w:cs="Arial" w:eastAsia="Arial" w:hAnsi="Arial"/>
                <w:sz w:val="18"/>
                <w:szCs w:val="18"/>
                <w:color w:val="auto"/>
              </w:rPr>
              <w:t>2,751,761</w:t>
            </w:r>
          </w:p>
        </w:tc>
        <w:tc>
          <w:tcPr>
            <w:tcW w:w="1180" w:type="dxa"/>
            <w:vAlign w:val="bottom"/>
            <w:gridSpan w:val="2"/>
          </w:tcPr>
          <w:p>
            <w:pPr>
              <w:jc w:val="right"/>
              <w:spacing w:after="0"/>
              <w:rPr>
                <w:sz w:val="20"/>
                <w:szCs w:val="20"/>
                <w:color w:val="auto"/>
              </w:rPr>
            </w:pPr>
            <w:r>
              <w:rPr>
                <w:rFonts w:ascii="Arial" w:cs="Arial" w:eastAsia="Arial" w:hAnsi="Arial"/>
                <w:sz w:val="18"/>
                <w:szCs w:val="18"/>
                <w:color w:val="auto"/>
              </w:rPr>
              <w:t>2,517,756</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2,058,934</w:t>
            </w: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40" w:type="dxa"/>
            <w:vAlign w:val="bottom"/>
          </w:tcPr>
          <w:p>
            <w:pPr>
              <w:jc w:val="right"/>
              <w:spacing w:after="0"/>
              <w:rPr>
                <w:sz w:val="20"/>
                <w:szCs w:val="20"/>
                <w:color w:val="auto"/>
              </w:rPr>
            </w:pPr>
            <w:r>
              <w:rPr>
                <w:rFonts w:ascii="Arial" w:cs="Arial" w:eastAsia="Arial" w:hAnsi="Arial"/>
                <w:sz w:val="18"/>
                <w:szCs w:val="18"/>
                <w:color w:val="auto"/>
              </w:rPr>
              <w:t>1,252,405</w:t>
            </w:r>
          </w:p>
        </w:tc>
        <w:tc>
          <w:tcPr>
            <w:tcW w:w="1100" w:type="dxa"/>
            <w:vAlign w:val="bottom"/>
            <w:gridSpan w:val="2"/>
          </w:tcPr>
          <w:p>
            <w:pPr>
              <w:jc w:val="right"/>
              <w:spacing w:after="0"/>
              <w:rPr>
                <w:sz w:val="20"/>
                <w:szCs w:val="20"/>
                <w:color w:val="auto"/>
              </w:rPr>
            </w:pPr>
            <w:r>
              <w:rPr>
                <w:rFonts w:ascii="Arial" w:cs="Arial" w:eastAsia="Arial" w:hAnsi="Arial"/>
                <w:sz w:val="18"/>
                <w:szCs w:val="18"/>
                <w:color w:val="auto"/>
              </w:rPr>
              <w:t>655,067</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3340" w:type="dxa"/>
            <w:vAlign w:val="bottom"/>
            <w:shd w:val="clear" w:color="auto" w:fill="CCEEFF"/>
          </w:tcPr>
          <w:p>
            <w:pPr>
              <w:spacing w:after="0"/>
              <w:rPr>
                <w:sz w:val="20"/>
                <w:szCs w:val="20"/>
                <w:color w:val="auto"/>
              </w:rPr>
            </w:pPr>
            <w:r>
              <w:rPr>
                <w:rFonts w:ascii="Arial" w:cs="Arial" w:eastAsia="Arial" w:hAnsi="Arial"/>
                <w:sz w:val="18"/>
                <w:szCs w:val="18"/>
                <w:color w:val="auto"/>
              </w:rPr>
              <w:t>Common shares</w:t>
            </w: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2,378,759</w:t>
            </w:r>
          </w:p>
        </w:tc>
        <w:tc>
          <w:tcPr>
            <w:tcW w:w="1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2,299,747</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1,931,667</w:t>
            </w:r>
          </w:p>
        </w:tc>
        <w:tc>
          <w:tcPr>
            <w:tcW w:w="1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1,230,654</w:t>
            </w: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764,659</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3340" w:type="dxa"/>
            <w:vAlign w:val="bottom"/>
          </w:tcPr>
          <w:p>
            <w:pPr>
              <w:spacing w:after="0"/>
              <w:rPr>
                <w:sz w:val="20"/>
                <w:szCs w:val="20"/>
                <w:color w:val="auto"/>
              </w:rPr>
            </w:pPr>
            <w:r>
              <w:rPr>
                <w:rFonts w:ascii="Arial" w:cs="Arial" w:eastAsia="Arial" w:hAnsi="Arial"/>
                <w:sz w:val="18"/>
                <w:szCs w:val="18"/>
                <w:color w:val="auto"/>
              </w:rPr>
              <w:t>Shareholders' equity</w:t>
            </w:r>
          </w:p>
        </w:tc>
        <w:tc>
          <w:tcPr>
            <w:tcW w:w="1020" w:type="dxa"/>
            <w:vAlign w:val="bottom"/>
          </w:tcPr>
          <w:p>
            <w:pPr>
              <w:jc w:val="right"/>
              <w:spacing w:after="0"/>
              <w:rPr>
                <w:sz w:val="20"/>
                <w:szCs w:val="20"/>
                <w:color w:val="auto"/>
              </w:rPr>
            </w:pPr>
            <w:r>
              <w:rPr>
                <w:rFonts w:ascii="Arial" w:cs="Arial" w:eastAsia="Arial" w:hAnsi="Arial"/>
                <w:sz w:val="18"/>
                <w:szCs w:val="18"/>
                <w:color w:val="auto"/>
              </w:rPr>
              <w:t>2,751,761</w:t>
            </w:r>
          </w:p>
        </w:tc>
        <w:tc>
          <w:tcPr>
            <w:tcW w:w="1180" w:type="dxa"/>
            <w:vAlign w:val="bottom"/>
            <w:gridSpan w:val="2"/>
          </w:tcPr>
          <w:p>
            <w:pPr>
              <w:jc w:val="right"/>
              <w:spacing w:after="0"/>
              <w:rPr>
                <w:sz w:val="20"/>
                <w:szCs w:val="20"/>
                <w:color w:val="auto"/>
              </w:rPr>
            </w:pPr>
            <w:r>
              <w:rPr>
                <w:rFonts w:ascii="Arial" w:cs="Arial" w:eastAsia="Arial" w:hAnsi="Arial"/>
                <w:sz w:val="18"/>
                <w:szCs w:val="18"/>
                <w:color w:val="auto"/>
              </w:rPr>
              <w:t>2,517,756</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2,058,934</w:t>
            </w: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40" w:type="dxa"/>
            <w:vAlign w:val="bottom"/>
          </w:tcPr>
          <w:p>
            <w:pPr>
              <w:jc w:val="right"/>
              <w:spacing w:after="0"/>
              <w:rPr>
                <w:sz w:val="20"/>
                <w:szCs w:val="20"/>
                <w:color w:val="auto"/>
              </w:rPr>
            </w:pPr>
            <w:r>
              <w:rPr>
                <w:rFonts w:ascii="Arial" w:cs="Arial" w:eastAsia="Arial" w:hAnsi="Arial"/>
                <w:sz w:val="18"/>
                <w:szCs w:val="18"/>
                <w:color w:val="auto"/>
              </w:rPr>
              <w:t>1,252,405</w:t>
            </w:r>
          </w:p>
        </w:tc>
        <w:tc>
          <w:tcPr>
            <w:tcW w:w="1100" w:type="dxa"/>
            <w:vAlign w:val="bottom"/>
            <w:gridSpan w:val="2"/>
          </w:tcPr>
          <w:p>
            <w:pPr>
              <w:jc w:val="right"/>
              <w:spacing w:after="0"/>
              <w:rPr>
                <w:sz w:val="20"/>
                <w:szCs w:val="20"/>
                <w:color w:val="auto"/>
              </w:rPr>
            </w:pPr>
            <w:r>
              <w:rPr>
                <w:rFonts w:ascii="Arial" w:cs="Arial" w:eastAsia="Arial" w:hAnsi="Arial"/>
                <w:sz w:val="18"/>
                <w:szCs w:val="18"/>
                <w:color w:val="auto"/>
              </w:rPr>
              <w:t>655,067</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3340" w:type="dxa"/>
            <w:vAlign w:val="bottom"/>
            <w:shd w:val="clear" w:color="auto" w:fill="CCEEFF"/>
          </w:tcPr>
          <w:p>
            <w:pPr>
              <w:spacing w:after="0"/>
              <w:rPr>
                <w:sz w:val="20"/>
                <w:szCs w:val="20"/>
                <w:color w:val="auto"/>
              </w:rPr>
            </w:pPr>
            <w:r>
              <w:rPr>
                <w:rFonts w:ascii="Arial" w:cs="Arial" w:eastAsia="Arial" w:hAnsi="Arial"/>
                <w:sz w:val="18"/>
                <w:szCs w:val="18"/>
                <w:color w:val="auto"/>
              </w:rPr>
              <w:t>Total common shares outstanding</w:t>
            </w: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9"/>
              </w:rPr>
              <w:t>156,625,174</w:t>
            </w:r>
          </w:p>
        </w:tc>
        <w:tc>
          <w:tcPr>
            <w:tcW w:w="1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154,808,918</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142,403,379</w:t>
            </w:r>
          </w:p>
        </w:tc>
        <w:tc>
          <w:tcPr>
            <w:tcW w:w="1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121,025,635</w:t>
            </w: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97,836,954</w:t>
            </w:r>
          </w:p>
        </w:tc>
        <w:tc>
          <w:tcPr>
            <w:tcW w:w="160" w:type="dxa"/>
            <w:vAlign w:val="bottom"/>
            <w:shd w:val="clear" w:color="auto" w:fill="CCEEFF"/>
          </w:tcPr>
          <w:p>
            <w:pPr>
              <w:spacing w:after="0"/>
              <w:rPr>
                <w:sz w:val="18"/>
                <w:szCs w:val="18"/>
                <w:color w:val="auto"/>
              </w:rPr>
            </w:pPr>
          </w:p>
        </w:tc>
      </w:tr>
    </w:tbl>
    <w:p>
      <w:pPr>
        <w:spacing w:after="0" w:line="200" w:lineRule="exact"/>
        <w:rPr>
          <w:sz w:val="20"/>
          <w:szCs w:val="20"/>
          <w:color w:val="auto"/>
        </w:rPr>
      </w:pPr>
    </w:p>
    <w:p>
      <w:pPr>
        <w:spacing w:after="0" w:line="21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Currency Exchange Rates</w:t>
      </w:r>
    </w:p>
    <w:p>
      <w:pPr>
        <w:spacing w:after="0" w:line="231" w:lineRule="exact"/>
        <w:rPr>
          <w:sz w:val="20"/>
          <w:szCs w:val="20"/>
          <w:color w:val="auto"/>
        </w:rPr>
      </w:pPr>
    </w:p>
    <w:p>
      <w:pPr>
        <w:jc w:val="both"/>
        <w:ind w:firstLine="396"/>
        <w:spacing w:after="0" w:line="259" w:lineRule="auto"/>
        <w:rPr>
          <w:sz w:val="20"/>
          <w:szCs w:val="20"/>
          <w:color w:val="auto"/>
        </w:rPr>
      </w:pPr>
      <w:r>
        <w:rPr>
          <w:rFonts w:ascii="Arial" w:cs="Arial" w:eastAsia="Arial" w:hAnsi="Arial"/>
          <w:sz w:val="18"/>
          <w:szCs w:val="18"/>
          <w:color w:val="auto"/>
        </w:rPr>
        <w:t>All dollar amounts in this Form 20-F are in U.S. dollars, except where otherwise indicated. The following tables set out, in Canadian dollars, the exchange rates for the U.S. dollar, based on the noon buying rate as reported by the Bank of Canada (the "Noon Buying Rate"). On March 22, 2010, the Noon Buying Rate was US$1.00 equals C$0.98.</w:t>
      </w:r>
    </w:p>
    <w:p>
      <w:pPr>
        <w:spacing w:after="0" w:line="244"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5200" w:type="dxa"/>
            <w:vAlign w:val="bottom"/>
          </w:tcPr>
          <w:p>
            <w:pPr>
              <w:spacing w:after="0"/>
              <w:rPr>
                <w:sz w:val="14"/>
                <w:szCs w:val="14"/>
                <w:color w:val="auto"/>
              </w:rPr>
            </w:pPr>
          </w:p>
        </w:tc>
        <w:tc>
          <w:tcPr>
            <w:tcW w:w="64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2180" w:type="dxa"/>
            <w:vAlign w:val="bottom"/>
            <w:tcBorders>
              <w:bottom w:val="single" w:sz="8" w:color="auto"/>
            </w:tcBorders>
            <w:gridSpan w:val="5"/>
          </w:tcPr>
          <w:p>
            <w:pPr>
              <w:jc w:val="right"/>
              <w:ind w:right="292"/>
              <w:spacing w:after="0"/>
              <w:rPr>
                <w:sz w:val="20"/>
                <w:szCs w:val="20"/>
                <w:color w:val="auto"/>
              </w:rPr>
            </w:pPr>
            <w:r>
              <w:rPr>
                <w:rFonts w:ascii="Arial" w:cs="Arial" w:eastAsia="Arial" w:hAnsi="Arial"/>
                <w:sz w:val="14"/>
                <w:szCs w:val="14"/>
                <w:b w:val="1"/>
                <w:bCs w:val="1"/>
                <w:color w:val="auto"/>
              </w:rPr>
              <w:t>Year Ended December 31,</w:t>
            </w:r>
          </w:p>
        </w:tc>
        <w:tc>
          <w:tcPr>
            <w:tcW w:w="16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r>
      <w:tr>
        <w:trPr>
          <w:trHeight w:val="142"/>
        </w:trPr>
        <w:tc>
          <w:tcPr>
            <w:tcW w:w="20" w:type="dxa"/>
            <w:vAlign w:val="bottom"/>
          </w:tcPr>
          <w:p>
            <w:pPr>
              <w:spacing w:after="0"/>
              <w:rPr>
                <w:sz w:val="12"/>
                <w:szCs w:val="12"/>
                <w:color w:val="auto"/>
              </w:rPr>
            </w:pPr>
          </w:p>
        </w:tc>
        <w:tc>
          <w:tcPr>
            <w:tcW w:w="5200" w:type="dxa"/>
            <w:vAlign w:val="bottom"/>
          </w:tcPr>
          <w:p>
            <w:pPr>
              <w:spacing w:after="0"/>
              <w:rPr>
                <w:sz w:val="12"/>
                <w:szCs w:val="12"/>
                <w:color w:val="auto"/>
              </w:rPr>
            </w:pPr>
          </w:p>
        </w:tc>
        <w:tc>
          <w:tcPr>
            <w:tcW w:w="640" w:type="dxa"/>
            <w:vAlign w:val="bottom"/>
            <w:tcBorders>
              <w:bottom w:val="single" w:sz="8" w:color="auto"/>
            </w:tcBorders>
          </w:tcPr>
          <w:p>
            <w:pPr>
              <w:jc w:val="right"/>
              <w:ind w:right="116"/>
              <w:spacing w:after="0" w:line="142" w:lineRule="exact"/>
              <w:rPr>
                <w:sz w:val="20"/>
                <w:szCs w:val="20"/>
                <w:color w:val="auto"/>
              </w:rPr>
            </w:pPr>
            <w:r>
              <w:rPr>
                <w:rFonts w:ascii="Arial" w:cs="Arial" w:eastAsia="Arial" w:hAnsi="Arial"/>
                <w:sz w:val="14"/>
                <w:szCs w:val="14"/>
                <w:b w:val="1"/>
                <w:bCs w:val="1"/>
                <w:color w:val="auto"/>
              </w:rPr>
              <w:t>2009</w:t>
            </w:r>
          </w:p>
        </w:tc>
        <w:tc>
          <w:tcPr>
            <w:tcW w:w="160" w:type="dxa"/>
            <w:vAlign w:val="bottom"/>
          </w:tcPr>
          <w:p>
            <w:pPr>
              <w:spacing w:after="0"/>
              <w:rPr>
                <w:sz w:val="12"/>
                <w:szCs w:val="12"/>
                <w:color w:val="auto"/>
              </w:rPr>
            </w:pPr>
          </w:p>
        </w:tc>
        <w:tc>
          <w:tcPr>
            <w:tcW w:w="620" w:type="dxa"/>
            <w:vAlign w:val="bottom"/>
            <w:tcBorders>
              <w:bottom w:val="single" w:sz="8" w:color="auto"/>
            </w:tcBorders>
          </w:tcPr>
          <w:p>
            <w:pPr>
              <w:jc w:val="right"/>
              <w:ind w:right="112"/>
              <w:spacing w:after="0" w:line="142" w:lineRule="exact"/>
              <w:rPr>
                <w:sz w:val="20"/>
                <w:szCs w:val="20"/>
                <w:color w:val="auto"/>
              </w:rPr>
            </w:pPr>
            <w:r>
              <w:rPr>
                <w:rFonts w:ascii="Arial" w:cs="Arial" w:eastAsia="Arial" w:hAnsi="Arial"/>
                <w:sz w:val="14"/>
                <w:szCs w:val="14"/>
                <w:b w:val="1"/>
                <w:bCs w:val="1"/>
                <w:color w:val="auto"/>
              </w:rPr>
              <w:t>2008</w:t>
            </w:r>
          </w:p>
        </w:tc>
        <w:tc>
          <w:tcPr>
            <w:tcW w:w="160" w:type="dxa"/>
            <w:vAlign w:val="bottom"/>
          </w:tcPr>
          <w:p>
            <w:pPr>
              <w:spacing w:after="0"/>
              <w:rPr>
                <w:sz w:val="12"/>
                <w:szCs w:val="12"/>
                <w:color w:val="auto"/>
              </w:rPr>
            </w:pPr>
          </w:p>
        </w:tc>
        <w:tc>
          <w:tcPr>
            <w:tcW w:w="620" w:type="dxa"/>
            <w:vAlign w:val="bottom"/>
            <w:tcBorders>
              <w:bottom w:val="single" w:sz="8" w:color="auto"/>
            </w:tcBorders>
          </w:tcPr>
          <w:p>
            <w:pPr>
              <w:jc w:val="right"/>
              <w:ind w:right="112"/>
              <w:spacing w:after="0" w:line="142" w:lineRule="exact"/>
              <w:rPr>
                <w:sz w:val="20"/>
                <w:szCs w:val="20"/>
                <w:color w:val="auto"/>
              </w:rPr>
            </w:pPr>
            <w:r>
              <w:rPr>
                <w:rFonts w:ascii="Arial" w:cs="Arial" w:eastAsia="Arial" w:hAnsi="Arial"/>
                <w:sz w:val="14"/>
                <w:szCs w:val="14"/>
                <w:b w:val="1"/>
                <w:bCs w:val="1"/>
                <w:color w:val="auto"/>
              </w:rPr>
              <w:t>2007</w:t>
            </w:r>
          </w:p>
        </w:tc>
        <w:tc>
          <w:tcPr>
            <w:tcW w:w="160" w:type="dxa"/>
            <w:vAlign w:val="bottom"/>
          </w:tcPr>
          <w:p>
            <w:pPr>
              <w:spacing w:after="0"/>
              <w:rPr>
                <w:sz w:val="12"/>
                <w:szCs w:val="12"/>
                <w:color w:val="auto"/>
              </w:rPr>
            </w:pPr>
          </w:p>
        </w:tc>
        <w:tc>
          <w:tcPr>
            <w:tcW w:w="620" w:type="dxa"/>
            <w:vAlign w:val="bottom"/>
            <w:tcBorders>
              <w:bottom w:val="single" w:sz="8" w:color="auto"/>
            </w:tcBorders>
          </w:tcPr>
          <w:p>
            <w:pPr>
              <w:jc w:val="right"/>
              <w:ind w:right="112"/>
              <w:spacing w:after="0" w:line="142" w:lineRule="exact"/>
              <w:rPr>
                <w:sz w:val="20"/>
                <w:szCs w:val="20"/>
                <w:color w:val="auto"/>
              </w:rPr>
            </w:pPr>
            <w:r>
              <w:rPr>
                <w:rFonts w:ascii="Arial" w:cs="Arial" w:eastAsia="Arial" w:hAnsi="Arial"/>
                <w:sz w:val="14"/>
                <w:szCs w:val="14"/>
                <w:b w:val="1"/>
                <w:bCs w:val="1"/>
                <w:color w:val="auto"/>
              </w:rPr>
              <w:t>2006</w:t>
            </w:r>
          </w:p>
        </w:tc>
        <w:tc>
          <w:tcPr>
            <w:tcW w:w="160" w:type="dxa"/>
            <w:vAlign w:val="bottom"/>
          </w:tcPr>
          <w:p>
            <w:pPr>
              <w:spacing w:after="0"/>
              <w:rPr>
                <w:sz w:val="12"/>
                <w:szCs w:val="12"/>
                <w:color w:val="auto"/>
              </w:rPr>
            </w:pPr>
          </w:p>
        </w:tc>
        <w:tc>
          <w:tcPr>
            <w:tcW w:w="620" w:type="dxa"/>
            <w:vAlign w:val="bottom"/>
            <w:tcBorders>
              <w:bottom w:val="single" w:sz="8" w:color="auto"/>
            </w:tcBorders>
          </w:tcPr>
          <w:p>
            <w:pPr>
              <w:jc w:val="right"/>
              <w:ind w:right="112"/>
              <w:spacing w:after="0" w:line="142" w:lineRule="exact"/>
              <w:rPr>
                <w:sz w:val="20"/>
                <w:szCs w:val="20"/>
                <w:color w:val="auto"/>
              </w:rPr>
            </w:pPr>
            <w:r>
              <w:rPr>
                <w:rFonts w:ascii="Arial" w:cs="Arial" w:eastAsia="Arial" w:hAnsi="Arial"/>
                <w:sz w:val="14"/>
                <w:szCs w:val="14"/>
                <w:b w:val="1"/>
                <w:bCs w:val="1"/>
                <w:color w:val="auto"/>
              </w:rPr>
              <w:t>2005</w:t>
            </w:r>
          </w:p>
        </w:tc>
        <w:tc>
          <w:tcPr>
            <w:tcW w:w="160" w:type="dxa"/>
            <w:vAlign w:val="bottom"/>
          </w:tcPr>
          <w:p>
            <w:pPr>
              <w:spacing w:after="0"/>
              <w:rPr>
                <w:sz w:val="12"/>
                <w:szCs w:val="12"/>
                <w:color w:val="auto"/>
              </w:rPr>
            </w:pPr>
          </w:p>
        </w:tc>
      </w:tr>
      <w:tr>
        <w:trPr>
          <w:trHeight w:val="210"/>
        </w:trPr>
        <w:tc>
          <w:tcPr>
            <w:tcW w:w="20" w:type="dxa"/>
            <w:vAlign w:val="bottom"/>
          </w:tcPr>
          <w:p>
            <w:pPr>
              <w:spacing w:after="0"/>
              <w:rPr>
                <w:sz w:val="18"/>
                <w:szCs w:val="18"/>
                <w:color w:val="auto"/>
              </w:rPr>
            </w:pPr>
          </w:p>
        </w:tc>
        <w:tc>
          <w:tcPr>
            <w:tcW w:w="5200" w:type="dxa"/>
            <w:vAlign w:val="bottom"/>
            <w:shd w:val="clear" w:color="auto" w:fill="CCEEFF"/>
          </w:tcPr>
          <w:p>
            <w:pPr>
              <w:spacing w:after="0"/>
              <w:rPr>
                <w:sz w:val="20"/>
                <w:szCs w:val="20"/>
                <w:color w:val="auto"/>
              </w:rPr>
            </w:pPr>
            <w:r>
              <w:rPr>
                <w:rFonts w:ascii="Arial" w:cs="Arial" w:eastAsia="Arial" w:hAnsi="Arial"/>
                <w:sz w:val="18"/>
                <w:szCs w:val="18"/>
                <w:color w:val="auto"/>
              </w:rPr>
              <w:t>High</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1.3000</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1.2969</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1.1853</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1.1726</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1.2704</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200" w:type="dxa"/>
            <w:vAlign w:val="bottom"/>
          </w:tcPr>
          <w:p>
            <w:pPr>
              <w:spacing w:after="0"/>
              <w:rPr>
                <w:sz w:val="20"/>
                <w:szCs w:val="20"/>
                <w:color w:val="auto"/>
              </w:rPr>
            </w:pPr>
            <w:r>
              <w:rPr>
                <w:rFonts w:ascii="Arial" w:cs="Arial" w:eastAsia="Arial" w:hAnsi="Arial"/>
                <w:sz w:val="18"/>
                <w:szCs w:val="18"/>
                <w:color w:val="auto"/>
              </w:rPr>
              <w:t>Low</w:t>
            </w:r>
          </w:p>
        </w:tc>
        <w:tc>
          <w:tcPr>
            <w:tcW w:w="640" w:type="dxa"/>
            <w:vAlign w:val="bottom"/>
          </w:tcPr>
          <w:p>
            <w:pPr>
              <w:jc w:val="right"/>
              <w:spacing w:after="0"/>
              <w:rPr>
                <w:sz w:val="20"/>
                <w:szCs w:val="20"/>
                <w:color w:val="auto"/>
              </w:rPr>
            </w:pPr>
            <w:r>
              <w:rPr>
                <w:rFonts w:ascii="Arial" w:cs="Arial" w:eastAsia="Arial" w:hAnsi="Arial"/>
                <w:sz w:val="18"/>
                <w:szCs w:val="18"/>
                <w:color w:val="auto"/>
              </w:rPr>
              <w:t>1.0292</w:t>
            </w:r>
          </w:p>
        </w:tc>
        <w:tc>
          <w:tcPr>
            <w:tcW w:w="780" w:type="dxa"/>
            <w:vAlign w:val="bottom"/>
            <w:gridSpan w:val="2"/>
          </w:tcPr>
          <w:p>
            <w:pPr>
              <w:jc w:val="right"/>
              <w:spacing w:after="0"/>
              <w:rPr>
                <w:sz w:val="20"/>
                <w:szCs w:val="20"/>
                <w:color w:val="auto"/>
              </w:rPr>
            </w:pPr>
            <w:r>
              <w:rPr>
                <w:rFonts w:ascii="Arial" w:cs="Arial" w:eastAsia="Arial" w:hAnsi="Arial"/>
                <w:sz w:val="18"/>
                <w:szCs w:val="18"/>
                <w:color w:val="auto"/>
              </w:rPr>
              <w:t>0.9719</w:t>
            </w:r>
          </w:p>
        </w:tc>
        <w:tc>
          <w:tcPr>
            <w:tcW w:w="780" w:type="dxa"/>
            <w:vAlign w:val="bottom"/>
            <w:gridSpan w:val="2"/>
          </w:tcPr>
          <w:p>
            <w:pPr>
              <w:jc w:val="right"/>
              <w:spacing w:after="0"/>
              <w:rPr>
                <w:sz w:val="20"/>
                <w:szCs w:val="20"/>
                <w:color w:val="auto"/>
              </w:rPr>
            </w:pPr>
            <w:r>
              <w:rPr>
                <w:rFonts w:ascii="Arial" w:cs="Arial" w:eastAsia="Arial" w:hAnsi="Arial"/>
                <w:sz w:val="18"/>
                <w:szCs w:val="18"/>
                <w:color w:val="auto"/>
              </w:rPr>
              <w:t>0.9170</w:t>
            </w:r>
          </w:p>
        </w:tc>
        <w:tc>
          <w:tcPr>
            <w:tcW w:w="780" w:type="dxa"/>
            <w:vAlign w:val="bottom"/>
            <w:gridSpan w:val="2"/>
          </w:tcPr>
          <w:p>
            <w:pPr>
              <w:jc w:val="right"/>
              <w:spacing w:after="0"/>
              <w:rPr>
                <w:sz w:val="20"/>
                <w:szCs w:val="20"/>
                <w:color w:val="auto"/>
              </w:rPr>
            </w:pPr>
            <w:r>
              <w:rPr>
                <w:rFonts w:ascii="Arial" w:cs="Arial" w:eastAsia="Arial" w:hAnsi="Arial"/>
                <w:sz w:val="18"/>
                <w:szCs w:val="18"/>
                <w:color w:val="auto"/>
              </w:rPr>
              <w:t>1.0990</w:t>
            </w:r>
          </w:p>
        </w:tc>
        <w:tc>
          <w:tcPr>
            <w:tcW w:w="780" w:type="dxa"/>
            <w:vAlign w:val="bottom"/>
            <w:gridSpan w:val="2"/>
          </w:tcPr>
          <w:p>
            <w:pPr>
              <w:jc w:val="right"/>
              <w:spacing w:after="0"/>
              <w:rPr>
                <w:sz w:val="20"/>
                <w:szCs w:val="20"/>
                <w:color w:val="auto"/>
              </w:rPr>
            </w:pPr>
            <w:r>
              <w:rPr>
                <w:rFonts w:ascii="Arial" w:cs="Arial" w:eastAsia="Arial" w:hAnsi="Arial"/>
                <w:sz w:val="18"/>
                <w:szCs w:val="18"/>
                <w:color w:val="auto"/>
              </w:rPr>
              <w:t>1.1507</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200" w:type="dxa"/>
            <w:vAlign w:val="bottom"/>
            <w:shd w:val="clear" w:color="auto" w:fill="CCEEFF"/>
          </w:tcPr>
          <w:p>
            <w:pPr>
              <w:spacing w:after="0"/>
              <w:rPr>
                <w:sz w:val="20"/>
                <w:szCs w:val="20"/>
                <w:color w:val="auto"/>
              </w:rPr>
            </w:pPr>
            <w:r>
              <w:rPr>
                <w:rFonts w:ascii="Arial" w:cs="Arial" w:eastAsia="Arial" w:hAnsi="Arial"/>
                <w:sz w:val="18"/>
                <w:szCs w:val="18"/>
                <w:color w:val="auto"/>
              </w:rPr>
              <w:t>End of Period</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1.0466</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1.2246</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0.9881</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1.1653</w:t>
            </w: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1.1659</w:t>
            </w:r>
          </w:p>
        </w:tc>
        <w:tc>
          <w:tcPr>
            <w:tcW w:w="160" w:type="dxa"/>
            <w:vAlign w:val="bottom"/>
            <w:shd w:val="clear" w:color="auto" w:fill="CCEEFF"/>
          </w:tcPr>
          <w:p>
            <w:pPr>
              <w:spacing w:after="0"/>
              <w:rPr>
                <w:sz w:val="18"/>
                <w:szCs w:val="18"/>
                <w:color w:val="auto"/>
              </w:rPr>
            </w:pPr>
          </w:p>
        </w:tc>
      </w:tr>
      <w:tr>
        <w:trPr>
          <w:trHeight w:val="222"/>
        </w:trPr>
        <w:tc>
          <w:tcPr>
            <w:tcW w:w="20" w:type="dxa"/>
            <w:vAlign w:val="bottom"/>
          </w:tcPr>
          <w:p>
            <w:pPr>
              <w:spacing w:after="0"/>
              <w:rPr>
                <w:sz w:val="19"/>
                <w:szCs w:val="19"/>
                <w:color w:val="auto"/>
              </w:rPr>
            </w:pPr>
          </w:p>
        </w:tc>
        <w:tc>
          <w:tcPr>
            <w:tcW w:w="5200" w:type="dxa"/>
            <w:vAlign w:val="bottom"/>
          </w:tcPr>
          <w:p>
            <w:pPr>
              <w:spacing w:after="0"/>
              <w:rPr>
                <w:sz w:val="20"/>
                <w:szCs w:val="20"/>
                <w:color w:val="auto"/>
              </w:rPr>
            </w:pPr>
            <w:r>
              <w:rPr>
                <w:rFonts w:ascii="Arial" w:cs="Arial" w:eastAsia="Arial" w:hAnsi="Arial"/>
                <w:sz w:val="18"/>
                <w:szCs w:val="18"/>
                <w:color w:val="auto"/>
              </w:rPr>
              <w:t>Average</w:t>
            </w:r>
          </w:p>
        </w:tc>
        <w:tc>
          <w:tcPr>
            <w:tcW w:w="640" w:type="dxa"/>
            <w:vAlign w:val="bottom"/>
          </w:tcPr>
          <w:p>
            <w:pPr>
              <w:jc w:val="right"/>
              <w:spacing w:after="0"/>
              <w:rPr>
                <w:sz w:val="20"/>
                <w:szCs w:val="20"/>
                <w:color w:val="auto"/>
              </w:rPr>
            </w:pPr>
            <w:r>
              <w:rPr>
                <w:rFonts w:ascii="Arial" w:cs="Arial" w:eastAsia="Arial" w:hAnsi="Arial"/>
                <w:sz w:val="18"/>
                <w:szCs w:val="18"/>
                <w:color w:val="auto"/>
              </w:rPr>
              <w:t>1.1420</w:t>
            </w:r>
          </w:p>
        </w:tc>
        <w:tc>
          <w:tcPr>
            <w:tcW w:w="780" w:type="dxa"/>
            <w:vAlign w:val="bottom"/>
            <w:gridSpan w:val="2"/>
          </w:tcPr>
          <w:p>
            <w:pPr>
              <w:jc w:val="right"/>
              <w:spacing w:after="0"/>
              <w:rPr>
                <w:sz w:val="20"/>
                <w:szCs w:val="20"/>
                <w:color w:val="auto"/>
              </w:rPr>
            </w:pPr>
            <w:r>
              <w:rPr>
                <w:rFonts w:ascii="Arial" w:cs="Arial" w:eastAsia="Arial" w:hAnsi="Arial"/>
                <w:sz w:val="18"/>
                <w:szCs w:val="18"/>
                <w:color w:val="auto"/>
              </w:rPr>
              <w:t>1.0660</w:t>
            </w:r>
          </w:p>
        </w:tc>
        <w:tc>
          <w:tcPr>
            <w:tcW w:w="780" w:type="dxa"/>
            <w:vAlign w:val="bottom"/>
            <w:gridSpan w:val="2"/>
          </w:tcPr>
          <w:p>
            <w:pPr>
              <w:jc w:val="right"/>
              <w:spacing w:after="0"/>
              <w:rPr>
                <w:sz w:val="20"/>
                <w:szCs w:val="20"/>
                <w:color w:val="auto"/>
              </w:rPr>
            </w:pPr>
            <w:r>
              <w:rPr>
                <w:rFonts w:ascii="Arial" w:cs="Arial" w:eastAsia="Arial" w:hAnsi="Arial"/>
                <w:sz w:val="18"/>
                <w:szCs w:val="18"/>
                <w:color w:val="auto"/>
              </w:rPr>
              <w:t>1.0748</w:t>
            </w:r>
          </w:p>
        </w:tc>
        <w:tc>
          <w:tcPr>
            <w:tcW w:w="780" w:type="dxa"/>
            <w:vAlign w:val="bottom"/>
            <w:gridSpan w:val="2"/>
          </w:tcPr>
          <w:p>
            <w:pPr>
              <w:jc w:val="right"/>
              <w:spacing w:after="0"/>
              <w:rPr>
                <w:sz w:val="20"/>
                <w:szCs w:val="20"/>
                <w:color w:val="auto"/>
              </w:rPr>
            </w:pPr>
            <w:r>
              <w:rPr>
                <w:rFonts w:ascii="Arial" w:cs="Arial" w:eastAsia="Arial" w:hAnsi="Arial"/>
                <w:sz w:val="18"/>
                <w:szCs w:val="18"/>
                <w:color w:val="auto"/>
              </w:rPr>
              <w:t>1.1341</w:t>
            </w:r>
          </w:p>
        </w:tc>
        <w:tc>
          <w:tcPr>
            <w:tcW w:w="780" w:type="dxa"/>
            <w:vAlign w:val="bottom"/>
            <w:gridSpan w:val="2"/>
          </w:tcPr>
          <w:p>
            <w:pPr>
              <w:jc w:val="right"/>
              <w:spacing w:after="0"/>
              <w:rPr>
                <w:sz w:val="20"/>
                <w:szCs w:val="20"/>
                <w:color w:val="auto"/>
              </w:rPr>
            </w:pPr>
            <w:r>
              <w:rPr>
                <w:rFonts w:ascii="Arial" w:cs="Arial" w:eastAsia="Arial" w:hAnsi="Arial"/>
                <w:sz w:val="18"/>
                <w:szCs w:val="18"/>
                <w:color w:val="auto"/>
              </w:rPr>
              <w:t>1.2116</w:t>
            </w:r>
          </w:p>
        </w:tc>
        <w:tc>
          <w:tcPr>
            <w:tcW w:w="160" w:type="dxa"/>
            <w:vAlign w:val="bottom"/>
          </w:tcPr>
          <w:p>
            <w:pPr>
              <w:spacing w:after="0"/>
              <w:rPr>
                <w:sz w:val="19"/>
                <w:szCs w:val="19"/>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2900" w:type="dxa"/>
            <w:vAlign w:val="bottom"/>
          </w:tcPr>
          <w:p>
            <w:pPr>
              <w:spacing w:after="0"/>
              <w:rPr>
                <w:sz w:val="14"/>
                <w:szCs w:val="14"/>
                <w:color w:val="auto"/>
              </w:rPr>
            </w:pPr>
          </w:p>
        </w:tc>
        <w:tc>
          <w:tcPr>
            <w:tcW w:w="1160" w:type="dxa"/>
            <w:vAlign w:val="bottom"/>
            <w:gridSpan w:val="2"/>
          </w:tcPr>
          <w:p>
            <w:pPr>
              <w:ind w:left="300"/>
              <w:spacing w:after="0"/>
              <w:rPr>
                <w:sz w:val="20"/>
                <w:szCs w:val="20"/>
                <w:color w:val="auto"/>
              </w:rPr>
            </w:pPr>
            <w:r>
              <w:rPr>
                <w:rFonts w:ascii="Arial" w:cs="Arial" w:eastAsia="Arial" w:hAnsi="Arial"/>
                <w:sz w:val="14"/>
                <w:szCs w:val="14"/>
                <w:b w:val="1"/>
                <w:bCs w:val="1"/>
                <w:color w:val="auto"/>
              </w:rPr>
              <w:t>March</w:t>
            </w:r>
          </w:p>
        </w:tc>
        <w:tc>
          <w:tcPr>
            <w:tcW w:w="900" w:type="dxa"/>
            <w:vAlign w:val="bottom"/>
            <w:tcBorders>
              <w:bottom w:val="single" w:sz="8" w:color="auto"/>
            </w:tcBorders>
            <w:gridSpan w:val="3"/>
          </w:tcPr>
          <w:p>
            <w:pPr>
              <w:jc w:val="right"/>
              <w:ind w:right="20"/>
              <w:spacing w:after="0"/>
              <w:rPr>
                <w:sz w:val="20"/>
                <w:szCs w:val="20"/>
                <w:color w:val="auto"/>
              </w:rPr>
            </w:pPr>
            <w:r>
              <w:rPr>
                <w:rFonts w:ascii="Arial" w:cs="Arial" w:eastAsia="Arial" w:hAnsi="Arial"/>
                <w:sz w:val="14"/>
                <w:szCs w:val="14"/>
                <w:b w:val="1"/>
                <w:bCs w:val="1"/>
                <w:color w:val="auto"/>
              </w:rPr>
              <w:t>2010</w:t>
            </w:r>
          </w:p>
        </w:tc>
        <w:tc>
          <w:tcPr>
            <w:tcW w:w="58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1120" w:type="dxa"/>
            <w:vAlign w:val="bottom"/>
            <w:tcBorders>
              <w:bottom w:val="single" w:sz="8" w:color="auto"/>
            </w:tcBorders>
            <w:gridSpan w:val="4"/>
          </w:tcPr>
          <w:p>
            <w:pPr>
              <w:jc w:val="right"/>
              <w:ind w:right="40"/>
              <w:spacing w:after="0"/>
              <w:rPr>
                <w:sz w:val="20"/>
                <w:szCs w:val="20"/>
                <w:color w:val="auto"/>
              </w:rPr>
            </w:pPr>
            <w:r>
              <w:rPr>
                <w:rFonts w:ascii="Arial" w:cs="Arial" w:eastAsia="Arial" w:hAnsi="Arial"/>
                <w:sz w:val="14"/>
                <w:szCs w:val="14"/>
                <w:b w:val="1"/>
                <w:bCs w:val="1"/>
                <w:color w:val="auto"/>
              </w:rPr>
              <w:t>2009</w:t>
            </w:r>
          </w:p>
        </w:tc>
        <w:tc>
          <w:tcPr>
            <w:tcW w:w="58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78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r>
      <w:tr>
        <w:trPr>
          <w:trHeight w:val="142"/>
        </w:trPr>
        <w:tc>
          <w:tcPr>
            <w:tcW w:w="20" w:type="dxa"/>
            <w:vAlign w:val="bottom"/>
          </w:tcPr>
          <w:p>
            <w:pPr>
              <w:spacing w:after="0"/>
              <w:rPr>
                <w:sz w:val="12"/>
                <w:szCs w:val="12"/>
                <w:color w:val="auto"/>
              </w:rPr>
            </w:pPr>
          </w:p>
        </w:tc>
        <w:tc>
          <w:tcPr>
            <w:tcW w:w="2900" w:type="dxa"/>
            <w:vAlign w:val="bottom"/>
          </w:tcPr>
          <w:p>
            <w:pPr>
              <w:spacing w:after="0"/>
              <w:rPr>
                <w:sz w:val="12"/>
                <w:szCs w:val="12"/>
                <w:color w:val="auto"/>
              </w:rPr>
            </w:pPr>
          </w:p>
        </w:tc>
        <w:tc>
          <w:tcPr>
            <w:tcW w:w="1000" w:type="dxa"/>
            <w:vAlign w:val="bottom"/>
            <w:tcBorders>
              <w:bottom w:val="single" w:sz="8" w:color="auto"/>
            </w:tcBorders>
          </w:tcPr>
          <w:p>
            <w:pPr>
              <w:jc w:val="right"/>
              <w:ind w:right="39"/>
              <w:spacing w:after="0" w:line="142" w:lineRule="exact"/>
              <w:rPr>
                <w:sz w:val="20"/>
                <w:szCs w:val="20"/>
                <w:color w:val="auto"/>
              </w:rPr>
            </w:pPr>
            <w:r>
              <w:rPr>
                <w:rFonts w:ascii="Arial" w:cs="Arial" w:eastAsia="Arial" w:hAnsi="Arial"/>
                <w:sz w:val="14"/>
                <w:szCs w:val="14"/>
                <w:b w:val="1"/>
                <w:bCs w:val="1"/>
                <w:color w:val="auto"/>
                <w:w w:val="98"/>
              </w:rPr>
              <w:t>(to March 22)</w:t>
            </w:r>
          </w:p>
        </w:tc>
        <w:tc>
          <w:tcPr>
            <w:tcW w:w="160" w:type="dxa"/>
            <w:vAlign w:val="bottom"/>
          </w:tcPr>
          <w:p>
            <w:pPr>
              <w:spacing w:after="0"/>
              <w:rPr>
                <w:sz w:val="12"/>
                <w:szCs w:val="12"/>
                <w:color w:val="auto"/>
              </w:rPr>
            </w:pPr>
          </w:p>
        </w:tc>
        <w:tc>
          <w:tcPr>
            <w:tcW w:w="680" w:type="dxa"/>
            <w:vAlign w:val="bottom"/>
            <w:tcBorders>
              <w:bottom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rPr>
              <w:t>February</w:t>
            </w:r>
          </w:p>
        </w:tc>
        <w:tc>
          <w:tcPr>
            <w:tcW w:w="180" w:type="dxa"/>
            <w:vAlign w:val="bottom"/>
          </w:tcPr>
          <w:p>
            <w:pPr>
              <w:spacing w:after="0"/>
              <w:rPr>
                <w:sz w:val="12"/>
                <w:szCs w:val="12"/>
                <w:color w:val="auto"/>
              </w:rPr>
            </w:pPr>
          </w:p>
        </w:tc>
        <w:tc>
          <w:tcPr>
            <w:tcW w:w="40" w:type="dxa"/>
            <w:vAlign w:val="bottom"/>
            <w:tcBorders>
              <w:bottom w:val="single" w:sz="8" w:color="auto"/>
            </w:tcBorders>
          </w:tcPr>
          <w:p>
            <w:pPr>
              <w:spacing w:after="0"/>
              <w:rPr>
                <w:sz w:val="12"/>
                <w:szCs w:val="12"/>
                <w:color w:val="auto"/>
              </w:rPr>
            </w:pPr>
          </w:p>
        </w:tc>
        <w:tc>
          <w:tcPr>
            <w:tcW w:w="580" w:type="dxa"/>
            <w:vAlign w:val="bottom"/>
            <w:tcBorders>
              <w:bottom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89"/>
              </w:rPr>
              <w:t>January</w:t>
            </w:r>
          </w:p>
        </w:tc>
        <w:tc>
          <w:tcPr>
            <w:tcW w:w="160" w:type="dxa"/>
            <w:vAlign w:val="bottom"/>
          </w:tcPr>
          <w:p>
            <w:pPr>
              <w:spacing w:after="0"/>
              <w:rPr>
                <w:sz w:val="12"/>
                <w:szCs w:val="12"/>
                <w:color w:val="auto"/>
              </w:rPr>
            </w:pPr>
          </w:p>
        </w:tc>
        <w:tc>
          <w:tcPr>
            <w:tcW w:w="740" w:type="dxa"/>
            <w:vAlign w:val="bottom"/>
            <w:tcBorders>
              <w:bottom w:val="single" w:sz="8" w:color="auto"/>
            </w:tcBorders>
          </w:tcPr>
          <w:p>
            <w:pPr>
              <w:jc w:val="right"/>
              <w:ind w:right="12"/>
              <w:spacing w:after="0" w:line="142" w:lineRule="exact"/>
              <w:rPr>
                <w:sz w:val="20"/>
                <w:szCs w:val="20"/>
                <w:color w:val="auto"/>
              </w:rPr>
            </w:pPr>
            <w:r>
              <w:rPr>
                <w:rFonts w:ascii="Arial" w:cs="Arial" w:eastAsia="Arial" w:hAnsi="Arial"/>
                <w:sz w:val="14"/>
                <w:szCs w:val="14"/>
                <w:b w:val="1"/>
                <w:bCs w:val="1"/>
                <w:color w:val="auto"/>
                <w:w w:val="94"/>
              </w:rPr>
              <w:t>December</w:t>
            </w:r>
          </w:p>
        </w:tc>
        <w:tc>
          <w:tcPr>
            <w:tcW w:w="160" w:type="dxa"/>
            <w:vAlign w:val="bottom"/>
          </w:tcPr>
          <w:p>
            <w:pPr>
              <w:spacing w:after="0"/>
              <w:rPr>
                <w:sz w:val="12"/>
                <w:szCs w:val="12"/>
                <w:color w:val="auto"/>
              </w:rPr>
            </w:pPr>
          </w:p>
        </w:tc>
        <w:tc>
          <w:tcPr>
            <w:tcW w:w="760" w:type="dxa"/>
            <w:vAlign w:val="bottom"/>
            <w:tcBorders>
              <w:bottom w:val="single" w:sz="8" w:color="auto"/>
            </w:tcBorders>
          </w:tcPr>
          <w:p>
            <w:pPr>
              <w:jc w:val="right"/>
              <w:ind w:right="12"/>
              <w:spacing w:after="0" w:line="142" w:lineRule="exact"/>
              <w:rPr>
                <w:sz w:val="20"/>
                <w:szCs w:val="20"/>
                <w:color w:val="auto"/>
              </w:rPr>
            </w:pPr>
            <w:r>
              <w:rPr>
                <w:rFonts w:ascii="Arial" w:cs="Arial" w:eastAsia="Arial" w:hAnsi="Arial"/>
                <w:sz w:val="14"/>
                <w:szCs w:val="14"/>
                <w:b w:val="1"/>
                <w:bCs w:val="1"/>
                <w:color w:val="auto"/>
                <w:w w:val="96"/>
              </w:rPr>
              <w:t>November</w:t>
            </w:r>
          </w:p>
        </w:tc>
        <w:tc>
          <w:tcPr>
            <w:tcW w:w="160" w:type="dxa"/>
            <w:vAlign w:val="bottom"/>
          </w:tcPr>
          <w:p>
            <w:pPr>
              <w:spacing w:after="0"/>
              <w:rPr>
                <w:sz w:val="12"/>
                <w:szCs w:val="12"/>
                <w:color w:val="auto"/>
              </w:rPr>
            </w:pPr>
          </w:p>
        </w:tc>
        <w:tc>
          <w:tcPr>
            <w:tcW w:w="40" w:type="dxa"/>
            <w:vAlign w:val="bottom"/>
            <w:tcBorders>
              <w:bottom w:val="single" w:sz="8" w:color="auto"/>
            </w:tcBorders>
          </w:tcPr>
          <w:p>
            <w:pPr>
              <w:spacing w:after="0"/>
              <w:rPr>
                <w:sz w:val="12"/>
                <w:szCs w:val="12"/>
                <w:color w:val="auto"/>
              </w:rPr>
            </w:pPr>
          </w:p>
        </w:tc>
        <w:tc>
          <w:tcPr>
            <w:tcW w:w="580" w:type="dxa"/>
            <w:vAlign w:val="bottom"/>
            <w:tcBorders>
              <w:bottom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89"/>
              </w:rPr>
              <w:t>October</w:t>
            </w:r>
          </w:p>
        </w:tc>
        <w:tc>
          <w:tcPr>
            <w:tcW w:w="160" w:type="dxa"/>
            <w:vAlign w:val="bottom"/>
          </w:tcPr>
          <w:p>
            <w:pPr>
              <w:spacing w:after="0"/>
              <w:rPr>
                <w:sz w:val="12"/>
                <w:szCs w:val="12"/>
                <w:color w:val="auto"/>
              </w:rPr>
            </w:pPr>
          </w:p>
        </w:tc>
        <w:tc>
          <w:tcPr>
            <w:tcW w:w="780" w:type="dxa"/>
            <w:vAlign w:val="bottom"/>
            <w:tcBorders>
              <w:bottom w:val="single" w:sz="8" w:color="auto"/>
            </w:tcBorders>
          </w:tcPr>
          <w:p>
            <w:pPr>
              <w:jc w:val="right"/>
              <w:ind w:right="12"/>
              <w:spacing w:after="0" w:line="142" w:lineRule="exact"/>
              <w:rPr>
                <w:sz w:val="20"/>
                <w:szCs w:val="20"/>
                <w:color w:val="auto"/>
              </w:rPr>
            </w:pPr>
            <w:r>
              <w:rPr>
                <w:rFonts w:ascii="Arial" w:cs="Arial" w:eastAsia="Arial" w:hAnsi="Arial"/>
                <w:sz w:val="14"/>
                <w:szCs w:val="14"/>
                <w:b w:val="1"/>
                <w:bCs w:val="1"/>
                <w:color w:val="auto"/>
                <w:w w:val="93"/>
              </w:rPr>
              <w:t>September</w:t>
            </w:r>
          </w:p>
        </w:tc>
        <w:tc>
          <w:tcPr>
            <w:tcW w:w="160" w:type="dxa"/>
            <w:vAlign w:val="bottom"/>
          </w:tcPr>
          <w:p>
            <w:pPr>
              <w:spacing w:after="0"/>
              <w:rPr>
                <w:sz w:val="12"/>
                <w:szCs w:val="12"/>
                <w:color w:val="auto"/>
              </w:rPr>
            </w:pPr>
          </w:p>
        </w:tc>
      </w:tr>
      <w:tr>
        <w:trPr>
          <w:trHeight w:val="210"/>
        </w:trPr>
        <w:tc>
          <w:tcPr>
            <w:tcW w:w="20" w:type="dxa"/>
            <w:vAlign w:val="bottom"/>
          </w:tcPr>
          <w:p>
            <w:pPr>
              <w:spacing w:after="0"/>
              <w:rPr>
                <w:sz w:val="18"/>
                <w:szCs w:val="18"/>
                <w:color w:val="auto"/>
              </w:rPr>
            </w:pPr>
          </w:p>
        </w:tc>
        <w:tc>
          <w:tcPr>
            <w:tcW w:w="2900" w:type="dxa"/>
            <w:vAlign w:val="bottom"/>
            <w:shd w:val="clear" w:color="auto" w:fill="CCEEFF"/>
          </w:tcPr>
          <w:p>
            <w:pPr>
              <w:spacing w:after="0"/>
              <w:rPr>
                <w:sz w:val="20"/>
                <w:szCs w:val="20"/>
                <w:color w:val="auto"/>
              </w:rPr>
            </w:pPr>
            <w:r>
              <w:rPr>
                <w:rFonts w:ascii="Arial" w:cs="Arial" w:eastAsia="Arial" w:hAnsi="Arial"/>
                <w:sz w:val="18"/>
                <w:szCs w:val="18"/>
                <w:color w:val="auto"/>
              </w:rPr>
              <w:t>High</w:t>
            </w:r>
          </w:p>
        </w:tc>
        <w:tc>
          <w:tcPr>
            <w:tcW w:w="10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1.0421</w:t>
            </w:r>
          </w:p>
        </w:tc>
        <w:tc>
          <w:tcPr>
            <w:tcW w:w="160" w:type="dxa"/>
            <w:vAlign w:val="bottom"/>
            <w:shd w:val="clear" w:color="auto" w:fill="CCEEFF"/>
          </w:tcPr>
          <w:p>
            <w:pPr>
              <w:spacing w:after="0"/>
              <w:rPr>
                <w:sz w:val="18"/>
                <w:szCs w:val="18"/>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1.0734</w:t>
            </w:r>
          </w:p>
        </w:tc>
        <w:tc>
          <w:tcPr>
            <w:tcW w:w="18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1.0657</w:t>
            </w:r>
          </w:p>
        </w:tc>
        <w:tc>
          <w:tcPr>
            <w:tcW w:w="9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1.0713</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1.0774</w:t>
            </w:r>
          </w:p>
        </w:tc>
        <w:tc>
          <w:tcPr>
            <w:tcW w:w="16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1.0845</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1.1065</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2900" w:type="dxa"/>
            <w:vAlign w:val="bottom"/>
          </w:tcPr>
          <w:p>
            <w:pPr>
              <w:spacing w:after="0"/>
              <w:rPr>
                <w:sz w:val="20"/>
                <w:szCs w:val="20"/>
                <w:color w:val="auto"/>
              </w:rPr>
            </w:pPr>
            <w:r>
              <w:rPr>
                <w:rFonts w:ascii="Arial" w:cs="Arial" w:eastAsia="Arial" w:hAnsi="Arial"/>
                <w:sz w:val="18"/>
                <w:szCs w:val="18"/>
                <w:color w:val="auto"/>
              </w:rPr>
              <w:t>Low</w:t>
            </w:r>
          </w:p>
        </w:tc>
        <w:tc>
          <w:tcPr>
            <w:tcW w:w="1000" w:type="dxa"/>
            <w:vAlign w:val="bottom"/>
          </w:tcPr>
          <w:p>
            <w:pPr>
              <w:jc w:val="right"/>
              <w:spacing w:after="0"/>
              <w:rPr>
                <w:sz w:val="20"/>
                <w:szCs w:val="20"/>
                <w:color w:val="auto"/>
              </w:rPr>
            </w:pPr>
            <w:r>
              <w:rPr>
                <w:rFonts w:ascii="Arial" w:cs="Arial" w:eastAsia="Arial" w:hAnsi="Arial"/>
                <w:sz w:val="18"/>
                <w:szCs w:val="18"/>
                <w:color w:val="auto"/>
              </w:rPr>
              <w:t>1.0113</w:t>
            </w:r>
          </w:p>
        </w:tc>
        <w:tc>
          <w:tcPr>
            <w:tcW w:w="160" w:type="dxa"/>
            <w:vAlign w:val="bottom"/>
          </w:tcPr>
          <w:p>
            <w:pPr>
              <w:spacing w:after="0"/>
              <w:rPr>
                <w:sz w:val="18"/>
                <w:szCs w:val="18"/>
                <w:color w:val="auto"/>
              </w:rPr>
            </w:pPr>
          </w:p>
        </w:tc>
        <w:tc>
          <w:tcPr>
            <w:tcW w:w="680" w:type="dxa"/>
            <w:vAlign w:val="bottom"/>
          </w:tcPr>
          <w:p>
            <w:pPr>
              <w:jc w:val="right"/>
              <w:spacing w:after="0"/>
              <w:rPr>
                <w:sz w:val="20"/>
                <w:szCs w:val="20"/>
                <w:color w:val="auto"/>
              </w:rPr>
            </w:pPr>
            <w:r>
              <w:rPr>
                <w:rFonts w:ascii="Arial" w:cs="Arial" w:eastAsia="Arial" w:hAnsi="Arial"/>
                <w:sz w:val="18"/>
                <w:szCs w:val="18"/>
                <w:color w:val="auto"/>
              </w:rPr>
              <w:t>1.0420</w:t>
            </w:r>
          </w:p>
        </w:tc>
        <w:tc>
          <w:tcPr>
            <w:tcW w:w="1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580" w:type="dxa"/>
            <w:vAlign w:val="bottom"/>
          </w:tcPr>
          <w:p>
            <w:pPr>
              <w:jc w:val="right"/>
              <w:spacing w:after="0"/>
              <w:rPr>
                <w:sz w:val="20"/>
                <w:szCs w:val="20"/>
                <w:color w:val="auto"/>
              </w:rPr>
            </w:pPr>
            <w:r>
              <w:rPr>
                <w:rFonts w:ascii="Arial" w:cs="Arial" w:eastAsia="Arial" w:hAnsi="Arial"/>
                <w:sz w:val="18"/>
                <w:szCs w:val="18"/>
                <w:color w:val="auto"/>
              </w:rPr>
              <w:t>1.0251</w:t>
            </w:r>
          </w:p>
        </w:tc>
        <w:tc>
          <w:tcPr>
            <w:tcW w:w="900" w:type="dxa"/>
            <w:vAlign w:val="bottom"/>
            <w:gridSpan w:val="2"/>
          </w:tcPr>
          <w:p>
            <w:pPr>
              <w:jc w:val="right"/>
              <w:spacing w:after="0"/>
              <w:rPr>
                <w:sz w:val="20"/>
                <w:szCs w:val="20"/>
                <w:color w:val="auto"/>
              </w:rPr>
            </w:pPr>
            <w:r>
              <w:rPr>
                <w:rFonts w:ascii="Arial" w:cs="Arial" w:eastAsia="Arial" w:hAnsi="Arial"/>
                <w:sz w:val="18"/>
                <w:szCs w:val="18"/>
                <w:color w:val="auto"/>
              </w:rPr>
              <w:t>1.0405</w:t>
            </w:r>
          </w:p>
        </w:tc>
        <w:tc>
          <w:tcPr>
            <w:tcW w:w="920" w:type="dxa"/>
            <w:vAlign w:val="bottom"/>
            <w:gridSpan w:val="2"/>
          </w:tcPr>
          <w:p>
            <w:pPr>
              <w:jc w:val="right"/>
              <w:spacing w:after="0"/>
              <w:rPr>
                <w:sz w:val="20"/>
                <w:szCs w:val="20"/>
                <w:color w:val="auto"/>
              </w:rPr>
            </w:pPr>
            <w:r>
              <w:rPr>
                <w:rFonts w:ascii="Arial" w:cs="Arial" w:eastAsia="Arial" w:hAnsi="Arial"/>
                <w:sz w:val="18"/>
                <w:szCs w:val="18"/>
                <w:color w:val="auto"/>
              </w:rPr>
              <w:t>1.0460</w:t>
            </w:r>
          </w:p>
        </w:tc>
        <w:tc>
          <w:tcPr>
            <w:tcW w:w="16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580" w:type="dxa"/>
            <w:vAlign w:val="bottom"/>
          </w:tcPr>
          <w:p>
            <w:pPr>
              <w:jc w:val="right"/>
              <w:spacing w:after="0"/>
              <w:rPr>
                <w:sz w:val="20"/>
                <w:szCs w:val="20"/>
                <w:color w:val="auto"/>
              </w:rPr>
            </w:pPr>
            <w:r>
              <w:rPr>
                <w:rFonts w:ascii="Arial" w:cs="Arial" w:eastAsia="Arial" w:hAnsi="Arial"/>
                <w:sz w:val="18"/>
                <w:szCs w:val="18"/>
                <w:color w:val="auto"/>
              </w:rPr>
              <w:t>1.0292</w:t>
            </w:r>
          </w:p>
        </w:tc>
        <w:tc>
          <w:tcPr>
            <w:tcW w:w="940" w:type="dxa"/>
            <w:vAlign w:val="bottom"/>
            <w:gridSpan w:val="2"/>
          </w:tcPr>
          <w:p>
            <w:pPr>
              <w:jc w:val="right"/>
              <w:spacing w:after="0"/>
              <w:rPr>
                <w:sz w:val="20"/>
                <w:szCs w:val="20"/>
                <w:color w:val="auto"/>
              </w:rPr>
            </w:pPr>
            <w:r>
              <w:rPr>
                <w:rFonts w:ascii="Arial" w:cs="Arial" w:eastAsia="Arial" w:hAnsi="Arial"/>
                <w:sz w:val="18"/>
                <w:szCs w:val="18"/>
                <w:color w:val="auto"/>
              </w:rPr>
              <w:t>1.0613</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2900" w:type="dxa"/>
            <w:vAlign w:val="bottom"/>
            <w:shd w:val="clear" w:color="auto" w:fill="CCEEFF"/>
          </w:tcPr>
          <w:p>
            <w:pPr>
              <w:spacing w:after="0"/>
              <w:rPr>
                <w:sz w:val="20"/>
                <w:szCs w:val="20"/>
                <w:color w:val="auto"/>
              </w:rPr>
            </w:pPr>
            <w:r>
              <w:rPr>
                <w:rFonts w:ascii="Arial" w:cs="Arial" w:eastAsia="Arial" w:hAnsi="Arial"/>
                <w:sz w:val="18"/>
                <w:szCs w:val="18"/>
                <w:color w:val="auto"/>
              </w:rPr>
              <w:t>End of Period</w:t>
            </w:r>
          </w:p>
        </w:tc>
        <w:tc>
          <w:tcPr>
            <w:tcW w:w="10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1.0193</w:t>
            </w:r>
          </w:p>
        </w:tc>
        <w:tc>
          <w:tcPr>
            <w:tcW w:w="160" w:type="dxa"/>
            <w:vAlign w:val="bottom"/>
            <w:shd w:val="clear" w:color="auto" w:fill="CCEEFF"/>
          </w:tcPr>
          <w:p>
            <w:pPr>
              <w:spacing w:after="0"/>
              <w:rPr>
                <w:sz w:val="18"/>
                <w:szCs w:val="18"/>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1.0526</w:t>
            </w:r>
          </w:p>
        </w:tc>
        <w:tc>
          <w:tcPr>
            <w:tcW w:w="18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1.0650</w:t>
            </w:r>
          </w:p>
        </w:tc>
        <w:tc>
          <w:tcPr>
            <w:tcW w:w="9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1.0466</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1.0574</w:t>
            </w:r>
          </w:p>
        </w:tc>
        <w:tc>
          <w:tcPr>
            <w:tcW w:w="16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1.0774</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1.0722</w:t>
            </w:r>
          </w:p>
        </w:tc>
        <w:tc>
          <w:tcPr>
            <w:tcW w:w="160" w:type="dxa"/>
            <w:vAlign w:val="bottom"/>
            <w:shd w:val="clear" w:color="auto" w:fill="CCEEFF"/>
          </w:tcPr>
          <w:p>
            <w:pPr>
              <w:spacing w:after="0"/>
              <w:rPr>
                <w:sz w:val="18"/>
                <w:szCs w:val="18"/>
                <w:color w:val="auto"/>
              </w:rPr>
            </w:pPr>
          </w:p>
        </w:tc>
      </w:tr>
      <w:tr>
        <w:trPr>
          <w:trHeight w:val="222"/>
        </w:trPr>
        <w:tc>
          <w:tcPr>
            <w:tcW w:w="20" w:type="dxa"/>
            <w:vAlign w:val="bottom"/>
          </w:tcPr>
          <w:p>
            <w:pPr>
              <w:spacing w:after="0"/>
              <w:rPr>
                <w:sz w:val="19"/>
                <w:szCs w:val="19"/>
                <w:color w:val="auto"/>
              </w:rPr>
            </w:pPr>
          </w:p>
        </w:tc>
        <w:tc>
          <w:tcPr>
            <w:tcW w:w="2900" w:type="dxa"/>
            <w:vAlign w:val="bottom"/>
          </w:tcPr>
          <w:p>
            <w:pPr>
              <w:spacing w:after="0"/>
              <w:rPr>
                <w:sz w:val="20"/>
                <w:szCs w:val="20"/>
                <w:color w:val="auto"/>
              </w:rPr>
            </w:pPr>
            <w:r>
              <w:rPr>
                <w:rFonts w:ascii="Arial" w:cs="Arial" w:eastAsia="Arial" w:hAnsi="Arial"/>
                <w:sz w:val="18"/>
                <w:szCs w:val="18"/>
                <w:color w:val="auto"/>
              </w:rPr>
              <w:t>Average</w:t>
            </w:r>
          </w:p>
        </w:tc>
        <w:tc>
          <w:tcPr>
            <w:tcW w:w="1000" w:type="dxa"/>
            <w:vAlign w:val="bottom"/>
          </w:tcPr>
          <w:p>
            <w:pPr>
              <w:jc w:val="right"/>
              <w:spacing w:after="0"/>
              <w:rPr>
                <w:sz w:val="20"/>
                <w:szCs w:val="20"/>
                <w:color w:val="auto"/>
              </w:rPr>
            </w:pPr>
            <w:r>
              <w:rPr>
                <w:rFonts w:ascii="Arial" w:cs="Arial" w:eastAsia="Arial" w:hAnsi="Arial"/>
                <w:sz w:val="18"/>
                <w:szCs w:val="18"/>
                <w:color w:val="auto"/>
              </w:rPr>
              <w:t>1.0239</w:t>
            </w:r>
          </w:p>
        </w:tc>
        <w:tc>
          <w:tcPr>
            <w:tcW w:w="160" w:type="dxa"/>
            <w:vAlign w:val="bottom"/>
          </w:tcPr>
          <w:p>
            <w:pPr>
              <w:spacing w:after="0"/>
              <w:rPr>
                <w:sz w:val="19"/>
                <w:szCs w:val="19"/>
                <w:color w:val="auto"/>
              </w:rPr>
            </w:pPr>
          </w:p>
        </w:tc>
        <w:tc>
          <w:tcPr>
            <w:tcW w:w="680" w:type="dxa"/>
            <w:vAlign w:val="bottom"/>
          </w:tcPr>
          <w:p>
            <w:pPr>
              <w:jc w:val="right"/>
              <w:spacing w:after="0"/>
              <w:rPr>
                <w:sz w:val="20"/>
                <w:szCs w:val="20"/>
                <w:color w:val="auto"/>
              </w:rPr>
            </w:pPr>
            <w:r>
              <w:rPr>
                <w:rFonts w:ascii="Arial" w:cs="Arial" w:eastAsia="Arial" w:hAnsi="Arial"/>
                <w:sz w:val="18"/>
                <w:szCs w:val="18"/>
                <w:color w:val="auto"/>
              </w:rPr>
              <w:t>1.0561</w:t>
            </w:r>
          </w:p>
        </w:tc>
        <w:tc>
          <w:tcPr>
            <w:tcW w:w="18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580" w:type="dxa"/>
            <w:vAlign w:val="bottom"/>
          </w:tcPr>
          <w:p>
            <w:pPr>
              <w:jc w:val="right"/>
              <w:spacing w:after="0"/>
              <w:rPr>
                <w:sz w:val="20"/>
                <w:szCs w:val="20"/>
                <w:color w:val="auto"/>
              </w:rPr>
            </w:pPr>
            <w:r>
              <w:rPr>
                <w:rFonts w:ascii="Arial" w:cs="Arial" w:eastAsia="Arial" w:hAnsi="Arial"/>
                <w:sz w:val="18"/>
                <w:szCs w:val="18"/>
                <w:color w:val="auto"/>
              </w:rPr>
              <w:t>1.0429</w:t>
            </w:r>
          </w:p>
        </w:tc>
        <w:tc>
          <w:tcPr>
            <w:tcW w:w="900" w:type="dxa"/>
            <w:vAlign w:val="bottom"/>
            <w:gridSpan w:val="2"/>
          </w:tcPr>
          <w:p>
            <w:pPr>
              <w:jc w:val="right"/>
              <w:spacing w:after="0"/>
              <w:rPr>
                <w:sz w:val="20"/>
                <w:szCs w:val="20"/>
                <w:color w:val="auto"/>
              </w:rPr>
            </w:pPr>
            <w:r>
              <w:rPr>
                <w:rFonts w:ascii="Arial" w:cs="Arial" w:eastAsia="Arial" w:hAnsi="Arial"/>
                <w:sz w:val="18"/>
                <w:szCs w:val="18"/>
                <w:color w:val="auto"/>
              </w:rPr>
              <w:t>1.0544</w:t>
            </w:r>
          </w:p>
        </w:tc>
        <w:tc>
          <w:tcPr>
            <w:tcW w:w="920" w:type="dxa"/>
            <w:vAlign w:val="bottom"/>
            <w:gridSpan w:val="2"/>
          </w:tcPr>
          <w:p>
            <w:pPr>
              <w:jc w:val="right"/>
              <w:spacing w:after="0"/>
              <w:rPr>
                <w:sz w:val="20"/>
                <w:szCs w:val="20"/>
                <w:color w:val="auto"/>
              </w:rPr>
            </w:pPr>
            <w:r>
              <w:rPr>
                <w:rFonts w:ascii="Arial" w:cs="Arial" w:eastAsia="Arial" w:hAnsi="Arial"/>
                <w:sz w:val="18"/>
                <w:szCs w:val="18"/>
                <w:color w:val="auto"/>
              </w:rPr>
              <w:t>1.0596</w:t>
            </w:r>
          </w:p>
        </w:tc>
        <w:tc>
          <w:tcPr>
            <w:tcW w:w="16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580" w:type="dxa"/>
            <w:vAlign w:val="bottom"/>
          </w:tcPr>
          <w:p>
            <w:pPr>
              <w:jc w:val="right"/>
              <w:spacing w:after="0"/>
              <w:rPr>
                <w:sz w:val="20"/>
                <w:szCs w:val="20"/>
                <w:color w:val="auto"/>
              </w:rPr>
            </w:pPr>
            <w:r>
              <w:rPr>
                <w:rFonts w:ascii="Arial" w:cs="Arial" w:eastAsia="Arial" w:hAnsi="Arial"/>
                <w:sz w:val="18"/>
                <w:szCs w:val="18"/>
                <w:color w:val="auto"/>
              </w:rPr>
              <w:t>1.0549</w:t>
            </w:r>
          </w:p>
        </w:tc>
        <w:tc>
          <w:tcPr>
            <w:tcW w:w="940" w:type="dxa"/>
            <w:vAlign w:val="bottom"/>
            <w:gridSpan w:val="2"/>
          </w:tcPr>
          <w:p>
            <w:pPr>
              <w:jc w:val="right"/>
              <w:spacing w:after="0"/>
              <w:rPr>
                <w:sz w:val="20"/>
                <w:szCs w:val="20"/>
                <w:color w:val="auto"/>
              </w:rPr>
            </w:pPr>
            <w:r>
              <w:rPr>
                <w:rFonts w:ascii="Arial" w:cs="Arial" w:eastAsia="Arial" w:hAnsi="Arial"/>
                <w:sz w:val="18"/>
                <w:szCs w:val="18"/>
                <w:color w:val="auto"/>
              </w:rPr>
              <w:t>1.0818</w:t>
            </w:r>
          </w:p>
        </w:tc>
        <w:tc>
          <w:tcPr>
            <w:tcW w:w="160" w:type="dxa"/>
            <w:vAlign w:val="bottom"/>
          </w:tcPr>
          <w:p>
            <w:pPr>
              <w:spacing w:after="0"/>
              <w:rPr>
                <w:sz w:val="19"/>
                <w:szCs w:val="19"/>
                <w:color w:val="auto"/>
              </w:rPr>
            </w:pPr>
          </w:p>
        </w:tc>
      </w:tr>
    </w:tbl>
    <w:p>
      <w:pPr>
        <w:spacing w:after="0" w:line="20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On December 31, 2009 and March 22, 2010, US$1.00 equaled €0.69 and €0.74, respectively, as reported by the European Central Bank.</w:t>
      </w:r>
    </w:p>
    <w:p>
      <w:pPr>
        <w:spacing w:after="0" w:line="200" w:lineRule="exact"/>
        <w:rPr>
          <w:sz w:val="20"/>
          <w:szCs w:val="20"/>
          <w:color w:val="auto"/>
        </w:rPr>
      </w:pPr>
    </w:p>
    <w:p>
      <w:pPr>
        <w:spacing w:after="0" w:line="23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 Factors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The Company's financial performance and results may fluctuate widely due to volatile and unpredictable commodity prices.</w:t>
      </w:r>
    </w:p>
    <w:p>
      <w:pPr>
        <w:spacing w:after="0" w:line="225" w:lineRule="exact"/>
        <w:rPr>
          <w:sz w:val="20"/>
          <w:szCs w:val="20"/>
          <w:color w:val="auto"/>
        </w:rPr>
      </w:pPr>
    </w:p>
    <w:p>
      <w:pPr>
        <w:jc w:val="both"/>
        <w:ind w:firstLine="362"/>
        <w:spacing w:after="0" w:line="288" w:lineRule="auto"/>
        <w:rPr>
          <w:sz w:val="20"/>
          <w:szCs w:val="20"/>
          <w:color w:val="auto"/>
        </w:rPr>
      </w:pPr>
      <w:r>
        <w:rPr>
          <w:rFonts w:ascii="Arial" w:cs="Arial" w:eastAsia="Arial" w:hAnsi="Arial"/>
          <w:sz w:val="16"/>
          <w:szCs w:val="16"/>
          <w:color w:val="auto"/>
        </w:rPr>
        <w:t>The Company's earnings are directly related to commodity prices as revenues are derived from the sale of precious metals (gold and silver), zinc and copper. Gold prices fluctuate widely and are affected by numerous factors beyond the Company's control, including central bank purchases and sales, producer hedging and de-hedging activities, expectations of inflation, the relative exchange rate of the U.S. dollar with other major currencies, global and regional demand, political and economic conditions, production costs in major gold-producing regions and worldwide production levels. The aggregate effect of these factors is impossible to predict with accuracy. In addition, the price of gold has on occasion been subject to very rapid short-term changes because of speculative activities. Fluctuations in gold prices may materially adversely affect the Company's financial performance or results of operations. If the market price of gold falls below the Company's total cash costs per ounce of production at one or more of its projects at that time and remains so for any sustained period, the Company may experience losses and/or may curtail or suspend some or all of its exploration, development and mining activities at such projects or at other projects. Also, the Company's</w:t>
      </w:r>
    </w:p>
    <w:p>
      <w:pPr>
        <w:spacing w:after="0" w:line="17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81" w:right="239" w:bottom="1440" w:gutter="0" w:footer="0" w:header="0"/>
        </w:sectPr>
      </w:pPr>
    </w:p>
    <w:bookmarkStart w:id="48" w:name="page49"/>
    <w:bookmarkEnd w:id="48"/>
    <w:p>
      <w:pPr>
        <w:jc w:val="both"/>
        <w:spacing w:after="0" w:line="289" w:lineRule="auto"/>
        <w:rPr>
          <w:sz w:val="20"/>
          <w:szCs w:val="20"/>
          <w:color w:val="auto"/>
        </w:rPr>
      </w:pPr>
      <w:r>
        <w:rPr>
          <w:rFonts w:ascii="Arial" w:cs="Arial" w:eastAsia="Arial" w:hAnsi="Arial"/>
          <w:sz w:val="16"/>
          <w:szCs w:val="16"/>
          <w:color w:val="auto"/>
        </w:rPr>
        <w:t>decisions to proceed with its current mines were based on a market price of gold between $400 and $450 per ounce. If the market price of gold falls below this level, the mines may be rendered uneconomic and production may be suspended. The prices received for the sale of the Company's byproduct metals produced at its LaRonde Mine (zinc, silver and copper) and its Pinos Altos Mine (silver) affect the Company's ability to meet its targets for total cash costs per ounce of gold produced. Byproduct metal prices fluctuate widely and are affected by numerous factors beyond the Company's control. The Company's policy and practice is not to sell forward its future gold production; however, under the Company's price risk management policy, approved by the Company's board of directors (the "Board"), the Company may review this practice on a project by project basis. See "Item 11 Quantitative and Qualitative Disclosures about Market Risk — Derivatives" for more details on the Company's use of derivative instruments. The Company occasionally uses derivative instruments to mitigate the effects of fluctuating byproduct metal prices; however, these measures may not be successful.</w:t>
      </w:r>
    </w:p>
    <w:p>
      <w:pPr>
        <w:spacing w:after="0" w:line="172" w:lineRule="exact"/>
        <w:rPr>
          <w:sz w:val="20"/>
          <w:szCs w:val="20"/>
          <w:color w:val="auto"/>
        </w:rPr>
      </w:pPr>
    </w:p>
    <w:p>
      <w:pPr>
        <w:jc w:val="both"/>
        <w:ind w:firstLine="348"/>
        <w:spacing w:after="0" w:line="268" w:lineRule="auto"/>
        <w:rPr>
          <w:sz w:val="20"/>
          <w:szCs w:val="20"/>
          <w:color w:val="auto"/>
        </w:rPr>
      </w:pPr>
      <w:r>
        <w:rPr>
          <w:rFonts w:ascii="Arial" w:cs="Arial" w:eastAsia="Arial" w:hAnsi="Arial"/>
          <w:sz w:val="18"/>
          <w:szCs w:val="18"/>
          <w:color w:val="auto"/>
        </w:rPr>
        <w:t>The volatility of gold prices is illustrated in the following table which sets out, for the periods indicated, the high, low and average afternoon fixing prices for gold on the London Bullion Market (the "London P.M. Fix").</w:t>
      </w:r>
    </w:p>
    <w:p>
      <w:pPr>
        <w:spacing w:after="0" w:line="169"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4800" w:type="dxa"/>
            <w:vAlign w:val="bottom"/>
          </w:tcPr>
          <w:p>
            <w:pPr>
              <w:spacing w:after="0"/>
              <w:rPr>
                <w:sz w:val="14"/>
                <w:szCs w:val="14"/>
                <w:color w:val="auto"/>
              </w:rPr>
            </w:pPr>
          </w:p>
        </w:tc>
        <w:tc>
          <w:tcPr>
            <w:tcW w:w="1000" w:type="dxa"/>
            <w:vAlign w:val="bottom"/>
          </w:tcPr>
          <w:p>
            <w:pPr>
              <w:jc w:val="right"/>
              <w:ind w:right="280"/>
              <w:spacing w:after="0"/>
              <w:rPr>
                <w:sz w:val="20"/>
                <w:szCs w:val="20"/>
                <w:color w:val="auto"/>
              </w:rPr>
            </w:pPr>
            <w:r>
              <w:rPr>
                <w:rFonts w:ascii="Arial" w:cs="Arial" w:eastAsia="Arial" w:hAnsi="Arial"/>
                <w:sz w:val="14"/>
                <w:szCs w:val="14"/>
                <w:b w:val="1"/>
                <w:bCs w:val="1"/>
                <w:color w:val="auto"/>
              </w:rPr>
              <w:t>2010</w:t>
            </w:r>
          </w:p>
        </w:tc>
        <w:tc>
          <w:tcPr>
            <w:tcW w:w="16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60" w:type="dxa"/>
            <w:vAlign w:val="bottom"/>
          </w:tcPr>
          <w:p>
            <w:pPr>
              <w:spacing w:after="0"/>
              <w:rPr>
                <w:sz w:val="14"/>
                <w:szCs w:val="14"/>
                <w:color w:val="auto"/>
              </w:rPr>
            </w:pPr>
          </w:p>
        </w:tc>
      </w:tr>
      <w:tr>
        <w:trPr>
          <w:trHeight w:val="161"/>
        </w:trPr>
        <w:tc>
          <w:tcPr>
            <w:tcW w:w="20" w:type="dxa"/>
            <w:vAlign w:val="bottom"/>
          </w:tcPr>
          <w:p>
            <w:pPr>
              <w:spacing w:after="0"/>
              <w:rPr>
                <w:sz w:val="14"/>
                <w:szCs w:val="14"/>
                <w:color w:val="auto"/>
              </w:rPr>
            </w:pPr>
          </w:p>
        </w:tc>
        <w:tc>
          <w:tcPr>
            <w:tcW w:w="4800" w:type="dxa"/>
            <w:vAlign w:val="bottom"/>
          </w:tcPr>
          <w:p>
            <w:pPr>
              <w:spacing w:after="0"/>
              <w:rPr>
                <w:sz w:val="14"/>
                <w:szCs w:val="14"/>
                <w:color w:val="auto"/>
              </w:rPr>
            </w:pPr>
          </w:p>
        </w:tc>
        <w:tc>
          <w:tcPr>
            <w:tcW w:w="1000" w:type="dxa"/>
            <w:vAlign w:val="bottom"/>
            <w:tcBorders>
              <w:bottom w:val="single" w:sz="8" w:color="auto"/>
            </w:tcBorders>
          </w:tcPr>
          <w:p>
            <w:pPr>
              <w:jc w:val="right"/>
              <w:ind w:right="20"/>
              <w:spacing w:after="0"/>
              <w:rPr>
                <w:sz w:val="20"/>
                <w:szCs w:val="20"/>
                <w:color w:val="auto"/>
              </w:rPr>
            </w:pPr>
            <w:r>
              <w:rPr>
                <w:rFonts w:ascii="Arial" w:cs="Arial" w:eastAsia="Arial" w:hAnsi="Arial"/>
                <w:sz w:val="14"/>
                <w:szCs w:val="14"/>
                <w:b w:val="1"/>
                <w:bCs w:val="1"/>
                <w:color w:val="auto"/>
              </w:rPr>
              <w:t>(to March 22)</w:t>
            </w:r>
          </w:p>
        </w:tc>
        <w:tc>
          <w:tcPr>
            <w:tcW w:w="160" w:type="dxa"/>
            <w:vAlign w:val="bottom"/>
          </w:tcPr>
          <w:p>
            <w:pPr>
              <w:spacing w:after="0"/>
              <w:rPr>
                <w:sz w:val="14"/>
                <w:szCs w:val="14"/>
                <w:color w:val="auto"/>
              </w:rPr>
            </w:pPr>
          </w:p>
        </w:tc>
        <w:tc>
          <w:tcPr>
            <w:tcW w:w="540" w:type="dxa"/>
            <w:vAlign w:val="bottom"/>
            <w:tcBorders>
              <w:bottom w:val="single" w:sz="8" w:color="auto"/>
            </w:tcBorders>
          </w:tcPr>
          <w:p>
            <w:pPr>
              <w:jc w:val="right"/>
              <w:ind w:right="72"/>
              <w:spacing w:after="0"/>
              <w:rPr>
                <w:sz w:val="20"/>
                <w:szCs w:val="20"/>
                <w:color w:val="auto"/>
              </w:rPr>
            </w:pPr>
            <w:r>
              <w:rPr>
                <w:rFonts w:ascii="Arial" w:cs="Arial" w:eastAsia="Arial" w:hAnsi="Arial"/>
                <w:sz w:val="14"/>
                <w:szCs w:val="14"/>
                <w:b w:val="1"/>
                <w:bCs w:val="1"/>
                <w:color w:val="auto"/>
              </w:rPr>
              <w:t>2009</w:t>
            </w:r>
          </w:p>
        </w:tc>
        <w:tc>
          <w:tcPr>
            <w:tcW w:w="160" w:type="dxa"/>
            <w:vAlign w:val="bottom"/>
          </w:tcPr>
          <w:p>
            <w:pPr>
              <w:spacing w:after="0"/>
              <w:rPr>
                <w:sz w:val="14"/>
                <w:szCs w:val="14"/>
                <w:color w:val="auto"/>
              </w:rPr>
            </w:pPr>
          </w:p>
        </w:tc>
        <w:tc>
          <w:tcPr>
            <w:tcW w:w="520" w:type="dxa"/>
            <w:vAlign w:val="bottom"/>
            <w:tcBorders>
              <w:bottom w:val="single" w:sz="8" w:color="auto"/>
            </w:tcBorders>
          </w:tcPr>
          <w:p>
            <w:pPr>
              <w:jc w:val="right"/>
              <w:ind w:right="72"/>
              <w:spacing w:after="0"/>
              <w:rPr>
                <w:sz w:val="20"/>
                <w:szCs w:val="20"/>
                <w:color w:val="auto"/>
              </w:rPr>
            </w:pPr>
            <w:r>
              <w:rPr>
                <w:rFonts w:ascii="Arial" w:cs="Arial" w:eastAsia="Arial" w:hAnsi="Arial"/>
                <w:sz w:val="14"/>
                <w:szCs w:val="14"/>
                <w:b w:val="1"/>
                <w:bCs w:val="1"/>
                <w:color w:val="auto"/>
              </w:rPr>
              <w:t>2008</w:t>
            </w:r>
          </w:p>
        </w:tc>
        <w:tc>
          <w:tcPr>
            <w:tcW w:w="160" w:type="dxa"/>
            <w:vAlign w:val="bottom"/>
          </w:tcPr>
          <w:p>
            <w:pPr>
              <w:spacing w:after="0"/>
              <w:rPr>
                <w:sz w:val="14"/>
                <w:szCs w:val="14"/>
                <w:color w:val="auto"/>
              </w:rPr>
            </w:pPr>
          </w:p>
        </w:tc>
        <w:tc>
          <w:tcPr>
            <w:tcW w:w="440" w:type="dxa"/>
            <w:vAlign w:val="bottom"/>
            <w:tcBorders>
              <w:bottom w:val="single" w:sz="8" w:color="auto"/>
            </w:tcBorders>
          </w:tcPr>
          <w:p>
            <w:pPr>
              <w:jc w:val="right"/>
              <w:ind w:right="32"/>
              <w:spacing w:after="0"/>
              <w:rPr>
                <w:sz w:val="20"/>
                <w:szCs w:val="20"/>
                <w:color w:val="auto"/>
              </w:rPr>
            </w:pPr>
            <w:r>
              <w:rPr>
                <w:rFonts w:ascii="Arial" w:cs="Arial" w:eastAsia="Arial" w:hAnsi="Arial"/>
                <w:sz w:val="14"/>
                <w:szCs w:val="14"/>
                <w:b w:val="1"/>
                <w:bCs w:val="1"/>
                <w:color w:val="auto"/>
              </w:rPr>
              <w:t>2007</w:t>
            </w:r>
          </w:p>
        </w:tc>
        <w:tc>
          <w:tcPr>
            <w:tcW w:w="160" w:type="dxa"/>
            <w:vAlign w:val="bottom"/>
          </w:tcPr>
          <w:p>
            <w:pPr>
              <w:spacing w:after="0"/>
              <w:rPr>
                <w:sz w:val="14"/>
                <w:szCs w:val="14"/>
                <w:color w:val="auto"/>
              </w:rPr>
            </w:pPr>
          </w:p>
        </w:tc>
        <w:tc>
          <w:tcPr>
            <w:tcW w:w="420" w:type="dxa"/>
            <w:vAlign w:val="bottom"/>
            <w:tcBorders>
              <w:bottom w:val="single" w:sz="8" w:color="auto"/>
            </w:tcBorders>
          </w:tcPr>
          <w:p>
            <w:pPr>
              <w:jc w:val="right"/>
              <w:ind w:right="12"/>
              <w:spacing w:after="0"/>
              <w:rPr>
                <w:sz w:val="20"/>
                <w:szCs w:val="20"/>
                <w:color w:val="auto"/>
              </w:rPr>
            </w:pPr>
            <w:r>
              <w:rPr>
                <w:rFonts w:ascii="Arial" w:cs="Arial" w:eastAsia="Arial" w:hAnsi="Arial"/>
                <w:sz w:val="14"/>
                <w:szCs w:val="14"/>
                <w:b w:val="1"/>
                <w:bCs w:val="1"/>
                <w:color w:val="auto"/>
              </w:rPr>
              <w:t>2006</w:t>
            </w:r>
          </w:p>
        </w:tc>
        <w:tc>
          <w:tcPr>
            <w:tcW w:w="180" w:type="dxa"/>
            <w:vAlign w:val="bottom"/>
          </w:tcPr>
          <w:p>
            <w:pPr>
              <w:spacing w:after="0"/>
              <w:rPr>
                <w:sz w:val="14"/>
                <w:szCs w:val="14"/>
                <w:color w:val="auto"/>
              </w:rPr>
            </w:pPr>
          </w:p>
        </w:tc>
        <w:tc>
          <w:tcPr>
            <w:tcW w:w="420" w:type="dxa"/>
            <w:vAlign w:val="bottom"/>
            <w:tcBorders>
              <w:bottom w:val="single" w:sz="8" w:color="auto"/>
            </w:tcBorders>
          </w:tcPr>
          <w:p>
            <w:pPr>
              <w:jc w:val="right"/>
              <w:ind w:right="12"/>
              <w:spacing w:after="0"/>
              <w:rPr>
                <w:sz w:val="20"/>
                <w:szCs w:val="20"/>
                <w:color w:val="auto"/>
              </w:rPr>
            </w:pPr>
            <w:r>
              <w:rPr>
                <w:rFonts w:ascii="Arial" w:cs="Arial" w:eastAsia="Arial" w:hAnsi="Arial"/>
                <w:sz w:val="14"/>
                <w:szCs w:val="14"/>
                <w:b w:val="1"/>
                <w:bCs w:val="1"/>
                <w:color w:val="auto"/>
              </w:rPr>
              <w:t>2005</w:t>
            </w:r>
          </w:p>
        </w:tc>
        <w:tc>
          <w:tcPr>
            <w:tcW w:w="160" w:type="dxa"/>
            <w:vAlign w:val="bottom"/>
          </w:tcPr>
          <w:p>
            <w:pPr>
              <w:spacing w:after="0"/>
              <w:rPr>
                <w:sz w:val="14"/>
                <w:szCs w:val="14"/>
                <w:color w:val="auto"/>
              </w:rPr>
            </w:pPr>
          </w:p>
        </w:tc>
      </w:tr>
      <w:tr>
        <w:trPr>
          <w:trHeight w:val="210"/>
        </w:trPr>
        <w:tc>
          <w:tcPr>
            <w:tcW w:w="20" w:type="dxa"/>
            <w:vAlign w:val="bottom"/>
          </w:tcPr>
          <w:p>
            <w:pPr>
              <w:spacing w:after="0"/>
              <w:rPr>
                <w:sz w:val="18"/>
                <w:szCs w:val="18"/>
                <w:color w:val="auto"/>
              </w:rPr>
            </w:pPr>
          </w:p>
        </w:tc>
        <w:tc>
          <w:tcPr>
            <w:tcW w:w="4800" w:type="dxa"/>
            <w:vAlign w:val="bottom"/>
            <w:shd w:val="clear" w:color="auto" w:fill="CCEEFF"/>
          </w:tcPr>
          <w:p>
            <w:pPr>
              <w:spacing w:after="0"/>
              <w:rPr>
                <w:sz w:val="20"/>
                <w:szCs w:val="20"/>
                <w:color w:val="auto"/>
              </w:rPr>
            </w:pPr>
            <w:r>
              <w:rPr>
                <w:rFonts w:ascii="Arial" w:cs="Arial" w:eastAsia="Arial" w:hAnsi="Arial"/>
                <w:sz w:val="18"/>
                <w:szCs w:val="18"/>
                <w:color w:val="auto"/>
              </w:rPr>
              <w:t>High price ($ per ounce)</w:t>
            </w:r>
          </w:p>
        </w:tc>
        <w:tc>
          <w:tcPr>
            <w:tcW w:w="10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1,153</w:t>
            </w:r>
          </w:p>
        </w:tc>
        <w:tc>
          <w:tcPr>
            <w:tcW w:w="7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1,212</w:t>
            </w: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1,011</w:t>
            </w:r>
          </w:p>
        </w:tc>
        <w:tc>
          <w:tcPr>
            <w:tcW w:w="6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841</w:t>
            </w:r>
          </w:p>
        </w:tc>
        <w:tc>
          <w:tcPr>
            <w:tcW w:w="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725</w:t>
            </w:r>
          </w:p>
        </w:tc>
        <w:tc>
          <w:tcPr>
            <w:tcW w:w="6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538</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800" w:type="dxa"/>
            <w:vAlign w:val="bottom"/>
          </w:tcPr>
          <w:p>
            <w:pPr>
              <w:spacing w:after="0"/>
              <w:rPr>
                <w:sz w:val="20"/>
                <w:szCs w:val="20"/>
                <w:color w:val="auto"/>
              </w:rPr>
            </w:pPr>
            <w:r>
              <w:rPr>
                <w:rFonts w:ascii="Arial" w:cs="Arial" w:eastAsia="Arial" w:hAnsi="Arial"/>
                <w:sz w:val="18"/>
                <w:szCs w:val="18"/>
                <w:color w:val="auto"/>
              </w:rPr>
              <w:t>Low price ($ per ounce)</w:t>
            </w:r>
          </w:p>
        </w:tc>
        <w:tc>
          <w:tcPr>
            <w:tcW w:w="1000" w:type="dxa"/>
            <w:vAlign w:val="bottom"/>
          </w:tcPr>
          <w:p>
            <w:pPr>
              <w:jc w:val="right"/>
              <w:spacing w:after="0"/>
              <w:rPr>
                <w:sz w:val="20"/>
                <w:szCs w:val="20"/>
                <w:color w:val="auto"/>
              </w:rPr>
            </w:pPr>
            <w:r>
              <w:rPr>
                <w:rFonts w:ascii="Arial" w:cs="Arial" w:eastAsia="Arial" w:hAnsi="Arial"/>
                <w:sz w:val="18"/>
                <w:szCs w:val="18"/>
                <w:color w:val="auto"/>
              </w:rPr>
              <w:t>1,058</w:t>
            </w:r>
          </w:p>
        </w:tc>
        <w:tc>
          <w:tcPr>
            <w:tcW w:w="700" w:type="dxa"/>
            <w:vAlign w:val="bottom"/>
            <w:gridSpan w:val="2"/>
          </w:tcPr>
          <w:p>
            <w:pPr>
              <w:jc w:val="right"/>
              <w:spacing w:after="0"/>
              <w:rPr>
                <w:sz w:val="20"/>
                <w:szCs w:val="20"/>
                <w:color w:val="auto"/>
              </w:rPr>
            </w:pPr>
            <w:r>
              <w:rPr>
                <w:rFonts w:ascii="Arial" w:cs="Arial" w:eastAsia="Arial" w:hAnsi="Arial"/>
                <w:sz w:val="18"/>
                <w:szCs w:val="18"/>
                <w:color w:val="auto"/>
              </w:rPr>
              <w:t>810</w:t>
            </w:r>
          </w:p>
        </w:tc>
        <w:tc>
          <w:tcPr>
            <w:tcW w:w="680" w:type="dxa"/>
            <w:vAlign w:val="bottom"/>
            <w:gridSpan w:val="2"/>
          </w:tcPr>
          <w:p>
            <w:pPr>
              <w:jc w:val="right"/>
              <w:spacing w:after="0"/>
              <w:rPr>
                <w:sz w:val="20"/>
                <w:szCs w:val="20"/>
                <w:color w:val="auto"/>
              </w:rPr>
            </w:pPr>
            <w:r>
              <w:rPr>
                <w:rFonts w:ascii="Arial" w:cs="Arial" w:eastAsia="Arial" w:hAnsi="Arial"/>
                <w:sz w:val="18"/>
                <w:szCs w:val="18"/>
                <w:color w:val="auto"/>
              </w:rPr>
              <w:t>712</w:t>
            </w:r>
          </w:p>
        </w:tc>
        <w:tc>
          <w:tcPr>
            <w:tcW w:w="600" w:type="dxa"/>
            <w:vAlign w:val="bottom"/>
            <w:gridSpan w:val="2"/>
          </w:tcPr>
          <w:p>
            <w:pPr>
              <w:jc w:val="right"/>
              <w:spacing w:after="0"/>
              <w:rPr>
                <w:sz w:val="20"/>
                <w:szCs w:val="20"/>
                <w:color w:val="auto"/>
              </w:rPr>
            </w:pPr>
            <w:r>
              <w:rPr>
                <w:rFonts w:ascii="Arial" w:cs="Arial" w:eastAsia="Arial" w:hAnsi="Arial"/>
                <w:sz w:val="18"/>
                <w:szCs w:val="18"/>
                <w:color w:val="auto"/>
              </w:rPr>
              <w:t>608</w:t>
            </w:r>
          </w:p>
        </w:tc>
        <w:tc>
          <w:tcPr>
            <w:tcW w:w="580" w:type="dxa"/>
            <w:vAlign w:val="bottom"/>
            <w:gridSpan w:val="2"/>
          </w:tcPr>
          <w:p>
            <w:pPr>
              <w:jc w:val="right"/>
              <w:spacing w:after="0"/>
              <w:rPr>
                <w:sz w:val="20"/>
                <w:szCs w:val="20"/>
                <w:color w:val="auto"/>
              </w:rPr>
            </w:pPr>
            <w:r>
              <w:rPr>
                <w:rFonts w:ascii="Arial" w:cs="Arial" w:eastAsia="Arial" w:hAnsi="Arial"/>
                <w:sz w:val="18"/>
                <w:szCs w:val="18"/>
                <w:color w:val="auto"/>
              </w:rPr>
              <w:t>525</w:t>
            </w:r>
          </w:p>
        </w:tc>
        <w:tc>
          <w:tcPr>
            <w:tcW w:w="600" w:type="dxa"/>
            <w:vAlign w:val="bottom"/>
            <w:gridSpan w:val="2"/>
          </w:tcPr>
          <w:p>
            <w:pPr>
              <w:jc w:val="right"/>
              <w:spacing w:after="0"/>
              <w:rPr>
                <w:sz w:val="20"/>
                <w:szCs w:val="20"/>
                <w:color w:val="auto"/>
              </w:rPr>
            </w:pPr>
            <w:r>
              <w:rPr>
                <w:rFonts w:ascii="Arial" w:cs="Arial" w:eastAsia="Arial" w:hAnsi="Arial"/>
                <w:sz w:val="18"/>
                <w:szCs w:val="18"/>
                <w:color w:val="auto"/>
              </w:rPr>
              <w:t>411</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800" w:type="dxa"/>
            <w:vAlign w:val="bottom"/>
            <w:shd w:val="clear" w:color="auto" w:fill="CCEEFF"/>
          </w:tcPr>
          <w:p>
            <w:pPr>
              <w:spacing w:after="0"/>
              <w:rPr>
                <w:sz w:val="20"/>
                <w:szCs w:val="20"/>
                <w:color w:val="auto"/>
              </w:rPr>
            </w:pPr>
            <w:r>
              <w:rPr>
                <w:rFonts w:ascii="Arial" w:cs="Arial" w:eastAsia="Arial" w:hAnsi="Arial"/>
                <w:sz w:val="18"/>
                <w:szCs w:val="18"/>
                <w:color w:val="auto"/>
              </w:rPr>
              <w:t>Average price ($ per ounce)</w:t>
            </w:r>
          </w:p>
        </w:tc>
        <w:tc>
          <w:tcPr>
            <w:tcW w:w="10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1,110</w:t>
            </w:r>
          </w:p>
        </w:tc>
        <w:tc>
          <w:tcPr>
            <w:tcW w:w="7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972</w:t>
            </w: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872</w:t>
            </w:r>
          </w:p>
        </w:tc>
        <w:tc>
          <w:tcPr>
            <w:tcW w:w="6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695</w:t>
            </w:r>
          </w:p>
        </w:tc>
        <w:tc>
          <w:tcPr>
            <w:tcW w:w="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604</w:t>
            </w:r>
          </w:p>
        </w:tc>
        <w:tc>
          <w:tcPr>
            <w:tcW w:w="6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444</w:t>
            </w:r>
          </w:p>
        </w:tc>
        <w:tc>
          <w:tcPr>
            <w:tcW w:w="160" w:type="dxa"/>
            <w:vAlign w:val="bottom"/>
            <w:shd w:val="clear" w:color="auto" w:fill="CCEEFF"/>
          </w:tcPr>
          <w:p>
            <w:pPr>
              <w:spacing w:after="0"/>
              <w:rPr>
                <w:sz w:val="18"/>
                <w:szCs w:val="18"/>
                <w:color w:val="auto"/>
              </w:rPr>
            </w:pPr>
          </w:p>
        </w:tc>
      </w:tr>
    </w:tbl>
    <w:p>
      <w:pPr>
        <w:spacing w:after="0" w:line="208" w:lineRule="exact"/>
        <w:rPr>
          <w:sz w:val="20"/>
          <w:szCs w:val="20"/>
          <w:color w:val="auto"/>
        </w:rPr>
      </w:pPr>
    </w:p>
    <w:p>
      <w:pPr>
        <w:ind w:left="360"/>
        <w:spacing w:after="0"/>
        <w:rPr>
          <w:sz w:val="20"/>
          <w:szCs w:val="20"/>
          <w:color w:val="auto"/>
        </w:rPr>
      </w:pPr>
      <w:r>
        <w:rPr>
          <w:rFonts w:ascii="Arial" w:cs="Arial" w:eastAsia="Arial" w:hAnsi="Arial"/>
          <w:sz w:val="18"/>
          <w:szCs w:val="18"/>
          <w:color w:val="auto"/>
        </w:rPr>
        <w:t>On March 22, 2010, the London P.M. Fix was $1,097.25 per ounce of gold.</w:t>
      </w:r>
    </w:p>
    <w:p>
      <w:pPr>
        <w:spacing w:after="0" w:line="225" w:lineRule="exact"/>
        <w:rPr>
          <w:sz w:val="20"/>
          <w:szCs w:val="20"/>
          <w:color w:val="auto"/>
        </w:rPr>
      </w:pPr>
    </w:p>
    <w:p>
      <w:pPr>
        <w:jc w:val="both"/>
        <w:ind w:right="20" w:firstLine="370"/>
        <w:spacing w:after="0" w:line="332" w:lineRule="auto"/>
        <w:rPr>
          <w:sz w:val="20"/>
          <w:szCs w:val="20"/>
          <w:color w:val="auto"/>
        </w:rPr>
      </w:pPr>
      <w:r>
        <w:rPr>
          <w:rFonts w:ascii="Arial" w:cs="Arial" w:eastAsia="Arial" w:hAnsi="Arial"/>
          <w:sz w:val="16"/>
          <w:szCs w:val="16"/>
          <w:color w:val="auto"/>
        </w:rPr>
        <w:t>The assumptions that underlie the estimate of future operating results and the strategies used to mitigate the effects of risks of metal prices are set out herein and in "Item 5 Operating and Financial Review and Prospects — Outlook — Gold Production Growth" of this Form 20-F.</w:t>
      </w:r>
    </w:p>
    <w:p>
      <w:pPr>
        <w:spacing w:after="0" w:line="139" w:lineRule="exact"/>
        <w:rPr>
          <w:sz w:val="20"/>
          <w:szCs w:val="20"/>
          <w:color w:val="auto"/>
        </w:rPr>
      </w:pPr>
    </w:p>
    <w:p>
      <w:pPr>
        <w:jc w:val="both"/>
        <w:ind w:firstLine="445"/>
        <w:spacing w:after="0" w:line="268" w:lineRule="auto"/>
        <w:rPr>
          <w:sz w:val="20"/>
          <w:szCs w:val="20"/>
          <w:color w:val="auto"/>
        </w:rPr>
      </w:pPr>
      <w:r>
        <w:rPr>
          <w:rFonts w:ascii="Arial" w:cs="Arial" w:eastAsia="Arial" w:hAnsi="Arial"/>
          <w:sz w:val="18"/>
          <w:szCs w:val="18"/>
          <w:color w:val="auto"/>
        </w:rPr>
        <w:t>Based on 2010 production estimates, the approximate sensitivities of the Company's after-tax income to a 10% change in certain metal prices from 2009 market average prices are as follows:</w:t>
      </w:r>
    </w:p>
    <w:p>
      <w:pPr>
        <w:spacing w:after="0" w:line="236"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4140" w:type="dxa"/>
            <w:vAlign w:val="bottom"/>
          </w:tcPr>
          <w:p>
            <w:pPr>
              <w:spacing w:after="0"/>
              <w:rPr>
                <w:sz w:val="14"/>
                <w:szCs w:val="14"/>
                <w:color w:val="auto"/>
              </w:rPr>
            </w:pPr>
          </w:p>
        </w:tc>
        <w:tc>
          <w:tcPr>
            <w:tcW w:w="362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1100" w:type="dxa"/>
            <w:vAlign w:val="bottom"/>
            <w:tcBorders>
              <w:bottom w:val="single" w:sz="8" w:color="auto"/>
            </w:tcBorders>
          </w:tcPr>
          <w:p>
            <w:pPr>
              <w:jc w:val="right"/>
              <w:ind w:right="16"/>
              <w:spacing w:after="0"/>
              <w:rPr>
                <w:sz w:val="20"/>
                <w:szCs w:val="20"/>
                <w:color w:val="auto"/>
              </w:rPr>
            </w:pPr>
            <w:r>
              <w:rPr>
                <w:rFonts w:ascii="Arial" w:cs="Arial" w:eastAsia="Arial" w:hAnsi="Arial"/>
                <w:sz w:val="14"/>
                <w:szCs w:val="14"/>
                <w:b w:val="1"/>
                <w:bCs w:val="1"/>
                <w:color w:val="auto"/>
                <w:w w:val="84"/>
              </w:rPr>
              <w:t>Income per share</w:t>
            </w:r>
          </w:p>
        </w:tc>
        <w:tc>
          <w:tcPr>
            <w:tcW w:w="160" w:type="dxa"/>
            <w:vAlign w:val="bottom"/>
          </w:tcPr>
          <w:p>
            <w:pPr>
              <w:spacing w:after="0"/>
              <w:rPr>
                <w:sz w:val="14"/>
                <w:szCs w:val="14"/>
                <w:color w:val="auto"/>
              </w:rPr>
            </w:pPr>
          </w:p>
        </w:tc>
      </w:tr>
      <w:tr>
        <w:trPr>
          <w:trHeight w:val="210"/>
        </w:trPr>
        <w:tc>
          <w:tcPr>
            <w:tcW w:w="20" w:type="dxa"/>
            <w:vAlign w:val="bottom"/>
          </w:tcPr>
          <w:p>
            <w:pPr>
              <w:spacing w:after="0"/>
              <w:rPr>
                <w:sz w:val="18"/>
                <w:szCs w:val="18"/>
                <w:color w:val="auto"/>
              </w:rPr>
            </w:pPr>
          </w:p>
        </w:tc>
        <w:tc>
          <w:tcPr>
            <w:tcW w:w="4140" w:type="dxa"/>
            <w:vAlign w:val="bottom"/>
            <w:shd w:val="clear" w:color="auto" w:fill="CCEEFF"/>
          </w:tcPr>
          <w:p>
            <w:pPr>
              <w:spacing w:after="0"/>
              <w:rPr>
                <w:sz w:val="20"/>
                <w:szCs w:val="20"/>
                <w:color w:val="auto"/>
              </w:rPr>
            </w:pPr>
            <w:r>
              <w:rPr>
                <w:rFonts w:ascii="Arial" w:cs="Arial" w:eastAsia="Arial" w:hAnsi="Arial"/>
                <w:sz w:val="18"/>
                <w:szCs w:val="18"/>
                <w:color w:val="auto"/>
              </w:rPr>
              <w:t>Gold</w:t>
            </w:r>
          </w:p>
        </w:tc>
        <w:tc>
          <w:tcPr>
            <w:tcW w:w="37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1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0.54</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140" w:type="dxa"/>
            <w:vAlign w:val="bottom"/>
          </w:tcPr>
          <w:p>
            <w:pPr>
              <w:spacing w:after="0"/>
              <w:rPr>
                <w:sz w:val="20"/>
                <w:szCs w:val="20"/>
                <w:color w:val="auto"/>
              </w:rPr>
            </w:pPr>
            <w:r>
              <w:rPr>
                <w:rFonts w:ascii="Arial" w:cs="Arial" w:eastAsia="Arial" w:hAnsi="Arial"/>
                <w:sz w:val="18"/>
                <w:szCs w:val="18"/>
                <w:color w:val="auto"/>
              </w:rPr>
              <w:t>Silver</w:t>
            </w:r>
          </w:p>
        </w:tc>
        <w:tc>
          <w:tcPr>
            <w:tcW w:w="372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1100" w:type="dxa"/>
            <w:vAlign w:val="bottom"/>
          </w:tcPr>
          <w:p>
            <w:pPr>
              <w:jc w:val="right"/>
              <w:spacing w:after="0"/>
              <w:rPr>
                <w:sz w:val="20"/>
                <w:szCs w:val="20"/>
                <w:color w:val="auto"/>
              </w:rPr>
            </w:pPr>
            <w:r>
              <w:rPr>
                <w:rFonts w:ascii="Arial" w:cs="Arial" w:eastAsia="Arial" w:hAnsi="Arial"/>
                <w:sz w:val="18"/>
                <w:szCs w:val="18"/>
                <w:color w:val="auto"/>
              </w:rPr>
              <w:t>0.04</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140" w:type="dxa"/>
            <w:vAlign w:val="bottom"/>
            <w:shd w:val="clear" w:color="auto" w:fill="CCEEFF"/>
          </w:tcPr>
          <w:p>
            <w:pPr>
              <w:spacing w:after="0"/>
              <w:rPr>
                <w:sz w:val="20"/>
                <w:szCs w:val="20"/>
                <w:color w:val="auto"/>
              </w:rPr>
            </w:pPr>
            <w:r>
              <w:rPr>
                <w:rFonts w:ascii="Arial" w:cs="Arial" w:eastAsia="Arial" w:hAnsi="Arial"/>
                <w:sz w:val="18"/>
                <w:szCs w:val="18"/>
                <w:color w:val="auto"/>
              </w:rPr>
              <w:t>Zinc</w:t>
            </w:r>
          </w:p>
        </w:tc>
        <w:tc>
          <w:tcPr>
            <w:tcW w:w="37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1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0.03</w:t>
            </w:r>
          </w:p>
        </w:tc>
        <w:tc>
          <w:tcPr>
            <w:tcW w:w="160" w:type="dxa"/>
            <w:vAlign w:val="bottom"/>
            <w:shd w:val="clear" w:color="auto" w:fill="CCEEFF"/>
          </w:tcPr>
          <w:p>
            <w:pPr>
              <w:spacing w:after="0"/>
              <w:rPr>
                <w:sz w:val="18"/>
                <w:szCs w:val="18"/>
                <w:color w:val="auto"/>
              </w:rPr>
            </w:pPr>
          </w:p>
        </w:tc>
      </w:tr>
      <w:tr>
        <w:trPr>
          <w:trHeight w:val="222"/>
        </w:trPr>
        <w:tc>
          <w:tcPr>
            <w:tcW w:w="20" w:type="dxa"/>
            <w:vAlign w:val="bottom"/>
          </w:tcPr>
          <w:p>
            <w:pPr>
              <w:spacing w:after="0"/>
              <w:rPr>
                <w:sz w:val="19"/>
                <w:szCs w:val="19"/>
                <w:color w:val="auto"/>
              </w:rPr>
            </w:pPr>
          </w:p>
        </w:tc>
        <w:tc>
          <w:tcPr>
            <w:tcW w:w="4140" w:type="dxa"/>
            <w:vAlign w:val="bottom"/>
          </w:tcPr>
          <w:p>
            <w:pPr>
              <w:spacing w:after="0"/>
              <w:rPr>
                <w:sz w:val="20"/>
                <w:szCs w:val="20"/>
                <w:color w:val="auto"/>
              </w:rPr>
            </w:pPr>
            <w:r>
              <w:rPr>
                <w:rFonts w:ascii="Arial" w:cs="Arial" w:eastAsia="Arial" w:hAnsi="Arial"/>
                <w:sz w:val="18"/>
                <w:szCs w:val="18"/>
                <w:color w:val="auto"/>
              </w:rPr>
              <w:t>Copper</w:t>
            </w:r>
          </w:p>
        </w:tc>
        <w:tc>
          <w:tcPr>
            <w:tcW w:w="372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1100" w:type="dxa"/>
            <w:vAlign w:val="bottom"/>
          </w:tcPr>
          <w:p>
            <w:pPr>
              <w:jc w:val="right"/>
              <w:spacing w:after="0"/>
              <w:rPr>
                <w:sz w:val="20"/>
                <w:szCs w:val="20"/>
                <w:color w:val="auto"/>
              </w:rPr>
            </w:pPr>
            <w:r>
              <w:rPr>
                <w:rFonts w:ascii="Arial" w:cs="Arial" w:eastAsia="Arial" w:hAnsi="Arial"/>
                <w:sz w:val="18"/>
                <w:szCs w:val="18"/>
                <w:color w:val="auto"/>
              </w:rPr>
              <w:t>0.01</w:t>
            </w:r>
          </w:p>
        </w:tc>
        <w:tc>
          <w:tcPr>
            <w:tcW w:w="160" w:type="dxa"/>
            <w:vAlign w:val="bottom"/>
          </w:tcPr>
          <w:p>
            <w:pPr>
              <w:spacing w:after="0"/>
              <w:rPr>
                <w:sz w:val="19"/>
                <w:szCs w:val="19"/>
                <w:color w:val="auto"/>
              </w:rPr>
            </w:pPr>
          </w:p>
        </w:tc>
      </w:tr>
    </w:tbl>
    <w:p>
      <w:pPr>
        <w:spacing w:after="0" w:line="20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Sensitivities of the Company's after-tax income to changes in metal prices will increase with increased production.</w:t>
      </w:r>
    </w:p>
    <w:p>
      <w:pPr>
        <w:spacing w:after="0" w:line="225" w:lineRule="exact"/>
        <w:rPr>
          <w:sz w:val="20"/>
          <w:szCs w:val="20"/>
          <w:color w:val="auto"/>
        </w:rPr>
      </w:pPr>
    </w:p>
    <w:p>
      <w:pPr>
        <w:jc w:val="both"/>
        <w:spacing w:after="0" w:line="268" w:lineRule="auto"/>
        <w:rPr>
          <w:sz w:val="20"/>
          <w:szCs w:val="20"/>
          <w:color w:val="auto"/>
        </w:rPr>
      </w:pPr>
      <w:r>
        <w:rPr>
          <w:rFonts w:ascii="Arial" w:cs="Arial" w:eastAsia="Arial" w:hAnsi="Arial"/>
          <w:sz w:val="18"/>
          <w:szCs w:val="18"/>
          <w:b w:val="1"/>
          <w:bCs w:val="1"/>
          <w:i w:val="1"/>
          <w:iCs w:val="1"/>
          <w:color w:val="auto"/>
        </w:rPr>
        <w:t>The Company is largely dependent upon its mining and milling operations at the LaRonde Mine and the Goldex Mine and any adverse condition affecting those operations may have a material adverse effect on the Company.</w:t>
      </w:r>
    </w:p>
    <w:p>
      <w:pPr>
        <w:spacing w:after="0" w:line="186" w:lineRule="exact"/>
        <w:rPr>
          <w:sz w:val="20"/>
          <w:szCs w:val="20"/>
          <w:color w:val="auto"/>
        </w:rPr>
      </w:pPr>
    </w:p>
    <w:p>
      <w:pPr>
        <w:jc w:val="both"/>
        <w:ind w:firstLine="372"/>
        <w:spacing w:after="0" w:line="288" w:lineRule="auto"/>
        <w:rPr>
          <w:sz w:val="20"/>
          <w:szCs w:val="20"/>
          <w:color w:val="auto"/>
        </w:rPr>
      </w:pPr>
      <w:r>
        <w:rPr>
          <w:rFonts w:ascii="Arial" w:cs="Arial" w:eastAsia="Arial" w:hAnsi="Arial"/>
          <w:sz w:val="16"/>
          <w:szCs w:val="16"/>
          <w:color w:val="auto"/>
        </w:rPr>
        <w:t>The Company's operations at the LaRonde Mine and the Goldex Mine in the Abitibi accounted for approximately 71% of the Company's gold production in 2009 and contributed approximately 90% of the Company's operating margin, and will continue to account for a significant portion of its gold production and operating margin until the Kittila Mine, Lapa Mine, Pinos Altos Mine and Meadowbank Mine achieve their anticipated production levels. Any adverse condition affecting mining or milling conditions at the LaRonde Mine or the Goldex Mine could be expected to have a material adverse effect on the Company's financial performance and results of operations. The Company also anticipates using revenue generated by its operations at these mines to finance a substantial portion of the capital expenditures required at its mine development projects. In addition, one of the Company's major development programs is the extension of the LaRonde Mine below Level 245, referred to as the LaRonde Mine extension. This program involves the construction of infrastructure at depth and extraction of ore from new zones, and may present new challenges for the Company. Gold production at the LaRonde Mine above Level 245 has started to decline. The Kittila Mine, the Lapa Mine</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49" w:name="page50"/>
    <w:bookmarkEnd w:id="49"/>
    <w:p>
      <w:pPr>
        <w:jc w:val="both"/>
        <w:spacing w:after="0" w:line="289" w:lineRule="auto"/>
        <w:rPr>
          <w:sz w:val="20"/>
          <w:szCs w:val="20"/>
          <w:color w:val="auto"/>
        </w:rPr>
      </w:pPr>
      <w:r>
        <w:rPr>
          <w:rFonts w:ascii="Arial" w:cs="Arial" w:eastAsia="Arial" w:hAnsi="Arial"/>
          <w:sz w:val="16"/>
          <w:szCs w:val="16"/>
          <w:color w:val="auto"/>
        </w:rPr>
        <w:t>and the Pinos Altos Mine commenced commercial production in 2009 and the Meadowbank Mine is expected to achieve commercial production in the first quarter of 2010; however, they are not expected to reach their full production rates until later in 2010. In addition, production from the Kittila, Lapa, Pinos Altos and Meadowbank Mines in 2010 may be lower than anticipated if there are delays in achieving full production rate, and it is possible that the anticipated full production rate cannot be achieved. Unless the Company can successfully bring operations at the Kittila, Lapa, Pinos Altos and Meadowbank Mines to their full production rates, bring into production the LaRonde Mine extension or otherwise acquire gold-producing assets, the Company will be dependent on the LaRonde and Goldex Mines for the majority of its gold production. Further, there can be no assurance that the Company's current exploration and development programs at the LaRonde or Goldex Mines will result in any new economically viable mining operations or yield new mineral reserves to replace and expand current mineral reserves at what are currently the Company's only mines operating at or above projected levels.</w:t>
      </w:r>
    </w:p>
    <w:p>
      <w:pPr>
        <w:spacing w:after="0" w:line="172" w:lineRule="exact"/>
        <w:rPr>
          <w:sz w:val="20"/>
          <w:szCs w:val="20"/>
          <w:color w:val="auto"/>
        </w:rPr>
      </w:pPr>
    </w:p>
    <w:p>
      <w:pPr>
        <w:jc w:val="both"/>
        <w:spacing w:after="0" w:line="332" w:lineRule="auto"/>
        <w:rPr>
          <w:sz w:val="20"/>
          <w:szCs w:val="20"/>
          <w:color w:val="auto"/>
        </w:rPr>
      </w:pPr>
      <w:r>
        <w:rPr>
          <w:rFonts w:ascii="Arial" w:cs="Arial" w:eastAsia="Arial" w:hAnsi="Arial"/>
          <w:sz w:val="16"/>
          <w:szCs w:val="16"/>
          <w:b w:val="1"/>
          <w:bCs w:val="1"/>
          <w:i w:val="1"/>
          <w:iCs w:val="1"/>
          <w:color w:val="auto"/>
        </w:rPr>
        <w:t>The Company's newly opened mines, mine construction projects and expansion projects are subject to risks associated with new mine development, which may result in delays in the start-up of mining operations, delays in existing operations and unanticipated costs.</w:t>
      </w:r>
    </w:p>
    <w:p>
      <w:pPr>
        <w:spacing w:after="0" w:line="139" w:lineRule="exact"/>
        <w:rPr>
          <w:sz w:val="20"/>
          <w:szCs w:val="20"/>
          <w:color w:val="auto"/>
        </w:rPr>
      </w:pPr>
    </w:p>
    <w:p>
      <w:pPr>
        <w:jc w:val="both"/>
        <w:ind w:firstLine="489"/>
        <w:spacing w:after="0" w:line="255" w:lineRule="auto"/>
        <w:rPr>
          <w:sz w:val="20"/>
          <w:szCs w:val="20"/>
          <w:color w:val="auto"/>
        </w:rPr>
      </w:pPr>
      <w:r>
        <w:rPr>
          <w:rFonts w:ascii="Arial" w:cs="Arial" w:eastAsia="Arial" w:hAnsi="Arial"/>
          <w:sz w:val="18"/>
          <w:szCs w:val="18"/>
          <w:color w:val="auto"/>
        </w:rPr>
        <w:t>The Company's production forecasts assume that production will commence at the Meadowbank Mine, LaRonde Mine extension and Creston Mascota deposit in the first quarters of 2010 and 2011 and during 2011, respectively, and that the Kittila Mine and the Pinos Altos Mine will reach full production rates by the first quarter of 2010. The Company's ability to achieve full production rates at its new mines on schedule is subject to a number of risks and uncertainties. Delays in commissioning the Pinos Altos Mine and the Kittila autoclave resulted in anticipated 2009 gold production being reduced by an aggregate of approximately 78,973 ounces.</w:t>
      </w:r>
    </w:p>
    <w:p>
      <w:pPr>
        <w:spacing w:after="0" w:line="197" w:lineRule="exact"/>
        <w:rPr>
          <w:sz w:val="20"/>
          <w:szCs w:val="20"/>
          <w:color w:val="auto"/>
        </w:rPr>
      </w:pPr>
    </w:p>
    <w:p>
      <w:pPr>
        <w:jc w:val="both"/>
        <w:ind w:firstLine="473"/>
        <w:spacing w:after="0" w:line="255" w:lineRule="auto"/>
        <w:rPr>
          <w:sz w:val="20"/>
          <w:szCs w:val="20"/>
          <w:color w:val="auto"/>
        </w:rPr>
      </w:pPr>
      <w:r>
        <w:rPr>
          <w:rFonts w:ascii="Arial" w:cs="Arial" w:eastAsia="Arial" w:hAnsi="Arial"/>
          <w:sz w:val="18"/>
          <w:szCs w:val="18"/>
          <w:color w:val="auto"/>
        </w:rPr>
        <w:t>The LaRonde Mine extension will be one of the deepest operations in the Western Hemisphere with an expected maximum depth of 3,110 metres. The operations of the LaRonde Mine extension will rely on new infrastructure for hauling ore and materials to the surface, including a winze (or internal shaft) and a series of ramps linking mining deposits to the Penna Shaft that services current operations at the LaRonde Mine. The depth of the operations could pose significant challenges to the Company such as geomechanical risks and ventilation and air conditioning requirements, which may result in difficulties and delays in achieving gold production objectives.</w:t>
      </w:r>
    </w:p>
    <w:p>
      <w:pPr>
        <w:spacing w:after="0" w:line="197" w:lineRule="exact"/>
        <w:rPr>
          <w:sz w:val="20"/>
          <w:szCs w:val="20"/>
          <w:color w:val="auto"/>
        </w:rPr>
      </w:pPr>
    </w:p>
    <w:p>
      <w:pPr>
        <w:jc w:val="both"/>
        <w:ind w:firstLine="583"/>
        <w:spacing w:after="0" w:line="291" w:lineRule="auto"/>
        <w:rPr>
          <w:sz w:val="20"/>
          <w:szCs w:val="20"/>
          <w:color w:val="auto"/>
        </w:rPr>
      </w:pPr>
      <w:r>
        <w:rPr>
          <w:rFonts w:ascii="Arial" w:cs="Arial" w:eastAsia="Arial" w:hAnsi="Arial"/>
          <w:sz w:val="16"/>
          <w:szCs w:val="16"/>
          <w:color w:val="auto"/>
        </w:rPr>
        <w:t>The development of the LaRonde Mine extension and the Kittila, Pinos Altos and Meadowbank Mines require the construction of significant new underground mining operations. The construction of underground mining facilities is subject to a number of risks, including unforeseen geological formations, implementation of new mining processes, delays in obtaining required construction, environmental or operating permits and engineering and mine design adjustments. These occurrences may result in delays in the planned start up dates and in additional costs being incurred by the Company beyond those budgeted. Moreover, the construction activities at the LaRonde Mine extension will take place concurrently with normal mining operations at LaRonde, which may result in conflicts with, or possible delays to, existing mining operations.</w:t>
      </w:r>
    </w:p>
    <w:p>
      <w:pPr>
        <w:spacing w:after="0" w:line="174" w:lineRule="exact"/>
        <w:rPr>
          <w:sz w:val="20"/>
          <w:szCs w:val="20"/>
          <w:color w:val="auto"/>
        </w:rPr>
      </w:pPr>
    </w:p>
    <w:p>
      <w:pPr>
        <w:jc w:val="both"/>
        <w:ind w:right="20"/>
        <w:spacing w:after="0" w:line="268" w:lineRule="auto"/>
        <w:rPr>
          <w:sz w:val="20"/>
          <w:szCs w:val="20"/>
          <w:color w:val="auto"/>
        </w:rPr>
      </w:pPr>
      <w:r>
        <w:rPr>
          <w:rFonts w:ascii="Arial" w:cs="Arial" w:eastAsia="Arial" w:hAnsi="Arial"/>
          <w:sz w:val="18"/>
          <w:szCs w:val="18"/>
          <w:b w:val="1"/>
          <w:bCs w:val="1"/>
          <w:i w:val="1"/>
          <w:iCs w:val="1"/>
          <w:color w:val="auto"/>
        </w:rPr>
        <w:t>If the Company experiences mining accidents or other adverse conditions, the Company's mining operations may yield less gold than indicated by its estimated gold production.</w:t>
      </w:r>
    </w:p>
    <w:p>
      <w:pPr>
        <w:spacing w:after="0" w:line="186" w:lineRule="exact"/>
        <w:rPr>
          <w:sz w:val="20"/>
          <w:szCs w:val="20"/>
          <w:color w:val="auto"/>
        </w:rPr>
      </w:pPr>
    </w:p>
    <w:p>
      <w:pPr>
        <w:jc w:val="both"/>
        <w:ind w:firstLine="429"/>
        <w:spacing w:after="0" w:line="289" w:lineRule="auto"/>
        <w:rPr>
          <w:sz w:val="20"/>
          <w:szCs w:val="20"/>
          <w:color w:val="auto"/>
        </w:rPr>
      </w:pPr>
      <w:r>
        <w:rPr>
          <w:rFonts w:ascii="Arial" w:cs="Arial" w:eastAsia="Arial" w:hAnsi="Arial"/>
          <w:sz w:val="16"/>
          <w:szCs w:val="16"/>
          <w:color w:val="auto"/>
        </w:rPr>
        <w:t>The Company's gold production may fall below estimated levels as a result of mining accidents such as cave-ins, rock falls, rock bursts, pit wall failures, fires or flooding or as a result of other operational problems such as a failure of a production hoist, autoclave, filter press or semi-autogenous grinding ("SAG") mill. In addition, production may be reduced if, during the course of mining, unfavourable ground conditions or seismic activity are encountered, ore grades are lower than expected, the physical or metallurgical characteristics of the ore are less amenable than expected to mining or treatment or dilution increases. In five of the last seven years, as a result of such adverse conditions, the Company has failed to meet production forecasts due to: a rock fall, production drilling challenges and lower than planned mill recoveries in 2003; higher than expected dilution in 2004; and increased stress levels in a sill pillar requiring the temporary closure of production sublevels in 2005. In 2008, gold production was 276,762 ounces, down from the Company's initial estimate of 358,000 ounces. This reduction was primarily a result of delays in the commencement of production at the Goldex Mine and the</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50" w:name="page51"/>
    <w:bookmarkEnd w:id="50"/>
    <w:p>
      <w:pPr>
        <w:jc w:val="both"/>
        <w:spacing w:after="0" w:line="255" w:lineRule="auto"/>
        <w:rPr>
          <w:sz w:val="20"/>
          <w:szCs w:val="20"/>
          <w:color w:val="auto"/>
        </w:rPr>
      </w:pPr>
      <w:r>
        <w:rPr>
          <w:rFonts w:ascii="Arial" w:cs="Arial" w:eastAsia="Arial" w:hAnsi="Arial"/>
          <w:sz w:val="18"/>
          <w:szCs w:val="18"/>
          <w:color w:val="auto"/>
        </w:rPr>
        <w:t>Kittila Mine mainly due to delays in commissioning the Goldex production hoist and the Kittila autoclave, respectively. In 2009, gold production was 492,972 ounces, down from the Company's initial estimate of 590,000 ounces, primarily as a result of delays in the commencement of production at the Kittila Mine due to issues with the autoclave and at the Pinos Altos Mine resulting from problems in commissioning the dry tailings filter presses and dilution issues at the Lapa Mine. Occurrences of this nature and other accidents, adverse conditions or operational problems in future years may result in the Company's failure to achieve current or future production estimates.</w:t>
      </w:r>
    </w:p>
    <w:p>
      <w:pPr>
        <w:spacing w:after="0" w:line="197" w:lineRule="exact"/>
        <w:rPr>
          <w:sz w:val="20"/>
          <w:szCs w:val="20"/>
          <w:color w:val="auto"/>
        </w:rPr>
      </w:pPr>
    </w:p>
    <w:p>
      <w:pPr>
        <w:jc w:val="both"/>
        <w:spacing w:after="0" w:line="268" w:lineRule="auto"/>
        <w:rPr>
          <w:sz w:val="20"/>
          <w:szCs w:val="20"/>
          <w:color w:val="auto"/>
        </w:rPr>
      </w:pPr>
      <w:r>
        <w:rPr>
          <w:rFonts w:ascii="Arial" w:cs="Arial" w:eastAsia="Arial" w:hAnsi="Arial"/>
          <w:sz w:val="18"/>
          <w:szCs w:val="18"/>
          <w:b w:val="1"/>
          <w:bCs w:val="1"/>
          <w:i w:val="1"/>
          <w:iCs w:val="1"/>
          <w:color w:val="auto"/>
        </w:rPr>
        <w:t>The Company's total cash costs per ounce of gold production depend, in part, on external factors that are subject to fluctuation and, if such costs increase, some or all of the Company's activities may become unprofitable.</w:t>
      </w:r>
    </w:p>
    <w:p>
      <w:pPr>
        <w:spacing w:after="0" w:line="186" w:lineRule="exact"/>
        <w:rPr>
          <w:sz w:val="20"/>
          <w:szCs w:val="20"/>
          <w:color w:val="auto"/>
        </w:rPr>
      </w:pPr>
    </w:p>
    <w:p>
      <w:pPr>
        <w:jc w:val="both"/>
        <w:ind w:firstLine="502"/>
        <w:spacing w:after="0" w:line="287" w:lineRule="auto"/>
        <w:rPr>
          <w:sz w:val="20"/>
          <w:szCs w:val="20"/>
          <w:color w:val="auto"/>
        </w:rPr>
      </w:pPr>
      <w:r>
        <w:rPr>
          <w:rFonts w:ascii="Arial" w:cs="Arial" w:eastAsia="Arial" w:hAnsi="Arial"/>
          <w:sz w:val="16"/>
          <w:szCs w:val="16"/>
          <w:color w:val="auto"/>
        </w:rPr>
        <w:t>The Company's total cash costs per ounce of gold are dependent on a number of factors, including the exchange rate between the U.S. dollar and the Canadian dollar, Euro or Mexican peso, smelting and refining charges, production royalties, the price of gold and the cost of inputs used in mining operations. At the LaRonde Mine, however, the Company's total cash costs per ounce of production are primarily affected by the prices and production levels of byproduct zinc, silver and copper, the revenue from which is offset against the cost of gold production. Total cash costs per ounce from the Company's operations at the Pinos Altos Mine are affected by the exchange rates between the U.S. dollar and the Mexican peso and the price and production level of byproduct silver, the revenue from which is offset against the cost of gold production. Total cash costs per ounce from the Company's operations at the Kittila Mine are affected by the exchange rates between the U.S. dollar and the Euro. Total cash costs per ounce at all of the Company's mines are also affected by the costs of inputs used in mining operations, including labour (including contractors), steel, chemical reagents and energy. All of these factors are beyond the Company's control. If the Company's total cash costs per ounce of gold rise above the market price of gold and remain so for any sustained period, the Company may experience losses and may curtail or suspend some or all of its exploration, development and mining activities.</w:t>
      </w:r>
    </w:p>
    <w:p>
      <w:pPr>
        <w:spacing w:after="0" w:line="177" w:lineRule="exact"/>
        <w:rPr>
          <w:sz w:val="20"/>
          <w:szCs w:val="20"/>
          <w:color w:val="auto"/>
        </w:rPr>
      </w:pPr>
    </w:p>
    <w:p>
      <w:pPr>
        <w:jc w:val="both"/>
        <w:ind w:firstLine="431"/>
        <w:spacing w:after="0" w:line="290" w:lineRule="auto"/>
        <w:rPr>
          <w:sz w:val="20"/>
          <w:szCs w:val="20"/>
          <w:color w:val="auto"/>
        </w:rPr>
      </w:pPr>
      <w:r>
        <w:rPr>
          <w:rFonts w:ascii="Arial" w:cs="Arial" w:eastAsia="Arial" w:hAnsi="Arial"/>
          <w:sz w:val="16"/>
          <w:szCs w:val="16"/>
          <w:color w:val="auto"/>
        </w:rPr>
        <w:t>Total cash costs per ounce is not a recognized measure under US GAAP, and this data may not be comparable to data presented by other gold producers. Management uses this generally accepted industry measure in evaluating operating performance and believes it to be a realistic indicator of such performance and useful in allowing year over year comparisons. The data also reflects the Company's ability to generate cash flow and operating income at various gold prices. This additional information should be considered together with other data prepared in accordance with US GAAP and is not necessarily indicative of operating costs or cash flow measures prepared in accordance with US GAAP. See "Item 5 Operating and Financial Review and Prospects — Results of Operations — Production Costs" for reconciliation of total cash costs per ounce and minesite costs per tonne to their closest US GAAP measure and "Note to Investors Concerning Certain Measures of Performance" for a discussion of these non-US GAAP measures.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The Company may experience operational difficulties at its mines in Finland and Mexico.</w:t>
      </w:r>
    </w:p>
    <w:p>
      <w:pPr>
        <w:spacing w:after="0" w:line="225" w:lineRule="exact"/>
        <w:rPr>
          <w:sz w:val="20"/>
          <w:szCs w:val="20"/>
          <w:color w:val="auto"/>
        </w:rPr>
      </w:pPr>
    </w:p>
    <w:p>
      <w:pPr>
        <w:jc w:val="both"/>
        <w:ind w:firstLine="382"/>
        <w:spacing w:after="0" w:line="290" w:lineRule="auto"/>
        <w:rPr>
          <w:sz w:val="20"/>
          <w:szCs w:val="20"/>
          <w:color w:val="auto"/>
        </w:rPr>
      </w:pPr>
      <w:r>
        <w:rPr>
          <w:rFonts w:ascii="Arial" w:cs="Arial" w:eastAsia="Arial" w:hAnsi="Arial"/>
          <w:sz w:val="16"/>
          <w:szCs w:val="16"/>
          <w:color w:val="auto"/>
        </w:rPr>
        <w:t>The Company's operations have been expanded to include a mine in Finland and a mine in northern Mexico. These operations are exposed to various levels of political, economic and other risks and uncertainties that are different from those encountered at the Company's Canadian properties. These risks and uncertainties vary from country to country and may include: extreme fluctuations in currency exchange rates; high rates of inflation; labour unrest; risks of war or civil unrest; expropriation and nationalization; renegotiation or nullification of existing concessions, licences, permits and contracts; illegal mining; corruption; restrictions on foreign exchange and repatriation; hostage taking; and changing political conditions and currency controls. In addition, the Company must comply with multiple and potentially conflicting regulations in Canada, the United States, Europe and Mexico, including export requirements, taxes, tariffs, import duties and other trade barriers, as well as health, safety and environmental requirements.</w:t>
      </w:r>
    </w:p>
    <w:p>
      <w:pPr>
        <w:spacing w:after="0" w:line="172" w:lineRule="exact"/>
        <w:rPr>
          <w:sz w:val="20"/>
          <w:szCs w:val="20"/>
          <w:color w:val="auto"/>
        </w:rPr>
      </w:pPr>
    </w:p>
    <w:p>
      <w:pPr>
        <w:jc w:val="both"/>
        <w:ind w:firstLine="491"/>
        <w:spacing w:after="0" w:line="256" w:lineRule="auto"/>
        <w:rPr>
          <w:sz w:val="20"/>
          <w:szCs w:val="20"/>
          <w:color w:val="auto"/>
        </w:rPr>
      </w:pPr>
      <w:r>
        <w:rPr>
          <w:rFonts w:ascii="Arial" w:cs="Arial" w:eastAsia="Arial" w:hAnsi="Arial"/>
          <w:sz w:val="18"/>
          <w:szCs w:val="18"/>
          <w:color w:val="auto"/>
        </w:rPr>
        <w:t>Changes, if any, in mining or investment policies or shifts in political attitude in Finland or Mexico may adversely affect the Company's operations or profitability. Operations may be affected in varying degrees by government regulations with respect to matters including restrictions on production, price controls, export controls, currency remittance, income and other taxes, expropriation of property, foreign investment, maintenance of claims, environmental legislation, land use, land claims of local people, water use and mine</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51" w:name="page52"/>
    <w:bookmarkEnd w:id="51"/>
    <w:p>
      <w:pPr>
        <w:jc w:val="both"/>
        <w:ind w:right="20"/>
        <w:spacing w:after="0" w:line="332" w:lineRule="auto"/>
        <w:rPr>
          <w:sz w:val="20"/>
          <w:szCs w:val="20"/>
          <w:color w:val="auto"/>
        </w:rPr>
      </w:pPr>
      <w:r>
        <w:rPr>
          <w:rFonts w:ascii="Arial" w:cs="Arial" w:eastAsia="Arial" w:hAnsi="Arial"/>
          <w:sz w:val="16"/>
          <w:szCs w:val="16"/>
          <w:color w:val="auto"/>
        </w:rPr>
        <w:t>safety. Failure to comply strictly with applicable laws, regulations and local practices relating to mineral rights applications and tenure could result in loss, reduction or expropriation of entitlements or the imposition of additional local or foreign parties as joint venture partners with carried or other interests.</w:t>
      </w:r>
    </w:p>
    <w:p>
      <w:pPr>
        <w:spacing w:after="0" w:line="139" w:lineRule="exact"/>
        <w:rPr>
          <w:sz w:val="20"/>
          <w:szCs w:val="20"/>
          <w:color w:val="auto"/>
        </w:rPr>
      </w:pPr>
    </w:p>
    <w:p>
      <w:pPr>
        <w:jc w:val="both"/>
        <w:ind w:firstLine="448"/>
        <w:spacing w:after="0" w:line="254" w:lineRule="auto"/>
        <w:rPr>
          <w:sz w:val="20"/>
          <w:szCs w:val="20"/>
          <w:color w:val="auto"/>
        </w:rPr>
      </w:pPr>
      <w:r>
        <w:rPr>
          <w:rFonts w:ascii="Arial" w:cs="Arial" w:eastAsia="Arial" w:hAnsi="Arial"/>
          <w:sz w:val="18"/>
          <w:szCs w:val="18"/>
          <w:color w:val="auto"/>
        </w:rPr>
        <w:t>In addition, the Company has limited operating experience outside of Canada. Finland and Mexico have significantly different laws and regulations than Canada and there exist cultural and language differences between these countries and Canada. Also, the Company faces challenges inherent in efficiently managing an increased number of employees over large geographical distances, including the challenges of staffing and managing operations in multiple international locations and implementing appropriate systems, policies, benefits and compliance programs. These challenges may divert management's attention to the detriment of the Company's operations in Canada. There can be no assurance that difficulties associated with the Company's foreign operations can be successfully managed.</w:t>
      </w:r>
    </w:p>
    <w:p>
      <w:pPr>
        <w:spacing w:after="0" w:line="198"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Mineral reserve and mineral resource estimates are only estimates and such estimates may not accurately reflect future mineral recovery.</w:t>
      </w:r>
    </w:p>
    <w:p>
      <w:pPr>
        <w:spacing w:after="0" w:line="248" w:lineRule="exact"/>
        <w:rPr>
          <w:sz w:val="20"/>
          <w:szCs w:val="20"/>
          <w:color w:val="auto"/>
        </w:rPr>
      </w:pPr>
    </w:p>
    <w:p>
      <w:pPr>
        <w:jc w:val="both"/>
        <w:ind w:firstLine="376"/>
        <w:spacing w:after="0" w:line="286" w:lineRule="auto"/>
        <w:rPr>
          <w:sz w:val="20"/>
          <w:szCs w:val="20"/>
          <w:color w:val="auto"/>
        </w:rPr>
      </w:pPr>
      <w:r>
        <w:rPr>
          <w:rFonts w:ascii="Arial" w:cs="Arial" w:eastAsia="Arial" w:hAnsi="Arial"/>
          <w:sz w:val="16"/>
          <w:szCs w:val="16"/>
          <w:color w:val="auto"/>
        </w:rPr>
        <w:t>The figures for mineral reserves and mineral resources published by the Company are estimates and no assurance can be given that the anticipated tonnages and grades will be achieved or that the indicated level of recovery of gold will be realized. The ore grade actually recovered by the Company may differ from the estimated grades of the mineral reserves and mineral resources. The estimates of mineral reserves and mineral resources have been determined based on assumed metal prices, foreign exchange rates and operating costs. For example, the Company has estimated proven and probable mineral reserves on all of its properties based on, among other things, a $848 per ounce gold price. Although monthly average gold prices have been above $848 per ounce since January 2009 and during the period from January 2008 to July 2008, monthly average gold prices remained below $583 per ounce for more than 25 years prior to 2006. Prolonged declines in the market price of gold (or other applicable metal prices) may render mineral reserves containing relatively lower grades of mineralization uneconomical to recover and could materially reduce the Company's mineral reserves. Should such reductions occur, the Company may be required to take a material write-down of its investment in mining properties or delay or discontinue production or the development of new projects, resulting in increased net losses and reduced cash flow. Market price fluctuations of gold (or applicable byproduct metal prices), as well as increased production costs or reduced recovery rates, may render mineral reserves containing relatively lower grades of mineralization uneconomical to recover and may ultimately result in a restatement of mineral resources. Short-term factors relating to the mineral reserve, such as the need for orderly development of orebodies or the processing of new or different grades, may impair the profitability of a mine in any particular accounting period.</w:t>
      </w:r>
    </w:p>
    <w:p>
      <w:pPr>
        <w:spacing w:after="0" w:line="175" w:lineRule="exact"/>
        <w:rPr>
          <w:sz w:val="20"/>
          <w:szCs w:val="20"/>
          <w:color w:val="auto"/>
        </w:rPr>
      </w:pPr>
    </w:p>
    <w:p>
      <w:pPr>
        <w:jc w:val="both"/>
        <w:ind w:firstLine="351"/>
        <w:spacing w:after="0" w:line="306" w:lineRule="auto"/>
        <w:rPr>
          <w:sz w:val="20"/>
          <w:szCs w:val="20"/>
          <w:color w:val="auto"/>
        </w:rPr>
      </w:pPr>
      <w:r>
        <w:rPr>
          <w:rFonts w:ascii="Arial" w:cs="Arial" w:eastAsia="Arial" w:hAnsi="Arial"/>
          <w:sz w:val="16"/>
          <w:szCs w:val="16"/>
          <w:color w:val="auto"/>
        </w:rPr>
        <w:t>Mineral resource estimates for properties that have not commenced production or at deposits that have not yet been exploited are based, in most instances, on very limited and widely spaced drill hole information, which is not necessarily indicative of conditions between and around the drill holes. Accordingly, such mineral resource estimates may require revision as more drilling information becomes available or as actual production experience is gained.</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The Company may experience difficulties operating its Meadowbank Mine as a result of the mine's remote location.</w:t>
      </w:r>
    </w:p>
    <w:p>
      <w:pPr>
        <w:spacing w:after="0" w:line="225" w:lineRule="exact"/>
        <w:rPr>
          <w:sz w:val="20"/>
          <w:szCs w:val="20"/>
          <w:color w:val="auto"/>
        </w:rPr>
      </w:pPr>
    </w:p>
    <w:p>
      <w:pPr>
        <w:jc w:val="both"/>
        <w:ind w:firstLine="449"/>
        <w:spacing w:after="0" w:line="289" w:lineRule="auto"/>
        <w:rPr>
          <w:sz w:val="20"/>
          <w:szCs w:val="20"/>
          <w:color w:val="auto"/>
        </w:rPr>
      </w:pPr>
      <w:r>
        <w:rPr>
          <w:rFonts w:ascii="Arial" w:cs="Arial" w:eastAsia="Arial" w:hAnsi="Arial"/>
          <w:sz w:val="16"/>
          <w:szCs w:val="16"/>
          <w:color w:val="auto"/>
        </w:rPr>
        <w:t>The Company's Meadowbank Mine is located in the Kivalliq District of Nunavut in northern Canada, approximately 70 kilometres north of Baker Lake. Though the Company constructed a 110-kilometre all-weather road from Baker Lake, which provides summer shipping access via Hudson Bay to the Meadowbank Mine, the Company's operations will be constrained by the remoteness of the mine, particularly as the port of Baker Lake is only accessible approximately 2.5 months per year. Most of the materials that the Company requires for the operation of the Meadowbank Mine must be transported through the port of Baker Lake during this shipping season. If the Company is not able to acquire and transport necessary supplies during this time, this may result in a slowdown or stoppage of operations at the Meadowbank Mine. Furthermore, if major equipment fails, items necessary to replace or repair such equipment may have to be shipped through Baker Lake during this window. Failure to have available the necessary materials required for operations or to repair or replace malfunctioning equipment at the Meadowbank Mine may require the slowdown or stoppage of operations.</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52" w:name="page53"/>
    <w:bookmarkEnd w:id="52"/>
    <w:p>
      <w:pPr>
        <w:jc w:val="both"/>
        <w:ind w:firstLine="427"/>
        <w:spacing w:after="0" w:line="259" w:lineRule="auto"/>
        <w:rPr>
          <w:sz w:val="20"/>
          <w:szCs w:val="20"/>
          <w:color w:val="auto"/>
        </w:rPr>
      </w:pPr>
      <w:r>
        <w:rPr>
          <w:rFonts w:ascii="Arial" w:cs="Arial" w:eastAsia="Arial" w:hAnsi="Arial"/>
          <w:sz w:val="18"/>
          <w:szCs w:val="18"/>
          <w:color w:val="auto"/>
        </w:rPr>
        <w:t>The remoteness of the Meadowbank Mine also necessitates its operation as a fly-in/fly-out camp operation, which may have an impact on the Company's ability to attract and retain qualified mining personnel. If the Company is unable to attract and retain sufficient personnel or sub-contractors on a timely basis, the Company's future development plans and operations at the Meadowbank Mine may be adversely affected.</w:t>
      </w:r>
    </w:p>
    <w:p>
      <w:pPr>
        <w:spacing w:after="0" w:line="194" w:lineRule="exact"/>
        <w:rPr>
          <w:sz w:val="20"/>
          <w:szCs w:val="20"/>
          <w:color w:val="auto"/>
        </w:rPr>
      </w:pPr>
    </w:p>
    <w:p>
      <w:pPr>
        <w:spacing w:after="0"/>
        <w:rPr>
          <w:sz w:val="20"/>
          <w:szCs w:val="20"/>
          <w:color w:val="auto"/>
        </w:rPr>
      </w:pPr>
      <w:r>
        <w:rPr>
          <w:rFonts w:ascii="Arial" w:cs="Arial" w:eastAsia="Arial" w:hAnsi="Arial"/>
          <w:sz w:val="15"/>
          <w:szCs w:val="15"/>
          <w:b w:val="1"/>
          <w:bCs w:val="1"/>
          <w:i w:val="1"/>
          <w:iCs w:val="1"/>
          <w:color w:val="auto"/>
        </w:rPr>
        <w:t>The Company may experience problems in executing acquisitions or managing and integrating any completed acquisitions with its existing operations.</w:t>
      </w:r>
    </w:p>
    <w:p>
      <w:pPr>
        <w:spacing w:after="0" w:line="260" w:lineRule="exact"/>
        <w:rPr>
          <w:sz w:val="20"/>
          <w:szCs w:val="20"/>
          <w:color w:val="auto"/>
        </w:rPr>
      </w:pPr>
    </w:p>
    <w:p>
      <w:pPr>
        <w:jc w:val="both"/>
        <w:ind w:firstLine="452"/>
        <w:spacing w:after="0" w:line="285" w:lineRule="auto"/>
        <w:rPr>
          <w:sz w:val="20"/>
          <w:szCs w:val="20"/>
          <w:color w:val="auto"/>
        </w:rPr>
      </w:pPr>
      <w:r>
        <w:rPr>
          <w:rFonts w:ascii="Arial" w:cs="Arial" w:eastAsia="Arial" w:hAnsi="Arial"/>
          <w:sz w:val="16"/>
          <w:szCs w:val="16"/>
          <w:color w:val="auto"/>
        </w:rPr>
        <w:t>The Company regularly evaluates opportunities to acquire shares or assets of other mining businesses. Such acquisitions may be significant in size, may change the scale of the Company's business and may expose the Company to new geographic, political, operating, financial or geological risks. The Company's success in its acquisition activities depends on its ability to identify suitable acquisition candidates, acquire them on acceptable terms and integrate their operations successfully with those of the Company. Any acquisition would be accompanied by risks, such as the difficulty of assimilating the operations and personnel of any acquired businesses; the potential disruption of the Company's ongoing business; the inability of management to maximize the financial and strategic position of the Company through the successful integration of acquired assets and businesses; the maintenance of uniform standards, controls, procedures and policies; the impairment of relationships with employees, customers and contractors as a result of any integration of new management personnel; and the potential unknown liabilities associated with acquired assets and businesses. In addition, the Company may need additional capital to finance an acquisition. Debt financing related to any acquisition may expose the Company to the risks related to increased leverage, while equity financing may cause existing shareholders to suffer dilution. The Company is permitted under the terms of its unsecured revolving bank credit facilities and expects that it will be permitted under the $600 million of guaranteed senior unsecured notes referred to under the heading "Item 4 Information on the Company — History and Development of the Company" to incur additional unsecured indebtedness provided, in the case of the credit facilities, that it complies with certain covenants, including that no default under the bank credit facilities has occurred and is continuing, or would occur as a result of the incurrence or assumption of such indebtedness, the terms of such indebtedness are no more onerous to the Company than those under the credit facilities and such indebtedness does not require principal payments until at least 12 months following the then existing maturity date of the credit facilities. There can be no assurance that the Company would be successful in overcoming these or any other problems encountered in connection with such acquisitions.</w:t>
      </w:r>
    </w:p>
    <w:p>
      <w:pPr>
        <w:spacing w:after="0" w:line="178"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Fluctuations in foreign currency exchange rates in relation to the U.S. dollar may adversely affect the Company's results of operations.</w:t>
      </w:r>
    </w:p>
    <w:p>
      <w:pPr>
        <w:spacing w:after="0" w:line="248" w:lineRule="exact"/>
        <w:rPr>
          <w:sz w:val="20"/>
          <w:szCs w:val="20"/>
          <w:color w:val="auto"/>
        </w:rPr>
      </w:pPr>
    </w:p>
    <w:p>
      <w:pPr>
        <w:jc w:val="both"/>
        <w:ind w:firstLine="373"/>
        <w:spacing w:after="0" w:line="286" w:lineRule="auto"/>
        <w:rPr>
          <w:sz w:val="20"/>
          <w:szCs w:val="20"/>
          <w:color w:val="auto"/>
        </w:rPr>
      </w:pPr>
      <w:r>
        <w:rPr>
          <w:rFonts w:ascii="Arial" w:cs="Arial" w:eastAsia="Arial" w:hAnsi="Arial"/>
          <w:sz w:val="16"/>
          <w:szCs w:val="16"/>
          <w:color w:val="auto"/>
        </w:rPr>
        <w:t>The Company's operating results and cash flow are significantly affected by changes in the U.S. dollar/Canadian dollar exchange rate. All of the Company's revenues are earned in U.S. dollars but the majority of its operating costs at the LaRonde Mine, the Goldex Mine, the Lapa Mine and the Meadowbank Mine, as well the construction costs at the Meadowbank Mine, are in Canadian dollars. The U.S. dollar/Canadian dollar exchange rate has fluctuated significantly over the last several years. From January 1, 2005 to January 1, 2010, the Noon Buying Rate fluctuated from a high of C$1.3000 per $1.00 to a low of C$0.9170 per $1.00. Historical fluctuations in the U.S. dollar/Canadian dollar exchange rate are not necessarily indicative of future exchange rate fluctuations. Based on the Company's anticipated 2010 after-tax operating results, a 10% change in the U.S. dollar/Canadian dollar exchange rate from the 2009 market average exchange rate would affect net income by approximately $0.23 per share. To attempt to mitigate its foreign exchange risk and minimize the impact of exchange rate movements on operating results and cash flow, the Company has periodically used foreign currency options and forward foreign exchange contracts to purchase Canadian dollars; however, there can be no assurance that these strategies will be effective. See "Item 5 Operating and Financial Review and Prospects — Outlook — Gold Production Growth" for a description of the assumptions underlying the sensitivity and the strategies used to mitigate the effects of risks. In addition, the majority of the Company's operating costs at the Kittila Mine are incurred in Euros and a portion of operating costs at the Pinos Altos Mine are incurred in Mexican pesos. Each of these currencies has fluctuated significantly against the U.S. dollar over the past several years. There can be no assurance that the Company's foreign</w:t>
      </w:r>
    </w:p>
    <w:p>
      <w:pPr>
        <w:spacing w:after="0" w:line="17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53" w:name="page54"/>
    <w:bookmarkEnd w:id="53"/>
    <w:p>
      <w:pPr>
        <w:jc w:val="both"/>
        <w:spacing w:after="0" w:line="268" w:lineRule="auto"/>
        <w:rPr>
          <w:sz w:val="20"/>
          <w:szCs w:val="20"/>
          <w:color w:val="auto"/>
        </w:rPr>
      </w:pPr>
      <w:r>
        <w:rPr>
          <w:rFonts w:ascii="Arial" w:cs="Arial" w:eastAsia="Arial" w:hAnsi="Arial"/>
          <w:sz w:val="18"/>
          <w:szCs w:val="18"/>
          <w:color w:val="auto"/>
        </w:rPr>
        <w:t>exchange derivatives strategies will be successful or that foreign exchange fluctuations will not materially adversely affect the Company's financial performance and results of operations.</w:t>
      </w:r>
    </w:p>
    <w:p>
      <w:pPr>
        <w:spacing w:after="0" w:line="186" w:lineRule="exact"/>
        <w:rPr>
          <w:sz w:val="20"/>
          <w:szCs w:val="20"/>
          <w:color w:val="auto"/>
        </w:rPr>
      </w:pPr>
    </w:p>
    <w:p>
      <w:pPr>
        <w:jc w:val="both"/>
        <w:ind w:right="20"/>
        <w:spacing w:after="0" w:line="332" w:lineRule="auto"/>
        <w:rPr>
          <w:sz w:val="20"/>
          <w:szCs w:val="20"/>
          <w:color w:val="auto"/>
        </w:rPr>
      </w:pPr>
      <w:r>
        <w:rPr>
          <w:rFonts w:ascii="Arial" w:cs="Arial" w:eastAsia="Arial" w:hAnsi="Arial"/>
          <w:sz w:val="16"/>
          <w:szCs w:val="16"/>
          <w:b w:val="1"/>
          <w:bCs w:val="1"/>
          <w:i w:val="1"/>
          <w:iCs w:val="1"/>
          <w:color w:val="auto"/>
        </w:rPr>
        <w:t>If the Company fails to comply with restrictive covenants in its debt instruments, the Company's loan availability under its unsecured revolving bank credit facilities could be limited and the Company may then default under other debt agreements, which could harm the Company's business.</w:t>
      </w:r>
    </w:p>
    <w:p>
      <w:pPr>
        <w:spacing w:after="0" w:line="139" w:lineRule="exact"/>
        <w:rPr>
          <w:sz w:val="20"/>
          <w:szCs w:val="20"/>
          <w:color w:val="auto"/>
        </w:rPr>
      </w:pPr>
    </w:p>
    <w:p>
      <w:pPr>
        <w:jc w:val="both"/>
        <w:ind w:firstLine="363"/>
        <w:spacing w:after="0" w:line="286" w:lineRule="auto"/>
        <w:rPr>
          <w:sz w:val="20"/>
          <w:szCs w:val="20"/>
          <w:color w:val="auto"/>
        </w:rPr>
      </w:pPr>
      <w:r>
        <w:rPr>
          <w:rFonts w:ascii="Arial" w:cs="Arial" w:eastAsia="Arial" w:hAnsi="Arial"/>
          <w:sz w:val="16"/>
          <w:szCs w:val="16"/>
          <w:color w:val="auto"/>
        </w:rPr>
        <w:t>The Company's unsecured revolving $600 million bank credit facility and unsecured revolving $300 million bank credit facility each limit and the Company anticipates the notes referred to under the heading "Item 4 Information on the Company — History and Development of the Company" will limit, among other things, the Company's ability to permit the creation of certain liens, make investments in a business or carry on business unrelated to mining, dispose of the Company's material assets or, in certain circumstances, pay dividends. In addition, the bank credit facilities limit the Company's ability to incur additional indebtedness. Further, each of the bank credit facilities requires the Company to maintain specified financial ratios and meet financial condition covenants. Events beyond the Company's control, including changes in general economic and business conditions, may affect the Company's ability to satisfy these covenants, which could result in a default under one or both of the bank credit facilities or the notes, if issued. At March 22, 2010 there was approximately $657.5 million drawn under the bank credit facilities, including $22.5 million in letters of credit, and the Company anticipates that it will continue to draw on the bank credit facilities to fund part of the capital expenditures required in connection with its current development projects. If an event of default under one of the bank credit facilities or the notes occurs, the Company would be unable to draw down further on that facility and the lenders could elect to declare all principal amounts outstanding thereunder at such time, together with accrued interest, to be immediately due and it could cause an event of default under the other credit facility or the notes. An event of default under either of the bank credit facilities or the notes may also give rise to an event of default under existing and future debt agreements and, in such event, the Company may not have sufficient funds to repay amounts owing under such agreements.</w:t>
      </w:r>
    </w:p>
    <w:p>
      <w:pPr>
        <w:spacing w:after="0" w:line="175"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The Company may have difficulty financing its additional capital requirements for its planned mine construction, exploration and development.</w:t>
      </w:r>
    </w:p>
    <w:p>
      <w:pPr>
        <w:spacing w:after="0" w:line="248" w:lineRule="exact"/>
        <w:rPr>
          <w:sz w:val="20"/>
          <w:szCs w:val="20"/>
          <w:color w:val="auto"/>
        </w:rPr>
      </w:pPr>
    </w:p>
    <w:p>
      <w:pPr>
        <w:jc w:val="both"/>
        <w:ind w:firstLine="370"/>
        <w:spacing w:after="0" w:line="285" w:lineRule="auto"/>
        <w:rPr>
          <w:sz w:val="20"/>
          <w:szCs w:val="20"/>
          <w:color w:val="auto"/>
        </w:rPr>
      </w:pPr>
      <w:r>
        <w:rPr>
          <w:rFonts w:ascii="Arial" w:cs="Arial" w:eastAsia="Arial" w:hAnsi="Arial"/>
          <w:sz w:val="16"/>
          <w:szCs w:val="16"/>
          <w:color w:val="auto"/>
        </w:rPr>
        <w:t>The construction of mining facilities and commencement of mining operations at the LaRonde Mine extension and the Creston Mascota deposit at the Pinos Altos Mine, the construction of mining facilities at the Meadowbank Mine, the expansion of capacity at the Goldex Mine and the exploration and development of the Company's properties, including continuing exploration and development projects in Quebec, Nunavut, Finland, Mexico and Nevada, will require substantial capital expenditures. The Company estimates that capital expenditures will be approximately $463 million in 2010 and $178 million in 2011. As at March 22, 2010, the Company had approximately $242.5 million available to be borrowed under its credit facilities, prior to the contemplated issuance of the $600 million guaranteed senior unsecured notes. Based on current funding available to the Company (excluding the notes) and expected cash from operations, the Company believes it has sufficient funds available to fund its projected capital expenditures for all of its current properties. However, if cash from operations is lower than expected or capital costs at these projects exceed current estimates, or if the Company incurs major unanticipated expenses related to exploration, development or maintenance of its properties, the Company may be required to seek additional financing to maintain its capital expenditures at planned levels. In addition, the Company will have additional capital requirements to the extent that it decides to expand its present operations and exploration activities; construct additional new mining and processing operations at any of its properties; or take advantage of opportunities for acquisitions, joint ventures or other business opportunities that may arise. Additional financing may not be available when needed or, if available, the terms of such financing may not be favourable to the Company and, if raised by offering equity securities, or securities convertible into equity securities, any additional financing may involve substantial dilution to existing shareholders. Failure to obtain any financing necessary for the Company's capital expenditure plans may result in a delay or indefinite postponement of exploration, development or production on any or all of the Company's properties, which may have a material adverse effect on the Company's business, financial condition and results of operations.</w:t>
      </w:r>
    </w:p>
    <w:p>
      <w:pPr>
        <w:spacing w:after="0" w:line="17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54" w:name="page55"/>
    <w:bookmarkEnd w:id="54"/>
    <w:p>
      <w:pPr>
        <w:spacing w:after="0"/>
        <w:rPr>
          <w:sz w:val="20"/>
          <w:szCs w:val="20"/>
          <w:color w:val="auto"/>
        </w:rPr>
      </w:pPr>
      <w:r>
        <w:rPr>
          <w:rFonts w:ascii="Arial" w:cs="Arial" w:eastAsia="Arial" w:hAnsi="Arial"/>
          <w:sz w:val="15"/>
          <w:szCs w:val="15"/>
          <w:b w:val="1"/>
          <w:bCs w:val="1"/>
          <w:i w:val="1"/>
          <w:iCs w:val="1"/>
          <w:color w:val="auto"/>
        </w:rPr>
        <w:t>The continuing weakness in the global credit and capital markets could have a material adverse impact on the Company's liquidity and capital resources.</w:t>
      </w:r>
    </w:p>
    <w:p>
      <w:pPr>
        <w:spacing w:after="0" w:line="260" w:lineRule="exact"/>
        <w:rPr>
          <w:sz w:val="20"/>
          <w:szCs w:val="20"/>
          <w:color w:val="auto"/>
        </w:rPr>
      </w:pPr>
    </w:p>
    <w:p>
      <w:pPr>
        <w:jc w:val="both"/>
        <w:ind w:firstLine="410"/>
        <w:spacing w:after="0" w:line="294" w:lineRule="auto"/>
        <w:rPr>
          <w:sz w:val="20"/>
          <w:szCs w:val="20"/>
          <w:color w:val="auto"/>
        </w:rPr>
      </w:pPr>
      <w:r>
        <w:rPr>
          <w:rFonts w:ascii="Arial" w:cs="Arial" w:eastAsia="Arial" w:hAnsi="Arial"/>
          <w:sz w:val="16"/>
          <w:szCs w:val="16"/>
          <w:color w:val="auto"/>
        </w:rPr>
        <w:t>The credit and capital markets experienced significant deterioration in 2008, including the failure of significant and established financial institutions in the United States and abroad, and continued to show weakness and uncertainty in 2009 and into 2010. These unprecedented disruptions in the credit and capital markets have negatively impacted the availability and terms of credit and capital. If uncertainties in these markets continue, or these markets deteriorate further, it could have a material adverse effect on the Company's liquidity, ability to raise capital and costs of capital. Failure to raise capital when needed or on reasonable terms may have a material adverse effect on the Company's business, financial condition and results of operations.</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The exploration of mineral properties is highly speculative, involves substantial expenditures and is frequently unsuccessful.</w:t>
      </w:r>
    </w:p>
    <w:p>
      <w:pPr>
        <w:spacing w:after="0" w:line="225" w:lineRule="exact"/>
        <w:rPr>
          <w:sz w:val="20"/>
          <w:szCs w:val="20"/>
          <w:color w:val="auto"/>
        </w:rPr>
      </w:pPr>
    </w:p>
    <w:p>
      <w:pPr>
        <w:jc w:val="both"/>
        <w:ind w:firstLine="359"/>
        <w:spacing w:after="0" w:line="288" w:lineRule="auto"/>
        <w:rPr>
          <w:sz w:val="20"/>
          <w:szCs w:val="20"/>
          <w:color w:val="auto"/>
        </w:rPr>
      </w:pPr>
      <w:r>
        <w:rPr>
          <w:rFonts w:ascii="Arial" w:cs="Arial" w:eastAsia="Arial" w:hAnsi="Arial"/>
          <w:sz w:val="16"/>
          <w:szCs w:val="16"/>
          <w:color w:val="auto"/>
        </w:rPr>
        <w:t>The Company's profitability is significantly affected by the costs and results of its exploration and development programs. As mines have limited lives based on proven and probable mineral reserves, the Company actively seeks to replace and expand its mineral reserves, primarily through exploration and development as well as through strategic acquisitions. Exploration for minerals is highly speculative in nature, involves many risks and is frequently unsuccessful. Among the many uncertainties inherent in any gold exploration and development program are the location of economic orebodies, the development of appropriate metallurgical processes, the receipt of necessary governmental permits and the construction of mining and processing facilities. Substantial expenditures are required to pursue such exploration and development activities. Assuming discovery of an economic orebody, depending on the type of mining operation involved, several years may elapse from the initial phases of drilling until commercial operations are commenced and during such time the economic feasibility of production may change. Accordingly, there can be no assurance that the Company's current or future exploration and development programs will result in any new economically viable mining operations or yield new mineral reserves to replace and expand current mineral reserves.</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The mining industry is highly competitive, and the Company may not be successful in competing for new mining properties.</w:t>
      </w:r>
    </w:p>
    <w:p>
      <w:pPr>
        <w:spacing w:after="0" w:line="225" w:lineRule="exact"/>
        <w:rPr>
          <w:sz w:val="20"/>
          <w:szCs w:val="20"/>
          <w:color w:val="auto"/>
        </w:rPr>
      </w:pPr>
    </w:p>
    <w:p>
      <w:pPr>
        <w:jc w:val="both"/>
        <w:ind w:firstLine="400"/>
        <w:spacing w:after="0" w:line="294" w:lineRule="auto"/>
        <w:rPr>
          <w:sz w:val="20"/>
          <w:szCs w:val="20"/>
          <w:color w:val="auto"/>
        </w:rPr>
      </w:pPr>
      <w:r>
        <w:rPr>
          <w:rFonts w:ascii="Arial" w:cs="Arial" w:eastAsia="Arial" w:hAnsi="Arial"/>
          <w:sz w:val="16"/>
          <w:szCs w:val="16"/>
          <w:color w:val="auto"/>
        </w:rPr>
        <w:t>There is a limited supply of desirable mineral lands available for claim staking, leasing or other acquisitions in the areas where the Company contemplates conducting exploration activities. Many companies and individuals are engaged in the mining business, including large, established mining companies with substantial capabilities and long earnings records. The Company may be at a competitive disadvantage in acquiring mining properties as it must compete with these companies and individuals, some of which have greater financial resources and larger technical staff than the Company. Accordingly, there can be no assurance that the Company will be able to compete successfully for new mining properties.</w:t>
      </w:r>
    </w:p>
    <w:p>
      <w:pPr>
        <w:spacing w:after="0" w:line="170" w:lineRule="exact"/>
        <w:rPr>
          <w:sz w:val="20"/>
          <w:szCs w:val="20"/>
          <w:color w:val="auto"/>
        </w:rPr>
      </w:pPr>
    </w:p>
    <w:p>
      <w:pPr>
        <w:jc w:val="both"/>
        <w:spacing w:after="0" w:line="332" w:lineRule="auto"/>
        <w:rPr>
          <w:sz w:val="20"/>
          <w:szCs w:val="20"/>
          <w:color w:val="auto"/>
        </w:rPr>
      </w:pPr>
      <w:r>
        <w:rPr>
          <w:rFonts w:ascii="Arial" w:cs="Arial" w:eastAsia="Arial" w:hAnsi="Arial"/>
          <w:sz w:val="16"/>
          <w:szCs w:val="16"/>
          <w:b w:val="1"/>
          <w:bCs w:val="1"/>
          <w:i w:val="1"/>
          <w:iCs w:val="1"/>
          <w:color w:val="auto"/>
        </w:rPr>
        <w:t>Due to the nature of the Company's mining operations, the Company may face liability, delays and increased production costs from environmental and industrial accidents and pollution, and the Company's insurance coverage may prove inadequate to satisfy future claims against the Company.</w:t>
      </w:r>
    </w:p>
    <w:p>
      <w:pPr>
        <w:spacing w:after="0" w:line="139" w:lineRule="exact"/>
        <w:rPr>
          <w:sz w:val="20"/>
          <w:szCs w:val="20"/>
          <w:color w:val="auto"/>
        </w:rPr>
      </w:pPr>
    </w:p>
    <w:p>
      <w:pPr>
        <w:jc w:val="both"/>
        <w:ind w:firstLine="452"/>
        <w:spacing w:after="0" w:line="289" w:lineRule="auto"/>
        <w:rPr>
          <w:sz w:val="20"/>
          <w:szCs w:val="20"/>
          <w:color w:val="auto"/>
        </w:rPr>
      </w:pPr>
      <w:r>
        <w:rPr>
          <w:rFonts w:ascii="Arial" w:cs="Arial" w:eastAsia="Arial" w:hAnsi="Arial"/>
          <w:sz w:val="16"/>
          <w:szCs w:val="16"/>
          <w:color w:val="auto"/>
        </w:rPr>
        <w:t>The business of gold mining is generally subject to risks and hazards, including environmental hazards, industrial accidents, unusual or unexpected rock formations, changes in the regulatory environment, cave-ins, rock bursts, rock falls, pit wall failures and flooding and gold bullion losses. Such occurrences could result in damage to, or destruction of, mineral properties or production facilities, personal injury or death, environmental damage, delays in mining, monetary losses and possible legal liability. The Company carries insurance to protect itself against certain risks of mining and processing in amounts that it considers to be adequate but which may not provide adequate coverage in certain unforeseen circumstances. The Company may also become subject to liability for pollution, cave-ins or other hazards against which it cannot insure or against which it has elected not to insure because of high premium costs or other reasons, or the Company may become subject to liabilities which exceed policy limits. In these circumstances, the Company may be required to incur significant costs that could have a material adverse effect on its financial performance and results of operations.</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55" w:name="page56"/>
    <w:bookmarkEnd w:id="55"/>
    <w:p>
      <w:pPr>
        <w:jc w:val="both"/>
        <w:spacing w:after="0" w:line="259" w:lineRule="auto"/>
        <w:rPr>
          <w:sz w:val="20"/>
          <w:szCs w:val="20"/>
          <w:color w:val="auto"/>
        </w:rPr>
      </w:pPr>
      <w:r>
        <w:rPr>
          <w:rFonts w:ascii="Arial" w:cs="Arial" w:eastAsia="Arial" w:hAnsi="Arial"/>
          <w:sz w:val="18"/>
          <w:szCs w:val="18"/>
          <w:b w:val="1"/>
          <w:bCs w:val="1"/>
          <w:i w:val="1"/>
          <w:iCs w:val="1"/>
          <w:color w:val="auto"/>
        </w:rPr>
        <w:t>The Company's operations are subject to numerous laws and extensive government regulations which may cause a reduction in levels of production, delay or the prevention of the development of new mining properties or otherwise cause the Company to incur costs that adversely affect the Company's results of operations.</w:t>
      </w:r>
    </w:p>
    <w:p>
      <w:pPr>
        <w:spacing w:after="0" w:line="194" w:lineRule="exact"/>
        <w:rPr>
          <w:sz w:val="20"/>
          <w:szCs w:val="20"/>
          <w:color w:val="auto"/>
        </w:rPr>
      </w:pPr>
    </w:p>
    <w:p>
      <w:pPr>
        <w:jc w:val="both"/>
        <w:ind w:firstLine="404"/>
        <w:spacing w:after="0" w:line="290" w:lineRule="auto"/>
        <w:rPr>
          <w:sz w:val="20"/>
          <w:szCs w:val="20"/>
          <w:color w:val="auto"/>
        </w:rPr>
      </w:pPr>
      <w:r>
        <w:rPr>
          <w:rFonts w:ascii="Arial" w:cs="Arial" w:eastAsia="Arial" w:hAnsi="Arial"/>
          <w:sz w:val="16"/>
          <w:szCs w:val="16"/>
          <w:color w:val="auto"/>
        </w:rPr>
        <w:t>The Company's mining and mineral processing operations and exploration activities are subject to the laws and regulations of federal, provincial, state and local governments in the jurisdictions in which the Company operates. These laws and regulations are extensive and govern prospecting, exploration, development, production, exports, taxes, labour standards, occupational health and safety, waste disposal, toxic substances, environmental protection, mine safety and other matters. Compliance with such laws and regulations increases the costs of planning, designing, drilling, developing, constructing, operating, closing, reclaiming and rehabilitating mines and other facilities. New laws or regulations, amendments to current laws and regulations governing operations and activities of mining companies or more stringent implementation or interpretation thereof could have a material adverse impact on the Company, cause a reduction in levels of production and delay or prevent the development of new mining properties.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Increased regulation of greenhouse gas emissions and climate change issues may adversely affect the Company's operations.</w:t>
      </w:r>
    </w:p>
    <w:p>
      <w:pPr>
        <w:spacing w:after="0" w:line="225" w:lineRule="exact"/>
        <w:rPr>
          <w:sz w:val="20"/>
          <w:szCs w:val="20"/>
          <w:color w:val="auto"/>
        </w:rPr>
      </w:pPr>
    </w:p>
    <w:p>
      <w:pPr>
        <w:jc w:val="both"/>
        <w:ind w:firstLine="449"/>
        <w:spacing w:after="0" w:line="288" w:lineRule="auto"/>
        <w:rPr>
          <w:sz w:val="20"/>
          <w:szCs w:val="20"/>
          <w:color w:val="auto"/>
        </w:rPr>
      </w:pPr>
      <w:r>
        <w:rPr>
          <w:rFonts w:ascii="Arial" w:cs="Arial" w:eastAsia="Arial" w:hAnsi="Arial"/>
          <w:sz w:val="16"/>
          <w:szCs w:val="16"/>
          <w:color w:val="auto"/>
        </w:rPr>
        <w:t>The Company operates in a number of jurisdictions in which regulatory requirements have been introduced or are being contemplated to monitor, report and/or reduce greenhouse gas emissions. Under the Copenhagen Accord, Canada has committed to reducing greenhouse gas emissions by 17%, relative to 2005 levels, by 2020, but this commitment is subject to future alignment with reduction targets in the United States. Canada is currently developing new regulatory requirements to address greenhouse gas emissions. Similarly, the Province of Quebec has passed legislation enabling the establishment of a greenhouse gas emissions registry, greenhouse gas reduction targets and a cap-and-trade system to achieve Quebec's commitment to reduce greenhouse gas emissions by 20%, relative to 1990 levels, by 2020. The Company's operations in Quebec use primarily hydroelectric power and as a consequence are not large producers of greenhouse gases. Except for the Meadowbank Mine, which produces its own electricity from diesel-power generation, none of the Company's operations are large producers of greenhouse gases. New regulatory requirements and the additional costs required to comply are not expected to have a material effect on the Company's operations and financial condition.</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Title to the Company's properties may be uncertain and subject to risks.</w:t>
      </w:r>
    </w:p>
    <w:p>
      <w:pPr>
        <w:spacing w:after="0" w:line="225" w:lineRule="exact"/>
        <w:rPr>
          <w:sz w:val="20"/>
          <w:szCs w:val="20"/>
          <w:color w:val="auto"/>
        </w:rPr>
      </w:pPr>
    </w:p>
    <w:p>
      <w:pPr>
        <w:jc w:val="both"/>
        <w:ind w:firstLine="399"/>
        <w:spacing w:after="0" w:line="294" w:lineRule="auto"/>
        <w:rPr>
          <w:sz w:val="20"/>
          <w:szCs w:val="20"/>
          <w:color w:val="auto"/>
        </w:rPr>
      </w:pPr>
      <w:r>
        <w:rPr>
          <w:rFonts w:ascii="Arial" w:cs="Arial" w:eastAsia="Arial" w:hAnsi="Arial"/>
          <w:sz w:val="16"/>
          <w:szCs w:val="16"/>
          <w:color w:val="auto"/>
        </w:rPr>
        <w:t>The acquisition of title to mineral properties is a very detailed and time-consuming process. Title to, and the area of, mineral concessions may be disputed. Although the Company believes it has taken reasonable measures to ensure proper title to its properties, there is no guarantee that title to any of its properties will not be challenged or impaired. Third parties may have valid claims on underlying portions of the Company's interests, including prior unregistered liens, agreements, transfers or claims, including native land claims, and title may be affected by, among other things, undetected defects. In addition, the Company may be unable to operate its properties as permitted or to enforce its rights in respect of its properties.</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The success of the Company is dependent on good relations with its employees and on its ability to attract and retain key personnel.</w:t>
      </w:r>
    </w:p>
    <w:p>
      <w:pPr>
        <w:spacing w:after="0" w:line="225" w:lineRule="exact"/>
        <w:rPr>
          <w:sz w:val="20"/>
          <w:szCs w:val="20"/>
          <w:color w:val="auto"/>
        </w:rPr>
      </w:pPr>
    </w:p>
    <w:p>
      <w:pPr>
        <w:jc w:val="both"/>
        <w:ind w:firstLine="418"/>
        <w:spacing w:after="0" w:line="298" w:lineRule="auto"/>
        <w:rPr>
          <w:sz w:val="20"/>
          <w:szCs w:val="20"/>
          <w:color w:val="auto"/>
        </w:rPr>
      </w:pPr>
      <w:r>
        <w:rPr>
          <w:rFonts w:ascii="Arial" w:cs="Arial" w:eastAsia="Arial" w:hAnsi="Arial"/>
          <w:sz w:val="16"/>
          <w:szCs w:val="16"/>
          <w:color w:val="auto"/>
        </w:rPr>
        <w:t>Production at the Company's mines and mine projects is dependent on the efforts of the Company's employees and contractors. Relationships between the Company and its employees may be affected by changes in the scheme of labour relations that may be introduced by relevant government authorities in the jurisdictions that the Company operates. Changes in applicable legislation or in the relationship between the Company and its employees or contractors may have a material adverse effect on the Company's business, results of operations and financial condition.</w:t>
      </w:r>
    </w:p>
    <w:p>
      <w:pPr>
        <w:spacing w:after="0" w:line="167" w:lineRule="exact"/>
        <w:rPr>
          <w:sz w:val="20"/>
          <w:szCs w:val="20"/>
          <w:color w:val="auto"/>
        </w:rPr>
      </w:pPr>
    </w:p>
    <w:p>
      <w:pPr>
        <w:jc w:val="both"/>
        <w:ind w:firstLine="400"/>
        <w:spacing w:after="0" w:line="259" w:lineRule="auto"/>
        <w:rPr>
          <w:sz w:val="20"/>
          <w:szCs w:val="20"/>
          <w:color w:val="auto"/>
        </w:rPr>
      </w:pPr>
      <w:r>
        <w:rPr>
          <w:rFonts w:ascii="Arial" w:cs="Arial" w:eastAsia="Arial" w:hAnsi="Arial"/>
          <w:sz w:val="18"/>
          <w:szCs w:val="18"/>
          <w:color w:val="auto"/>
        </w:rPr>
        <w:t>The Company is also dependent upon a number of key management personnel. The loss of the services of one or more of such key management personnel could have a material adverse effect on the Company. The Company's ability to manage its operating, development, exploration and financing activities will depend in large</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56" w:name="page57"/>
    <w:bookmarkEnd w:id="56"/>
    <w:p>
      <w:pPr>
        <w:jc w:val="both"/>
        <w:spacing w:after="0" w:line="268" w:lineRule="auto"/>
        <w:rPr>
          <w:sz w:val="20"/>
          <w:szCs w:val="20"/>
          <w:color w:val="auto"/>
        </w:rPr>
      </w:pPr>
      <w:r>
        <w:rPr>
          <w:rFonts w:ascii="Arial" w:cs="Arial" w:eastAsia="Arial" w:hAnsi="Arial"/>
          <w:sz w:val="18"/>
          <w:szCs w:val="18"/>
          <w:color w:val="auto"/>
        </w:rPr>
        <w:t>part on the efforts of these individuals. The Company faces significant competition for qualified personnel and there can be no assurance that the Company will be able to attract and retain such personnel.</w:t>
      </w:r>
    </w:p>
    <w:p>
      <w:pPr>
        <w:spacing w:after="0" w:line="186" w:lineRule="exact"/>
        <w:rPr>
          <w:sz w:val="20"/>
          <w:szCs w:val="20"/>
          <w:color w:val="auto"/>
        </w:rPr>
      </w:pPr>
    </w:p>
    <w:p>
      <w:pPr>
        <w:jc w:val="both"/>
        <w:spacing w:after="0" w:line="268" w:lineRule="auto"/>
        <w:rPr>
          <w:sz w:val="20"/>
          <w:szCs w:val="20"/>
          <w:color w:val="auto"/>
        </w:rPr>
      </w:pPr>
      <w:r>
        <w:rPr>
          <w:rFonts w:ascii="Arial" w:cs="Arial" w:eastAsia="Arial" w:hAnsi="Arial"/>
          <w:sz w:val="18"/>
          <w:szCs w:val="18"/>
          <w:b w:val="1"/>
          <w:bCs w:val="1"/>
          <w:i w:val="1"/>
          <w:iCs w:val="1"/>
          <w:color w:val="auto"/>
        </w:rPr>
        <w:t>The use of derivative instruments for the Company's byproduct metal production may prevent gains from being realized from subsequent byproduct metal price increases.</w:t>
      </w:r>
    </w:p>
    <w:p>
      <w:pPr>
        <w:spacing w:after="0" w:line="186" w:lineRule="exact"/>
        <w:rPr>
          <w:sz w:val="20"/>
          <w:szCs w:val="20"/>
          <w:color w:val="auto"/>
        </w:rPr>
      </w:pPr>
    </w:p>
    <w:p>
      <w:pPr>
        <w:jc w:val="both"/>
        <w:ind w:firstLine="413"/>
        <w:spacing w:after="0" w:line="288" w:lineRule="auto"/>
        <w:rPr>
          <w:sz w:val="20"/>
          <w:szCs w:val="20"/>
          <w:color w:val="auto"/>
        </w:rPr>
      </w:pPr>
      <w:r>
        <w:rPr>
          <w:rFonts w:ascii="Arial" w:cs="Arial" w:eastAsia="Arial" w:hAnsi="Arial"/>
          <w:sz w:val="16"/>
          <w:szCs w:val="16"/>
          <w:color w:val="auto"/>
        </w:rPr>
        <w:t>While the Company's general policy is not to sell forward its future gold production, the Company has used, and may in the future use, various byproduct metal derivative strategies, such as selling future contracts or purchasing put options. The Company continually evaluates the potential short- and long-term benefits of engaging in such derivative strategies based upon current market conditions. No assurance can be given, however, that the use of byproduct metal derivative strategies will benefit the Company in the future. There is a possibility that the Company could lock in forward deliveries at prices lower than the market price at the time of delivery. In addition, the Company could fail to produce enough byproduct metals to offset its forward delivery obligations, causing the Company to purchase the metal in the spot market at higher prices to fulfill its delivery obligations or, for cash settled contracts, make cash payments to counterparties in excess of byproduct revenue. If the Company is locked into a lower than market price forward contract or has to buy additional quantities at higher prices, its net income could be adversely affected. None of the current contracts establishing the byproduct metal derivatives positions qualified for hedge accounting treatment under US GAAP. See "Item 11 Quantitative and Qualitative Disclosures about Market Risk — Derivatives".</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The trading price for the Company's securities is volatile.</w:t>
      </w:r>
    </w:p>
    <w:p>
      <w:pPr>
        <w:spacing w:after="0" w:line="225" w:lineRule="exact"/>
        <w:rPr>
          <w:sz w:val="20"/>
          <w:szCs w:val="20"/>
          <w:color w:val="auto"/>
        </w:rPr>
      </w:pPr>
    </w:p>
    <w:p>
      <w:pPr>
        <w:jc w:val="both"/>
        <w:ind w:firstLine="437"/>
        <w:spacing w:after="0" w:line="256" w:lineRule="auto"/>
        <w:rPr>
          <w:sz w:val="20"/>
          <w:szCs w:val="20"/>
          <w:color w:val="auto"/>
        </w:rPr>
      </w:pPr>
      <w:r>
        <w:rPr>
          <w:rFonts w:ascii="Arial" w:cs="Arial" w:eastAsia="Arial" w:hAnsi="Arial"/>
          <w:sz w:val="18"/>
          <w:szCs w:val="18"/>
          <w:color w:val="auto"/>
        </w:rPr>
        <w:t>The trading price of the Company's common shares and, consequently, the trading price of securities convertible into or exchangeable for the Company's common shares have been and may continue to be subject to large fluctuations which may result in losses to investors. The trading price of the Company's common shares and securities convertible into or exchangeable for common shares may increase or decrease in response to a number of events and factors, including:</w:t>
      </w:r>
    </w:p>
    <w:p>
      <w:pPr>
        <w:spacing w:after="0" w:line="211" w:lineRule="exact"/>
        <w:rPr>
          <w:sz w:val="20"/>
          <w:szCs w:val="20"/>
          <w:color w:val="auto"/>
        </w:rPr>
      </w:pPr>
    </w:p>
    <w:p>
      <w:pPr>
        <w:ind w:left="1080" w:hanging="532"/>
        <w:spacing w:after="0"/>
        <w:tabs>
          <w:tab w:leader="none" w:pos="1080" w:val="left"/>
        </w:tabs>
        <w:numPr>
          <w:ilvl w:val="0"/>
          <w:numId w:val="7"/>
        </w:numPr>
        <w:rPr>
          <w:rFonts w:ascii="Arial" w:cs="Arial" w:eastAsia="Arial" w:hAnsi="Arial"/>
          <w:sz w:val="18"/>
          <w:szCs w:val="18"/>
          <w:color w:val="auto"/>
        </w:rPr>
      </w:pPr>
      <w:r>
        <w:rPr>
          <w:rFonts w:ascii="Arial" w:cs="Arial" w:eastAsia="Arial" w:hAnsi="Arial"/>
          <w:sz w:val="18"/>
          <w:szCs w:val="18"/>
          <w:color w:val="auto"/>
        </w:rPr>
        <w:t>changes in the market price of gold or other byproduct metals the Company sells;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7"/>
        </w:numPr>
        <w:rPr>
          <w:rFonts w:ascii="Arial" w:cs="Arial" w:eastAsia="Arial" w:hAnsi="Arial"/>
          <w:sz w:val="18"/>
          <w:szCs w:val="18"/>
          <w:color w:val="auto"/>
        </w:rPr>
      </w:pPr>
      <w:r>
        <w:rPr>
          <w:rFonts w:ascii="Arial" w:cs="Arial" w:eastAsia="Arial" w:hAnsi="Arial"/>
          <w:sz w:val="18"/>
          <w:szCs w:val="18"/>
          <w:color w:val="auto"/>
        </w:rPr>
        <w:t>current events affecting the economic situation in Canada, the United States and elsewhere;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7"/>
        </w:numPr>
        <w:rPr>
          <w:rFonts w:ascii="Arial" w:cs="Arial" w:eastAsia="Arial" w:hAnsi="Arial"/>
          <w:sz w:val="18"/>
          <w:szCs w:val="18"/>
          <w:color w:val="auto"/>
        </w:rPr>
      </w:pPr>
      <w:r>
        <w:rPr>
          <w:rFonts w:ascii="Arial" w:cs="Arial" w:eastAsia="Arial" w:hAnsi="Arial"/>
          <w:sz w:val="18"/>
          <w:szCs w:val="18"/>
          <w:color w:val="auto"/>
        </w:rPr>
        <w:t>trends in the mining industry and the markets in which the Company operates;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7"/>
        </w:numPr>
        <w:rPr>
          <w:rFonts w:ascii="Arial" w:cs="Arial" w:eastAsia="Arial" w:hAnsi="Arial"/>
          <w:sz w:val="18"/>
          <w:szCs w:val="18"/>
          <w:color w:val="auto"/>
        </w:rPr>
      </w:pPr>
      <w:r>
        <w:rPr>
          <w:rFonts w:ascii="Arial" w:cs="Arial" w:eastAsia="Arial" w:hAnsi="Arial"/>
          <w:sz w:val="18"/>
          <w:szCs w:val="18"/>
          <w:color w:val="auto"/>
        </w:rPr>
        <w:t>changes in financial estimates and recommendations by securities analysts;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7"/>
        </w:numPr>
        <w:rPr>
          <w:rFonts w:ascii="Arial" w:cs="Arial" w:eastAsia="Arial" w:hAnsi="Arial"/>
          <w:sz w:val="18"/>
          <w:szCs w:val="18"/>
          <w:color w:val="auto"/>
        </w:rPr>
      </w:pPr>
      <w:r>
        <w:rPr>
          <w:rFonts w:ascii="Arial" w:cs="Arial" w:eastAsia="Arial" w:hAnsi="Arial"/>
          <w:sz w:val="18"/>
          <w:szCs w:val="18"/>
          <w:color w:val="auto"/>
        </w:rPr>
        <w:t>acquisitions and financings;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7"/>
        </w:numPr>
        <w:rPr>
          <w:rFonts w:ascii="Arial" w:cs="Arial" w:eastAsia="Arial" w:hAnsi="Arial"/>
          <w:sz w:val="18"/>
          <w:szCs w:val="18"/>
          <w:color w:val="auto"/>
        </w:rPr>
      </w:pPr>
      <w:r>
        <w:rPr>
          <w:rFonts w:ascii="Arial" w:cs="Arial" w:eastAsia="Arial" w:hAnsi="Arial"/>
          <w:sz w:val="18"/>
          <w:szCs w:val="18"/>
          <w:color w:val="auto"/>
        </w:rPr>
        <w:t>quarterly variations in operating results;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7"/>
        </w:numPr>
        <w:rPr>
          <w:rFonts w:ascii="Arial" w:cs="Arial" w:eastAsia="Arial" w:hAnsi="Arial"/>
          <w:sz w:val="18"/>
          <w:szCs w:val="18"/>
          <w:color w:val="auto"/>
        </w:rPr>
      </w:pPr>
      <w:r>
        <w:rPr>
          <w:rFonts w:ascii="Arial" w:cs="Arial" w:eastAsia="Arial" w:hAnsi="Arial"/>
          <w:sz w:val="18"/>
          <w:szCs w:val="18"/>
          <w:color w:val="auto"/>
        </w:rPr>
        <w:t>the operating and share price performance of other companies that investors may deem comparable;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7"/>
        </w:numPr>
        <w:rPr>
          <w:rFonts w:ascii="Arial" w:cs="Arial" w:eastAsia="Arial" w:hAnsi="Arial"/>
          <w:sz w:val="16"/>
          <w:szCs w:val="16"/>
          <w:color w:val="auto"/>
        </w:rPr>
      </w:pPr>
      <w:r>
        <w:rPr>
          <w:rFonts w:ascii="Arial" w:cs="Arial" w:eastAsia="Arial" w:hAnsi="Arial"/>
          <w:sz w:val="16"/>
          <w:szCs w:val="16"/>
          <w:color w:val="auto"/>
        </w:rPr>
        <w:t>purchases or sales of blocks of the Company's common shares or securities convertible into or exchangeable for the Company's common shares.</w:t>
      </w:r>
    </w:p>
    <w:p>
      <w:pPr>
        <w:spacing w:after="0" w:line="248" w:lineRule="exact"/>
        <w:rPr>
          <w:sz w:val="20"/>
          <w:szCs w:val="20"/>
          <w:color w:val="auto"/>
        </w:rPr>
      </w:pPr>
    </w:p>
    <w:p>
      <w:pPr>
        <w:jc w:val="both"/>
        <w:ind w:firstLine="477"/>
        <w:spacing w:after="0" w:line="259" w:lineRule="auto"/>
        <w:rPr>
          <w:sz w:val="20"/>
          <w:szCs w:val="20"/>
          <w:color w:val="auto"/>
        </w:rPr>
      </w:pPr>
      <w:r>
        <w:rPr>
          <w:rFonts w:ascii="Arial" w:cs="Arial" w:eastAsia="Arial" w:hAnsi="Arial"/>
          <w:sz w:val="18"/>
          <w:szCs w:val="18"/>
          <w:color w:val="auto"/>
        </w:rPr>
        <w:t>Wide price swings are currently common in the markets on which the Company's securities trade. This volatility may adversely affect the prices of the Company's common shares and the securities convertible into or exchangeable for the Company's common shares regardless of the Company's operating performance.</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The Company may not be able to comply with the requirements of Section 404 of the Sarbanes-Oxley Act.</w:t>
      </w:r>
    </w:p>
    <w:p>
      <w:pPr>
        <w:spacing w:after="0" w:line="225" w:lineRule="exact"/>
        <w:rPr>
          <w:sz w:val="20"/>
          <w:szCs w:val="20"/>
          <w:color w:val="auto"/>
        </w:rPr>
      </w:pPr>
    </w:p>
    <w:p>
      <w:pPr>
        <w:jc w:val="both"/>
        <w:ind w:firstLine="485"/>
        <w:spacing w:after="0" w:line="256" w:lineRule="auto"/>
        <w:rPr>
          <w:sz w:val="20"/>
          <w:szCs w:val="20"/>
          <w:color w:val="auto"/>
        </w:rPr>
      </w:pPr>
      <w:r>
        <w:rPr>
          <w:rFonts w:ascii="Arial" w:cs="Arial" w:eastAsia="Arial" w:hAnsi="Arial"/>
          <w:sz w:val="18"/>
          <w:szCs w:val="18"/>
          <w:color w:val="auto"/>
        </w:rPr>
        <w:t>Section 404 of the Sarbanes-Oxley Act of 2002 ("SOX") requires an annual assessment by management of the effectiveness of the Company's internal control over financial reporting. Section 404 of SOX also requires an annual attestation report by the Company's independent auditors addressing the effectiveness of the Company's internal control over financial reporting. The Company has completed its Section 404 assessment and received the auditors' attestation as of December 31, 2009.</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57" w:name="page58"/>
    <w:bookmarkEnd w:id="57"/>
    <w:p>
      <w:pPr>
        <w:jc w:val="both"/>
        <w:ind w:firstLine="358"/>
        <w:spacing w:after="0" w:line="310" w:lineRule="auto"/>
        <w:rPr>
          <w:sz w:val="20"/>
          <w:szCs w:val="20"/>
          <w:color w:val="auto"/>
        </w:rPr>
      </w:pPr>
      <w:r>
        <w:rPr>
          <w:rFonts w:ascii="Arial" w:cs="Arial" w:eastAsia="Arial" w:hAnsi="Arial"/>
          <w:sz w:val="15"/>
          <w:szCs w:val="15"/>
          <w:color w:val="auto"/>
        </w:rPr>
        <w:t>If the Company fails to maintain the adequacy of its internal control over financial reporting, as such standards are modified, supplemented or amended from time to time, the Company may not be able to conclude that it has effective internal control over financial reporting in accordance with Section 404 of SOX. The Company's failure to satisfy the requirements of Section 404 of SOX on an ongoing, timely basis could result in the loss of investor confidence in the reliability of its financial statements, which in turn could harm the Company's business and negatively impact the trading price of its common shares and securities convertible or exchangeable for common shares. In addition, any failure to implement required new or improved controls, or difficulties encountered in their implementation, could harm the Company's operating results or cause it to fail to meet its reporting obligations. Future acquisitions of companies may provide the Company with challenges in implementing the required processes, procedures and controls in its acquired operations. Acquired companies may not have disclosure controls and procedures or internal control over financial reporting that are as thorough or effective as those required by securities laws currently applicable to the Company.</w:t>
      </w:r>
    </w:p>
    <w:p>
      <w:pPr>
        <w:spacing w:after="0" w:line="162" w:lineRule="exact"/>
        <w:rPr>
          <w:sz w:val="20"/>
          <w:szCs w:val="20"/>
          <w:color w:val="auto"/>
        </w:rPr>
      </w:pPr>
    </w:p>
    <w:p>
      <w:pPr>
        <w:jc w:val="both"/>
        <w:ind w:firstLine="470"/>
        <w:spacing w:after="0" w:line="291" w:lineRule="auto"/>
        <w:rPr>
          <w:sz w:val="20"/>
          <w:szCs w:val="20"/>
          <w:color w:val="auto"/>
        </w:rPr>
      </w:pPr>
      <w:r>
        <w:rPr>
          <w:rFonts w:ascii="Arial" w:cs="Arial" w:eastAsia="Arial" w:hAnsi="Arial"/>
          <w:sz w:val="16"/>
          <w:szCs w:val="16"/>
          <w:color w:val="auto"/>
        </w:rPr>
        <w:t>No evaluation can provide complete assurance that the Company's internal control over financial reporting will detect or uncover all failures of persons within the Company to disclose material information otherwise required to be reported. The effectiveness of the Company's controls and procedures could also be limited by simple errors or faulty judgments. In addition, as the Company continues to expand, the challenges involved in maintaining adequate internal control over financial reporting will increase and will require that the Company continue to improve its internal control over financial reporting. Although the Company intends to devote substantial time and incur substantial costs, as necessary, to ensure ongoing compliance, the Company cannot be certain that it will be successful in continuing to comply with Section 404 of SOX.</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Potential unenforceability of civil liabilities and judgments.</w:t>
      </w:r>
    </w:p>
    <w:p>
      <w:pPr>
        <w:spacing w:after="0" w:line="225" w:lineRule="exact"/>
        <w:rPr>
          <w:sz w:val="20"/>
          <w:szCs w:val="20"/>
          <w:color w:val="auto"/>
        </w:rPr>
      </w:pPr>
    </w:p>
    <w:p>
      <w:pPr>
        <w:jc w:val="both"/>
        <w:ind w:firstLine="397"/>
        <w:spacing w:after="0" w:line="290" w:lineRule="auto"/>
        <w:rPr>
          <w:sz w:val="20"/>
          <w:szCs w:val="20"/>
          <w:color w:val="auto"/>
        </w:rPr>
      </w:pPr>
      <w:r>
        <w:rPr>
          <w:rFonts w:ascii="Arial" w:cs="Arial" w:eastAsia="Arial" w:hAnsi="Arial"/>
          <w:sz w:val="16"/>
          <w:szCs w:val="16"/>
          <w:color w:val="auto"/>
        </w:rPr>
        <w:t>The Company is incorporated under the laws of the Province of Ontario, Canada. A majority of the Company's directors and officers as well as the experts named in this Form 20-F are residents of Canada. Also, almost all of the Company's assets and the assets of these persons are located outside of the United States. As a result, it may be difficult for shareholders to initiate a lawsuit within the United States against these non-U.S. residents, or to enforce U.S. judgments against the Company or these persons. The Company's Canadian counsel has advised the Company that a monetary judgment of a U.S. court predicated solely upon the civil liability provisions of U.S. federal securities laws would likely be enforceable in Canada if the U.S. court in which the judgment was obtained had a basis for jurisdiction in the matter that was recognized by a Canadian court for such purposes. The Company cannot provide assurance that this will be the case. It is less certain that an action could be brought in Canada in the first instance on the basis of liability predicated solely upon such laws.</w:t>
      </w:r>
    </w:p>
    <w:p>
      <w:pPr>
        <w:spacing w:after="0" w:line="166" w:lineRule="exact"/>
        <w:rPr>
          <w:sz w:val="20"/>
          <w:szCs w:val="20"/>
          <w:color w:val="auto"/>
        </w:rPr>
      </w:pPr>
    </w:p>
    <w:p>
      <w:pPr>
        <w:spacing w:after="0"/>
        <w:tabs>
          <w:tab w:leader="none" w:pos="760" w:val="left"/>
        </w:tabs>
        <w:rPr>
          <w:sz w:val="20"/>
          <w:szCs w:val="20"/>
          <w:color w:val="auto"/>
        </w:rPr>
      </w:pPr>
      <w:r>
        <w:rPr>
          <w:rFonts w:ascii="Arial" w:cs="Arial" w:eastAsia="Arial" w:hAnsi="Arial"/>
          <w:sz w:val="18"/>
          <w:szCs w:val="18"/>
          <w:b w:val="1"/>
          <w:bCs w:val="1"/>
          <w:color w:val="auto"/>
        </w:rPr>
        <w:t>ITEM 4</w:t>
      </w:r>
      <w:r>
        <w:rPr>
          <w:sz w:val="20"/>
          <w:szCs w:val="20"/>
          <w:color w:val="auto"/>
        </w:rPr>
        <w:tab/>
      </w:r>
      <w:r>
        <w:rPr>
          <w:rFonts w:ascii="Arial" w:cs="Arial" w:eastAsia="Arial" w:hAnsi="Arial"/>
          <w:sz w:val="16"/>
          <w:szCs w:val="16"/>
          <w:b w:val="1"/>
          <w:bCs w:val="1"/>
          <w:color w:val="auto"/>
        </w:rPr>
        <w:t>INFORMATION ON THE COMPANY</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History and Development of the Company</w:t>
      </w:r>
    </w:p>
    <w:p>
      <w:pPr>
        <w:spacing w:after="0" w:line="231" w:lineRule="exact"/>
        <w:rPr>
          <w:sz w:val="20"/>
          <w:szCs w:val="20"/>
          <w:color w:val="auto"/>
        </w:rPr>
      </w:pPr>
    </w:p>
    <w:p>
      <w:pPr>
        <w:jc w:val="both"/>
        <w:ind w:firstLine="478"/>
        <w:spacing w:after="0" w:line="255" w:lineRule="auto"/>
        <w:rPr>
          <w:sz w:val="20"/>
          <w:szCs w:val="20"/>
          <w:color w:val="auto"/>
        </w:rPr>
      </w:pPr>
      <w:r>
        <w:rPr>
          <w:rFonts w:ascii="Arial" w:cs="Arial" w:eastAsia="Arial" w:hAnsi="Arial"/>
          <w:sz w:val="18"/>
          <w:szCs w:val="18"/>
          <w:color w:val="auto"/>
        </w:rPr>
        <w:t>The Company is an established Canadian-based international gold producer with mining operations in northwestern Quebec, northern Mexico, northern Finland and Nunavut and exploration activities in Canada, Europe, Latin America and the United States. The Company's operating history includes over three decades of continuous gold production primarily from underground operations. Since its formation on June 1, 1972, the Company has produced almost 5.5 million ounces of gold. For definitions of certain technical terms used in the following discussion, see "— Property, Plant and Equipment — Glossary of Selected Mining Terms".</w:t>
      </w:r>
    </w:p>
    <w:p>
      <w:pPr>
        <w:spacing w:after="0" w:line="197" w:lineRule="exact"/>
        <w:rPr>
          <w:sz w:val="20"/>
          <w:szCs w:val="20"/>
          <w:color w:val="auto"/>
        </w:rPr>
      </w:pPr>
    </w:p>
    <w:p>
      <w:pPr>
        <w:jc w:val="both"/>
        <w:ind w:firstLine="541"/>
        <w:spacing w:after="0" w:line="256" w:lineRule="auto"/>
        <w:rPr>
          <w:sz w:val="20"/>
          <w:szCs w:val="20"/>
          <w:color w:val="auto"/>
        </w:rPr>
      </w:pPr>
      <w:r>
        <w:rPr>
          <w:rFonts w:ascii="Arial" w:cs="Arial" w:eastAsia="Arial" w:hAnsi="Arial"/>
          <w:sz w:val="18"/>
          <w:szCs w:val="18"/>
          <w:color w:val="auto"/>
        </w:rPr>
        <w:t>The Company's strategy is to focus on the continued exploration, development and expansion of its properties in politically stable jurisdictions. The Company has spent over $2 billion on the development of five new mines over the last three years. Through this development program, the Company transformed itself from a regionally focused, one mine producer to a multi-mine international gold producer with five operating, 100% owned mines (with one additional operating mine expected by the first quarter of 2010).</w:t>
      </w:r>
    </w:p>
    <w:p>
      <w:pPr>
        <w:spacing w:after="0" w:line="197" w:lineRule="exact"/>
        <w:rPr>
          <w:sz w:val="20"/>
          <w:szCs w:val="20"/>
          <w:color w:val="auto"/>
        </w:rPr>
      </w:pPr>
    </w:p>
    <w:p>
      <w:pPr>
        <w:jc w:val="both"/>
        <w:ind w:firstLine="409"/>
        <w:spacing w:after="0" w:line="332" w:lineRule="auto"/>
        <w:rPr>
          <w:sz w:val="20"/>
          <w:szCs w:val="20"/>
          <w:color w:val="auto"/>
        </w:rPr>
      </w:pPr>
      <w:r>
        <w:rPr>
          <w:rFonts w:ascii="Arial" w:cs="Arial" w:eastAsia="Arial" w:hAnsi="Arial"/>
          <w:sz w:val="16"/>
          <w:szCs w:val="16"/>
          <w:color w:val="auto"/>
        </w:rPr>
        <w:t>Since 1988, the LaRonde Mine, in the Abitibi region of Quebec, has been the Company's flagship operation, producing approximately 4 million ounces of gold as well as valuable byproducts. The Goldex Mine is 60 kilometres east of the LaRonde Mine, and the Lapa Mine, the Company's highest grade mine, is</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58" w:name="page59"/>
    <w:bookmarkEnd w:id="58"/>
    <w:p>
      <w:pPr>
        <w:jc w:val="both"/>
        <w:spacing w:after="0" w:line="291" w:lineRule="auto"/>
        <w:rPr>
          <w:sz w:val="20"/>
          <w:szCs w:val="20"/>
          <w:color w:val="auto"/>
        </w:rPr>
      </w:pPr>
      <w:r>
        <w:rPr>
          <w:rFonts w:ascii="Arial" w:cs="Arial" w:eastAsia="Arial" w:hAnsi="Arial"/>
          <w:sz w:val="16"/>
          <w:szCs w:val="16"/>
          <w:color w:val="auto"/>
        </w:rPr>
        <w:t>11 kilometres east of the LaRonde Mine. The synergies between these sites contribute to the Company's status as a low cost producer. The Kittila Mine, in Finland, achieved commercial production in May 2009, has a long reserve life and has significant production expansion potential. The Pinos Altos Mine, in Mexico, achieved commercial production in November 2009 and also has significant production expansion potential. Commissioning of the Company's sixth mine, Meadowbank, in Nunavut, is currently underway and the Company had its first dore bar pour at the Meadowbank Mine in February 2010. In addition, the Company plans to pursue opportunities for growth in gold production and gold reserves through the prudent acquisition or development of exploration properties, development properties, producing properties and other mining businesses in the Americas and Europe.</w:t>
      </w:r>
    </w:p>
    <w:p>
      <w:pPr>
        <w:spacing w:after="0" w:line="174" w:lineRule="exact"/>
        <w:rPr>
          <w:sz w:val="20"/>
          <w:szCs w:val="20"/>
          <w:color w:val="auto"/>
        </w:rPr>
      </w:pPr>
    </w:p>
    <w:p>
      <w:pPr>
        <w:jc w:val="both"/>
        <w:ind w:firstLine="380"/>
        <w:spacing w:after="0" w:line="287" w:lineRule="auto"/>
        <w:rPr>
          <w:sz w:val="20"/>
          <w:szCs w:val="20"/>
          <w:color w:val="auto"/>
        </w:rPr>
      </w:pPr>
      <w:r>
        <w:rPr>
          <w:rFonts w:ascii="Arial" w:cs="Arial" w:eastAsia="Arial" w:hAnsi="Arial"/>
          <w:sz w:val="16"/>
          <w:szCs w:val="16"/>
          <w:color w:val="auto"/>
        </w:rPr>
        <w:t>The Company believes that its total cash costs per ounce place it among the lowest quartile of producers in the gold mining industry. In 2009, the Company produced 492,972 ounces of gold at total cash costs per ounce of $347 net of revenues from byproduct metals. For 2010, the Company expects to produce 1,057,200 ounces of gold at a total cash costs per ounce of gold produced of approximately $399 net of byproduct revenue. These expected higher total cash costs compared to 2009 reflect the commencement of mining operations at the Meadowbank Mine, which is expected to have higher total cash costs per ounce compared to the Company's average; higher costs associated with the transition to underground mining operations at the Pinos Altos Mine and the Kittila Mine; and increased production from the Company's mines and mine projects that do not contain byproduct metals. In addition, the higher total cash costs per ounce also reflect the Canadian dollar strengthening against the U.S. dollar, recent escalations in labour, shipping and transportation costs and the ramp-up of operations at the Pinos Altos Mine during 2010. See "Note to Investors Concerning Certain Measures of Performance" for a discussion of the use of the non-US GAAP measure total cash costs per ounce. The Company has traditionally sold all of its production at the spot price of gold due to its general policy not to sell forward its future gold production.</w:t>
      </w:r>
    </w:p>
    <w:p>
      <w:pPr>
        <w:spacing w:after="0" w:line="177"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Company operates through four segments: Canada, Europe, Latin America and the United States.</w:t>
      </w:r>
    </w:p>
    <w:p>
      <w:pPr>
        <w:spacing w:after="0" w:line="225" w:lineRule="exact"/>
        <w:rPr>
          <w:sz w:val="20"/>
          <w:szCs w:val="20"/>
          <w:color w:val="auto"/>
        </w:rPr>
      </w:pPr>
    </w:p>
    <w:p>
      <w:pPr>
        <w:jc w:val="both"/>
        <w:ind w:firstLine="402"/>
        <w:spacing w:after="0" w:line="255" w:lineRule="auto"/>
        <w:rPr>
          <w:sz w:val="20"/>
          <w:szCs w:val="20"/>
          <w:color w:val="auto"/>
        </w:rPr>
      </w:pPr>
      <w:r>
        <w:rPr>
          <w:rFonts w:ascii="Arial" w:cs="Arial" w:eastAsia="Arial" w:hAnsi="Arial"/>
          <w:sz w:val="18"/>
          <w:szCs w:val="18"/>
          <w:color w:val="auto"/>
        </w:rPr>
        <w:t>The Quebec Region includes the LaRonde Mine, the LaRonde Mine extension project, the Goldex Mine and the Lapa Mine, each of which is held directly by the Company. In 2009, the Quebec Region accounted for 82.2% of the Company's gold production, comprised of 41.3% from the LaRonde Mine, 30.2% from the Goldex Mine and 10.7% from the Lapa Mine. In 2010, the Company anticipates that the Quebec Region will account for 43.4% of the Company's gold production, of which 17.0%, 15.5% and 10.9% of the Company's gold production will come from the LaRonde Mine, the Goldex Mine and the Lapa Mine, respectively.</w:t>
      </w:r>
    </w:p>
    <w:p>
      <w:pPr>
        <w:spacing w:after="0" w:line="197" w:lineRule="exact"/>
        <w:rPr>
          <w:sz w:val="20"/>
          <w:szCs w:val="20"/>
          <w:color w:val="auto"/>
        </w:rPr>
      </w:pPr>
    </w:p>
    <w:p>
      <w:pPr>
        <w:jc w:val="both"/>
        <w:ind w:firstLine="367"/>
        <w:spacing w:after="0" w:line="259" w:lineRule="auto"/>
        <w:rPr>
          <w:sz w:val="20"/>
          <w:szCs w:val="20"/>
          <w:color w:val="auto"/>
        </w:rPr>
      </w:pPr>
      <w:r>
        <w:rPr>
          <w:rFonts w:ascii="Arial" w:cs="Arial" w:eastAsia="Arial" w:hAnsi="Arial"/>
          <w:sz w:val="18"/>
          <w:szCs w:val="18"/>
          <w:color w:val="auto"/>
        </w:rPr>
        <w:t>The Company's operations in the European Region are conducted through its indirect subsidiary, Agnico-Eagle AB, which owns the Kittila Mine in Finland. In 2009, the Kittila Mine accounted for 14.6% of the Company's gold production and the Company anticipates that in 2010 the Kittila Mine will account for 13.9% of the Company's gold production.</w:t>
      </w:r>
    </w:p>
    <w:p>
      <w:pPr>
        <w:spacing w:after="0" w:line="194" w:lineRule="exact"/>
        <w:rPr>
          <w:sz w:val="20"/>
          <w:szCs w:val="20"/>
          <w:color w:val="auto"/>
        </w:rPr>
      </w:pPr>
    </w:p>
    <w:p>
      <w:pPr>
        <w:jc w:val="both"/>
        <w:ind w:firstLine="427"/>
        <w:spacing w:after="0" w:line="259" w:lineRule="auto"/>
        <w:rPr>
          <w:sz w:val="20"/>
          <w:szCs w:val="20"/>
          <w:color w:val="auto"/>
        </w:rPr>
      </w:pPr>
      <w:r>
        <w:rPr>
          <w:rFonts w:ascii="Arial" w:cs="Arial" w:eastAsia="Arial" w:hAnsi="Arial"/>
          <w:sz w:val="18"/>
          <w:szCs w:val="18"/>
          <w:color w:val="auto"/>
        </w:rPr>
        <w:t>The Company's operations in the Latin American Region are conducted through its subsidiary, Agnico Eagle Mexico S.A. de C.V., which owns the Pinos Altos Mine and the Creston Mascota deposit. In 2009, the Pinos Altos Mine accounted for 3.3% of the Company's gold production and the Company anticipates that in 2010 the Pinos Altos Mine will account for 14.3% of the Company's gold production.</w:t>
      </w:r>
    </w:p>
    <w:p>
      <w:pPr>
        <w:spacing w:after="0" w:line="194" w:lineRule="exact"/>
        <w:rPr>
          <w:sz w:val="20"/>
          <w:szCs w:val="20"/>
          <w:color w:val="auto"/>
        </w:rPr>
      </w:pPr>
    </w:p>
    <w:p>
      <w:pPr>
        <w:jc w:val="both"/>
        <w:ind w:firstLine="376"/>
        <w:spacing w:after="0" w:line="259" w:lineRule="auto"/>
        <w:rPr>
          <w:sz w:val="20"/>
          <w:szCs w:val="20"/>
          <w:color w:val="auto"/>
        </w:rPr>
      </w:pPr>
      <w:r>
        <w:rPr>
          <w:rFonts w:ascii="Arial" w:cs="Arial" w:eastAsia="Arial" w:hAnsi="Arial"/>
          <w:sz w:val="18"/>
          <w:szCs w:val="18"/>
          <w:color w:val="auto"/>
        </w:rPr>
        <w:t>The Nunavut Region is comprised of the Meadowbank Mine, which is held directly by the Company. The Meadowbank Mine, which is expected to achieve commercial production in the first quarter of 2010, will account for approximately 28% of the Company's 2010 gold production. In addition, the Company has an international exploration office in Reno, Nevada.</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59" w:name="page60"/>
    <w:bookmarkEnd w:id="59"/>
    <w:p>
      <w:pPr>
        <w:ind w:firstLine="456"/>
        <w:spacing w:after="0" w:line="332" w:lineRule="auto"/>
        <w:rPr>
          <w:sz w:val="20"/>
          <w:szCs w:val="20"/>
          <w:color w:val="auto"/>
        </w:rPr>
      </w:pPr>
      <w:r>
        <w:rPr>
          <w:rFonts w:ascii="Arial" w:cs="Arial" w:eastAsia="Arial" w:hAnsi="Arial"/>
          <w:sz w:val="16"/>
          <w:szCs w:val="16"/>
          <w:color w:val="auto"/>
        </w:rPr>
        <w:t>The following table sets out the date of acquisition, the date of commencement of construction and the date of achieving commercial production for the Company's mines and mine projects. Agnico-Eagle's expertise in acquiring and developing mines is shown through the successful launch of six operating mines.</w:t>
      </w:r>
    </w:p>
    <w:p>
      <w:pPr>
        <w:spacing w:after="0" w:line="122"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260" w:type="dxa"/>
            <w:vAlign w:val="bottom"/>
          </w:tcPr>
          <w:p>
            <w:pPr>
              <w:spacing w:after="0"/>
              <w:rPr>
                <w:sz w:val="14"/>
                <w:szCs w:val="14"/>
                <w:color w:val="auto"/>
              </w:rPr>
            </w:pPr>
          </w:p>
        </w:tc>
        <w:tc>
          <w:tcPr>
            <w:tcW w:w="2120" w:type="dxa"/>
            <w:vAlign w:val="bottom"/>
          </w:tcPr>
          <w:p>
            <w:pPr>
              <w:spacing w:after="0"/>
              <w:rPr>
                <w:sz w:val="14"/>
                <w:szCs w:val="14"/>
                <w:color w:val="auto"/>
              </w:rPr>
            </w:pPr>
          </w:p>
        </w:tc>
        <w:tc>
          <w:tcPr>
            <w:tcW w:w="13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1580" w:type="dxa"/>
            <w:vAlign w:val="bottom"/>
          </w:tcPr>
          <w:p>
            <w:pPr>
              <w:jc w:val="right"/>
              <w:ind w:right="27"/>
              <w:spacing w:after="0"/>
              <w:rPr>
                <w:sz w:val="20"/>
                <w:szCs w:val="20"/>
                <w:color w:val="auto"/>
              </w:rPr>
            </w:pPr>
            <w:r>
              <w:rPr>
                <w:rFonts w:ascii="Arial" w:cs="Arial" w:eastAsia="Arial" w:hAnsi="Arial"/>
                <w:sz w:val="14"/>
                <w:szCs w:val="14"/>
                <w:b w:val="1"/>
                <w:bCs w:val="1"/>
                <w:color w:val="auto"/>
                <w:w w:val="91"/>
              </w:rPr>
              <w:t>Date of Commencement</w:t>
            </w:r>
          </w:p>
        </w:tc>
        <w:tc>
          <w:tcPr>
            <w:tcW w:w="160" w:type="dxa"/>
            <w:vAlign w:val="bottom"/>
          </w:tcPr>
          <w:p>
            <w:pPr>
              <w:spacing w:after="0"/>
              <w:rPr>
                <w:sz w:val="14"/>
                <w:szCs w:val="14"/>
                <w:color w:val="auto"/>
              </w:rPr>
            </w:pPr>
          </w:p>
        </w:tc>
        <w:tc>
          <w:tcPr>
            <w:tcW w:w="2160" w:type="dxa"/>
            <w:vAlign w:val="bottom"/>
            <w:gridSpan w:val="2"/>
          </w:tcPr>
          <w:p>
            <w:pPr>
              <w:ind w:left="280"/>
              <w:spacing w:after="0"/>
              <w:rPr>
                <w:sz w:val="20"/>
                <w:szCs w:val="20"/>
                <w:color w:val="auto"/>
              </w:rPr>
            </w:pPr>
            <w:r>
              <w:rPr>
                <w:rFonts w:ascii="Arial" w:cs="Arial" w:eastAsia="Arial" w:hAnsi="Arial"/>
                <w:sz w:val="14"/>
                <w:szCs w:val="14"/>
                <w:b w:val="1"/>
                <w:bCs w:val="1"/>
                <w:color w:val="auto"/>
              </w:rPr>
              <w:t>Date of achieving</w:t>
            </w:r>
          </w:p>
        </w:tc>
      </w:tr>
      <w:tr>
        <w:trPr>
          <w:trHeight w:val="161"/>
        </w:trPr>
        <w:tc>
          <w:tcPr>
            <w:tcW w:w="20" w:type="dxa"/>
            <w:vAlign w:val="bottom"/>
          </w:tcPr>
          <w:p>
            <w:pPr>
              <w:spacing w:after="0"/>
              <w:rPr>
                <w:sz w:val="14"/>
                <w:szCs w:val="14"/>
                <w:color w:val="auto"/>
              </w:rPr>
            </w:pPr>
          </w:p>
        </w:tc>
        <w:tc>
          <w:tcPr>
            <w:tcW w:w="1260" w:type="dxa"/>
            <w:vAlign w:val="bottom"/>
          </w:tcPr>
          <w:p>
            <w:pPr>
              <w:spacing w:after="0"/>
              <w:rPr>
                <w:sz w:val="14"/>
                <w:szCs w:val="14"/>
                <w:color w:val="auto"/>
              </w:rPr>
            </w:pPr>
          </w:p>
        </w:tc>
        <w:tc>
          <w:tcPr>
            <w:tcW w:w="2120" w:type="dxa"/>
            <w:vAlign w:val="bottom"/>
          </w:tcPr>
          <w:p>
            <w:pPr>
              <w:spacing w:after="0"/>
              <w:rPr>
                <w:sz w:val="14"/>
                <w:szCs w:val="14"/>
                <w:color w:val="auto"/>
              </w:rPr>
            </w:pPr>
          </w:p>
        </w:tc>
        <w:tc>
          <w:tcPr>
            <w:tcW w:w="1320" w:type="dxa"/>
            <w:vAlign w:val="bottom"/>
            <w:tcBorders>
              <w:bottom w:val="single" w:sz="8" w:color="auto"/>
            </w:tcBorders>
          </w:tcPr>
          <w:p>
            <w:pPr>
              <w:ind w:left="100"/>
              <w:spacing w:after="0"/>
              <w:rPr>
                <w:sz w:val="20"/>
                <w:szCs w:val="20"/>
                <w:color w:val="auto"/>
              </w:rPr>
            </w:pPr>
            <w:r>
              <w:rPr>
                <w:rFonts w:ascii="Arial" w:cs="Arial" w:eastAsia="Arial" w:hAnsi="Arial"/>
                <w:sz w:val="14"/>
                <w:szCs w:val="14"/>
                <w:b w:val="1"/>
                <w:bCs w:val="1"/>
                <w:color w:val="auto"/>
                <w:w w:val="94"/>
              </w:rPr>
              <w:t>Date of Acquisition</w:t>
            </w:r>
          </w:p>
        </w:tc>
        <w:tc>
          <w:tcPr>
            <w:tcW w:w="560" w:type="dxa"/>
            <w:vAlign w:val="bottom"/>
          </w:tcPr>
          <w:p>
            <w:pPr>
              <w:spacing w:after="0"/>
              <w:rPr>
                <w:sz w:val="14"/>
                <w:szCs w:val="14"/>
                <w:color w:val="auto"/>
              </w:rPr>
            </w:pPr>
          </w:p>
        </w:tc>
        <w:tc>
          <w:tcPr>
            <w:tcW w:w="1580" w:type="dxa"/>
            <w:vAlign w:val="bottom"/>
            <w:tcBorders>
              <w:bottom w:val="single" w:sz="8" w:color="auto"/>
            </w:tcBorders>
          </w:tcPr>
          <w:p>
            <w:pPr>
              <w:jc w:val="right"/>
              <w:ind w:right="267"/>
              <w:spacing w:after="0"/>
              <w:rPr>
                <w:sz w:val="20"/>
                <w:szCs w:val="20"/>
                <w:color w:val="auto"/>
              </w:rPr>
            </w:pPr>
            <w:r>
              <w:rPr>
                <w:rFonts w:ascii="Arial" w:cs="Arial" w:eastAsia="Arial" w:hAnsi="Arial"/>
                <w:sz w:val="14"/>
                <w:szCs w:val="14"/>
                <w:b w:val="1"/>
                <w:bCs w:val="1"/>
                <w:color w:val="auto"/>
              </w:rPr>
              <w:t>of Construction</w:t>
            </w:r>
          </w:p>
        </w:tc>
        <w:tc>
          <w:tcPr>
            <w:tcW w:w="160" w:type="dxa"/>
            <w:vAlign w:val="bottom"/>
          </w:tcPr>
          <w:p>
            <w:pPr>
              <w:spacing w:after="0"/>
              <w:rPr>
                <w:sz w:val="14"/>
                <w:szCs w:val="14"/>
                <w:color w:val="auto"/>
              </w:rPr>
            </w:pPr>
          </w:p>
        </w:tc>
        <w:tc>
          <w:tcPr>
            <w:tcW w:w="1580" w:type="dxa"/>
            <w:vAlign w:val="bottom"/>
            <w:tcBorders>
              <w:bottom w:val="single" w:sz="8" w:color="auto"/>
            </w:tcBorders>
          </w:tcPr>
          <w:p>
            <w:pPr>
              <w:jc w:val="right"/>
              <w:ind w:right="29"/>
              <w:spacing w:after="0"/>
              <w:rPr>
                <w:sz w:val="20"/>
                <w:szCs w:val="20"/>
                <w:color w:val="auto"/>
              </w:rPr>
            </w:pPr>
            <w:r>
              <w:rPr>
                <w:rFonts w:ascii="Arial" w:cs="Arial" w:eastAsia="Arial" w:hAnsi="Arial"/>
                <w:sz w:val="14"/>
                <w:szCs w:val="14"/>
                <w:b w:val="1"/>
                <w:bCs w:val="1"/>
                <w:color w:val="auto"/>
                <w:w w:val="92"/>
              </w:rPr>
              <w:t>Commercial Production</w:t>
            </w:r>
          </w:p>
        </w:tc>
        <w:tc>
          <w:tcPr>
            <w:tcW w:w="580" w:type="dxa"/>
            <w:vAlign w:val="bottom"/>
          </w:tcPr>
          <w:p>
            <w:pPr>
              <w:spacing w:after="0"/>
              <w:rPr>
                <w:sz w:val="14"/>
                <w:szCs w:val="14"/>
                <w:color w:val="auto"/>
              </w:rPr>
            </w:pPr>
          </w:p>
        </w:tc>
      </w:tr>
      <w:tr>
        <w:trPr>
          <w:trHeight w:val="210"/>
        </w:trPr>
        <w:tc>
          <w:tcPr>
            <w:tcW w:w="20" w:type="dxa"/>
            <w:vAlign w:val="bottom"/>
          </w:tcPr>
          <w:p>
            <w:pPr>
              <w:spacing w:after="0"/>
              <w:rPr>
                <w:sz w:val="18"/>
                <w:szCs w:val="18"/>
                <w:color w:val="auto"/>
              </w:rPr>
            </w:pPr>
          </w:p>
        </w:tc>
        <w:tc>
          <w:tcPr>
            <w:tcW w:w="338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LaRonde</w:t>
            </w:r>
          </w:p>
        </w:tc>
        <w:tc>
          <w:tcPr>
            <w:tcW w:w="18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1992</w:t>
            </w:r>
            <w:r>
              <w:rPr>
                <w:rFonts w:ascii="Arial" w:cs="Arial" w:eastAsia="Arial" w:hAnsi="Arial"/>
                <w:sz w:val="14"/>
                <w:szCs w:val="14"/>
                <w:color w:val="auto"/>
              </w:rPr>
              <w:t>(1)</w:t>
            </w:r>
          </w:p>
        </w:tc>
        <w:tc>
          <w:tcPr>
            <w:tcW w:w="1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1985</w:t>
            </w:r>
          </w:p>
        </w:tc>
        <w:tc>
          <w:tcPr>
            <w:tcW w:w="17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1988</w:t>
            </w:r>
          </w:p>
        </w:tc>
        <w:tc>
          <w:tcPr>
            <w:tcW w:w="580" w:type="dxa"/>
            <w:vAlign w:val="bottom"/>
            <w:shd w:val="clear" w:color="auto" w:fill="CCEEFF"/>
          </w:tcPr>
          <w:p>
            <w:pPr>
              <w:spacing w:after="0"/>
              <w:rPr>
                <w:sz w:val="18"/>
                <w:szCs w:val="18"/>
                <w:color w:val="auto"/>
              </w:rPr>
            </w:pPr>
          </w:p>
        </w:tc>
      </w:tr>
      <w:tr>
        <w:trPr>
          <w:trHeight w:val="18"/>
        </w:trPr>
        <w:tc>
          <w:tcPr>
            <w:tcW w:w="20" w:type="dxa"/>
            <w:vAlign w:val="bottom"/>
          </w:tcPr>
          <w:p>
            <w:pPr>
              <w:spacing w:after="0" w:line="20" w:lineRule="exact"/>
              <w:rPr>
                <w:sz w:val="1"/>
                <w:szCs w:val="1"/>
                <w:color w:val="auto"/>
              </w:rPr>
            </w:pPr>
          </w:p>
        </w:tc>
        <w:tc>
          <w:tcPr>
            <w:tcW w:w="3380" w:type="dxa"/>
            <w:vAlign w:val="bottom"/>
            <w:gridSpan w:val="2"/>
            <w:shd w:val="clear" w:color="auto" w:fill="CCEEFF"/>
          </w:tcPr>
          <w:p>
            <w:pPr>
              <w:spacing w:after="0" w:line="19" w:lineRule="exact"/>
              <w:rPr>
                <w:sz w:val="20"/>
                <w:szCs w:val="20"/>
                <w:color w:val="auto"/>
              </w:rPr>
            </w:pPr>
            <w:r>
              <w:rPr>
                <w:rFonts w:ascii="Arial" w:cs="Arial" w:eastAsia="Arial" w:hAnsi="Arial"/>
                <w:sz w:val="2"/>
                <w:szCs w:val="2"/>
                <w:b w:val="1"/>
                <w:bCs w:val="1"/>
                <w:color w:val="auto"/>
              </w:rPr>
              <w:t>Goldex</w:t>
            </w:r>
          </w:p>
        </w:tc>
        <w:tc>
          <w:tcPr>
            <w:tcW w:w="1880" w:type="dxa"/>
            <w:vAlign w:val="bottom"/>
            <w:gridSpan w:val="2"/>
            <w:shd w:val="clear" w:color="auto" w:fill="CCEEFF"/>
          </w:tcPr>
          <w:p>
            <w:pPr>
              <w:jc w:val="right"/>
              <w:ind w:right="560"/>
              <w:spacing w:after="0" w:line="19" w:lineRule="exact"/>
              <w:rPr>
                <w:sz w:val="20"/>
                <w:szCs w:val="20"/>
                <w:color w:val="auto"/>
              </w:rPr>
            </w:pPr>
            <w:r>
              <w:rPr>
                <w:rFonts w:ascii="Arial" w:cs="Arial" w:eastAsia="Arial" w:hAnsi="Arial"/>
                <w:sz w:val="2"/>
                <w:szCs w:val="2"/>
                <w:color w:val="auto"/>
              </w:rPr>
              <w:t>December 1993</w:t>
            </w:r>
          </w:p>
        </w:tc>
        <w:tc>
          <w:tcPr>
            <w:tcW w:w="1580" w:type="dxa"/>
            <w:vAlign w:val="bottom"/>
            <w:shd w:val="clear" w:color="auto" w:fill="CCEEFF"/>
          </w:tcPr>
          <w:p>
            <w:pPr>
              <w:jc w:val="right"/>
              <w:spacing w:after="0" w:line="19" w:lineRule="exact"/>
              <w:rPr>
                <w:sz w:val="20"/>
                <w:szCs w:val="20"/>
                <w:color w:val="auto"/>
              </w:rPr>
            </w:pPr>
            <w:r>
              <w:rPr>
                <w:rFonts w:ascii="Arial" w:cs="Arial" w:eastAsia="Arial" w:hAnsi="Arial"/>
                <w:sz w:val="2"/>
                <w:szCs w:val="2"/>
                <w:color w:val="auto"/>
              </w:rPr>
              <w:t>July 2005</w:t>
            </w:r>
          </w:p>
        </w:tc>
        <w:tc>
          <w:tcPr>
            <w:tcW w:w="160" w:type="dxa"/>
            <w:vAlign w:val="bottom"/>
            <w:shd w:val="clear" w:color="auto" w:fill="CCEEFF"/>
          </w:tcPr>
          <w:p>
            <w:pPr>
              <w:spacing w:after="0" w:line="20" w:lineRule="exact"/>
              <w:rPr>
                <w:sz w:val="1"/>
                <w:szCs w:val="1"/>
                <w:color w:val="auto"/>
              </w:rPr>
            </w:pPr>
          </w:p>
        </w:tc>
        <w:tc>
          <w:tcPr>
            <w:tcW w:w="2160" w:type="dxa"/>
            <w:vAlign w:val="bottom"/>
            <w:gridSpan w:val="2"/>
            <w:shd w:val="clear" w:color="auto" w:fill="CCEEFF"/>
          </w:tcPr>
          <w:p>
            <w:pPr>
              <w:jc w:val="right"/>
              <w:ind w:right="580"/>
              <w:spacing w:after="0" w:line="19" w:lineRule="exact"/>
              <w:rPr>
                <w:sz w:val="20"/>
                <w:szCs w:val="20"/>
                <w:color w:val="auto"/>
              </w:rPr>
            </w:pPr>
            <w:r>
              <w:rPr>
                <w:rFonts w:ascii="Arial" w:cs="Arial" w:eastAsia="Arial" w:hAnsi="Arial"/>
                <w:sz w:val="2"/>
                <w:szCs w:val="2"/>
                <w:color w:val="auto"/>
              </w:rPr>
              <w:t>August 2008</w:t>
            </w:r>
          </w:p>
        </w:tc>
      </w:tr>
      <w:tr>
        <w:trPr>
          <w:trHeight w:val="186"/>
        </w:trPr>
        <w:tc>
          <w:tcPr>
            <w:tcW w:w="20" w:type="dxa"/>
            <w:vAlign w:val="bottom"/>
          </w:tcPr>
          <w:p>
            <w:pPr>
              <w:spacing w:after="0"/>
              <w:rPr>
                <w:sz w:val="16"/>
                <w:szCs w:val="16"/>
                <w:color w:val="auto"/>
              </w:rPr>
            </w:pPr>
          </w:p>
        </w:tc>
        <w:tc>
          <w:tcPr>
            <w:tcW w:w="1260" w:type="dxa"/>
            <w:vAlign w:val="bottom"/>
          </w:tcPr>
          <w:p>
            <w:pPr>
              <w:spacing w:after="0"/>
              <w:rPr>
                <w:sz w:val="16"/>
                <w:szCs w:val="16"/>
                <w:color w:val="auto"/>
              </w:rPr>
            </w:pPr>
          </w:p>
        </w:tc>
        <w:tc>
          <w:tcPr>
            <w:tcW w:w="2120" w:type="dxa"/>
            <w:vAlign w:val="bottom"/>
          </w:tcPr>
          <w:p>
            <w:pPr>
              <w:spacing w:after="0"/>
              <w:rPr>
                <w:sz w:val="16"/>
                <w:szCs w:val="16"/>
                <w:color w:val="auto"/>
              </w:rPr>
            </w:pPr>
          </w:p>
        </w:tc>
        <w:tc>
          <w:tcPr>
            <w:tcW w:w="1880" w:type="dxa"/>
            <w:vAlign w:val="bottom"/>
            <w:gridSpan w:val="2"/>
          </w:tcPr>
          <w:p>
            <w:pPr>
              <w:jc w:val="right"/>
              <w:ind w:right="380"/>
              <w:spacing w:after="0"/>
              <w:rPr>
                <w:sz w:val="20"/>
                <w:szCs w:val="20"/>
                <w:color w:val="auto"/>
              </w:rPr>
            </w:pPr>
            <w:r>
              <w:rPr>
                <w:rFonts w:ascii="Arial" w:cs="Arial" w:eastAsia="Arial" w:hAnsi="Arial"/>
                <w:sz w:val="15"/>
                <w:szCs w:val="15"/>
                <w:color w:val="auto"/>
              </w:rPr>
              <w:t>(1)</w:t>
            </w:r>
          </w:p>
        </w:tc>
        <w:tc>
          <w:tcPr>
            <w:tcW w:w="15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580" w:type="dxa"/>
            <w:vAlign w:val="bottom"/>
          </w:tcPr>
          <w:p>
            <w:pPr>
              <w:spacing w:after="0"/>
              <w:rPr>
                <w:sz w:val="16"/>
                <w:szCs w:val="16"/>
                <w:color w:val="auto"/>
              </w:rPr>
            </w:pPr>
          </w:p>
        </w:tc>
        <w:tc>
          <w:tcPr>
            <w:tcW w:w="580" w:type="dxa"/>
            <w:vAlign w:val="bottom"/>
          </w:tcPr>
          <w:p>
            <w:pPr>
              <w:spacing w:after="0"/>
              <w:rPr>
                <w:sz w:val="16"/>
                <w:szCs w:val="16"/>
                <w:color w:val="auto"/>
              </w:rPr>
            </w:pPr>
          </w:p>
        </w:tc>
      </w:tr>
      <w:tr>
        <w:trPr>
          <w:trHeight w:val="228"/>
        </w:trPr>
        <w:tc>
          <w:tcPr>
            <w:tcW w:w="20" w:type="dxa"/>
            <w:vAlign w:val="bottom"/>
          </w:tcPr>
          <w:p>
            <w:pPr>
              <w:spacing w:after="0"/>
              <w:rPr>
                <w:sz w:val="19"/>
                <w:szCs w:val="19"/>
                <w:color w:val="auto"/>
              </w:rPr>
            </w:pPr>
          </w:p>
        </w:tc>
        <w:tc>
          <w:tcPr>
            <w:tcW w:w="338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Kittila</w:t>
            </w:r>
          </w:p>
        </w:tc>
        <w:tc>
          <w:tcPr>
            <w:tcW w:w="1880" w:type="dxa"/>
            <w:vAlign w:val="bottom"/>
            <w:gridSpan w:val="2"/>
            <w:shd w:val="clear" w:color="auto" w:fill="CCEEFF"/>
          </w:tcPr>
          <w:p>
            <w:pPr>
              <w:jc w:val="right"/>
              <w:ind w:right="560"/>
              <w:spacing w:after="0"/>
              <w:rPr>
                <w:sz w:val="20"/>
                <w:szCs w:val="20"/>
                <w:color w:val="auto"/>
              </w:rPr>
            </w:pPr>
            <w:r>
              <w:rPr>
                <w:rFonts w:ascii="Arial" w:cs="Arial" w:eastAsia="Arial" w:hAnsi="Arial"/>
                <w:sz w:val="18"/>
                <w:szCs w:val="18"/>
                <w:color w:val="auto"/>
              </w:rPr>
              <w:t>November 2005</w:t>
            </w:r>
          </w:p>
        </w:tc>
        <w:tc>
          <w:tcPr>
            <w:tcW w:w="1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June 2006</w:t>
            </w:r>
          </w:p>
        </w:tc>
        <w:tc>
          <w:tcPr>
            <w:tcW w:w="160" w:type="dxa"/>
            <w:vAlign w:val="bottom"/>
            <w:shd w:val="clear" w:color="auto" w:fill="CCEEFF"/>
          </w:tcPr>
          <w:p>
            <w:pPr>
              <w:spacing w:after="0"/>
              <w:rPr>
                <w:sz w:val="19"/>
                <w:szCs w:val="19"/>
                <w:color w:val="auto"/>
              </w:rPr>
            </w:pPr>
          </w:p>
        </w:tc>
        <w:tc>
          <w:tcPr>
            <w:tcW w:w="216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May 2009</w:t>
            </w:r>
          </w:p>
        </w:tc>
      </w:tr>
      <w:tr>
        <w:trPr>
          <w:trHeight w:val="216"/>
        </w:trPr>
        <w:tc>
          <w:tcPr>
            <w:tcW w:w="20" w:type="dxa"/>
            <w:vAlign w:val="bottom"/>
          </w:tcPr>
          <w:p>
            <w:pPr>
              <w:spacing w:after="0"/>
              <w:rPr>
                <w:sz w:val="18"/>
                <w:szCs w:val="18"/>
                <w:color w:val="auto"/>
              </w:rPr>
            </w:pPr>
          </w:p>
        </w:tc>
        <w:tc>
          <w:tcPr>
            <w:tcW w:w="3380" w:type="dxa"/>
            <w:vAlign w:val="bottom"/>
            <w:gridSpan w:val="2"/>
          </w:tcPr>
          <w:p>
            <w:pPr>
              <w:spacing w:after="0"/>
              <w:rPr>
                <w:sz w:val="20"/>
                <w:szCs w:val="20"/>
                <w:color w:val="auto"/>
              </w:rPr>
            </w:pPr>
            <w:r>
              <w:rPr>
                <w:rFonts w:ascii="Arial" w:cs="Arial" w:eastAsia="Arial" w:hAnsi="Arial"/>
                <w:sz w:val="18"/>
                <w:szCs w:val="18"/>
                <w:b w:val="1"/>
                <w:bCs w:val="1"/>
                <w:color w:val="auto"/>
              </w:rPr>
              <w:t>Lapa</w:t>
            </w:r>
          </w:p>
        </w:tc>
        <w:tc>
          <w:tcPr>
            <w:tcW w:w="1880" w:type="dxa"/>
            <w:vAlign w:val="bottom"/>
            <w:gridSpan w:val="2"/>
          </w:tcPr>
          <w:p>
            <w:pPr>
              <w:jc w:val="right"/>
              <w:ind w:right="380"/>
              <w:spacing w:after="0"/>
              <w:rPr>
                <w:sz w:val="20"/>
                <w:szCs w:val="20"/>
                <w:color w:val="auto"/>
              </w:rPr>
            </w:pPr>
            <w:r>
              <w:rPr>
                <w:rFonts w:ascii="Arial" w:cs="Arial" w:eastAsia="Arial" w:hAnsi="Arial"/>
                <w:sz w:val="18"/>
                <w:szCs w:val="18"/>
                <w:color w:val="auto"/>
              </w:rPr>
              <w:t>June 2003</w:t>
            </w:r>
            <w:r>
              <w:rPr>
                <w:rFonts w:ascii="Arial" w:cs="Arial" w:eastAsia="Arial" w:hAnsi="Arial"/>
                <w:sz w:val="14"/>
                <w:szCs w:val="14"/>
                <w:color w:val="auto"/>
              </w:rPr>
              <w:t>(1)</w:t>
            </w:r>
          </w:p>
        </w:tc>
        <w:tc>
          <w:tcPr>
            <w:tcW w:w="1580" w:type="dxa"/>
            <w:vAlign w:val="bottom"/>
          </w:tcPr>
          <w:p>
            <w:pPr>
              <w:jc w:val="right"/>
              <w:spacing w:after="0"/>
              <w:rPr>
                <w:sz w:val="20"/>
                <w:szCs w:val="20"/>
                <w:color w:val="auto"/>
              </w:rPr>
            </w:pPr>
            <w:r>
              <w:rPr>
                <w:rFonts w:ascii="Arial" w:cs="Arial" w:eastAsia="Arial" w:hAnsi="Arial"/>
                <w:sz w:val="18"/>
                <w:szCs w:val="18"/>
                <w:color w:val="auto"/>
              </w:rPr>
              <w:t>June 2006</w:t>
            </w:r>
          </w:p>
        </w:tc>
        <w:tc>
          <w:tcPr>
            <w:tcW w:w="160" w:type="dxa"/>
            <w:vAlign w:val="bottom"/>
          </w:tcPr>
          <w:p>
            <w:pPr>
              <w:spacing w:after="0"/>
              <w:rPr>
                <w:sz w:val="18"/>
                <w:szCs w:val="18"/>
                <w:color w:val="auto"/>
              </w:rPr>
            </w:pPr>
          </w:p>
        </w:tc>
        <w:tc>
          <w:tcPr>
            <w:tcW w:w="2160" w:type="dxa"/>
            <w:vAlign w:val="bottom"/>
            <w:gridSpan w:val="2"/>
          </w:tcPr>
          <w:p>
            <w:pPr>
              <w:jc w:val="right"/>
              <w:ind w:right="580"/>
              <w:spacing w:after="0"/>
              <w:rPr>
                <w:sz w:val="20"/>
                <w:szCs w:val="20"/>
                <w:color w:val="auto"/>
              </w:rPr>
            </w:pPr>
            <w:r>
              <w:rPr>
                <w:rFonts w:ascii="Arial" w:cs="Arial" w:eastAsia="Arial" w:hAnsi="Arial"/>
                <w:sz w:val="18"/>
                <w:szCs w:val="18"/>
                <w:color w:val="auto"/>
              </w:rPr>
              <w:t>May 2009</w:t>
            </w:r>
          </w:p>
        </w:tc>
      </w:tr>
      <w:tr>
        <w:trPr>
          <w:trHeight w:val="216"/>
        </w:trPr>
        <w:tc>
          <w:tcPr>
            <w:tcW w:w="20" w:type="dxa"/>
            <w:vAlign w:val="bottom"/>
          </w:tcPr>
          <w:p>
            <w:pPr>
              <w:spacing w:after="0"/>
              <w:rPr>
                <w:sz w:val="18"/>
                <w:szCs w:val="18"/>
                <w:color w:val="auto"/>
              </w:rPr>
            </w:pPr>
          </w:p>
        </w:tc>
        <w:tc>
          <w:tcPr>
            <w:tcW w:w="338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Pinos Altos</w:t>
            </w:r>
          </w:p>
        </w:tc>
        <w:tc>
          <w:tcPr>
            <w:tcW w:w="1880" w:type="dxa"/>
            <w:vAlign w:val="bottom"/>
            <w:gridSpan w:val="2"/>
            <w:shd w:val="clear" w:color="auto" w:fill="CCEEFF"/>
          </w:tcPr>
          <w:p>
            <w:pPr>
              <w:jc w:val="right"/>
              <w:ind w:right="560"/>
              <w:spacing w:after="0"/>
              <w:rPr>
                <w:sz w:val="20"/>
                <w:szCs w:val="20"/>
                <w:color w:val="auto"/>
              </w:rPr>
            </w:pPr>
            <w:r>
              <w:rPr>
                <w:rFonts w:ascii="Arial" w:cs="Arial" w:eastAsia="Arial" w:hAnsi="Arial"/>
                <w:sz w:val="18"/>
                <w:szCs w:val="18"/>
                <w:color w:val="auto"/>
              </w:rPr>
              <w:t>March 2006</w:t>
            </w:r>
          </w:p>
        </w:tc>
        <w:tc>
          <w:tcPr>
            <w:tcW w:w="1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August 2007</w:t>
            </w:r>
          </w:p>
        </w:tc>
        <w:tc>
          <w:tcPr>
            <w:tcW w:w="160" w:type="dxa"/>
            <w:vAlign w:val="bottom"/>
            <w:shd w:val="clear" w:color="auto" w:fill="CCEEFF"/>
          </w:tcPr>
          <w:p>
            <w:pPr>
              <w:spacing w:after="0"/>
              <w:rPr>
                <w:sz w:val="18"/>
                <w:szCs w:val="18"/>
                <w:color w:val="auto"/>
              </w:rPr>
            </w:pPr>
          </w:p>
        </w:tc>
        <w:tc>
          <w:tcPr>
            <w:tcW w:w="216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November 2009</w:t>
            </w:r>
          </w:p>
        </w:tc>
      </w:tr>
      <w:tr>
        <w:trPr>
          <w:trHeight w:val="228"/>
        </w:trPr>
        <w:tc>
          <w:tcPr>
            <w:tcW w:w="20" w:type="dxa"/>
            <w:vAlign w:val="bottom"/>
          </w:tcPr>
          <w:p>
            <w:pPr>
              <w:spacing w:after="0"/>
              <w:rPr>
                <w:sz w:val="19"/>
                <w:szCs w:val="19"/>
                <w:color w:val="auto"/>
              </w:rPr>
            </w:pPr>
          </w:p>
        </w:tc>
        <w:tc>
          <w:tcPr>
            <w:tcW w:w="3380" w:type="dxa"/>
            <w:vAlign w:val="bottom"/>
            <w:gridSpan w:val="2"/>
          </w:tcPr>
          <w:p>
            <w:pPr>
              <w:spacing w:after="0"/>
              <w:rPr>
                <w:sz w:val="20"/>
                <w:szCs w:val="20"/>
                <w:color w:val="auto"/>
              </w:rPr>
            </w:pPr>
            <w:r>
              <w:rPr>
                <w:rFonts w:ascii="Arial" w:cs="Arial" w:eastAsia="Arial" w:hAnsi="Arial"/>
                <w:sz w:val="18"/>
                <w:szCs w:val="18"/>
                <w:b w:val="1"/>
                <w:bCs w:val="1"/>
                <w:color w:val="auto"/>
              </w:rPr>
              <w:t>Meadowbank</w:t>
            </w:r>
          </w:p>
        </w:tc>
        <w:tc>
          <w:tcPr>
            <w:tcW w:w="1880" w:type="dxa"/>
            <w:vAlign w:val="bottom"/>
            <w:gridSpan w:val="2"/>
          </w:tcPr>
          <w:p>
            <w:pPr>
              <w:jc w:val="right"/>
              <w:ind w:right="560"/>
              <w:spacing w:after="0"/>
              <w:rPr>
                <w:sz w:val="20"/>
                <w:szCs w:val="20"/>
                <w:color w:val="auto"/>
              </w:rPr>
            </w:pPr>
            <w:r>
              <w:rPr>
                <w:rFonts w:ascii="Arial" w:cs="Arial" w:eastAsia="Arial" w:hAnsi="Arial"/>
                <w:sz w:val="18"/>
                <w:szCs w:val="18"/>
                <w:color w:val="auto"/>
              </w:rPr>
              <w:t>April 2007</w:t>
            </w:r>
          </w:p>
        </w:tc>
        <w:tc>
          <w:tcPr>
            <w:tcW w:w="1580" w:type="dxa"/>
            <w:vAlign w:val="bottom"/>
          </w:tcPr>
          <w:p>
            <w:pPr>
              <w:jc w:val="right"/>
              <w:spacing w:after="0"/>
              <w:rPr>
                <w:sz w:val="20"/>
                <w:szCs w:val="20"/>
                <w:color w:val="auto"/>
              </w:rPr>
            </w:pPr>
            <w:r>
              <w:rPr>
                <w:rFonts w:ascii="Arial" w:cs="Arial" w:eastAsia="Arial" w:hAnsi="Arial"/>
                <w:sz w:val="18"/>
                <w:szCs w:val="18"/>
                <w:color w:val="auto"/>
              </w:rPr>
              <w:t>Pre-April 2007</w:t>
            </w:r>
          </w:p>
        </w:tc>
        <w:tc>
          <w:tcPr>
            <w:tcW w:w="160" w:type="dxa"/>
            <w:vAlign w:val="bottom"/>
          </w:tcPr>
          <w:p>
            <w:pPr>
              <w:spacing w:after="0"/>
              <w:rPr>
                <w:sz w:val="19"/>
                <w:szCs w:val="19"/>
                <w:color w:val="auto"/>
              </w:rPr>
            </w:pPr>
          </w:p>
        </w:tc>
        <w:tc>
          <w:tcPr>
            <w:tcW w:w="2160" w:type="dxa"/>
            <w:vAlign w:val="bottom"/>
            <w:gridSpan w:val="2"/>
          </w:tcPr>
          <w:p>
            <w:pPr>
              <w:ind w:left="720"/>
              <w:spacing w:after="0"/>
              <w:rPr>
                <w:sz w:val="20"/>
                <w:szCs w:val="20"/>
                <w:color w:val="auto"/>
              </w:rPr>
            </w:pPr>
            <w:r>
              <w:rPr>
                <w:rFonts w:ascii="Arial" w:cs="Arial" w:eastAsia="Arial" w:hAnsi="Arial"/>
                <w:sz w:val="18"/>
                <w:szCs w:val="18"/>
                <w:color w:val="auto"/>
              </w:rPr>
              <w:t>March 2010</w:t>
            </w:r>
            <w:r>
              <w:rPr>
                <w:rFonts w:ascii="Arial" w:cs="Arial" w:eastAsia="Arial" w:hAnsi="Arial"/>
                <w:sz w:val="14"/>
                <w:szCs w:val="14"/>
                <w:color w:val="auto"/>
              </w:rPr>
              <w:t>(2)</w:t>
            </w:r>
          </w:p>
        </w:tc>
      </w:tr>
      <w:tr>
        <w:trPr>
          <w:trHeight w:val="96"/>
        </w:trPr>
        <w:tc>
          <w:tcPr>
            <w:tcW w:w="20" w:type="dxa"/>
            <w:vAlign w:val="bottom"/>
            <w:tcBorders>
              <w:bottom w:val="single" w:sz="8" w:color="auto"/>
            </w:tcBorders>
          </w:tcPr>
          <w:p>
            <w:pPr>
              <w:spacing w:after="0"/>
              <w:rPr>
                <w:sz w:val="8"/>
                <w:szCs w:val="8"/>
                <w:color w:val="auto"/>
              </w:rPr>
            </w:pPr>
          </w:p>
        </w:tc>
        <w:tc>
          <w:tcPr>
            <w:tcW w:w="1260" w:type="dxa"/>
            <w:vAlign w:val="bottom"/>
            <w:tcBorders>
              <w:bottom w:val="single" w:sz="8" w:color="auto"/>
            </w:tcBorders>
          </w:tcPr>
          <w:p>
            <w:pPr>
              <w:spacing w:after="0"/>
              <w:rPr>
                <w:sz w:val="8"/>
                <w:szCs w:val="8"/>
                <w:color w:val="auto"/>
              </w:rPr>
            </w:pPr>
          </w:p>
        </w:tc>
        <w:tc>
          <w:tcPr>
            <w:tcW w:w="2120" w:type="dxa"/>
            <w:vAlign w:val="bottom"/>
          </w:tcPr>
          <w:p>
            <w:pPr>
              <w:spacing w:after="0"/>
              <w:rPr>
                <w:sz w:val="8"/>
                <w:szCs w:val="8"/>
                <w:color w:val="auto"/>
              </w:rPr>
            </w:pPr>
          </w:p>
        </w:tc>
        <w:tc>
          <w:tcPr>
            <w:tcW w:w="1320" w:type="dxa"/>
            <w:vAlign w:val="bottom"/>
          </w:tcPr>
          <w:p>
            <w:pPr>
              <w:spacing w:after="0"/>
              <w:rPr>
                <w:sz w:val="8"/>
                <w:szCs w:val="8"/>
                <w:color w:val="auto"/>
              </w:rPr>
            </w:pPr>
          </w:p>
        </w:tc>
        <w:tc>
          <w:tcPr>
            <w:tcW w:w="560" w:type="dxa"/>
            <w:vAlign w:val="bottom"/>
          </w:tcPr>
          <w:p>
            <w:pPr>
              <w:spacing w:after="0"/>
              <w:rPr>
                <w:sz w:val="8"/>
                <w:szCs w:val="8"/>
                <w:color w:val="auto"/>
              </w:rPr>
            </w:pPr>
          </w:p>
        </w:tc>
        <w:tc>
          <w:tcPr>
            <w:tcW w:w="1580" w:type="dxa"/>
            <w:vAlign w:val="bottom"/>
          </w:tcPr>
          <w:p>
            <w:pPr>
              <w:spacing w:after="0"/>
              <w:rPr>
                <w:sz w:val="8"/>
                <w:szCs w:val="8"/>
                <w:color w:val="auto"/>
              </w:rPr>
            </w:pPr>
          </w:p>
        </w:tc>
        <w:tc>
          <w:tcPr>
            <w:tcW w:w="160" w:type="dxa"/>
            <w:vAlign w:val="bottom"/>
          </w:tcPr>
          <w:p>
            <w:pPr>
              <w:spacing w:after="0"/>
              <w:rPr>
                <w:sz w:val="8"/>
                <w:szCs w:val="8"/>
                <w:color w:val="auto"/>
              </w:rPr>
            </w:pPr>
          </w:p>
        </w:tc>
        <w:tc>
          <w:tcPr>
            <w:tcW w:w="1580" w:type="dxa"/>
            <w:vAlign w:val="bottom"/>
          </w:tcPr>
          <w:p>
            <w:pPr>
              <w:spacing w:after="0"/>
              <w:rPr>
                <w:sz w:val="8"/>
                <w:szCs w:val="8"/>
                <w:color w:val="auto"/>
              </w:rPr>
            </w:pPr>
          </w:p>
        </w:tc>
        <w:tc>
          <w:tcPr>
            <w:tcW w:w="580" w:type="dxa"/>
            <w:vAlign w:val="bottom"/>
          </w:tcPr>
          <w:p>
            <w:pPr>
              <w:spacing w:after="0"/>
              <w:rPr>
                <w:sz w:val="8"/>
                <w:szCs w:val="8"/>
                <w:color w:val="auto"/>
              </w:rPr>
            </w:pPr>
          </w:p>
        </w:tc>
      </w:tr>
    </w:tbl>
    <w:p>
      <w:pPr>
        <w:spacing w:after="0" w:line="205" w:lineRule="exact"/>
        <w:rPr>
          <w:sz w:val="20"/>
          <w:szCs w:val="20"/>
          <w:color w:val="auto"/>
        </w:rPr>
      </w:pPr>
    </w:p>
    <w:p>
      <w:pPr>
        <w:ind w:left="1140"/>
        <w:spacing w:after="0"/>
        <w:rPr>
          <w:sz w:val="20"/>
          <w:szCs w:val="20"/>
          <w:color w:val="auto"/>
        </w:rPr>
      </w:pPr>
      <w:r>
        <w:rPr>
          <w:rFonts w:ascii="Arial" w:cs="Arial" w:eastAsia="Arial" w:hAnsi="Arial"/>
          <w:sz w:val="14"/>
          <w:szCs w:val="14"/>
          <w:color w:val="auto"/>
        </w:rPr>
        <w:t>Notes:</w:t>
      </w:r>
    </w:p>
    <w:p>
      <w:pPr>
        <w:spacing w:after="0" w:line="190" w:lineRule="exact"/>
        <w:rPr>
          <w:sz w:val="20"/>
          <w:szCs w:val="20"/>
          <w:color w:val="auto"/>
        </w:rPr>
      </w:pPr>
    </w:p>
    <w:p>
      <w:pPr>
        <w:ind w:left="1680" w:hanging="531"/>
        <w:spacing w:after="0"/>
        <w:tabs>
          <w:tab w:leader="none" w:pos="1680" w:val="left"/>
        </w:tabs>
        <w:numPr>
          <w:ilvl w:val="0"/>
          <w:numId w:val="8"/>
        </w:numPr>
        <w:rPr>
          <w:rFonts w:ascii="Arial" w:cs="Arial" w:eastAsia="Arial" w:hAnsi="Arial"/>
          <w:sz w:val="14"/>
          <w:szCs w:val="14"/>
          <w:color w:val="auto"/>
        </w:rPr>
      </w:pPr>
      <w:r>
        <w:rPr>
          <w:rFonts w:ascii="Arial" w:cs="Arial" w:eastAsia="Arial" w:hAnsi="Arial"/>
          <w:sz w:val="14"/>
          <w:szCs w:val="14"/>
          <w:color w:val="auto"/>
        </w:rPr>
        <w:t>Date when 100% ownership was acquired.</w:t>
      </w:r>
    </w:p>
    <w:p>
      <w:pPr>
        <w:spacing w:after="0" w:line="122" w:lineRule="exact"/>
        <w:rPr>
          <w:rFonts w:ascii="Arial" w:cs="Arial" w:eastAsia="Arial" w:hAnsi="Arial"/>
          <w:sz w:val="14"/>
          <w:szCs w:val="14"/>
          <w:color w:val="auto"/>
        </w:rPr>
      </w:pPr>
    </w:p>
    <w:p>
      <w:pPr>
        <w:ind w:left="1680" w:hanging="531"/>
        <w:spacing w:after="0"/>
        <w:tabs>
          <w:tab w:leader="none" w:pos="1680" w:val="left"/>
        </w:tabs>
        <w:numPr>
          <w:ilvl w:val="0"/>
          <w:numId w:val="8"/>
        </w:numPr>
        <w:rPr>
          <w:rFonts w:ascii="Arial" w:cs="Arial" w:eastAsia="Arial" w:hAnsi="Arial"/>
          <w:sz w:val="14"/>
          <w:szCs w:val="14"/>
          <w:color w:val="auto"/>
        </w:rPr>
      </w:pPr>
      <w:r>
        <w:rPr>
          <w:rFonts w:ascii="Arial" w:cs="Arial" w:eastAsia="Arial" w:hAnsi="Arial"/>
          <w:sz w:val="14"/>
          <w:szCs w:val="14"/>
          <w:color w:val="auto"/>
        </w:rPr>
        <w:t>Anticipated.</w:t>
      </w:r>
    </w:p>
    <w:p>
      <w:pPr>
        <w:spacing w:after="0" w:line="206" w:lineRule="exact"/>
        <w:rPr>
          <w:sz w:val="20"/>
          <w:szCs w:val="20"/>
          <w:color w:val="auto"/>
        </w:rPr>
      </w:pPr>
    </w:p>
    <w:p>
      <w:pPr>
        <w:jc w:val="both"/>
        <w:ind w:firstLine="432"/>
        <w:spacing w:after="0" w:line="291" w:lineRule="auto"/>
        <w:rPr>
          <w:sz w:val="20"/>
          <w:szCs w:val="20"/>
          <w:color w:val="auto"/>
        </w:rPr>
      </w:pPr>
      <w:r>
        <w:rPr>
          <w:rFonts w:ascii="Arial" w:cs="Arial" w:eastAsia="Arial" w:hAnsi="Arial"/>
          <w:sz w:val="16"/>
          <w:szCs w:val="16"/>
          <w:color w:val="auto"/>
        </w:rPr>
        <w:t>The Company's exploration program focuses primarily on the identification of new mineral reserves and resources and new development opportunities in proven gold producing regions. Current exploration activities are concentrated in Canada, Europe, Latin America and the United States. Several projects were evaluated during the year in other countries where the Company believes the potential for gold occurrences is excellent and which the Company believes to be politically stable and supportive of the mining industry. The Company currently manages 78 properties in Canada, 11 properties in Nevada and Idaho in the United States, three properties in Finland, four properties in Mexico and three properties in Argentina. Exploration activities are managed from offices in Val d'Or, Quebec; Reno, Nevada; Chihuahua, Mexico; Helsinki and Kittila, Finland; and Vancouver, British Columbia.</w:t>
      </w:r>
    </w:p>
    <w:p>
      <w:pPr>
        <w:spacing w:after="0" w:line="174" w:lineRule="exact"/>
        <w:rPr>
          <w:sz w:val="20"/>
          <w:szCs w:val="20"/>
          <w:color w:val="auto"/>
        </w:rPr>
      </w:pPr>
    </w:p>
    <w:p>
      <w:pPr>
        <w:jc w:val="both"/>
        <w:ind w:firstLine="452"/>
        <w:spacing w:after="0" w:line="268" w:lineRule="auto"/>
        <w:rPr>
          <w:sz w:val="20"/>
          <w:szCs w:val="20"/>
          <w:color w:val="auto"/>
        </w:rPr>
      </w:pPr>
      <w:r>
        <w:rPr>
          <w:rFonts w:ascii="Arial" w:cs="Arial" w:eastAsia="Arial" w:hAnsi="Arial"/>
          <w:sz w:val="18"/>
          <w:szCs w:val="18"/>
          <w:color w:val="auto"/>
        </w:rPr>
        <w:t>In addition, the Company continuously evaluates opportunities to make strategic acquisitions. Three of the Company's new mines or projects came from relatively recent acquisitions.</w:t>
      </w:r>
    </w:p>
    <w:p>
      <w:pPr>
        <w:spacing w:after="0" w:line="186" w:lineRule="exact"/>
        <w:rPr>
          <w:sz w:val="20"/>
          <w:szCs w:val="20"/>
          <w:color w:val="auto"/>
        </w:rPr>
      </w:pPr>
    </w:p>
    <w:p>
      <w:pPr>
        <w:jc w:val="both"/>
        <w:ind w:firstLine="424"/>
        <w:spacing w:after="0" w:line="253" w:lineRule="auto"/>
        <w:rPr>
          <w:sz w:val="20"/>
          <w:szCs w:val="20"/>
          <w:color w:val="auto"/>
        </w:rPr>
      </w:pPr>
      <w:r>
        <w:rPr>
          <w:rFonts w:ascii="Arial" w:cs="Arial" w:eastAsia="Arial" w:hAnsi="Arial"/>
          <w:sz w:val="18"/>
          <w:szCs w:val="18"/>
          <w:color w:val="auto"/>
        </w:rPr>
        <w:t>In the second quarter of 2004, the Company acquired an approximate 14% ownership interest in Riddarhyttan Resources AB ("Riddarhyttan"), a Swedish precious and base metals exploration and development company that was at the time listed on the Stockholm Stock Exchange. In November 2005, the Company completed a tender offer (the "Riddarhyttan Offer") for all of the issued and outstanding shares of Riddarhyttan that it did not own. The Company issued 10,023,882 of its common shares and paid and committed an aggregate of $5.1 million cash as consideration to Riddarhyttan shareholders in connection with the Riddarhyttan Offer. The Company, through wholly-owned subsidiaries, currently holds 100% of Riddarhyttan. Riddarhyttan, through its wholly-owned subsidiary, Agnico-Eagle AB, is the 100% owner of the Kittila Mine, located approximately 900 kilometres north of Helsinki near the town of Kittila in Finnish Lapland.</w:t>
      </w:r>
    </w:p>
    <w:p>
      <w:pPr>
        <w:spacing w:after="0" w:line="201" w:lineRule="exact"/>
        <w:rPr>
          <w:sz w:val="20"/>
          <w:szCs w:val="20"/>
          <w:color w:val="auto"/>
        </w:rPr>
      </w:pPr>
    </w:p>
    <w:p>
      <w:pPr>
        <w:jc w:val="both"/>
        <w:ind w:firstLine="405"/>
        <w:spacing w:after="0" w:line="294" w:lineRule="auto"/>
        <w:rPr>
          <w:sz w:val="20"/>
          <w:szCs w:val="20"/>
          <w:color w:val="auto"/>
        </w:rPr>
      </w:pPr>
      <w:r>
        <w:rPr>
          <w:rFonts w:ascii="Arial" w:cs="Arial" w:eastAsia="Arial" w:hAnsi="Arial"/>
          <w:sz w:val="16"/>
          <w:szCs w:val="16"/>
          <w:color w:val="auto"/>
        </w:rPr>
        <w:t>In the first quarter of 2005, the Company entered into an exploration and option agreement with Industrias Penoles S.A. de C.V. ("Penoles") to acquire the Pinos Altos property in northern Mexico. The Pinos Altos property is comprised of approximately 11,000 hectares in the Sierra Madre gold belt, approximately 225 kilometres west of the city of Chihuahua in the state of Chihuahua in northern Mexico. In February 2006, the Company exercised its option and acquired the Pinos Altos property on March 15, 2006. Under the terms of the exploration and option agreement, the purchase price of $66.8 million was comprised of $32.5 million in cash and 2,063,635 common shares of the Company.</w:t>
      </w:r>
    </w:p>
    <w:p>
      <w:pPr>
        <w:spacing w:after="0" w:line="170" w:lineRule="exact"/>
        <w:rPr>
          <w:sz w:val="20"/>
          <w:szCs w:val="20"/>
          <w:color w:val="auto"/>
        </w:rPr>
      </w:pPr>
    </w:p>
    <w:p>
      <w:pPr>
        <w:jc w:val="both"/>
        <w:ind w:firstLine="380"/>
        <w:spacing w:after="0" w:line="294" w:lineRule="auto"/>
        <w:rPr>
          <w:sz w:val="20"/>
          <w:szCs w:val="20"/>
          <w:color w:val="auto"/>
        </w:rPr>
      </w:pPr>
      <w:r>
        <w:rPr>
          <w:rFonts w:ascii="Arial" w:cs="Arial" w:eastAsia="Arial" w:hAnsi="Arial"/>
          <w:sz w:val="16"/>
          <w:szCs w:val="16"/>
          <w:color w:val="auto"/>
        </w:rPr>
        <w:t>In February 2007, the Company made an exchange offer for all of the outstanding shares of Cumberland Resources Ltd. ("Cumberland") not already owned by the Company. At the time, Cumberland was a pre-production development stage company listed on the Toronto Stock Exchange (the "TSX") and American Stock Exchange. In May 2007, the Company acquired approximately 92% of the issued and outstanding shares of Cumberland that it did not previously own and, in July 2007, the Company completed the acquisition of all Cumberland shares by way of a compulsory acquisition. The Company issued 13,768,510 of its common shares and paid $9.6 million in cash as consideration to Cumberland shareholders in connection with its acquisition of Cumberland.</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0" w:name="page61"/>
    <w:bookmarkEnd w:id="60"/>
    <w:p>
      <w:pPr>
        <w:jc w:val="both"/>
        <w:ind w:firstLine="400"/>
        <w:spacing w:after="0" w:line="287" w:lineRule="auto"/>
        <w:rPr>
          <w:sz w:val="20"/>
          <w:szCs w:val="20"/>
          <w:color w:val="auto"/>
        </w:rPr>
      </w:pPr>
      <w:r>
        <w:rPr>
          <w:rFonts w:ascii="Arial" w:cs="Arial" w:eastAsia="Arial" w:hAnsi="Arial"/>
          <w:sz w:val="16"/>
          <w:szCs w:val="16"/>
          <w:color w:val="auto"/>
        </w:rPr>
        <w:t>In 2009, the Company's capital expenditures were $657 million. The 2009 capital expenditures included $76 million at the LaRonde Mine (which included approximately $39 million of expenditures relating to the LaRonde Mine extension), $22 million at the Goldex Mine, $90 million at the Kittila Mine (which included $36 million of expenditures on construction of the underground mine), $47 million at the Lapa Mine (which included $22 million on construction of the mine), $133 million at the Pinos Altos Mine and $288 million at the Meadowbank Mine. In addition, the Company spent $36 million on exploration activities at the Company's grassroots exploration properties. Budgeted 2010 exploration and capital expenditures of $478 million include $96 million at the LaRonde Mine (including $67 million on the LaRonde Mine extension), $14 million at the Goldex Mine, $29 million at the Lapa Mine, $92 million at the Pinos Altos Mine (including $54 million on the construction and development at the Creston Mascota deposit), $59 million at the Kittila Mine, $112 million at the Meadowbank Mine (including $10.5 million on the construction of the mine) and $37 million in capitalized exploration expenditures. In addition, the Company plans exploration expenditures on grassroots exploration projects of approximately $39 million. Depending on the success of the exploration programs at these and other properties, the Company may be required to make additional capital expenditures for exploration, development and pre-production.</w:t>
      </w:r>
    </w:p>
    <w:p>
      <w:pPr>
        <w:spacing w:after="0" w:line="177" w:lineRule="exact"/>
        <w:rPr>
          <w:sz w:val="20"/>
          <w:szCs w:val="20"/>
          <w:color w:val="auto"/>
        </w:rPr>
      </w:pPr>
    </w:p>
    <w:p>
      <w:pPr>
        <w:jc w:val="both"/>
        <w:ind w:firstLine="414"/>
        <w:spacing w:after="0" w:line="289" w:lineRule="auto"/>
        <w:rPr>
          <w:sz w:val="20"/>
          <w:szCs w:val="20"/>
          <w:color w:val="auto"/>
        </w:rPr>
      </w:pPr>
      <w:r>
        <w:rPr>
          <w:rFonts w:ascii="Arial" w:cs="Arial" w:eastAsia="Arial" w:hAnsi="Arial"/>
          <w:sz w:val="16"/>
          <w:szCs w:val="16"/>
          <w:color w:val="auto"/>
        </w:rPr>
        <w:t>The financing for the expenditures set out above is expected to be from internally generated cash flow from operations, from the Company's existing cash balances and from drawdowns of the Company's bank credit facilities. In addition, on March 19, 2010 the Company announced it had received non-binding commitments from institutional investors in the United States and Canada to purchase in a private placement $600 million of guaranteed senior unsecured notes due in 2017, 2020 and 2022 (the "Notes"). The Notes are expected to have a weighted average maturity of 9.84 years, weighted average yield of 6.59% and restrictive convenants and events of default substantially similar to the Company's bank credit facilities. Proceeds from the offering of the Notes will be used to repay amounts under the Company's bank credit facilities. Closing of the transaction is expected to occur in April 2010. Based on current funding available to the Company (excluding the Notes) and expected cash flows from operations, the Company believes it has sufficient funds available to fund its projected capital expenditures for all its properties.</w:t>
      </w:r>
    </w:p>
    <w:p>
      <w:pPr>
        <w:spacing w:after="0" w:line="172" w:lineRule="exact"/>
        <w:rPr>
          <w:sz w:val="20"/>
          <w:szCs w:val="20"/>
          <w:color w:val="auto"/>
        </w:rPr>
      </w:pPr>
    </w:p>
    <w:p>
      <w:pPr>
        <w:jc w:val="both"/>
        <w:ind w:firstLine="575"/>
        <w:spacing w:after="0" w:line="290" w:lineRule="auto"/>
        <w:rPr>
          <w:sz w:val="20"/>
          <w:szCs w:val="20"/>
          <w:color w:val="auto"/>
        </w:rPr>
      </w:pPr>
      <w:r>
        <w:rPr>
          <w:rFonts w:ascii="Arial" w:cs="Arial" w:eastAsia="Arial" w:hAnsi="Arial"/>
          <w:sz w:val="16"/>
          <w:szCs w:val="16"/>
          <w:color w:val="auto"/>
        </w:rPr>
        <w:t>Capital expenditures by the Company in 2008 and 2007 were $909 million and $523 million, respectively. The 2008 capital expenditures included $75 million at the LaRonde Mine (which was comprised of $38 million of sustaining capital expenditures and $37 million comprised primarily of expenditures on the LaRonde Mine extension), $53 million at the Goldex Mine, $196 million at the Kittila Mine, $89 million at the Lapa Mine, $176 million at the Pinos Altos Mine and $314 million at the Meadowbank Mine. In addition, the Company spent $35 million on exploration activities at the Company's grassroots exploration properties. The 2007 capital expenditures included $87 million at the LaRonde Mine (which was comprised of $34 million of sustaining capital expenditures and $53 million comprised primarily of expenditures on the LaRonde Mine extension and the ramp below Level 215), $105 million at the Goldex Mine, $94 million at the Kittila Mine, $29 million at the Lapa Mine and $170 million at the Meadowbank Mine.</w:t>
      </w:r>
    </w:p>
    <w:p>
      <w:pPr>
        <w:spacing w:after="0" w:line="172" w:lineRule="exact"/>
        <w:rPr>
          <w:sz w:val="20"/>
          <w:szCs w:val="20"/>
          <w:color w:val="auto"/>
        </w:rPr>
      </w:pPr>
    </w:p>
    <w:p>
      <w:pPr>
        <w:jc w:val="both"/>
        <w:ind w:firstLine="360"/>
        <w:spacing w:after="0" w:line="256" w:lineRule="auto"/>
        <w:rPr>
          <w:sz w:val="20"/>
          <w:szCs w:val="20"/>
          <w:color w:val="auto"/>
        </w:rPr>
      </w:pPr>
      <w:r>
        <w:rPr>
          <w:rFonts w:ascii="Arial" w:cs="Arial" w:eastAsia="Arial" w:hAnsi="Arial"/>
          <w:sz w:val="18"/>
          <w:szCs w:val="18"/>
          <w:color w:val="auto"/>
        </w:rPr>
        <w:t>The Company was formed by articles of amalgamation under the laws of the Province of Ontario on June 1, 1972, as a result of the amalgamation of Agnico Mines Limited ("Agnico Mines") and Eagle Gold Mines Limited ("Eagle"). Agnico Mines was incorporated under the laws of the Province of Ontario on January 21, 1953 under the name "Cobalt Consolidated Mining Corporation Limited". Eagle was incorporated under the laws of the Province of Ontario on August 14, 1945.</w:t>
      </w:r>
    </w:p>
    <w:p>
      <w:pPr>
        <w:spacing w:after="0" w:line="197" w:lineRule="exact"/>
        <w:rPr>
          <w:sz w:val="20"/>
          <w:szCs w:val="20"/>
          <w:color w:val="auto"/>
        </w:rPr>
      </w:pPr>
    </w:p>
    <w:p>
      <w:pPr>
        <w:jc w:val="both"/>
        <w:ind w:firstLine="410"/>
        <w:spacing w:after="0" w:line="256" w:lineRule="auto"/>
        <w:rPr>
          <w:sz w:val="20"/>
          <w:szCs w:val="20"/>
          <w:color w:val="auto"/>
        </w:rPr>
      </w:pPr>
      <w:r>
        <w:rPr>
          <w:rFonts w:ascii="Arial" w:cs="Arial" w:eastAsia="Arial" w:hAnsi="Arial"/>
          <w:sz w:val="18"/>
          <w:szCs w:val="18"/>
          <w:color w:val="auto"/>
        </w:rPr>
        <w:t>On December 19, 1989, Agnico-Eagle acquired the remaining 57% interest in Dumagami Mines Limited not already owned by it, as a consequence of the amalgamation of Dumagami Mines Limited with a wholly-owned subsidiary of Agnico-Eagle, to continue as one company under the name Dumagami Mines Inc. ("Dumagami"). On December 29, 1992, Dumagami transferred all of its property and assets, including the LaRonde Mine, to Agnico-Eagle and was subsequently dissolved.</w:t>
      </w:r>
    </w:p>
    <w:p>
      <w:pPr>
        <w:spacing w:after="0" w:line="197" w:lineRule="exact"/>
        <w:rPr>
          <w:sz w:val="20"/>
          <w:szCs w:val="20"/>
          <w:color w:val="auto"/>
        </w:rPr>
      </w:pPr>
    </w:p>
    <w:p>
      <w:pPr>
        <w:jc w:val="both"/>
        <w:ind w:firstLine="473"/>
        <w:spacing w:after="0" w:line="306" w:lineRule="auto"/>
        <w:rPr>
          <w:sz w:val="20"/>
          <w:szCs w:val="20"/>
          <w:color w:val="auto"/>
        </w:rPr>
      </w:pPr>
      <w:r>
        <w:rPr>
          <w:rFonts w:ascii="Arial" w:cs="Arial" w:eastAsia="Arial" w:hAnsi="Arial"/>
          <w:sz w:val="16"/>
          <w:szCs w:val="16"/>
          <w:color w:val="auto"/>
        </w:rPr>
        <w:t>On December 8, 1993, the Company acquired the remaining 46.3% interest in Goldex Mines Limited not already owned by it, as a consequence of the amalgamation of Goldex Mines Limited with a wholly-owned subsidiary of the Company, to continue as one company under the name Goldex Mines Limited. On January 1, 1996, the Company amalgamated with two wholly-owned subsidiaries, including Goldex Mines Limited.</w:t>
      </w:r>
    </w:p>
    <w:p>
      <w:pPr>
        <w:spacing w:after="0" w:line="16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1" w:name="page62"/>
    <w:bookmarkEnd w:id="61"/>
    <w:p>
      <w:pPr>
        <w:jc w:val="both"/>
        <w:ind w:firstLine="511"/>
        <w:spacing w:after="0" w:line="259" w:lineRule="auto"/>
        <w:rPr>
          <w:sz w:val="20"/>
          <w:szCs w:val="20"/>
          <w:color w:val="auto"/>
        </w:rPr>
      </w:pPr>
      <w:r>
        <w:rPr>
          <w:rFonts w:ascii="Arial" w:cs="Arial" w:eastAsia="Arial" w:hAnsi="Arial"/>
          <w:sz w:val="18"/>
          <w:szCs w:val="18"/>
          <w:color w:val="auto"/>
        </w:rPr>
        <w:t>In October 2001, under a plan of arrangement, the Company amalgamated with an associated corporation, Mentor Exploration and Development Co., Limited ("Mentor"). In connection with the arrangement, the Company issued 369,348 of its common shares in consideration for the acquisition of all of the issued and outstanding shares of Mentor that it did not already own.</w:t>
      </w:r>
    </w:p>
    <w:p>
      <w:pPr>
        <w:spacing w:after="0" w:line="194" w:lineRule="exact"/>
        <w:rPr>
          <w:sz w:val="20"/>
          <w:szCs w:val="20"/>
          <w:color w:val="auto"/>
        </w:rPr>
      </w:pPr>
    </w:p>
    <w:p>
      <w:pPr>
        <w:jc w:val="both"/>
        <w:ind w:firstLine="536"/>
        <w:spacing w:after="0" w:line="332" w:lineRule="auto"/>
        <w:rPr>
          <w:sz w:val="20"/>
          <w:szCs w:val="20"/>
          <w:color w:val="auto"/>
        </w:rPr>
      </w:pPr>
      <w:r>
        <w:rPr>
          <w:rFonts w:ascii="Arial" w:cs="Arial" w:eastAsia="Arial" w:hAnsi="Arial"/>
          <w:sz w:val="16"/>
          <w:szCs w:val="16"/>
          <w:color w:val="auto"/>
        </w:rPr>
        <w:t>On August 1, 2007, the Company, Agnico-Eagle Acquisition Corporation, Cumberland and a wholly-owned subsidiary of Cumberland, Meadowbank Mining Corporation, amalgamated under the laws of the Province of Ontario and continued under the name of Agnico-Eagle Mines Limited.</w:t>
      </w:r>
    </w:p>
    <w:p>
      <w:pPr>
        <w:spacing w:after="0" w:line="139" w:lineRule="exact"/>
        <w:rPr>
          <w:sz w:val="20"/>
          <w:szCs w:val="20"/>
          <w:color w:val="auto"/>
        </w:rPr>
      </w:pPr>
    </w:p>
    <w:p>
      <w:pPr>
        <w:ind w:left="540"/>
        <w:spacing w:after="0"/>
        <w:rPr>
          <w:sz w:val="20"/>
          <w:szCs w:val="20"/>
          <w:color w:val="auto"/>
        </w:rPr>
      </w:pPr>
      <w:r>
        <w:rPr>
          <w:rFonts w:ascii="Arial" w:cs="Arial" w:eastAsia="Arial" w:hAnsi="Arial"/>
          <w:sz w:val="16"/>
          <w:szCs w:val="16"/>
          <w:color w:val="auto"/>
        </w:rPr>
        <w:t>The Company's executive and registered office is located at Suite 400, 145 King Street East, Toronto, Ontario, Canada M5C 2Y7; telephone number</w:t>
      </w:r>
    </w:p>
    <w:p>
      <w:pPr>
        <w:spacing w:after="0" w:line="38" w:lineRule="exact"/>
        <w:rPr>
          <w:sz w:val="20"/>
          <w:szCs w:val="20"/>
          <w:color w:val="auto"/>
        </w:rPr>
      </w:pPr>
    </w:p>
    <w:p>
      <w:pPr>
        <w:ind w:firstLine="8"/>
        <w:spacing w:after="0" w:line="323" w:lineRule="auto"/>
        <w:tabs>
          <w:tab w:leader="none" w:pos="425" w:val="left"/>
        </w:tabs>
        <w:numPr>
          <w:ilvl w:val="0"/>
          <w:numId w:val="9"/>
        </w:numPr>
        <w:rPr>
          <w:rFonts w:ascii="Arial" w:cs="Arial" w:eastAsia="Arial" w:hAnsi="Arial"/>
          <w:sz w:val="16"/>
          <w:szCs w:val="16"/>
          <w:color w:val="auto"/>
        </w:rPr>
      </w:pPr>
      <w:r>
        <w:rPr>
          <w:rFonts w:ascii="Arial" w:cs="Arial" w:eastAsia="Arial" w:hAnsi="Arial"/>
          <w:sz w:val="16"/>
          <w:szCs w:val="16"/>
          <w:color w:val="auto"/>
        </w:rPr>
        <w:t>947-1212; website: http://www.agnico-eagle.com. The information contained on the website is not part of this Form 20-F. The Company's principal place of business in the United States is located at 8725 Technology Way, Suite B, Reno, Nevada 89521.</w:t>
      </w:r>
    </w:p>
    <w:p>
      <w:pPr>
        <w:spacing w:after="0" w:line="35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Business Overview</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Company believes that it has a number of key operating strengths that provide distinct competitive advantages.</w:t>
      </w:r>
    </w:p>
    <w:p>
      <w:pPr>
        <w:spacing w:after="0" w:line="225" w:lineRule="exact"/>
        <w:rPr>
          <w:sz w:val="20"/>
          <w:szCs w:val="20"/>
          <w:color w:val="auto"/>
        </w:rPr>
      </w:pPr>
    </w:p>
    <w:p>
      <w:pPr>
        <w:jc w:val="both"/>
        <w:ind w:firstLine="423"/>
        <w:spacing w:after="0" w:line="289" w:lineRule="auto"/>
        <w:rPr>
          <w:sz w:val="20"/>
          <w:szCs w:val="20"/>
          <w:color w:val="auto"/>
        </w:rPr>
      </w:pPr>
      <w:r>
        <w:rPr>
          <w:rFonts w:ascii="Arial" w:cs="Arial" w:eastAsia="Arial" w:hAnsi="Arial"/>
          <w:sz w:val="16"/>
          <w:szCs w:val="16"/>
          <w:i w:val="1"/>
          <w:iCs w:val="1"/>
          <w:color w:val="auto"/>
        </w:rPr>
        <w:t xml:space="preserve">Growth Profile. </w:t>
      </w:r>
      <w:r>
        <w:rPr>
          <w:rFonts w:ascii="Arial" w:cs="Arial" w:eastAsia="Arial" w:hAnsi="Arial"/>
          <w:sz w:val="16"/>
          <w:szCs w:val="16"/>
          <w:color w:val="auto"/>
        </w:rPr>
        <w:t>The Company has a proven track record of increasing production capacity at existing operations through a combination of acquisitions,</w:t>
      </w:r>
      <w:r>
        <w:rPr>
          <w:rFonts w:ascii="Arial" w:cs="Arial" w:eastAsia="Arial" w:hAnsi="Arial"/>
          <w:sz w:val="16"/>
          <w:szCs w:val="16"/>
          <w:i w:val="1"/>
          <w:iCs w:val="1"/>
          <w:color w:val="auto"/>
        </w:rPr>
        <w:t xml:space="preserve"> </w:t>
      </w:r>
      <w:r>
        <w:rPr>
          <w:rFonts w:ascii="Arial" w:cs="Arial" w:eastAsia="Arial" w:hAnsi="Arial"/>
          <w:sz w:val="16"/>
          <w:szCs w:val="16"/>
          <w:color w:val="auto"/>
        </w:rPr>
        <w:t>operational improvements, expansions and development. The Company anticipates increasing its production to over 1.0 million ounces of gold in 2010 with continued growth to 2014. The Company's production growth in 2010 is expected to come principally from the Meadowbank Mine, which achieved commercial production in the first quarter of 2010, as well as from the continued operational improvements at the Kittila, Lapa and Pinos Altos Mines. Over the last three years, the Company has spent over $2 billion on the development of five new mines, and its significant extension of the LaRonde Mine at depth. With the large majority of mine development projects complete and with five mines expected to achieve steady state operational status, capital expenditures are expected to decline materially from 2010 onward, significantly increasing free cash flow. The remaining capital expenditure is primarily for incremental expansion projects and completion of the Meadowbank Mine.</w:t>
      </w:r>
    </w:p>
    <w:p>
      <w:pPr>
        <w:spacing w:after="0" w:line="172" w:lineRule="exact"/>
        <w:rPr>
          <w:sz w:val="20"/>
          <w:szCs w:val="20"/>
          <w:color w:val="auto"/>
        </w:rPr>
      </w:pPr>
    </w:p>
    <w:p>
      <w:pPr>
        <w:jc w:val="both"/>
        <w:ind w:firstLine="459"/>
        <w:spacing w:after="0" w:line="290" w:lineRule="auto"/>
        <w:rPr>
          <w:sz w:val="20"/>
          <w:szCs w:val="20"/>
          <w:color w:val="auto"/>
        </w:rPr>
      </w:pPr>
      <w:r>
        <w:rPr>
          <w:rFonts w:ascii="Arial" w:cs="Arial" w:eastAsia="Arial" w:hAnsi="Arial"/>
          <w:sz w:val="16"/>
          <w:szCs w:val="16"/>
          <w:i w:val="1"/>
          <w:iCs w:val="1"/>
          <w:color w:val="auto"/>
        </w:rPr>
        <w:t xml:space="preserve">Operations in Politically Stable, Mining-Friendly Regions. </w:t>
      </w:r>
      <w:r>
        <w:rPr>
          <w:rFonts w:ascii="Arial" w:cs="Arial" w:eastAsia="Arial" w:hAnsi="Arial"/>
          <w:sz w:val="16"/>
          <w:szCs w:val="16"/>
          <w:color w:val="auto"/>
        </w:rPr>
        <w:t>The Company and its predecessors have over three decades of continuous gold production</w:t>
      </w:r>
      <w:r>
        <w:rPr>
          <w:rFonts w:ascii="Arial" w:cs="Arial" w:eastAsia="Arial" w:hAnsi="Arial"/>
          <w:sz w:val="16"/>
          <w:szCs w:val="16"/>
          <w:i w:val="1"/>
          <w:iCs w:val="1"/>
          <w:color w:val="auto"/>
        </w:rPr>
        <w:t xml:space="preserve"> </w:t>
      </w:r>
      <w:r>
        <w:rPr>
          <w:rFonts w:ascii="Arial" w:cs="Arial" w:eastAsia="Arial" w:hAnsi="Arial"/>
          <w:sz w:val="16"/>
          <w:szCs w:val="16"/>
          <w:color w:val="auto"/>
        </w:rPr>
        <w:t>experience and expertise in metals mining. The Company's operations and exploration and development projects are located in regions that are supportive of the mining industry. Three of the Company's producing mines and one of its construction projects are located in northwestern Quebec, one of North America's principal gold-producing regions. The Province of Quebec had the highest "policy potential index" for any mining jurisdiction in the world in the Fraser Institute's 2008-2009 survey of mining companies. The policy potential index measures the effects on exploration of a variety of government policies related to the mining industry. The Company's Kittila Mine in northern Finland, Pinos Altos Mine in northern Mexico and Meadowbank Mine in Nunavut are located in regions which the Company believes are also supportive of the mining industry.</w:t>
      </w:r>
    </w:p>
    <w:p>
      <w:pPr>
        <w:spacing w:after="0" w:line="172" w:lineRule="exact"/>
        <w:rPr>
          <w:sz w:val="20"/>
          <w:szCs w:val="20"/>
          <w:color w:val="auto"/>
        </w:rPr>
      </w:pPr>
    </w:p>
    <w:p>
      <w:pPr>
        <w:jc w:val="both"/>
        <w:ind w:firstLine="470"/>
        <w:spacing w:after="0" w:line="294" w:lineRule="auto"/>
        <w:rPr>
          <w:sz w:val="20"/>
          <w:szCs w:val="20"/>
          <w:color w:val="auto"/>
        </w:rPr>
      </w:pPr>
      <w:r>
        <w:rPr>
          <w:rFonts w:ascii="Arial" w:cs="Arial" w:eastAsia="Arial" w:hAnsi="Arial"/>
          <w:sz w:val="16"/>
          <w:szCs w:val="16"/>
          <w:i w:val="1"/>
          <w:iCs w:val="1"/>
          <w:color w:val="auto"/>
        </w:rPr>
        <w:t xml:space="preserve">Low-Cost, Efficient Operations. </w:t>
      </w:r>
      <w:r>
        <w:rPr>
          <w:rFonts w:ascii="Arial" w:cs="Arial" w:eastAsia="Arial" w:hAnsi="Arial"/>
          <w:sz w:val="16"/>
          <w:szCs w:val="16"/>
          <w:color w:val="auto"/>
        </w:rPr>
        <w:t>The Company believes that its total cash costs per ounce place it among the lowest quartile of producers in the gold</w:t>
      </w:r>
      <w:r>
        <w:rPr>
          <w:rFonts w:ascii="Arial" w:cs="Arial" w:eastAsia="Arial" w:hAnsi="Arial"/>
          <w:sz w:val="16"/>
          <w:szCs w:val="16"/>
          <w:i w:val="1"/>
          <w:iCs w:val="1"/>
          <w:color w:val="auto"/>
        </w:rPr>
        <w:t xml:space="preserve"> </w:t>
      </w:r>
      <w:r>
        <w:rPr>
          <w:rFonts w:ascii="Arial" w:cs="Arial" w:eastAsia="Arial" w:hAnsi="Arial"/>
          <w:sz w:val="16"/>
          <w:szCs w:val="16"/>
          <w:color w:val="auto"/>
        </w:rPr>
        <w:t>mining industry, with total cash costs per ounce of gold produced at $347 for 2009 and $162 per ounce for 2008. These relatively low cash costs are attributable to the economies of scale afforded by the Company's mining operations, as well as byproduct revenues from the LaRonde and Pinos Altos Mines and sharing of resources among its three operating mines in northwestern Quebec. In addition, the Company believes its highly motivated work force contributes significantly to continued operational improvements and to the Company's low-cost producer status.</w:t>
      </w:r>
    </w:p>
    <w:p>
      <w:pPr>
        <w:spacing w:after="0" w:line="170" w:lineRule="exact"/>
        <w:rPr>
          <w:sz w:val="20"/>
          <w:szCs w:val="20"/>
          <w:color w:val="auto"/>
        </w:rPr>
      </w:pPr>
    </w:p>
    <w:p>
      <w:pPr>
        <w:jc w:val="both"/>
        <w:ind w:firstLine="448"/>
        <w:spacing w:after="0" w:line="294" w:lineRule="auto"/>
        <w:rPr>
          <w:sz w:val="20"/>
          <w:szCs w:val="20"/>
          <w:color w:val="auto"/>
        </w:rPr>
      </w:pPr>
      <w:r>
        <w:rPr>
          <w:rFonts w:ascii="Arial" w:cs="Arial" w:eastAsia="Arial" w:hAnsi="Arial"/>
          <w:sz w:val="16"/>
          <w:szCs w:val="16"/>
          <w:i w:val="1"/>
          <w:iCs w:val="1"/>
          <w:color w:val="auto"/>
        </w:rPr>
        <w:t xml:space="preserve">Strong Operating Base. </w:t>
      </w:r>
      <w:r>
        <w:rPr>
          <w:rFonts w:ascii="Arial" w:cs="Arial" w:eastAsia="Arial" w:hAnsi="Arial"/>
          <w:sz w:val="16"/>
          <w:szCs w:val="16"/>
          <w:color w:val="auto"/>
        </w:rPr>
        <w:t>Through its acquisition, exploration and development program, the Company has been transformed from a regionally focused,</w:t>
      </w:r>
      <w:r>
        <w:rPr>
          <w:rFonts w:ascii="Arial" w:cs="Arial" w:eastAsia="Arial" w:hAnsi="Arial"/>
          <w:sz w:val="16"/>
          <w:szCs w:val="16"/>
          <w:i w:val="1"/>
          <w:iCs w:val="1"/>
          <w:color w:val="auto"/>
        </w:rPr>
        <w:t xml:space="preserve"> </w:t>
      </w:r>
      <w:r>
        <w:rPr>
          <w:rFonts w:ascii="Arial" w:cs="Arial" w:eastAsia="Arial" w:hAnsi="Arial"/>
          <w:sz w:val="16"/>
          <w:szCs w:val="16"/>
          <w:color w:val="auto"/>
        </w:rPr>
        <w:t>single mine producer to a multi-mine international gold producer with six operating, 100% owned mines. The Company's existing operations at the LaRonde Mine provide a strong economic base for additional mineral reserve and production development at the property and in the Abitibi region of northwestern Quebec and for the development of its mines and projects in Nunavut, Finland and Mexico. The experience gained through building and operating the LaRonde Mine has assisted with the Company's development of its other mine projects. In addition, the extensive infrastructure associated with the</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2" w:name="page63"/>
    <w:bookmarkEnd w:id="62"/>
    <w:p>
      <w:pPr>
        <w:spacing w:after="0"/>
        <w:rPr>
          <w:sz w:val="20"/>
          <w:szCs w:val="20"/>
          <w:color w:val="auto"/>
        </w:rPr>
      </w:pPr>
      <w:r>
        <w:rPr>
          <w:rFonts w:ascii="Arial" w:cs="Arial" w:eastAsia="Arial" w:hAnsi="Arial"/>
          <w:sz w:val="16"/>
          <w:szCs w:val="16"/>
          <w:color w:val="auto"/>
        </w:rPr>
        <w:t>LaRonde Mine supports the nearby Goldex and Lapa Mines, and the construction of infrastructure to access the deposits at the LaRonde Mine extension.</w:t>
      </w:r>
    </w:p>
    <w:p>
      <w:pPr>
        <w:spacing w:after="0" w:line="248" w:lineRule="exact"/>
        <w:rPr>
          <w:sz w:val="20"/>
          <w:szCs w:val="20"/>
          <w:color w:val="auto"/>
        </w:rPr>
      </w:pPr>
    </w:p>
    <w:p>
      <w:pPr>
        <w:jc w:val="both"/>
        <w:ind w:firstLine="420"/>
        <w:spacing w:after="0" w:line="259" w:lineRule="auto"/>
        <w:rPr>
          <w:sz w:val="20"/>
          <w:szCs w:val="20"/>
          <w:color w:val="auto"/>
        </w:rPr>
      </w:pPr>
      <w:r>
        <w:rPr>
          <w:rFonts w:ascii="Arial" w:cs="Arial" w:eastAsia="Arial" w:hAnsi="Arial"/>
          <w:sz w:val="18"/>
          <w:szCs w:val="18"/>
          <w:i w:val="1"/>
          <w:iCs w:val="1"/>
          <w:color w:val="auto"/>
        </w:rPr>
        <w:t xml:space="preserve">Highly Experienced Management Team. </w:t>
      </w:r>
      <w:r>
        <w:rPr>
          <w:rFonts w:ascii="Arial" w:cs="Arial" w:eastAsia="Arial" w:hAnsi="Arial"/>
          <w:sz w:val="18"/>
          <w:szCs w:val="18"/>
          <w:color w:val="auto"/>
        </w:rPr>
        <w:t>The Company's senior management team has an average of over 20 years of experience in the mining industry.</w:t>
      </w:r>
      <w:r>
        <w:rPr>
          <w:rFonts w:ascii="Arial" w:cs="Arial" w:eastAsia="Arial" w:hAnsi="Arial"/>
          <w:sz w:val="18"/>
          <w:szCs w:val="18"/>
          <w:i w:val="1"/>
          <w:iCs w:val="1"/>
          <w:color w:val="auto"/>
        </w:rPr>
        <w:t xml:space="preserve"> </w:t>
      </w:r>
      <w:r>
        <w:rPr>
          <w:rFonts w:ascii="Arial" w:cs="Arial" w:eastAsia="Arial" w:hAnsi="Arial"/>
          <w:sz w:val="18"/>
          <w:szCs w:val="18"/>
          <w:color w:val="auto"/>
        </w:rPr>
        <w:t>Management's significant experience has underpinned the Company's historical growth and provides a solid base upon which to expand the Company's operations.</w:t>
      </w:r>
    </w:p>
    <w:p>
      <w:pPr>
        <w:spacing w:after="0" w:line="194" w:lineRule="exact"/>
        <w:rPr>
          <w:sz w:val="20"/>
          <w:szCs w:val="20"/>
          <w:color w:val="auto"/>
        </w:rPr>
      </w:pPr>
    </w:p>
    <w:p>
      <w:pPr>
        <w:ind w:left="360"/>
        <w:spacing w:after="0"/>
        <w:rPr>
          <w:sz w:val="20"/>
          <w:szCs w:val="20"/>
          <w:color w:val="auto"/>
        </w:rPr>
      </w:pPr>
      <w:r>
        <w:rPr>
          <w:rFonts w:ascii="Arial" w:cs="Arial" w:eastAsia="Arial" w:hAnsi="Arial"/>
          <w:sz w:val="18"/>
          <w:szCs w:val="18"/>
          <w:color w:val="auto"/>
        </w:rPr>
        <w:t>Based on these strengths, the Company's corporate strategy is to grow low-cost production and reserves in mining-friendly regions.</w:t>
      </w:r>
    </w:p>
    <w:p>
      <w:pPr>
        <w:spacing w:after="0" w:line="225" w:lineRule="exact"/>
        <w:rPr>
          <w:sz w:val="20"/>
          <w:szCs w:val="20"/>
          <w:color w:val="auto"/>
        </w:rPr>
      </w:pPr>
    </w:p>
    <w:p>
      <w:pPr>
        <w:jc w:val="both"/>
        <w:ind w:firstLine="387"/>
        <w:spacing w:after="0" w:line="268" w:lineRule="auto"/>
        <w:rPr>
          <w:sz w:val="20"/>
          <w:szCs w:val="20"/>
          <w:color w:val="auto"/>
        </w:rPr>
      </w:pPr>
      <w:r>
        <w:rPr>
          <w:rFonts w:ascii="Arial" w:cs="Arial" w:eastAsia="Arial" w:hAnsi="Arial"/>
          <w:sz w:val="18"/>
          <w:szCs w:val="18"/>
          <w:i w:val="1"/>
          <w:iCs w:val="1"/>
          <w:color w:val="auto"/>
        </w:rPr>
        <w:t xml:space="preserve">Optimize and Further Expand Operations. </w:t>
      </w:r>
      <w:r>
        <w:rPr>
          <w:rFonts w:ascii="Arial" w:cs="Arial" w:eastAsia="Arial" w:hAnsi="Arial"/>
          <w:sz w:val="18"/>
          <w:szCs w:val="18"/>
          <w:color w:val="auto"/>
        </w:rPr>
        <w:t>The Company continues to focus its resources and efforts on the exploration and development of its properties</w:t>
      </w:r>
      <w:r>
        <w:rPr>
          <w:rFonts w:ascii="Arial" w:cs="Arial" w:eastAsia="Arial" w:hAnsi="Arial"/>
          <w:sz w:val="18"/>
          <w:szCs w:val="18"/>
          <w:i w:val="1"/>
          <w:iCs w:val="1"/>
          <w:color w:val="auto"/>
        </w:rPr>
        <w:t xml:space="preserve"> </w:t>
      </w:r>
      <w:r>
        <w:rPr>
          <w:rFonts w:ascii="Arial" w:cs="Arial" w:eastAsia="Arial" w:hAnsi="Arial"/>
          <w:sz w:val="18"/>
          <w:szCs w:val="18"/>
          <w:color w:val="auto"/>
        </w:rPr>
        <w:t>in Quebec, Nunavut, Finland and Mexico with a view to increasing annual gold production and gold mineral reserves.</w:t>
      </w:r>
    </w:p>
    <w:p>
      <w:pPr>
        <w:spacing w:after="0" w:line="186" w:lineRule="exact"/>
        <w:rPr>
          <w:sz w:val="20"/>
          <w:szCs w:val="20"/>
          <w:color w:val="auto"/>
        </w:rPr>
      </w:pPr>
    </w:p>
    <w:p>
      <w:pPr>
        <w:jc w:val="both"/>
        <w:ind w:firstLine="470"/>
        <w:spacing w:after="0" w:line="259" w:lineRule="auto"/>
        <w:rPr>
          <w:sz w:val="20"/>
          <w:szCs w:val="20"/>
          <w:color w:val="auto"/>
        </w:rPr>
      </w:pPr>
      <w:r>
        <w:rPr>
          <w:rFonts w:ascii="Arial" w:cs="Arial" w:eastAsia="Arial" w:hAnsi="Arial"/>
          <w:sz w:val="18"/>
          <w:szCs w:val="18"/>
          <w:i w:val="1"/>
          <w:iCs w:val="1"/>
          <w:color w:val="auto"/>
        </w:rPr>
        <w:t xml:space="preserve">Leverage Mining Experience. </w:t>
      </w:r>
      <w:r>
        <w:rPr>
          <w:rFonts w:ascii="Arial" w:cs="Arial" w:eastAsia="Arial" w:hAnsi="Arial"/>
          <w:sz w:val="18"/>
          <w:szCs w:val="18"/>
          <w:color w:val="auto"/>
        </w:rPr>
        <w:t>The Company believes it can benefit not only from the existing infrastructure at its mines but also from the geological</w:t>
      </w:r>
      <w:r>
        <w:rPr>
          <w:rFonts w:ascii="Arial" w:cs="Arial" w:eastAsia="Arial" w:hAnsi="Arial"/>
          <w:sz w:val="18"/>
          <w:szCs w:val="18"/>
          <w:i w:val="1"/>
          <w:iCs w:val="1"/>
          <w:color w:val="auto"/>
        </w:rPr>
        <w:t xml:space="preserve"> </w:t>
      </w:r>
      <w:r>
        <w:rPr>
          <w:rFonts w:ascii="Arial" w:cs="Arial" w:eastAsia="Arial" w:hAnsi="Arial"/>
          <w:sz w:val="18"/>
          <w:szCs w:val="18"/>
          <w:color w:val="auto"/>
        </w:rPr>
        <w:t>knowledge that it has gained in mining and developing its properties. The Company's strategy is to capitalize on its mining expertise to exploit fully the potential of its properties.</w:t>
      </w:r>
    </w:p>
    <w:p>
      <w:pPr>
        <w:spacing w:after="0" w:line="194" w:lineRule="exact"/>
        <w:rPr>
          <w:sz w:val="20"/>
          <w:szCs w:val="20"/>
          <w:color w:val="auto"/>
        </w:rPr>
      </w:pPr>
    </w:p>
    <w:p>
      <w:pPr>
        <w:jc w:val="both"/>
        <w:ind w:firstLine="362"/>
        <w:spacing w:after="0" w:line="306" w:lineRule="auto"/>
        <w:rPr>
          <w:sz w:val="20"/>
          <w:szCs w:val="20"/>
          <w:color w:val="auto"/>
        </w:rPr>
      </w:pPr>
      <w:r>
        <w:rPr>
          <w:rFonts w:ascii="Arial" w:cs="Arial" w:eastAsia="Arial" w:hAnsi="Arial"/>
          <w:sz w:val="16"/>
          <w:szCs w:val="16"/>
          <w:i w:val="1"/>
          <w:iCs w:val="1"/>
          <w:color w:val="auto"/>
        </w:rPr>
        <w:t xml:space="preserve">Expand Gold Reserves. </w:t>
      </w:r>
      <w:r>
        <w:rPr>
          <w:rFonts w:ascii="Arial" w:cs="Arial" w:eastAsia="Arial" w:hAnsi="Arial"/>
          <w:sz w:val="16"/>
          <w:szCs w:val="16"/>
          <w:color w:val="auto"/>
        </w:rPr>
        <w:t>The Company is conducting drilling programs at all of its properties with a goal of further increasing its gold reserves. In 2009, on</w:t>
      </w:r>
      <w:r>
        <w:rPr>
          <w:rFonts w:ascii="Arial" w:cs="Arial" w:eastAsia="Arial" w:hAnsi="Arial"/>
          <w:sz w:val="16"/>
          <w:szCs w:val="16"/>
          <w:i w:val="1"/>
          <w:iCs w:val="1"/>
          <w:color w:val="auto"/>
        </w:rPr>
        <w:t xml:space="preserve"> </w:t>
      </w:r>
      <w:r>
        <w:rPr>
          <w:rFonts w:ascii="Arial" w:cs="Arial" w:eastAsia="Arial" w:hAnsi="Arial"/>
          <w:sz w:val="16"/>
          <w:szCs w:val="16"/>
          <w:color w:val="auto"/>
        </w:rPr>
        <w:t>a contained gold ounces basis, the Company increased its gold reserves to 18.4 million ounces (162.4 million tonnes grading 3.52 grams of gold per tonne), an increase of 2% over December 31, 2008 levels, including the replacement of 492,972 ounces of gold mined.</w:t>
      </w:r>
    </w:p>
    <w:p>
      <w:pPr>
        <w:spacing w:after="0" w:line="161" w:lineRule="exact"/>
        <w:rPr>
          <w:sz w:val="20"/>
          <w:szCs w:val="20"/>
          <w:color w:val="auto"/>
        </w:rPr>
      </w:pPr>
    </w:p>
    <w:p>
      <w:pPr>
        <w:jc w:val="both"/>
        <w:ind w:firstLine="359"/>
        <w:spacing w:after="0" w:line="294" w:lineRule="auto"/>
        <w:rPr>
          <w:sz w:val="20"/>
          <w:szCs w:val="20"/>
          <w:color w:val="auto"/>
        </w:rPr>
      </w:pPr>
      <w:r>
        <w:rPr>
          <w:rFonts w:ascii="Arial" w:cs="Arial" w:eastAsia="Arial" w:hAnsi="Arial"/>
          <w:sz w:val="16"/>
          <w:szCs w:val="16"/>
          <w:i w:val="1"/>
          <w:iCs w:val="1"/>
          <w:color w:val="auto"/>
        </w:rPr>
        <w:t xml:space="preserve">Growth Through Primary Exploration and Acquisitions. </w:t>
      </w:r>
      <w:r>
        <w:rPr>
          <w:rFonts w:ascii="Arial" w:cs="Arial" w:eastAsia="Arial" w:hAnsi="Arial"/>
          <w:sz w:val="16"/>
          <w:szCs w:val="16"/>
          <w:color w:val="auto"/>
        </w:rPr>
        <w:t>The Company's growth strategy has been to pursue the expansion of its development base through</w:t>
      </w:r>
      <w:r>
        <w:rPr>
          <w:rFonts w:ascii="Arial" w:cs="Arial" w:eastAsia="Arial" w:hAnsi="Arial"/>
          <w:sz w:val="16"/>
          <w:szCs w:val="16"/>
          <w:i w:val="1"/>
          <w:iCs w:val="1"/>
          <w:color w:val="auto"/>
        </w:rPr>
        <w:t xml:space="preserve"> </w:t>
      </w:r>
      <w:r>
        <w:rPr>
          <w:rFonts w:ascii="Arial" w:cs="Arial" w:eastAsia="Arial" w:hAnsi="Arial"/>
          <w:sz w:val="16"/>
          <w:szCs w:val="16"/>
          <w:color w:val="auto"/>
        </w:rPr>
        <w:t>the acquisition of additional properties in the Americas and Europe. Historically, the Company's producing properties have resulted from a combination of investments in advanced exploration companies and primary exploration activities. By investing in pre-development stage companies, the Company believes that it has been able to acquire control of projects at favourable prices and reasonable valuations. The Company's property acquisition strategy has evolved more recently to include joint ventures and partnerships and the acquisition of development and producing properties.</w:t>
      </w:r>
    </w:p>
    <w:p>
      <w:pPr>
        <w:spacing w:after="0" w:line="3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Mining Legislation and Regulation</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Canada</w:t>
      </w:r>
    </w:p>
    <w:p>
      <w:pPr>
        <w:spacing w:after="0" w:line="225" w:lineRule="exact"/>
        <w:rPr>
          <w:sz w:val="20"/>
          <w:szCs w:val="20"/>
          <w:color w:val="auto"/>
        </w:rPr>
      </w:pPr>
    </w:p>
    <w:p>
      <w:pPr>
        <w:jc w:val="both"/>
        <w:ind w:firstLine="388"/>
        <w:spacing w:after="0" w:line="306" w:lineRule="auto"/>
        <w:rPr>
          <w:sz w:val="20"/>
          <w:szCs w:val="20"/>
          <w:color w:val="auto"/>
        </w:rPr>
      </w:pPr>
      <w:r>
        <w:rPr>
          <w:rFonts w:ascii="Arial" w:cs="Arial" w:eastAsia="Arial" w:hAnsi="Arial"/>
          <w:sz w:val="16"/>
          <w:szCs w:val="16"/>
          <w:color w:val="auto"/>
        </w:rPr>
        <w:t>The mining industry in Canada operates under both federal and provincial or territorial legislation governing prospecting and the exploration, development, operation and decommissioning of mines and mineral processing facilities. Such legislation relates to the method of acquisition and ownership of mining rights, labour, occupational or worker health and safety standards, royalties, mining, exports, reclamation, closure and rehabilitation of mines and other matters.</w:t>
      </w:r>
    </w:p>
    <w:p>
      <w:pPr>
        <w:spacing w:after="0" w:line="161" w:lineRule="exact"/>
        <w:rPr>
          <w:sz w:val="20"/>
          <w:szCs w:val="20"/>
          <w:color w:val="auto"/>
        </w:rPr>
      </w:pPr>
    </w:p>
    <w:p>
      <w:pPr>
        <w:jc w:val="both"/>
        <w:ind w:firstLine="519"/>
        <w:spacing w:after="0" w:line="289" w:lineRule="auto"/>
        <w:rPr>
          <w:sz w:val="20"/>
          <w:szCs w:val="20"/>
          <w:color w:val="auto"/>
        </w:rPr>
      </w:pPr>
      <w:r>
        <w:rPr>
          <w:rFonts w:ascii="Arial" w:cs="Arial" w:eastAsia="Arial" w:hAnsi="Arial"/>
          <w:sz w:val="16"/>
          <w:szCs w:val="16"/>
          <w:color w:val="auto"/>
        </w:rPr>
        <w:t>The mining industry in Canada is also subject to extensive laws and regulations at both the federal and provincial or territorial levels concerning the protection of the environment. The primary federal regulatory authorities with jurisdiction over the Company's mining operations in respect of environmental matters are the Department of Fisheries and Oceans (Canada) and Environment Canada. The construction, development and operation of a mine, mill or refinery requires compliance with applicable environmental laws and regulations and/or review processes, including obtaining land use permits, water permits, air emissions certifications, industrial depollution attestations, hazardous substances management and similar authorizations from various governmental agencies. Environmental laws and regulations impose high standards on the mining industry to reduce or eliminate the effects of waste generated by mining and processing operations and subsequently deposited on the ground or affecting the air or water. Laws and regulations regarding the decommissioning, reclamation and rehabilitation of mines may require approval of reclamation plans, provision of financial guarantees and long-term management of closed mines.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Quebec</w:t>
      </w:r>
    </w:p>
    <w:p>
      <w:pPr>
        <w:spacing w:after="0" w:line="225" w:lineRule="exact"/>
        <w:rPr>
          <w:sz w:val="20"/>
          <w:szCs w:val="20"/>
          <w:color w:val="auto"/>
        </w:rPr>
      </w:pPr>
    </w:p>
    <w:p>
      <w:pPr>
        <w:jc w:val="both"/>
        <w:ind w:firstLine="358"/>
        <w:spacing w:after="0" w:line="268" w:lineRule="auto"/>
        <w:rPr>
          <w:sz w:val="20"/>
          <w:szCs w:val="20"/>
          <w:color w:val="auto"/>
        </w:rPr>
      </w:pPr>
      <w:r>
        <w:rPr>
          <w:rFonts w:ascii="Arial" w:cs="Arial" w:eastAsia="Arial" w:hAnsi="Arial"/>
          <w:sz w:val="18"/>
          <w:szCs w:val="18"/>
          <w:color w:val="auto"/>
        </w:rPr>
        <w:t xml:space="preserve">In Quebec, mining rights are governed by the </w:t>
      </w:r>
      <w:r>
        <w:rPr>
          <w:rFonts w:ascii="Arial" w:cs="Arial" w:eastAsia="Arial" w:hAnsi="Arial"/>
          <w:sz w:val="18"/>
          <w:szCs w:val="18"/>
          <w:i w:val="1"/>
          <w:iCs w:val="1"/>
          <w:color w:val="auto"/>
        </w:rPr>
        <w:t>Mining Act</w:t>
      </w:r>
      <w:r>
        <w:rPr>
          <w:rFonts w:ascii="Arial" w:cs="Arial" w:eastAsia="Arial" w:hAnsi="Arial"/>
          <w:sz w:val="18"/>
          <w:szCs w:val="18"/>
          <w:color w:val="auto"/>
        </w:rPr>
        <w:t xml:space="preserve"> (Quebec) and, subject to limited exceptions, are owned by the province. A mining claim entitles its holder to explore for minerals on the subject land. It remains</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63" w:name="page64"/>
    <w:bookmarkEnd w:id="63"/>
    <w:p>
      <w:pPr>
        <w:jc w:val="both"/>
        <w:spacing w:after="0" w:line="286" w:lineRule="auto"/>
        <w:rPr>
          <w:sz w:val="20"/>
          <w:szCs w:val="20"/>
          <w:color w:val="auto"/>
        </w:rPr>
      </w:pPr>
      <w:r>
        <w:rPr>
          <w:rFonts w:ascii="Arial" w:cs="Arial" w:eastAsia="Arial" w:hAnsi="Arial"/>
          <w:sz w:val="16"/>
          <w:szCs w:val="16"/>
          <w:color w:val="auto"/>
        </w:rPr>
        <w:t xml:space="preserve">in force for a term of two years from the date it is registered and may be renewed indefinitely subject to continued exploration works in relation thereto. In order to retain title to mining claims, in addition to paying a small bi-annual rental fee currently ranging from C$26 to C$120 per claim depending on its location of area (as set by Quebec government regulations), exploration work (or an equivalent value cash payment) has to be completed in advance (either on the claim or on adjacent mining claims, concessions or leases) and filed with the Ministry of Natural Resources and Wildlife (Quebec). The amount of exploration work required bi-annually currently ranges from C$48 to C$3,600 per claim depending on its location, area and period of validity (as set by Quebec government regulations). In 1966, the mining concession system set out for lands containing mineralized zones in the </w:t>
      </w:r>
      <w:r>
        <w:rPr>
          <w:rFonts w:ascii="Arial" w:cs="Arial" w:eastAsia="Arial" w:hAnsi="Arial"/>
          <w:sz w:val="16"/>
          <w:szCs w:val="16"/>
          <w:i w:val="1"/>
          <w:iCs w:val="1"/>
          <w:color w:val="auto"/>
        </w:rPr>
        <w:t>Mining Act</w:t>
      </w:r>
      <w:r>
        <w:rPr>
          <w:rFonts w:ascii="Arial" w:cs="Arial" w:eastAsia="Arial" w:hAnsi="Arial"/>
          <w:sz w:val="16"/>
          <w:szCs w:val="16"/>
          <w:color w:val="auto"/>
        </w:rPr>
        <w:t xml:space="preserve"> (Quebec) was replaced by a system of mining leases but the mining concessions sold prior to such replacement remain in force. A mining lease entitles its holder to mine and remove valuable mineral substances from the subject land, provided it pays the annual rent set by Quebec government regulations, which currently ranges from C$21 per hectare (on privately held land) to C$43 per hectare (on land owned by the province). Leases are granted initially for a term of 20 years and are renewable up to three times, each for a duration of ten years. After the third renewal, the Minister of Natural Resources and Wildlife (Quebec) may grant an extension thereof on the conditions, for the rental and for the term he or she determines.</w:t>
      </w:r>
    </w:p>
    <w:p>
      <w:pPr>
        <w:spacing w:after="0" w:line="181" w:lineRule="exact"/>
        <w:rPr>
          <w:sz w:val="20"/>
          <w:szCs w:val="20"/>
          <w:color w:val="auto"/>
        </w:rPr>
      </w:pPr>
    </w:p>
    <w:p>
      <w:pPr>
        <w:jc w:val="both"/>
        <w:ind w:firstLine="371"/>
        <w:spacing w:after="0" w:line="259" w:lineRule="auto"/>
        <w:rPr>
          <w:sz w:val="20"/>
          <w:szCs w:val="20"/>
          <w:color w:val="auto"/>
        </w:rPr>
      </w:pPr>
      <w:r>
        <w:rPr>
          <w:rFonts w:ascii="Arial" w:cs="Arial" w:eastAsia="Arial" w:hAnsi="Arial"/>
          <w:sz w:val="18"/>
          <w:szCs w:val="18"/>
          <w:color w:val="auto"/>
        </w:rPr>
        <w:t xml:space="preserve">Bill 79, an </w:t>
      </w:r>
      <w:r>
        <w:rPr>
          <w:rFonts w:ascii="Arial" w:cs="Arial" w:eastAsia="Arial" w:hAnsi="Arial"/>
          <w:sz w:val="18"/>
          <w:szCs w:val="18"/>
          <w:i w:val="1"/>
          <w:iCs w:val="1"/>
          <w:color w:val="auto"/>
        </w:rPr>
        <w:t>Act to amend the Mining Act</w:t>
      </w:r>
      <w:r>
        <w:rPr>
          <w:rFonts w:ascii="Arial" w:cs="Arial" w:eastAsia="Arial" w:hAnsi="Arial"/>
          <w:sz w:val="18"/>
          <w:szCs w:val="18"/>
          <w:color w:val="auto"/>
        </w:rPr>
        <w:t>, was introduced in the Quebec National Assembly in December 2009 and, if adopted, will amend a number of rules relating to the mining regime in Quebec, mainly to stimulate mining exploration. However, it is too early to determine the final form that the amendments will take and what effect, if any, these amendments may have on the Company's operations.</w:t>
      </w:r>
    </w:p>
    <w:p>
      <w:pPr>
        <w:spacing w:after="0" w:line="194" w:lineRule="exact"/>
        <w:rPr>
          <w:sz w:val="20"/>
          <w:szCs w:val="20"/>
          <w:color w:val="auto"/>
        </w:rPr>
      </w:pPr>
    </w:p>
    <w:p>
      <w:pPr>
        <w:jc w:val="both"/>
        <w:ind w:firstLine="386"/>
        <w:spacing w:after="0" w:line="332" w:lineRule="auto"/>
        <w:rPr>
          <w:sz w:val="20"/>
          <w:szCs w:val="20"/>
          <w:color w:val="auto"/>
        </w:rPr>
      </w:pPr>
      <w:r>
        <w:rPr>
          <w:rFonts w:ascii="Arial" w:cs="Arial" w:eastAsia="Arial" w:hAnsi="Arial"/>
          <w:sz w:val="16"/>
          <w:szCs w:val="16"/>
          <w:color w:val="auto"/>
        </w:rPr>
        <w:t>In Quebec, the primary provincial regulatory authorities with jurisdiction over the Company's mining operations in respect of environmental matters are the Ministry of Sustainable Development, Environment and Parks (Quebec) and the Ministry of Natural Resources and Wildlife (Quebec).</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Nunavut</w:t>
      </w:r>
    </w:p>
    <w:p>
      <w:pPr>
        <w:spacing w:after="0" w:line="225" w:lineRule="exact"/>
        <w:rPr>
          <w:sz w:val="20"/>
          <w:szCs w:val="20"/>
          <w:color w:val="auto"/>
        </w:rPr>
      </w:pPr>
    </w:p>
    <w:p>
      <w:pPr>
        <w:jc w:val="both"/>
        <w:ind w:firstLine="373"/>
        <w:spacing w:after="0" w:line="254" w:lineRule="auto"/>
        <w:rPr>
          <w:sz w:val="20"/>
          <w:szCs w:val="20"/>
          <w:color w:val="auto"/>
        </w:rPr>
      </w:pPr>
      <w:r>
        <w:rPr>
          <w:rFonts w:ascii="Arial" w:cs="Arial" w:eastAsia="Arial" w:hAnsi="Arial"/>
          <w:sz w:val="18"/>
          <w:szCs w:val="18"/>
          <w:color w:val="auto"/>
        </w:rPr>
        <w:t>As a result of the Nunavut Land Claims Agreement (the "Land Claims Agreement") of July 1993, ownership of large tracts of land was granted to the Inuit. These Inuit-owned lands include areas with high mineral potential. Further, as a result of other rights granted to the Inuit in the Land Claims Agreement, Inuit organizations play an important role in the management of natural resources and the environment in Nunavut. These duties are shared among the federal and territorial governments and Inuit organizations. Under the Land Claims Agreement, the Inuit own surface rights to certain lands representing approximately 16% of Nunavut. For a portion of the Inuit-owned lands representing approximately 2% of Nunavut, the Inuit also own mineral (subsurface) rights in addition to the surface rights.</w:t>
      </w:r>
    </w:p>
    <w:p>
      <w:pPr>
        <w:spacing w:after="0" w:line="198" w:lineRule="exact"/>
        <w:rPr>
          <w:sz w:val="20"/>
          <w:szCs w:val="20"/>
          <w:color w:val="auto"/>
        </w:rPr>
      </w:pPr>
    </w:p>
    <w:p>
      <w:pPr>
        <w:jc w:val="both"/>
        <w:ind w:firstLine="482"/>
        <w:spacing w:after="0" w:line="256" w:lineRule="auto"/>
        <w:rPr>
          <w:sz w:val="20"/>
          <w:szCs w:val="20"/>
          <w:color w:val="auto"/>
        </w:rPr>
      </w:pPr>
      <w:r>
        <w:rPr>
          <w:rFonts w:ascii="Arial" w:cs="Arial" w:eastAsia="Arial" w:hAnsi="Arial"/>
          <w:sz w:val="18"/>
          <w:szCs w:val="18"/>
          <w:color w:val="auto"/>
        </w:rPr>
        <w:t xml:space="preserve">In Nunavut, the Crown's mineral rights are administered by the Department of Indian and Northern Affairs (Canada) in accordance with the </w:t>
      </w:r>
      <w:r>
        <w:rPr>
          <w:rFonts w:ascii="Arial" w:cs="Arial" w:eastAsia="Arial" w:hAnsi="Arial"/>
          <w:sz w:val="18"/>
          <w:szCs w:val="18"/>
          <w:i w:val="1"/>
          <w:iCs w:val="1"/>
          <w:color w:val="auto"/>
        </w:rPr>
        <w:t>Northwest</w:t>
      </w:r>
      <w:r>
        <w:rPr>
          <w:rFonts w:ascii="Arial" w:cs="Arial" w:eastAsia="Arial" w:hAnsi="Arial"/>
          <w:sz w:val="18"/>
          <w:szCs w:val="18"/>
          <w:color w:val="auto"/>
        </w:rPr>
        <w:t xml:space="preserve"> </w:t>
      </w:r>
      <w:r>
        <w:rPr>
          <w:rFonts w:ascii="Arial" w:cs="Arial" w:eastAsia="Arial" w:hAnsi="Arial"/>
          <w:sz w:val="18"/>
          <w:szCs w:val="18"/>
          <w:i w:val="1"/>
          <w:iCs w:val="1"/>
          <w:color w:val="auto"/>
        </w:rPr>
        <w:t xml:space="preserve">Territories and Nunavut Mining Regulations </w:t>
      </w:r>
      <w:r>
        <w:rPr>
          <w:rFonts w:ascii="Arial" w:cs="Arial" w:eastAsia="Arial" w:hAnsi="Arial"/>
          <w:sz w:val="18"/>
          <w:szCs w:val="18"/>
          <w:color w:val="auto"/>
        </w:rPr>
        <w:t>(the "Territorial Mining Regulations") under the</w:t>
      </w:r>
      <w:r>
        <w:rPr>
          <w:rFonts w:ascii="Arial" w:cs="Arial" w:eastAsia="Arial" w:hAnsi="Arial"/>
          <w:sz w:val="18"/>
          <w:szCs w:val="18"/>
          <w:i w:val="1"/>
          <w:iCs w:val="1"/>
          <w:color w:val="auto"/>
        </w:rPr>
        <w:t xml:space="preserve"> Territorial Lands Act </w:t>
      </w:r>
      <w:r>
        <w:rPr>
          <w:rFonts w:ascii="Arial" w:cs="Arial" w:eastAsia="Arial" w:hAnsi="Arial"/>
          <w:sz w:val="18"/>
          <w:szCs w:val="18"/>
          <w:color w:val="auto"/>
        </w:rPr>
        <w:t>(Canada). The Inuit mineral rights in</w:t>
      </w:r>
      <w:r>
        <w:rPr>
          <w:rFonts w:ascii="Arial" w:cs="Arial" w:eastAsia="Arial" w:hAnsi="Arial"/>
          <w:sz w:val="18"/>
          <w:szCs w:val="18"/>
          <w:i w:val="1"/>
          <w:iCs w:val="1"/>
          <w:color w:val="auto"/>
        </w:rPr>
        <w:t xml:space="preserve"> </w:t>
      </w:r>
      <w:r>
        <w:rPr>
          <w:rFonts w:ascii="Arial" w:cs="Arial" w:eastAsia="Arial" w:hAnsi="Arial"/>
          <w:sz w:val="18"/>
          <w:szCs w:val="18"/>
          <w:color w:val="auto"/>
        </w:rPr>
        <w:t>subsurface Inuit-owned lands are owned and administered by Nunavut Tunngavik Incorporated ("Nunavut Tunngavik"), a corporation representing the Inuit people of Nunavut.</w:t>
      </w:r>
    </w:p>
    <w:p>
      <w:pPr>
        <w:spacing w:after="0" w:line="197" w:lineRule="exact"/>
        <w:rPr>
          <w:sz w:val="20"/>
          <w:szCs w:val="20"/>
          <w:color w:val="auto"/>
        </w:rPr>
      </w:pPr>
    </w:p>
    <w:p>
      <w:pPr>
        <w:jc w:val="both"/>
        <w:ind w:firstLine="463"/>
        <w:spacing w:after="0" w:line="256" w:lineRule="auto"/>
        <w:rPr>
          <w:sz w:val="20"/>
          <w:szCs w:val="20"/>
          <w:color w:val="auto"/>
        </w:rPr>
      </w:pPr>
      <w:r>
        <w:rPr>
          <w:rFonts w:ascii="Arial" w:cs="Arial" w:eastAsia="Arial" w:hAnsi="Arial"/>
          <w:sz w:val="18"/>
          <w:szCs w:val="18"/>
          <w:color w:val="auto"/>
        </w:rPr>
        <w:t>Future production from Nunavut Tunngavik-administered mineral claims is subject to production leases which include a 12% net profits interest royalty from which annual deductions are limited to 85% of gross revenue. Production from Crown mining leases is subject to a royalty of up to 14% of adjusted net profits, as defined in the Territorial Mining Regulations. Before the operation of a major development project as defined in the land claim can begin, developers must also negotiate an impact benefits agreement with the regional Inuit Association.</w:t>
      </w:r>
    </w:p>
    <w:p>
      <w:pPr>
        <w:spacing w:after="0" w:line="197" w:lineRule="exact"/>
        <w:rPr>
          <w:sz w:val="20"/>
          <w:szCs w:val="20"/>
          <w:color w:val="auto"/>
        </w:rPr>
      </w:pPr>
    </w:p>
    <w:p>
      <w:pPr>
        <w:jc w:val="both"/>
        <w:ind w:firstLine="348"/>
        <w:spacing w:after="0" w:line="291" w:lineRule="auto"/>
        <w:rPr>
          <w:sz w:val="20"/>
          <w:szCs w:val="20"/>
          <w:color w:val="auto"/>
        </w:rPr>
      </w:pPr>
      <w:r>
        <w:rPr>
          <w:rFonts w:ascii="Arial" w:cs="Arial" w:eastAsia="Arial" w:hAnsi="Arial"/>
          <w:sz w:val="16"/>
          <w:szCs w:val="16"/>
          <w:color w:val="auto"/>
        </w:rPr>
        <w:t>The Kivalliq Inuit Association (the "KIA") is the Inuit organization that holds surface rights to the Inuit-owned lands in the Kivalliq region and is responsible for administering surface rights on these lands on behalf of the Inuit of the region. In order to conduct exploration work on Inuit-owned lands, the Company is required to submit a project proposal or work plan. This proposal is subject to approval by the KIA for surface land tenure and to review by other boards established by the Land Claims Agreement to determine environmental effects and, if needed, to grant water rights. Federal and territorial government departments participate in the reviews conducted by these boards. For mine development, the Company requires a surface lease and water compensation agreement with the KIA and a licence for the use of water, including the deposit of waste.</w:t>
      </w:r>
    </w:p>
    <w:p>
      <w:pPr>
        <w:spacing w:after="0" w:line="17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64" w:name="page65"/>
    <w:bookmarkEnd w:id="64"/>
    <w:p>
      <w:pPr>
        <w:jc w:val="both"/>
        <w:ind w:firstLine="363"/>
        <w:spacing w:after="0" w:line="268" w:lineRule="auto"/>
        <w:rPr>
          <w:sz w:val="20"/>
          <w:szCs w:val="20"/>
          <w:color w:val="auto"/>
        </w:rPr>
      </w:pPr>
      <w:r>
        <w:rPr>
          <w:rFonts w:ascii="Arial" w:cs="Arial" w:eastAsia="Arial" w:hAnsi="Arial"/>
          <w:sz w:val="18"/>
          <w:szCs w:val="18"/>
          <w:color w:val="auto"/>
        </w:rPr>
        <w:t>During mine construction and operations, the Company is subject to additional Nunavut and federal government regulations related to environmental, safety, fire and other operational matters.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Finland</w:t>
      </w:r>
    </w:p>
    <w:p>
      <w:pPr>
        <w:spacing w:after="0" w:line="225" w:lineRule="exact"/>
        <w:rPr>
          <w:sz w:val="20"/>
          <w:szCs w:val="20"/>
          <w:color w:val="auto"/>
        </w:rPr>
      </w:pPr>
    </w:p>
    <w:p>
      <w:pPr>
        <w:jc w:val="both"/>
        <w:ind w:firstLine="434"/>
        <w:spacing w:after="0" w:line="256" w:lineRule="auto"/>
        <w:rPr>
          <w:sz w:val="20"/>
          <w:szCs w:val="20"/>
          <w:color w:val="auto"/>
        </w:rPr>
      </w:pPr>
      <w:r>
        <w:rPr>
          <w:rFonts w:ascii="Arial" w:cs="Arial" w:eastAsia="Arial" w:hAnsi="Arial"/>
          <w:sz w:val="18"/>
          <w:szCs w:val="18"/>
          <w:color w:val="auto"/>
        </w:rPr>
        <w:t>Mining legislation in Finland consists of the Mining Act and the Mining Decree, which are currently being amended. Initial proposed amendments to the Mining Act were released in October 2008 with the aim that a revised Mining Act would come into force in January 2011. The Council of State introduced the proposal for a revised Mining Act (the "Proposal") to Parliament on December 22, 2009, which may be amended during its reading in Parliament. Unless otherwise stated below, this summary reflects the Mining Act as currently in force.</w:t>
      </w:r>
    </w:p>
    <w:p>
      <w:pPr>
        <w:spacing w:after="0" w:line="197" w:lineRule="exact"/>
        <w:rPr>
          <w:sz w:val="20"/>
          <w:szCs w:val="20"/>
          <w:color w:val="auto"/>
        </w:rPr>
      </w:pPr>
    </w:p>
    <w:p>
      <w:pPr>
        <w:jc w:val="both"/>
        <w:ind w:firstLine="376"/>
        <w:spacing w:after="0" w:line="268" w:lineRule="auto"/>
        <w:rPr>
          <w:sz w:val="20"/>
          <w:szCs w:val="20"/>
          <w:color w:val="auto"/>
        </w:rPr>
      </w:pPr>
      <w:r>
        <w:rPr>
          <w:rFonts w:ascii="Arial" w:cs="Arial" w:eastAsia="Arial" w:hAnsi="Arial"/>
          <w:sz w:val="18"/>
          <w:szCs w:val="18"/>
          <w:color w:val="auto"/>
        </w:rPr>
        <w:t>In Finland, any corporation having its principal place of business or central administration within the European Economic Area is entitled to the same rights to carry out prospecting, to stake a claim and to exploit a deposit, as any Finnish citizen or corporation.</w:t>
      </w:r>
    </w:p>
    <w:p>
      <w:pPr>
        <w:spacing w:after="0" w:line="186" w:lineRule="exact"/>
        <w:rPr>
          <w:sz w:val="20"/>
          <w:szCs w:val="20"/>
          <w:color w:val="auto"/>
        </w:rPr>
      </w:pPr>
    </w:p>
    <w:p>
      <w:pPr>
        <w:jc w:val="both"/>
        <w:ind w:firstLine="498"/>
        <w:spacing w:after="0" w:line="290" w:lineRule="auto"/>
        <w:rPr>
          <w:sz w:val="20"/>
          <w:szCs w:val="20"/>
          <w:color w:val="auto"/>
        </w:rPr>
      </w:pPr>
      <w:r>
        <w:rPr>
          <w:rFonts w:ascii="Arial" w:cs="Arial" w:eastAsia="Arial" w:hAnsi="Arial"/>
          <w:sz w:val="16"/>
          <w:szCs w:val="16"/>
          <w:color w:val="auto"/>
        </w:rPr>
        <w:t>In general, prospecting does not require any special licence from the authorities, except under certain circumstances as set out in the Mining Act. The Proposal does not include any fundamental changes in this respect. If there are no impediments to granting a claim, the Ministry of Employment and the Economy (the "MEE") is obliged to grant the applicant a prospecting licence, which is required if the prospector wishes to examine the area in order to determine the size and the scope of the deposit. A prospecting licence is in force for one to five years, depending on the scope of the search for mineable minerals, and the MEE has no power of discretion as to the material merits of the mining operation. Under the Proposal, a prospecting license would be in force for a maximum period of four years and it could be extended for three-year periods up to a maximum of 15 years. The Proposal would also change the licensing authority and the application procedure in order to permit more comprehensive hearings of the parties.</w:t>
      </w:r>
    </w:p>
    <w:p>
      <w:pPr>
        <w:spacing w:after="0" w:line="172" w:lineRule="exact"/>
        <w:rPr>
          <w:sz w:val="20"/>
          <w:szCs w:val="20"/>
          <w:color w:val="auto"/>
        </w:rPr>
      </w:pPr>
    </w:p>
    <w:p>
      <w:pPr>
        <w:jc w:val="both"/>
        <w:ind w:firstLine="369"/>
        <w:spacing w:after="0" w:line="289" w:lineRule="auto"/>
        <w:rPr>
          <w:sz w:val="20"/>
          <w:szCs w:val="20"/>
          <w:color w:val="auto"/>
        </w:rPr>
      </w:pPr>
      <w:r>
        <w:rPr>
          <w:rFonts w:ascii="Arial" w:cs="Arial" w:eastAsia="Arial" w:hAnsi="Arial"/>
          <w:sz w:val="16"/>
          <w:szCs w:val="16"/>
          <w:color w:val="auto"/>
        </w:rPr>
        <w:t>In order to obtain the rights to the mineable minerals located on a claim, the claimant must apply to the MEE for the appropriation of a mining patent. When the mining patent procedure has become final regarding all matters other than compensation, the MEE must issue the mining operator a mining certificate which gives the holder the right to fully exploit all mineable minerals found in the mining patent. Under the Proposal, a mining patent is to be replaced by a mining license and, before the mining operator can start exploiting the land, a mining survey under the revised Mining Act by the surveying office would be required. Also, an expropriation license relating to the mining area may be required if the mining operator and the owner of the land cannot come to a voluntary agreement on the use of the land in question for mining purposes. If in the public interest, the expropriation license will be granted by the Council of State to the mining operator. When the mining survey has become final regarding all matters other than compensation and the surveying office's decision has become non-appealable, the mining operator can start exploiting the land.</w:t>
      </w:r>
    </w:p>
    <w:p>
      <w:pPr>
        <w:spacing w:after="0" w:line="172" w:lineRule="exact"/>
        <w:rPr>
          <w:sz w:val="20"/>
          <w:szCs w:val="20"/>
          <w:color w:val="auto"/>
        </w:rPr>
      </w:pPr>
    </w:p>
    <w:p>
      <w:pPr>
        <w:jc w:val="both"/>
        <w:ind w:firstLine="467"/>
        <w:spacing w:after="0" w:line="256" w:lineRule="auto"/>
        <w:rPr>
          <w:sz w:val="20"/>
          <w:szCs w:val="20"/>
          <w:color w:val="auto"/>
        </w:rPr>
      </w:pPr>
      <w:r>
        <w:rPr>
          <w:rFonts w:ascii="Arial" w:cs="Arial" w:eastAsia="Arial" w:hAnsi="Arial"/>
          <w:sz w:val="18"/>
          <w:szCs w:val="18"/>
          <w:color w:val="auto"/>
        </w:rPr>
        <w:t>Mining operations must be carried out in accordance with laws and regulations concerning conservation and environmental protection issues. Under the Environmental Protection Act, mining activities require an environmental permit which may be issued either for a definite or indefinite period of time. The Environmental Protection Act is based on the principles of prevention and minimization of damages and hazards, application of the best available technology, application of the best environmental practice and "polluter pays".</w:t>
      </w:r>
    </w:p>
    <w:p>
      <w:pPr>
        <w:spacing w:after="0" w:line="197" w:lineRule="exact"/>
        <w:rPr>
          <w:sz w:val="20"/>
          <w:szCs w:val="20"/>
          <w:color w:val="auto"/>
        </w:rPr>
      </w:pPr>
    </w:p>
    <w:p>
      <w:pPr>
        <w:jc w:val="both"/>
        <w:ind w:firstLine="355"/>
        <w:spacing w:after="0" w:line="259" w:lineRule="auto"/>
        <w:rPr>
          <w:sz w:val="20"/>
          <w:szCs w:val="20"/>
          <w:color w:val="auto"/>
        </w:rPr>
      </w:pPr>
      <w:r>
        <w:rPr>
          <w:rFonts w:ascii="Arial" w:cs="Arial" w:eastAsia="Arial" w:hAnsi="Arial"/>
          <w:sz w:val="18"/>
          <w:szCs w:val="18"/>
          <w:color w:val="auto"/>
        </w:rPr>
        <w:t>The Act on Compensation for Environmental Damage includes provisions on the compensation for damage to a person or a property resulting from pollution of water, air or soil, noise, vibration, radiation, light, heat or smell, or other similar nuisances, caused by an activity carried out at a fixed location. This act is based on the principle of strict liability.</w:t>
      </w:r>
    </w:p>
    <w:p>
      <w:pPr>
        <w:spacing w:after="0" w:line="194" w:lineRule="exact"/>
        <w:rPr>
          <w:sz w:val="20"/>
          <w:szCs w:val="20"/>
          <w:color w:val="auto"/>
        </w:rPr>
      </w:pPr>
    </w:p>
    <w:p>
      <w:pPr>
        <w:jc w:val="both"/>
        <w:ind w:right="20" w:firstLine="417"/>
        <w:spacing w:after="0" w:line="268" w:lineRule="auto"/>
        <w:rPr>
          <w:sz w:val="20"/>
          <w:szCs w:val="20"/>
          <w:color w:val="auto"/>
        </w:rPr>
      </w:pPr>
      <w:r>
        <w:rPr>
          <w:rFonts w:ascii="Arial" w:cs="Arial" w:eastAsia="Arial" w:hAnsi="Arial"/>
          <w:sz w:val="18"/>
          <w:szCs w:val="18"/>
          <w:color w:val="auto"/>
        </w:rPr>
        <w:t>In addition to an environmental permit, mining operators require several other permits and are subject to other obligations under environmental protection legislation.</w:t>
      </w:r>
    </w:p>
    <w:p>
      <w:pPr>
        <w:spacing w:after="0" w:line="186" w:lineRule="exact"/>
        <w:rPr>
          <w:sz w:val="20"/>
          <w:szCs w:val="20"/>
          <w:color w:val="auto"/>
        </w:rPr>
      </w:pPr>
    </w:p>
    <w:p>
      <w:pPr>
        <w:jc w:val="both"/>
        <w:ind w:firstLine="532"/>
        <w:spacing w:after="0" w:line="255" w:lineRule="auto"/>
        <w:rPr>
          <w:sz w:val="20"/>
          <w:szCs w:val="20"/>
          <w:color w:val="auto"/>
        </w:rPr>
      </w:pPr>
      <w:r>
        <w:rPr>
          <w:rFonts w:ascii="Arial" w:cs="Arial" w:eastAsia="Arial" w:hAnsi="Arial"/>
          <w:sz w:val="18"/>
          <w:szCs w:val="18"/>
          <w:color w:val="auto"/>
        </w:rPr>
        <w:t>According to the Act on Environmental Impact Assessment Procedure, certain projects require compliance with an environmental impact assessment procedure. These include major projects with a considerable impact on the environment, such as the excavation, enrichment and handling of metals and other minerals in cases where the excavated material is estimated to exceed 550,000 tonnes annually. A permit authority may not give its approval to an activity covered by the scope of the Act on the Environmental Impact Assessment Procedure without having taken an environmental impact assessment report into consideration.</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5" w:name="page66"/>
    <w:bookmarkEnd w:id="65"/>
    <w:p>
      <w:pPr>
        <w:spacing w:after="0"/>
        <w:rPr>
          <w:sz w:val="20"/>
          <w:szCs w:val="20"/>
          <w:color w:val="auto"/>
        </w:rPr>
      </w:pPr>
      <w:r>
        <w:rPr>
          <w:rFonts w:ascii="Arial" w:cs="Arial" w:eastAsia="Arial" w:hAnsi="Arial"/>
          <w:sz w:val="18"/>
          <w:szCs w:val="18"/>
          <w:b w:val="1"/>
          <w:bCs w:val="1"/>
          <w:i w:val="1"/>
          <w:iCs w:val="1"/>
          <w:color w:val="auto"/>
        </w:rPr>
        <w:t>Mexico</w:t>
      </w:r>
    </w:p>
    <w:p>
      <w:pPr>
        <w:spacing w:after="0" w:line="225" w:lineRule="exact"/>
        <w:rPr>
          <w:sz w:val="20"/>
          <w:szCs w:val="20"/>
          <w:color w:val="auto"/>
        </w:rPr>
      </w:pPr>
    </w:p>
    <w:p>
      <w:pPr>
        <w:jc w:val="both"/>
        <w:ind w:firstLine="412"/>
        <w:spacing w:after="0" w:line="255" w:lineRule="auto"/>
        <w:rPr>
          <w:sz w:val="20"/>
          <w:szCs w:val="20"/>
          <w:color w:val="auto"/>
        </w:rPr>
      </w:pPr>
      <w:r>
        <w:rPr>
          <w:rFonts w:ascii="Arial" w:cs="Arial" w:eastAsia="Arial" w:hAnsi="Arial"/>
          <w:sz w:val="18"/>
          <w:szCs w:val="18"/>
          <w:color w:val="auto"/>
        </w:rPr>
        <w:t>Mining in Mexico is subject to the Mining Law, a federal law. Under the Mexican Constitution, all minerals belong to the Mexican Nation. Private parties may explore and extract minerals pursuant to mining concessions granted by the executive branch of the Mexican government, as a general rule to whoever first claims them. While the Mining Law touches briefly upon labour, occupational and worker health and safety standards, these are primarily dealt with by the Federal Labour Law. The Mining Law also briefly addresses environmental matters, which are primarily regulated by the General Law of Ecological Balance and Protection of the Environment, also of federal jurisdiction.</w:t>
      </w:r>
    </w:p>
    <w:p>
      <w:pPr>
        <w:spacing w:after="0" w:line="197" w:lineRule="exact"/>
        <w:rPr>
          <w:sz w:val="20"/>
          <w:szCs w:val="20"/>
          <w:color w:val="auto"/>
        </w:rPr>
      </w:pPr>
    </w:p>
    <w:p>
      <w:pPr>
        <w:jc w:val="both"/>
        <w:ind w:firstLine="365"/>
        <w:spacing w:after="0" w:line="259" w:lineRule="auto"/>
        <w:rPr>
          <w:sz w:val="20"/>
          <w:szCs w:val="20"/>
          <w:color w:val="auto"/>
        </w:rPr>
      </w:pPr>
      <w:r>
        <w:rPr>
          <w:rFonts w:ascii="Arial" w:cs="Arial" w:eastAsia="Arial" w:hAnsi="Arial"/>
          <w:sz w:val="18"/>
          <w:szCs w:val="18"/>
          <w:color w:val="auto"/>
        </w:rPr>
        <w:t>The primary agencies with jurisdiction over mining activities are the Ministry of the Economy, the Ministry of Labor and Social Welfare and the Ministry of the Environment and Natural Resources. The National Water Commission has jurisdiction regarding the granting of water rights and the Ministry of Defense with respect to the use of explosives.</w:t>
      </w:r>
    </w:p>
    <w:p>
      <w:pPr>
        <w:spacing w:after="0" w:line="194" w:lineRule="exact"/>
        <w:rPr>
          <w:sz w:val="20"/>
          <w:szCs w:val="20"/>
          <w:color w:val="auto"/>
        </w:rPr>
      </w:pPr>
    </w:p>
    <w:p>
      <w:pPr>
        <w:jc w:val="both"/>
        <w:ind w:firstLine="478"/>
        <w:spacing w:after="0" w:line="259" w:lineRule="auto"/>
        <w:rPr>
          <w:sz w:val="20"/>
          <w:szCs w:val="20"/>
          <w:color w:val="auto"/>
        </w:rPr>
      </w:pPr>
      <w:r>
        <w:rPr>
          <w:rFonts w:ascii="Arial" w:cs="Arial" w:eastAsia="Arial" w:hAnsi="Arial"/>
          <w:sz w:val="18"/>
          <w:szCs w:val="18"/>
          <w:color w:val="auto"/>
        </w:rPr>
        <w:t>Concessions are granted for 50 years, renewable once. The main obligations to keep concessions current are the semi-annual payment of mining duties (taxes), based on the surface area of the concession, and the performance of work in the areas covered by the concessions, which is evidenced by minimum expenditures or by the extraction of ore.</w:t>
      </w:r>
    </w:p>
    <w:p>
      <w:pPr>
        <w:spacing w:after="0" w:line="200" w:lineRule="exact"/>
        <w:rPr>
          <w:sz w:val="20"/>
          <w:szCs w:val="20"/>
          <w:color w:val="auto"/>
        </w:rPr>
      </w:pPr>
    </w:p>
    <w:p>
      <w:pPr>
        <w:spacing w:after="0" w:line="20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Organizational Structure</w:t>
      </w:r>
    </w:p>
    <w:p>
      <w:pPr>
        <w:spacing w:after="0" w:line="231" w:lineRule="exact"/>
        <w:rPr>
          <w:sz w:val="20"/>
          <w:szCs w:val="20"/>
          <w:color w:val="auto"/>
        </w:rPr>
      </w:pPr>
    </w:p>
    <w:p>
      <w:pPr>
        <w:jc w:val="both"/>
        <w:ind w:firstLine="372"/>
        <w:spacing w:after="0" w:line="253" w:lineRule="auto"/>
        <w:rPr>
          <w:sz w:val="20"/>
          <w:szCs w:val="20"/>
          <w:color w:val="auto"/>
        </w:rPr>
      </w:pPr>
      <w:r>
        <w:rPr>
          <w:rFonts w:ascii="Arial" w:cs="Arial" w:eastAsia="Arial" w:hAnsi="Arial"/>
          <w:sz w:val="18"/>
          <w:szCs w:val="18"/>
          <w:color w:val="auto"/>
        </w:rPr>
        <w:t>The Company's significant subsidiaries (all of which are wholly-owned, unless otherwise indicated) are Riddarhyttan, 1715495 Ontario Inc., which owns all of the shares of Agnico-Eagle Sweden AB, a Swedish company through which the Company holds its interest in Riddarhyttan, and Agnico-Eagle AB, a Swedish company through which Riddarhyttan holds its interest in the Kittila Mine. In addition, the Company's interest in the Pinos Altos Mine in northern Mexico is held through its wholly-owned Mexican subsidiary, Agnico Eagle Mexico S.A. de C.V., which is owned, in part, by 1641315 Ontario Inc. The Company's only other significant subsidiaries are Agnico-Eagle (Delaware) LLC, Agnico-Eagle (Delaware) II LLC and Agnico-Eagle (Delaware) III LLC, each a limited liability company organized under the laws of Delaware. The LaRonde Mine (including the LaRonde Mine extension), the Goldex Mine, the Lapa Mine and the Meadowbank Mine are owned directly by the Company.</w:t>
      </w:r>
    </w:p>
    <w:p>
      <w:pPr>
        <w:spacing w:after="0" w:line="201" w:lineRule="exact"/>
        <w:rPr>
          <w:sz w:val="20"/>
          <w:szCs w:val="20"/>
          <w:color w:val="auto"/>
        </w:rPr>
      </w:pPr>
    </w:p>
    <w:p>
      <w:pPr>
        <w:jc w:val="both"/>
        <w:ind w:firstLine="495"/>
        <w:spacing w:after="0" w:line="306" w:lineRule="auto"/>
        <w:rPr>
          <w:sz w:val="20"/>
          <w:szCs w:val="20"/>
          <w:color w:val="auto"/>
        </w:rPr>
      </w:pPr>
      <w:r>
        <w:rPr>
          <w:rFonts w:ascii="Arial" w:cs="Arial" w:eastAsia="Arial" w:hAnsi="Arial"/>
          <w:sz w:val="16"/>
          <w:szCs w:val="16"/>
          <w:color w:val="auto"/>
        </w:rPr>
        <w:t>The Company's wholly-owned subsidiaries, Servicios Agnico Eagle Mexico, S.A. de C.V. and Servicios Pinos Altos, S.A. de C.V., provide services in connection with the Company's operations in Mexico. Riddarhyttan Resources Oy provides services in connection with the Company's operations at the Kittila Mine in Finland. The Company's operations in the United States are conducted through Agnico-Eagle (USA) Limited.</w:t>
      </w:r>
    </w:p>
    <w:p>
      <w:pPr>
        <w:spacing w:after="0" w:line="16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6" w:name="page67"/>
    <w:bookmarkEnd w:id="66"/>
    <w:p>
      <w:pPr>
        <w:ind w:firstLine="470"/>
        <w:spacing w:after="0" w:line="268" w:lineRule="auto"/>
        <w:rPr>
          <w:sz w:val="20"/>
          <w:szCs w:val="20"/>
          <w:color w:val="auto"/>
        </w:rPr>
      </w:pPr>
      <w:r>
        <w:rPr>
          <w:rFonts w:ascii="Arial" w:cs="Arial" w:eastAsia="Arial" w:hAnsi="Arial"/>
          <w:sz w:val="18"/>
          <w:szCs w:val="18"/>
          <w:color w:val="auto"/>
        </w:rPr>
        <w:t>The following chart sets out the corporate structure of the Company, each of its significant subsidiaries and certain other subsidiaries, together with the jurisdiction of organization of the Company and each such subsidiary as at March 22, 2010:</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Agnico-Eagle Organizational Chart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690880</wp:posOffset>
            </wp:positionH>
            <wp:positionV relativeFrom="paragraph">
              <wp:posOffset>148590</wp:posOffset>
            </wp:positionV>
            <wp:extent cx="5874385" cy="453644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5874385" cy="45364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7" w:name="page68"/>
    <w:bookmarkEnd w:id="67"/>
    <w:p>
      <w:pPr>
        <w:spacing w:after="0"/>
        <w:rPr>
          <w:sz w:val="20"/>
          <w:szCs w:val="20"/>
          <w:color w:val="auto"/>
        </w:rPr>
      </w:pPr>
      <w:r>
        <w:rPr>
          <w:rFonts w:ascii="Arial" w:cs="Arial" w:eastAsia="Arial" w:hAnsi="Arial"/>
          <w:sz w:val="18"/>
          <w:szCs w:val="18"/>
          <w:b w:val="1"/>
          <w:bCs w:val="1"/>
          <w:color w:val="auto"/>
        </w:rPr>
        <w:t>Property, Plant and Equipment</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Location Map of the Abitibi Region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1025525</wp:posOffset>
            </wp:positionH>
            <wp:positionV relativeFrom="paragraph">
              <wp:posOffset>148590</wp:posOffset>
            </wp:positionV>
            <wp:extent cx="5205730" cy="306133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5205730" cy="30613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u w:val="single" w:color="auto"/>
          <w:color w:val="auto"/>
        </w:rPr>
        <w:t>LaRonde Mine</w:t>
      </w:r>
    </w:p>
    <w:p>
      <w:pPr>
        <w:spacing w:after="0" w:line="225" w:lineRule="exact"/>
        <w:rPr>
          <w:sz w:val="20"/>
          <w:szCs w:val="20"/>
          <w:color w:val="auto"/>
        </w:rPr>
      </w:pPr>
    </w:p>
    <w:p>
      <w:pPr>
        <w:jc w:val="both"/>
        <w:ind w:firstLine="359"/>
        <w:spacing w:after="0" w:line="286" w:lineRule="auto"/>
        <w:rPr>
          <w:sz w:val="20"/>
          <w:szCs w:val="20"/>
          <w:color w:val="auto"/>
        </w:rPr>
      </w:pPr>
      <w:r>
        <w:rPr>
          <w:rFonts w:ascii="Arial" w:cs="Arial" w:eastAsia="Arial" w:hAnsi="Arial"/>
          <w:sz w:val="16"/>
          <w:szCs w:val="16"/>
          <w:color w:val="auto"/>
        </w:rPr>
        <w:t>The LaRonde Mine is situated approximately 60 kilometres west of the City of Val d'Or in northwestern Quebec (approximately 470 kilometres northwest of Montreal, Quebec) in the municipalities of Preissac and Cadillac. At December 31, 2009, the LaRonde Mine was estimated to contain proven mineral reserves of approximately 358,000 ounces of gold comprised of 4.8 million tonnes of ore grading 2.34 grams per tonne and probable mineral reserves of 4.5 million ounces of gold comprised of 29.6 million tonnes of ore grading 4.72 grams per tonne. The Company's LaRonde Mine consists of the LaRonde property and the adjacent El Coco and Terrex properties, each of which is 100% owned and operated by the Company. The LaRonde Mine can be accessed either from Val d'Or in the east or from Rouyn-Noranda in the west, which are located approximately 60 kilometres from the LaRonde Mine via Quebec provincial highway No. 117. The LaRonde Mine is situated approximately two kilometres north of highway No. 117 on Quebec regional highway No. 395. The Company has access to the Canadian National Railway at Cadillac, Quebec, approximately six kilometres from the LaRonde Mine. The elevation is 337 metres above sea level. The LaRonde property is relatively flat with a maximum relief of approximately 40 metres. The topography gently slopes down from north to south and is characterized by boreal-type forest on LaRonde and the nearby properties. All of the LaRonde Mine's power requirements are supplied by Hydro-Quebec through connections to its main power transmission grid. Water used in the LaRonde Mine's operations is sourced from Lake Preissac and is transported approximately four kilometres to the minesite through a surface pipeline.</w:t>
      </w:r>
    </w:p>
    <w:p>
      <w:pPr>
        <w:spacing w:after="0" w:line="178" w:lineRule="exact"/>
        <w:rPr>
          <w:sz w:val="20"/>
          <w:szCs w:val="20"/>
          <w:color w:val="auto"/>
        </w:rPr>
      </w:pPr>
    </w:p>
    <w:p>
      <w:pPr>
        <w:jc w:val="both"/>
        <w:ind w:firstLine="382"/>
        <w:spacing w:after="0" w:line="290" w:lineRule="auto"/>
        <w:rPr>
          <w:sz w:val="20"/>
          <w:szCs w:val="20"/>
          <w:color w:val="auto"/>
        </w:rPr>
      </w:pPr>
      <w:r>
        <w:rPr>
          <w:rFonts w:ascii="Arial" w:cs="Arial" w:eastAsia="Arial" w:hAnsi="Arial"/>
          <w:sz w:val="16"/>
          <w:szCs w:val="16"/>
          <w:color w:val="auto"/>
        </w:rPr>
        <w:t>The LaRonde Mine operates under mining leases obtained from the Ministry of Natural Resources and Wildlife (Quebec) and under certificates of approval granted by the Ministry of Sustainable Development, Environment and Parks (Quebec). The LaRonde property consists of 35 contiguous mining claims and one provincial mining lease and covers in total 1,044.9 hectares. The El Coco property consists of 22 contiguous mining claims and one provincial mining lease and covers in total 356.7 hectares. The Terrex property consists of 21 mining claims that cover in total 424.4 hectares. The mining leases on the LaRonde and El Coco properties expire in 2018 and 2021, respectively, and are automatically renewable for three further ten-year terms upon payment of a small fee. The Company also has two surface rights leases that cover in total approximately 122.3 hectares that relate to the water pipeline right of way from Lake Preissac and the eastern extension of the LaRonde tailings pond #7 on the El Coco property. The surface rights leases are renewable annually.</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68" w:name="page69"/>
    <w:bookmarkEnd w:id="68"/>
    <w:p>
      <w:pPr>
        <w:spacing w:after="0"/>
        <w:rPr>
          <w:sz w:val="20"/>
          <w:szCs w:val="20"/>
          <w:color w:val="auto"/>
        </w:rPr>
      </w:pPr>
      <w:r>
        <w:rPr>
          <w:rFonts w:ascii="Arial" w:cs="Arial" w:eastAsia="Arial" w:hAnsi="Arial"/>
          <w:sz w:val="18"/>
          <w:szCs w:val="18"/>
          <w:color w:val="auto"/>
        </w:rPr>
        <w:t>Location Map of the LaRonde Mine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1025525</wp:posOffset>
            </wp:positionH>
            <wp:positionV relativeFrom="paragraph">
              <wp:posOffset>148590</wp:posOffset>
            </wp:positionV>
            <wp:extent cx="5205730" cy="330200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5205730" cy="33020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jc w:val="both"/>
        <w:ind w:firstLine="486"/>
        <w:spacing w:after="0" w:line="289" w:lineRule="auto"/>
        <w:rPr>
          <w:sz w:val="20"/>
          <w:szCs w:val="20"/>
          <w:color w:val="auto"/>
        </w:rPr>
      </w:pPr>
      <w:r>
        <w:rPr>
          <w:rFonts w:ascii="Arial" w:cs="Arial" w:eastAsia="Arial" w:hAnsi="Arial"/>
          <w:sz w:val="16"/>
          <w:szCs w:val="16"/>
          <w:color w:val="auto"/>
        </w:rPr>
        <w:t>The LaRonde Mine includes underground operations at the LaRonde and El Coco properties that can both be accessed from the Penna Shaft, a mill, a treatment plant, a secondary crusher building and related facilities. The El Coco property is subject to a 50% net profits interest in favour of Barrick Gold Corporation ("Barrick") on future production from approximately 500 metres east of the LaRonde property boundary. The remaining 1,500 metres is subject to a 4% net smelter return royalty. This area of the property is now substantially mined out and the Company has not paid royalties since 2004 and does not expect to pay royalties in 2010. In 2003, exploration work started to extend outside of the LaRonde property on to the Terrex property where a down-plunge extension of Zone 20 North was discovered. The Terrex property is subject to a 5% net profits royalty to Delfer Gold Mines Inc. and a 2% net smelter return royalty to Barrick. The Company does not expect to pay royalties on this part of the property in 2010. In addition, the Company owns 100% of the Sphinx property immediately to the east of the El Coco property.</w:t>
      </w:r>
    </w:p>
    <w:p>
      <w:pPr>
        <w:spacing w:after="0" w:line="172" w:lineRule="exact"/>
        <w:rPr>
          <w:sz w:val="20"/>
          <w:szCs w:val="20"/>
          <w:color w:val="auto"/>
        </w:rPr>
      </w:pPr>
    </w:p>
    <w:p>
      <w:pPr>
        <w:jc w:val="both"/>
        <w:ind w:firstLine="385"/>
        <w:spacing w:after="0" w:line="268" w:lineRule="auto"/>
        <w:rPr>
          <w:sz w:val="20"/>
          <w:szCs w:val="20"/>
          <w:color w:val="auto"/>
        </w:rPr>
      </w:pPr>
      <w:r>
        <w:rPr>
          <w:rFonts w:ascii="Arial" w:cs="Arial" w:eastAsia="Arial" w:hAnsi="Arial"/>
          <w:sz w:val="18"/>
          <w:szCs w:val="18"/>
          <w:color w:val="auto"/>
        </w:rPr>
        <w:t>In 2010, payable gold production at the LaRonde Mine is expected to decline to approximately 180,000 ounces, and total cash costs per ounce are expected to be approximately $227.</w:t>
      </w:r>
    </w:p>
    <w:p>
      <w:pPr>
        <w:spacing w:after="0" w:line="186" w:lineRule="exact"/>
        <w:rPr>
          <w:sz w:val="20"/>
          <w:szCs w:val="20"/>
          <w:color w:val="auto"/>
        </w:rPr>
      </w:pPr>
    </w:p>
    <w:p>
      <w:pPr>
        <w:jc w:val="both"/>
        <w:ind w:firstLine="442"/>
        <w:spacing w:after="0" w:line="298" w:lineRule="auto"/>
        <w:rPr>
          <w:sz w:val="20"/>
          <w:szCs w:val="20"/>
          <w:color w:val="auto"/>
        </w:rPr>
      </w:pPr>
      <w:r>
        <w:rPr>
          <w:rFonts w:ascii="Arial" w:cs="Arial" w:eastAsia="Arial" w:hAnsi="Arial"/>
          <w:sz w:val="16"/>
          <w:szCs w:val="16"/>
          <w:color w:val="auto"/>
        </w:rPr>
        <w:t>The Abitibi region has a continental climate with average annual rainfall of 64 centimetres and average annual snowfall of 318 centimetres. The average monthly temperatures range from a minimum of -23 degrees Celsius in January to a maximum of 23 degrees Celsius in July. Under normal circumstances, mining operations are conducted year round without interruption due to weather conditions. The Company believes that the Abitibi region of northwestern Quebec has sufficient experienced mining personnel to staff its operations in the Abitibi region.</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9" w:name="page70"/>
    <w:bookmarkEnd w:id="69"/>
    <w:p>
      <w:pPr>
        <w:spacing w:after="0"/>
        <w:rPr>
          <w:sz w:val="20"/>
          <w:szCs w:val="20"/>
          <w:color w:val="auto"/>
        </w:rPr>
      </w:pPr>
      <w:r>
        <w:rPr>
          <w:rFonts w:ascii="Arial" w:cs="Arial" w:eastAsia="Arial" w:hAnsi="Arial"/>
          <w:sz w:val="18"/>
          <w:szCs w:val="18"/>
          <w:i w:val="1"/>
          <w:iCs w:val="1"/>
          <w:u w:val="single" w:color="auto"/>
          <w:color w:val="auto"/>
        </w:rPr>
        <w:t>Mining and Milling Facilities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Surface Plan of the LaRonde Mine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1154430</wp:posOffset>
            </wp:positionH>
            <wp:positionV relativeFrom="paragraph">
              <wp:posOffset>148590</wp:posOffset>
            </wp:positionV>
            <wp:extent cx="5205730" cy="411670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5205730" cy="41167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jc w:val="both"/>
        <w:ind w:firstLine="420"/>
        <w:spacing w:after="0" w:line="312" w:lineRule="auto"/>
        <w:rPr>
          <w:sz w:val="20"/>
          <w:szCs w:val="20"/>
          <w:color w:val="auto"/>
        </w:rPr>
      </w:pPr>
      <w:r>
        <w:rPr>
          <w:rFonts w:ascii="Arial" w:cs="Arial" w:eastAsia="Arial" w:hAnsi="Arial"/>
          <w:sz w:val="15"/>
          <w:szCs w:val="15"/>
          <w:color w:val="auto"/>
        </w:rPr>
        <w:t>The LaRonde Mine was originally developed utilizing a 1,207-metre shaft (Shaft #1) and an underground ramp access system. The ramp access system is available down to the Level 25 of Shaft #1 and then continues down to Level 248 at the Penna Shaft. The mineral reserve accessible from Shaft #1 was depleted in September 2000 and Shaft #1 is no longer in use. A second production shaft (Shaft #2), located approximately 1.2 kilometres to the east of Shaft #1, was completed in 1994 to a depth of 525 metres and was used to mine Zones 6 and 7. Both ore zones were depleted in March 2000 and the workings were allowed to flood up to Level 6 (approximately 280 metres). A third shaft (the Penna Shaft), located approximately 800 metres to the east of Shaft #1, was completed down to a depth of 2,250 metres in March 2000. The Penna Shaft is used to mine Zones 20 North, 20 South, 6 and 7. In 2009, as part of the LaRonde Mine extension, the Company completed construction of an 823-metre internal shaft from Level 206 to access the ore below Level 245, approximately 2,858 metres below surface.</w:t>
      </w:r>
    </w:p>
    <w:p>
      <w:pPr>
        <w:spacing w:after="0" w:line="15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Mining Methods</w:t>
      </w:r>
    </w:p>
    <w:p>
      <w:pPr>
        <w:spacing w:after="0" w:line="225" w:lineRule="exact"/>
        <w:rPr>
          <w:sz w:val="20"/>
          <w:szCs w:val="20"/>
          <w:color w:val="auto"/>
        </w:rPr>
      </w:pPr>
    </w:p>
    <w:p>
      <w:pPr>
        <w:jc w:val="both"/>
        <w:ind w:firstLine="448"/>
        <w:spacing w:after="0" w:line="289" w:lineRule="auto"/>
        <w:rPr>
          <w:sz w:val="20"/>
          <w:szCs w:val="20"/>
          <w:color w:val="auto"/>
        </w:rPr>
      </w:pPr>
      <w:r>
        <w:rPr>
          <w:rFonts w:ascii="Arial" w:cs="Arial" w:eastAsia="Arial" w:hAnsi="Arial"/>
          <w:sz w:val="16"/>
          <w:szCs w:val="16"/>
          <w:color w:val="auto"/>
        </w:rPr>
        <w:t>Four mining methods have historically been used at the LaRonde Mine: open pit for the three surface deposits; sublevel retreat; longitudinal retreat with cemented backfill; and transverse open stoping with both cemented and unconsolidated backfill. The primary source of ore at the LaRonde Mine continues to be from underground mining methods. During 2009, two mining methods were used: longitudinal retreat with cemented backfill and transverse open stoping with both cemented and unconsolidated backfill. In the underground mine, sublevels are driven at 30-metre and 40-metre vertical intervals, depending on the depth. Stopes are undercut in 15-metre panels. In the longitudinal method, panels are mined in 15-metre sections and backfilled with 100% cemented rock fill or paste fill from the paste backfill plant completed in 2000 and located on the surface at the processing facility. In the transverse open stoping method, 50% of the ore is mined in the first pass and filled with cemented rock fill or paste fill. On the second pass, the remainder of the ore is mined and filled with unconsolidated waste rock fill or cemented paste backfill.</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0" w:name="page71"/>
    <w:bookmarkEnd w:id="70"/>
    <w:p>
      <w:pPr>
        <w:spacing w:after="0"/>
        <w:rPr>
          <w:sz w:val="20"/>
          <w:szCs w:val="20"/>
          <w:color w:val="auto"/>
        </w:rPr>
      </w:pPr>
      <w:r>
        <w:rPr>
          <w:rFonts w:ascii="Arial" w:cs="Arial" w:eastAsia="Arial" w:hAnsi="Arial"/>
          <w:sz w:val="18"/>
          <w:szCs w:val="18"/>
          <w:i w:val="1"/>
          <w:iCs w:val="1"/>
          <w:color w:val="auto"/>
        </w:rPr>
        <w:t>Surface Facilities</w:t>
      </w:r>
    </w:p>
    <w:p>
      <w:pPr>
        <w:spacing w:after="0" w:line="225" w:lineRule="exact"/>
        <w:rPr>
          <w:sz w:val="20"/>
          <w:szCs w:val="20"/>
          <w:color w:val="auto"/>
        </w:rPr>
      </w:pPr>
    </w:p>
    <w:p>
      <w:pPr>
        <w:jc w:val="both"/>
        <w:ind w:firstLine="430"/>
        <w:spacing w:after="0" w:line="253" w:lineRule="auto"/>
        <w:rPr>
          <w:sz w:val="20"/>
          <w:szCs w:val="20"/>
          <w:color w:val="auto"/>
        </w:rPr>
      </w:pPr>
      <w:r>
        <w:rPr>
          <w:rFonts w:ascii="Arial" w:cs="Arial" w:eastAsia="Arial" w:hAnsi="Arial"/>
          <w:sz w:val="18"/>
          <w:szCs w:val="18"/>
          <w:color w:val="auto"/>
        </w:rPr>
        <w:t>Surface facilities at the LaRonde Mine include a processing plant with a daily capacity of 7,200 tonnes of ore, which has been expanded four times since 1987 from the original rate of 1,630 tonnes per day. Beginning in 1999, transition to the LaRonde Mine poly-metallic massive sulphide orebody required several modifications to the processing plant which consisted of a new coarse ore handling system, new SAG and ball mill, the addition of a zinc flotation circuit and capacity increases to the existing copper flotation and precious metals circuits. In 2008, the installation of a limited copper/lead separation flotation circuit, following the copper flotation circuit, was completed. Also in 2008, operation of a small cyanidation plant, for the treatment of sulphide concentrate from the Goldex Mine, began. LaRonde is also the site for the Lapa Mine ore processing plant (1,500 tonnes per day), which the Company commissioned in the second quarter of 2009.</w:t>
      </w:r>
    </w:p>
    <w:p>
      <w:pPr>
        <w:spacing w:after="0" w:line="201" w:lineRule="exact"/>
        <w:rPr>
          <w:sz w:val="20"/>
          <w:szCs w:val="20"/>
          <w:color w:val="auto"/>
        </w:rPr>
      </w:pPr>
    </w:p>
    <w:p>
      <w:pPr>
        <w:jc w:val="both"/>
        <w:ind w:firstLine="561"/>
        <w:spacing w:after="0" w:line="259" w:lineRule="auto"/>
        <w:rPr>
          <w:sz w:val="20"/>
          <w:szCs w:val="20"/>
          <w:color w:val="auto"/>
        </w:rPr>
      </w:pPr>
      <w:r>
        <w:rPr>
          <w:rFonts w:ascii="Arial" w:cs="Arial" w:eastAsia="Arial" w:hAnsi="Arial"/>
          <w:sz w:val="18"/>
          <w:szCs w:val="18"/>
          <w:color w:val="auto"/>
        </w:rPr>
        <w:t>Annual production at the LaRonde mill consists of approximately 63,000 tonnes of copper concentrate, up to 2,800 tonnes of lead concentrate and 147,000 tonnes of zinc concentrate. Gold recovery at the LaRonde Mine is distributed approximately 70% in the copper concentrate, 5% in the lead concentrate, 4.25% in the zinc concentrate and 13% in the refinery.</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Mineral Recoveries</w:t>
      </w:r>
    </w:p>
    <w:p>
      <w:pPr>
        <w:spacing w:after="0" w:line="225" w:lineRule="exact"/>
        <w:rPr>
          <w:sz w:val="20"/>
          <w:szCs w:val="20"/>
          <w:color w:val="auto"/>
        </w:rPr>
      </w:pPr>
    </w:p>
    <w:p>
      <w:pPr>
        <w:jc w:val="both"/>
        <w:ind w:firstLine="437"/>
        <w:spacing w:after="0" w:line="259" w:lineRule="auto"/>
        <w:rPr>
          <w:sz w:val="20"/>
          <w:szCs w:val="20"/>
          <w:color w:val="auto"/>
        </w:rPr>
      </w:pPr>
      <w:r>
        <w:rPr>
          <w:rFonts w:ascii="Arial" w:cs="Arial" w:eastAsia="Arial" w:hAnsi="Arial"/>
          <w:sz w:val="18"/>
          <w:szCs w:val="18"/>
          <w:color w:val="auto"/>
        </w:rPr>
        <w:t>During 2009, gold and silver recovery averaged 90.3% and 87.7%, respectively. Zinc recovery averaged 87.7% with a concentrate quality of 54.2% zinc. Copper recovery averaged 86.2% with a concentrate quality of 11.6% copper. Approximately 2.55 million tonnes of ore were processed averaging 6,975 tonnes of ore per day at 93.6% of available time.</w:t>
      </w:r>
    </w:p>
    <w:p>
      <w:pPr>
        <w:spacing w:after="0" w:line="194" w:lineRule="exact"/>
        <w:rPr>
          <w:sz w:val="20"/>
          <w:szCs w:val="20"/>
          <w:color w:val="auto"/>
        </w:rPr>
      </w:pPr>
    </w:p>
    <w:p>
      <w:pPr>
        <w:jc w:val="both"/>
        <w:ind w:firstLine="355"/>
        <w:spacing w:after="0" w:line="268" w:lineRule="auto"/>
        <w:rPr>
          <w:sz w:val="20"/>
          <w:szCs w:val="20"/>
          <w:color w:val="auto"/>
        </w:rPr>
      </w:pPr>
      <w:r>
        <w:rPr>
          <w:rFonts w:ascii="Arial" w:cs="Arial" w:eastAsia="Arial" w:hAnsi="Arial"/>
          <w:sz w:val="18"/>
          <w:szCs w:val="18"/>
          <w:color w:val="auto"/>
        </w:rPr>
        <w:t>The following table sets out the metal recoveries, concentrate grades and contained metals for the 2.55 million tonnes of ore extracted by the Company at the LaRonde Mine in 2009.</w:t>
      </w:r>
    </w:p>
    <w:p>
      <w:pPr>
        <w:spacing w:after="0" w:line="169"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4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60" w:type="dxa"/>
            <w:vAlign w:val="bottom"/>
            <w:gridSpan w:val="3"/>
          </w:tcPr>
          <w:p>
            <w:pPr>
              <w:jc w:val="center"/>
              <w:spacing w:after="0"/>
              <w:rPr>
                <w:sz w:val="20"/>
                <w:szCs w:val="20"/>
                <w:color w:val="auto"/>
              </w:rPr>
            </w:pPr>
            <w:r>
              <w:rPr>
                <w:rFonts w:ascii="Arial" w:cs="Arial" w:eastAsia="Arial" w:hAnsi="Arial"/>
                <w:sz w:val="14"/>
                <w:szCs w:val="14"/>
                <w:b w:val="1"/>
                <w:bCs w:val="1"/>
                <w:color w:val="auto"/>
                <w:w w:val="85"/>
              </w:rPr>
              <w:t>Copper</w:t>
            </w:r>
          </w:p>
        </w:tc>
        <w:tc>
          <w:tcPr>
            <w:tcW w:w="80" w:type="dxa"/>
            <w:vAlign w:val="bottom"/>
          </w:tcPr>
          <w:p>
            <w:pPr>
              <w:spacing w:after="0"/>
              <w:rPr>
                <w:sz w:val="14"/>
                <w:szCs w:val="14"/>
                <w:color w:val="auto"/>
              </w:rPr>
            </w:pPr>
          </w:p>
        </w:tc>
        <w:tc>
          <w:tcPr>
            <w:tcW w:w="13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0"/>
              </w:rPr>
              <w:t>Zinc</w:t>
            </w:r>
          </w:p>
        </w:tc>
        <w:tc>
          <w:tcPr>
            <w:tcW w:w="80" w:type="dxa"/>
            <w:vAlign w:val="bottom"/>
          </w:tcPr>
          <w:p>
            <w:pPr>
              <w:spacing w:after="0"/>
              <w:rPr>
                <w:sz w:val="14"/>
                <w:szCs w:val="14"/>
                <w:color w:val="auto"/>
              </w:rPr>
            </w:pPr>
          </w:p>
        </w:tc>
        <w:tc>
          <w:tcPr>
            <w:tcW w:w="1420" w:type="dxa"/>
            <w:vAlign w:val="bottom"/>
            <w:gridSpan w:val="3"/>
          </w:tcPr>
          <w:p>
            <w:pPr>
              <w:jc w:val="center"/>
              <w:spacing w:after="0"/>
              <w:rPr>
                <w:sz w:val="20"/>
                <w:szCs w:val="20"/>
                <w:color w:val="auto"/>
              </w:rPr>
            </w:pPr>
            <w:r>
              <w:rPr>
                <w:rFonts w:ascii="Arial" w:cs="Arial" w:eastAsia="Arial" w:hAnsi="Arial"/>
                <w:sz w:val="14"/>
                <w:szCs w:val="14"/>
                <w:b w:val="1"/>
                <w:bCs w:val="1"/>
                <w:color w:val="auto"/>
                <w:w w:val="85"/>
              </w:rPr>
              <w:t>Lead</w:t>
            </w:r>
          </w:p>
        </w:tc>
        <w:tc>
          <w:tcPr>
            <w:tcW w:w="8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160" w:type="dxa"/>
            <w:vAlign w:val="bottom"/>
          </w:tcPr>
          <w:p>
            <w:pPr>
              <w:spacing w:after="0"/>
              <w:rPr>
                <w:sz w:val="14"/>
                <w:szCs w:val="14"/>
                <w:color w:val="auto"/>
              </w:rPr>
            </w:pPr>
          </w:p>
        </w:tc>
      </w:tr>
      <w:tr>
        <w:trPr>
          <w:trHeight w:val="149"/>
        </w:trPr>
        <w:tc>
          <w:tcPr>
            <w:tcW w:w="20" w:type="dxa"/>
            <w:vAlign w:val="bottom"/>
          </w:tcPr>
          <w:p>
            <w:pPr>
              <w:spacing w:after="0"/>
              <w:rPr>
                <w:sz w:val="12"/>
                <w:szCs w:val="12"/>
                <w:color w:val="auto"/>
              </w:rPr>
            </w:pPr>
          </w:p>
        </w:tc>
        <w:tc>
          <w:tcPr>
            <w:tcW w:w="144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60" w:type="dxa"/>
            <w:vAlign w:val="bottom"/>
            <w:gridSpan w:val="3"/>
          </w:tcPr>
          <w:p>
            <w:pPr>
              <w:jc w:val="center"/>
              <w:spacing w:after="0" w:line="149" w:lineRule="exact"/>
              <w:rPr>
                <w:sz w:val="20"/>
                <w:szCs w:val="20"/>
                <w:color w:val="auto"/>
              </w:rPr>
            </w:pPr>
            <w:r>
              <w:rPr>
                <w:rFonts w:ascii="Arial" w:cs="Arial" w:eastAsia="Arial" w:hAnsi="Arial"/>
                <w:sz w:val="14"/>
                <w:szCs w:val="14"/>
                <w:b w:val="1"/>
                <w:bCs w:val="1"/>
                <w:color w:val="auto"/>
                <w:w w:val="85"/>
              </w:rPr>
              <w:t>Concentrate</w:t>
            </w:r>
          </w:p>
        </w:tc>
        <w:tc>
          <w:tcPr>
            <w:tcW w:w="80" w:type="dxa"/>
            <w:vAlign w:val="bottom"/>
          </w:tcPr>
          <w:p>
            <w:pPr>
              <w:spacing w:after="0"/>
              <w:rPr>
                <w:sz w:val="12"/>
                <w:szCs w:val="12"/>
                <w:color w:val="auto"/>
              </w:rPr>
            </w:pPr>
          </w:p>
        </w:tc>
        <w:tc>
          <w:tcPr>
            <w:tcW w:w="1360" w:type="dxa"/>
            <w:vAlign w:val="bottom"/>
            <w:gridSpan w:val="3"/>
          </w:tcPr>
          <w:p>
            <w:pPr>
              <w:jc w:val="center"/>
              <w:spacing w:after="0" w:line="149" w:lineRule="exact"/>
              <w:rPr>
                <w:sz w:val="20"/>
                <w:szCs w:val="20"/>
                <w:color w:val="auto"/>
              </w:rPr>
            </w:pPr>
            <w:r>
              <w:rPr>
                <w:rFonts w:ascii="Arial" w:cs="Arial" w:eastAsia="Arial" w:hAnsi="Arial"/>
                <w:sz w:val="14"/>
                <w:szCs w:val="14"/>
                <w:b w:val="1"/>
                <w:bCs w:val="1"/>
                <w:color w:val="auto"/>
                <w:w w:val="88"/>
              </w:rPr>
              <w:t>Concentrate</w:t>
            </w:r>
          </w:p>
        </w:tc>
        <w:tc>
          <w:tcPr>
            <w:tcW w:w="80" w:type="dxa"/>
            <w:vAlign w:val="bottom"/>
          </w:tcPr>
          <w:p>
            <w:pPr>
              <w:spacing w:after="0"/>
              <w:rPr>
                <w:sz w:val="12"/>
                <w:szCs w:val="12"/>
                <w:color w:val="auto"/>
              </w:rPr>
            </w:pPr>
          </w:p>
        </w:tc>
        <w:tc>
          <w:tcPr>
            <w:tcW w:w="1420" w:type="dxa"/>
            <w:vAlign w:val="bottom"/>
            <w:gridSpan w:val="3"/>
          </w:tcPr>
          <w:p>
            <w:pPr>
              <w:jc w:val="center"/>
              <w:spacing w:after="0" w:line="149" w:lineRule="exact"/>
              <w:rPr>
                <w:sz w:val="20"/>
                <w:szCs w:val="20"/>
                <w:color w:val="auto"/>
              </w:rPr>
            </w:pPr>
            <w:r>
              <w:rPr>
                <w:rFonts w:ascii="Arial" w:cs="Arial" w:eastAsia="Arial" w:hAnsi="Arial"/>
                <w:sz w:val="14"/>
                <w:szCs w:val="14"/>
                <w:b w:val="1"/>
                <w:bCs w:val="1"/>
                <w:color w:val="auto"/>
                <w:w w:val="88"/>
              </w:rPr>
              <w:t>Concentrate</w:t>
            </w:r>
          </w:p>
        </w:tc>
        <w:tc>
          <w:tcPr>
            <w:tcW w:w="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60" w:type="dxa"/>
            <w:vAlign w:val="bottom"/>
          </w:tcPr>
          <w:p>
            <w:pPr>
              <w:spacing w:after="0"/>
              <w:rPr>
                <w:sz w:val="12"/>
                <w:szCs w:val="12"/>
                <w:color w:val="auto"/>
              </w:rPr>
            </w:pPr>
          </w:p>
        </w:tc>
      </w:tr>
      <w:tr>
        <w:trPr>
          <w:trHeight w:val="149"/>
        </w:trPr>
        <w:tc>
          <w:tcPr>
            <w:tcW w:w="20" w:type="dxa"/>
            <w:vAlign w:val="bottom"/>
          </w:tcPr>
          <w:p>
            <w:pPr>
              <w:spacing w:after="0"/>
              <w:rPr>
                <w:sz w:val="12"/>
                <w:szCs w:val="12"/>
                <w:color w:val="auto"/>
              </w:rPr>
            </w:pPr>
          </w:p>
        </w:tc>
        <w:tc>
          <w:tcPr>
            <w:tcW w:w="144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60" w:type="dxa"/>
            <w:vAlign w:val="bottom"/>
            <w:gridSpan w:val="3"/>
          </w:tcPr>
          <w:p>
            <w:pPr>
              <w:jc w:val="center"/>
              <w:spacing w:after="0" w:line="149" w:lineRule="exact"/>
              <w:rPr>
                <w:sz w:val="20"/>
                <w:szCs w:val="20"/>
                <w:color w:val="auto"/>
              </w:rPr>
            </w:pPr>
            <w:r>
              <w:rPr>
                <w:rFonts w:ascii="Arial" w:cs="Arial" w:eastAsia="Arial" w:hAnsi="Arial"/>
                <w:sz w:val="14"/>
                <w:szCs w:val="14"/>
                <w:b w:val="1"/>
                <w:bCs w:val="1"/>
                <w:color w:val="auto"/>
                <w:w w:val="84"/>
              </w:rPr>
              <w:t>(63,353 tonnes</w:t>
            </w:r>
          </w:p>
        </w:tc>
        <w:tc>
          <w:tcPr>
            <w:tcW w:w="80" w:type="dxa"/>
            <w:vAlign w:val="bottom"/>
          </w:tcPr>
          <w:p>
            <w:pPr>
              <w:spacing w:after="0"/>
              <w:rPr>
                <w:sz w:val="12"/>
                <w:szCs w:val="12"/>
                <w:color w:val="auto"/>
              </w:rPr>
            </w:pPr>
          </w:p>
        </w:tc>
        <w:tc>
          <w:tcPr>
            <w:tcW w:w="1360" w:type="dxa"/>
            <w:vAlign w:val="bottom"/>
            <w:gridSpan w:val="3"/>
          </w:tcPr>
          <w:p>
            <w:pPr>
              <w:jc w:val="center"/>
              <w:spacing w:after="0" w:line="149" w:lineRule="exact"/>
              <w:rPr>
                <w:sz w:val="20"/>
                <w:szCs w:val="20"/>
                <w:color w:val="auto"/>
              </w:rPr>
            </w:pPr>
            <w:r>
              <w:rPr>
                <w:rFonts w:ascii="Arial" w:cs="Arial" w:eastAsia="Arial" w:hAnsi="Arial"/>
                <w:sz w:val="14"/>
                <w:szCs w:val="14"/>
                <w:b w:val="1"/>
                <w:bCs w:val="1"/>
                <w:color w:val="auto"/>
                <w:w w:val="83"/>
              </w:rPr>
              <w:t>(121,160 tonnes</w:t>
            </w:r>
          </w:p>
        </w:tc>
        <w:tc>
          <w:tcPr>
            <w:tcW w:w="80" w:type="dxa"/>
            <w:vAlign w:val="bottom"/>
          </w:tcPr>
          <w:p>
            <w:pPr>
              <w:spacing w:after="0"/>
              <w:rPr>
                <w:sz w:val="12"/>
                <w:szCs w:val="12"/>
                <w:color w:val="auto"/>
              </w:rPr>
            </w:pPr>
          </w:p>
        </w:tc>
        <w:tc>
          <w:tcPr>
            <w:tcW w:w="1420" w:type="dxa"/>
            <w:vAlign w:val="bottom"/>
            <w:gridSpan w:val="3"/>
          </w:tcPr>
          <w:p>
            <w:pPr>
              <w:jc w:val="center"/>
              <w:spacing w:after="0" w:line="149" w:lineRule="exact"/>
              <w:rPr>
                <w:sz w:val="20"/>
                <w:szCs w:val="20"/>
                <w:color w:val="auto"/>
              </w:rPr>
            </w:pPr>
            <w:r>
              <w:rPr>
                <w:rFonts w:ascii="Arial" w:cs="Arial" w:eastAsia="Arial" w:hAnsi="Arial"/>
                <w:sz w:val="14"/>
                <w:szCs w:val="14"/>
                <w:b w:val="1"/>
                <w:bCs w:val="1"/>
                <w:color w:val="auto"/>
                <w:w w:val="84"/>
              </w:rPr>
              <w:t>(427 tonnes</w:t>
            </w:r>
          </w:p>
        </w:tc>
        <w:tc>
          <w:tcPr>
            <w:tcW w:w="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6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2"/>
              </w:rPr>
              <w:t>Overall</w:t>
            </w:r>
          </w:p>
        </w:tc>
        <w:tc>
          <w:tcPr>
            <w:tcW w:w="8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60" w:type="dxa"/>
            <w:vAlign w:val="bottom"/>
          </w:tcPr>
          <w:p>
            <w:pPr>
              <w:spacing w:after="0"/>
              <w:rPr>
                <w:sz w:val="12"/>
                <w:szCs w:val="12"/>
                <w:color w:val="auto"/>
              </w:rPr>
            </w:pPr>
          </w:p>
        </w:tc>
      </w:tr>
      <w:tr>
        <w:trPr>
          <w:trHeight w:val="161"/>
        </w:trPr>
        <w:tc>
          <w:tcPr>
            <w:tcW w:w="20" w:type="dxa"/>
            <w:vAlign w:val="bottom"/>
          </w:tcPr>
          <w:p>
            <w:pPr>
              <w:spacing w:after="0"/>
              <w:rPr>
                <w:sz w:val="14"/>
                <w:szCs w:val="14"/>
                <w:color w:val="auto"/>
              </w:rPr>
            </w:pPr>
          </w:p>
        </w:tc>
        <w:tc>
          <w:tcPr>
            <w:tcW w:w="1440" w:type="dxa"/>
            <w:vAlign w:val="bottom"/>
          </w:tcPr>
          <w:p>
            <w:pPr>
              <w:spacing w:after="0"/>
              <w:rPr>
                <w:sz w:val="14"/>
                <w:szCs w:val="14"/>
                <w:color w:val="auto"/>
              </w:rPr>
            </w:pPr>
          </w:p>
        </w:tc>
        <w:tc>
          <w:tcPr>
            <w:tcW w:w="720" w:type="dxa"/>
            <w:vAlign w:val="bottom"/>
            <w:gridSpan w:val="2"/>
          </w:tcPr>
          <w:p>
            <w:pPr>
              <w:ind w:left="160"/>
              <w:spacing w:after="0"/>
              <w:rPr>
                <w:sz w:val="20"/>
                <w:szCs w:val="20"/>
                <w:color w:val="auto"/>
              </w:rPr>
            </w:pPr>
            <w:r>
              <w:rPr>
                <w:rFonts w:ascii="Arial" w:cs="Arial" w:eastAsia="Arial" w:hAnsi="Arial"/>
                <w:sz w:val="14"/>
                <w:szCs w:val="14"/>
                <w:b w:val="1"/>
                <w:bCs w:val="1"/>
                <w:color w:val="auto"/>
              </w:rPr>
              <w:t>Head</w:t>
            </w:r>
          </w:p>
        </w:tc>
        <w:tc>
          <w:tcPr>
            <w:tcW w:w="1360" w:type="dxa"/>
            <w:vAlign w:val="bottom"/>
            <w:tcBorders>
              <w:bottom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84"/>
              </w:rPr>
              <w:t>produced)</w:t>
            </w:r>
          </w:p>
        </w:tc>
        <w:tc>
          <w:tcPr>
            <w:tcW w:w="80" w:type="dxa"/>
            <w:vAlign w:val="bottom"/>
          </w:tcPr>
          <w:p>
            <w:pPr>
              <w:spacing w:after="0"/>
              <w:rPr>
                <w:sz w:val="14"/>
                <w:szCs w:val="14"/>
                <w:color w:val="auto"/>
              </w:rPr>
            </w:pPr>
          </w:p>
        </w:tc>
        <w:tc>
          <w:tcPr>
            <w:tcW w:w="1360" w:type="dxa"/>
            <w:vAlign w:val="bottom"/>
            <w:tcBorders>
              <w:bottom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87"/>
              </w:rPr>
              <w:t>produced)</w:t>
            </w:r>
          </w:p>
        </w:tc>
        <w:tc>
          <w:tcPr>
            <w:tcW w:w="80" w:type="dxa"/>
            <w:vAlign w:val="bottom"/>
          </w:tcPr>
          <w:p>
            <w:pPr>
              <w:spacing w:after="0"/>
              <w:rPr>
                <w:sz w:val="14"/>
                <w:szCs w:val="14"/>
                <w:color w:val="auto"/>
              </w:rPr>
            </w:pPr>
          </w:p>
        </w:tc>
        <w:tc>
          <w:tcPr>
            <w:tcW w:w="1420" w:type="dxa"/>
            <w:vAlign w:val="bottom"/>
            <w:tcBorders>
              <w:bottom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87"/>
              </w:rPr>
              <w:t>produced)</w:t>
            </w:r>
          </w:p>
        </w:tc>
        <w:tc>
          <w:tcPr>
            <w:tcW w:w="80" w:type="dxa"/>
            <w:vAlign w:val="bottom"/>
          </w:tcPr>
          <w:p>
            <w:pPr>
              <w:spacing w:after="0"/>
              <w:rPr>
                <w:sz w:val="14"/>
                <w:szCs w:val="14"/>
                <w:color w:val="auto"/>
              </w:rPr>
            </w:pPr>
          </w:p>
        </w:tc>
        <w:tc>
          <w:tcPr>
            <w:tcW w:w="740" w:type="dxa"/>
            <w:vAlign w:val="bottom"/>
          </w:tcPr>
          <w:p>
            <w:pPr>
              <w:jc w:val="right"/>
              <w:ind w:right="172"/>
              <w:spacing w:after="0"/>
              <w:rPr>
                <w:sz w:val="20"/>
                <w:szCs w:val="20"/>
                <w:color w:val="auto"/>
              </w:rPr>
            </w:pPr>
            <w:r>
              <w:rPr>
                <w:rFonts w:ascii="Arial" w:cs="Arial" w:eastAsia="Arial" w:hAnsi="Arial"/>
                <w:sz w:val="14"/>
                <w:szCs w:val="14"/>
                <w:b w:val="1"/>
                <w:bCs w:val="1"/>
                <w:color w:val="auto"/>
              </w:rPr>
              <w:t>Dore</w:t>
            </w:r>
          </w:p>
        </w:tc>
        <w:tc>
          <w:tcPr>
            <w:tcW w:w="80" w:type="dxa"/>
            <w:vAlign w:val="bottom"/>
          </w:tcPr>
          <w:p>
            <w:pPr>
              <w:spacing w:after="0"/>
              <w:rPr>
                <w:sz w:val="14"/>
                <w:szCs w:val="14"/>
                <w:color w:val="auto"/>
              </w:rPr>
            </w:pPr>
          </w:p>
        </w:tc>
        <w:tc>
          <w:tcPr>
            <w:tcW w:w="760" w:type="dxa"/>
            <w:vAlign w:val="bottom"/>
          </w:tcPr>
          <w:p>
            <w:pPr>
              <w:jc w:val="center"/>
              <w:spacing w:after="0"/>
              <w:rPr>
                <w:sz w:val="20"/>
                <w:szCs w:val="20"/>
                <w:color w:val="auto"/>
              </w:rPr>
            </w:pPr>
            <w:r>
              <w:rPr>
                <w:rFonts w:ascii="Arial" w:cs="Arial" w:eastAsia="Arial" w:hAnsi="Arial"/>
                <w:sz w:val="14"/>
                <w:szCs w:val="14"/>
                <w:b w:val="1"/>
                <w:bCs w:val="1"/>
                <w:color w:val="auto"/>
                <w:w w:val="94"/>
              </w:rPr>
              <w:t>Metal</w:t>
            </w:r>
          </w:p>
        </w:tc>
        <w:tc>
          <w:tcPr>
            <w:tcW w:w="80" w:type="dxa"/>
            <w:vAlign w:val="bottom"/>
          </w:tcPr>
          <w:p>
            <w:pPr>
              <w:spacing w:after="0"/>
              <w:rPr>
                <w:sz w:val="14"/>
                <w:szCs w:val="14"/>
                <w:color w:val="auto"/>
              </w:rPr>
            </w:pPr>
          </w:p>
        </w:tc>
        <w:tc>
          <w:tcPr>
            <w:tcW w:w="1040" w:type="dxa"/>
            <w:vAlign w:val="bottom"/>
            <w:gridSpan w:val="2"/>
          </w:tcPr>
          <w:p>
            <w:pPr>
              <w:ind w:left="200"/>
              <w:spacing w:after="0"/>
              <w:rPr>
                <w:sz w:val="20"/>
                <w:szCs w:val="20"/>
                <w:color w:val="auto"/>
              </w:rPr>
            </w:pPr>
            <w:r>
              <w:rPr>
                <w:rFonts w:ascii="Arial" w:cs="Arial" w:eastAsia="Arial" w:hAnsi="Arial"/>
                <w:sz w:val="14"/>
                <w:szCs w:val="14"/>
                <w:b w:val="1"/>
                <w:bCs w:val="1"/>
                <w:color w:val="auto"/>
              </w:rPr>
              <w:t>Payable</w:t>
            </w:r>
          </w:p>
        </w:tc>
      </w:tr>
      <w:tr>
        <w:trPr>
          <w:trHeight w:val="142"/>
        </w:trPr>
        <w:tc>
          <w:tcPr>
            <w:tcW w:w="20" w:type="dxa"/>
            <w:vAlign w:val="bottom"/>
          </w:tcPr>
          <w:p>
            <w:pPr>
              <w:spacing w:after="0"/>
              <w:rPr>
                <w:sz w:val="12"/>
                <w:szCs w:val="12"/>
                <w:color w:val="auto"/>
              </w:rPr>
            </w:pPr>
          </w:p>
        </w:tc>
        <w:tc>
          <w:tcPr>
            <w:tcW w:w="1440" w:type="dxa"/>
            <w:vAlign w:val="bottom"/>
          </w:tcPr>
          <w:p>
            <w:pPr>
              <w:spacing w:after="0"/>
              <w:rPr>
                <w:sz w:val="12"/>
                <w:szCs w:val="12"/>
                <w:color w:val="auto"/>
              </w:rPr>
            </w:pPr>
          </w:p>
        </w:tc>
        <w:tc>
          <w:tcPr>
            <w:tcW w:w="640" w:type="dxa"/>
            <w:vAlign w:val="bottom"/>
            <w:tcBorders>
              <w:bottom w:val="single" w:sz="8" w:color="auto"/>
            </w:tcBorders>
          </w:tcPr>
          <w:p>
            <w:pPr>
              <w:jc w:val="right"/>
              <w:ind w:right="52"/>
              <w:spacing w:after="0" w:line="142" w:lineRule="exact"/>
              <w:rPr>
                <w:sz w:val="20"/>
                <w:szCs w:val="20"/>
                <w:color w:val="auto"/>
              </w:rPr>
            </w:pPr>
            <w:r>
              <w:rPr>
                <w:rFonts w:ascii="Arial" w:cs="Arial" w:eastAsia="Arial" w:hAnsi="Arial"/>
                <w:sz w:val="14"/>
                <w:szCs w:val="14"/>
                <w:b w:val="1"/>
                <w:bCs w:val="1"/>
                <w:color w:val="auto"/>
              </w:rPr>
              <w:t>Grades</w:t>
            </w:r>
          </w:p>
        </w:tc>
        <w:tc>
          <w:tcPr>
            <w:tcW w:w="80" w:type="dxa"/>
            <w:vAlign w:val="bottom"/>
          </w:tcPr>
          <w:p>
            <w:pPr>
              <w:spacing w:after="0"/>
              <w:rPr>
                <w:sz w:val="12"/>
                <w:szCs w:val="12"/>
                <w:color w:val="auto"/>
              </w:rPr>
            </w:pPr>
          </w:p>
        </w:tc>
        <w:tc>
          <w:tcPr>
            <w:tcW w:w="640" w:type="dxa"/>
            <w:vAlign w:val="bottom"/>
            <w:tcBorders>
              <w:bottom w:val="single" w:sz="8" w:color="auto"/>
            </w:tcBorders>
          </w:tcPr>
          <w:p>
            <w:pPr>
              <w:jc w:val="right"/>
              <w:ind w:right="72"/>
              <w:spacing w:after="0" w:line="142" w:lineRule="exact"/>
              <w:rPr>
                <w:sz w:val="20"/>
                <w:szCs w:val="20"/>
                <w:color w:val="auto"/>
              </w:rPr>
            </w:pPr>
            <w:r>
              <w:rPr>
                <w:rFonts w:ascii="Arial" w:cs="Arial" w:eastAsia="Arial" w:hAnsi="Arial"/>
                <w:sz w:val="14"/>
                <w:szCs w:val="14"/>
                <w:b w:val="1"/>
                <w:bCs w:val="1"/>
                <w:color w:val="auto"/>
              </w:rPr>
              <w:t>Grade</w:t>
            </w:r>
          </w:p>
        </w:tc>
        <w:tc>
          <w:tcPr>
            <w:tcW w:w="80" w:type="dxa"/>
            <w:vAlign w:val="bottom"/>
          </w:tcPr>
          <w:p>
            <w:pPr>
              <w:spacing w:after="0"/>
              <w:rPr>
                <w:sz w:val="12"/>
                <w:szCs w:val="12"/>
                <w:color w:val="auto"/>
              </w:rPr>
            </w:pPr>
          </w:p>
        </w:tc>
        <w:tc>
          <w:tcPr>
            <w:tcW w:w="640" w:type="dxa"/>
            <w:vAlign w:val="bottom"/>
            <w:tcBorders>
              <w:bottom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88"/>
              </w:rPr>
              <w:t>Recovery</w:t>
            </w:r>
          </w:p>
        </w:tc>
        <w:tc>
          <w:tcPr>
            <w:tcW w:w="80" w:type="dxa"/>
            <w:vAlign w:val="bottom"/>
          </w:tcPr>
          <w:p>
            <w:pPr>
              <w:spacing w:after="0"/>
              <w:rPr>
                <w:sz w:val="12"/>
                <w:szCs w:val="12"/>
                <w:color w:val="auto"/>
              </w:rPr>
            </w:pPr>
          </w:p>
        </w:tc>
        <w:tc>
          <w:tcPr>
            <w:tcW w:w="640" w:type="dxa"/>
            <w:vAlign w:val="bottom"/>
            <w:tcBorders>
              <w:bottom w:val="single" w:sz="8" w:color="auto"/>
            </w:tcBorders>
          </w:tcPr>
          <w:p>
            <w:pPr>
              <w:jc w:val="right"/>
              <w:ind w:right="72"/>
              <w:spacing w:after="0" w:line="142" w:lineRule="exact"/>
              <w:rPr>
                <w:sz w:val="20"/>
                <w:szCs w:val="20"/>
                <w:color w:val="auto"/>
              </w:rPr>
            </w:pPr>
            <w:r>
              <w:rPr>
                <w:rFonts w:ascii="Arial" w:cs="Arial" w:eastAsia="Arial" w:hAnsi="Arial"/>
                <w:sz w:val="14"/>
                <w:szCs w:val="14"/>
                <w:b w:val="1"/>
                <w:bCs w:val="1"/>
                <w:color w:val="auto"/>
              </w:rPr>
              <w:t>Grade</w:t>
            </w:r>
          </w:p>
        </w:tc>
        <w:tc>
          <w:tcPr>
            <w:tcW w:w="80" w:type="dxa"/>
            <w:vAlign w:val="bottom"/>
          </w:tcPr>
          <w:p>
            <w:pPr>
              <w:spacing w:after="0"/>
              <w:rPr>
                <w:sz w:val="12"/>
                <w:szCs w:val="12"/>
                <w:color w:val="auto"/>
              </w:rPr>
            </w:pPr>
          </w:p>
        </w:tc>
        <w:tc>
          <w:tcPr>
            <w:tcW w:w="640" w:type="dxa"/>
            <w:vAlign w:val="bottom"/>
            <w:tcBorders>
              <w:bottom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88"/>
              </w:rPr>
              <w:t>Recovery</w:t>
            </w:r>
          </w:p>
        </w:tc>
        <w:tc>
          <w:tcPr>
            <w:tcW w:w="80" w:type="dxa"/>
            <w:vAlign w:val="bottom"/>
          </w:tcPr>
          <w:p>
            <w:pPr>
              <w:spacing w:after="0"/>
              <w:rPr>
                <w:sz w:val="12"/>
                <w:szCs w:val="12"/>
                <w:color w:val="auto"/>
              </w:rPr>
            </w:pPr>
          </w:p>
        </w:tc>
        <w:tc>
          <w:tcPr>
            <w:tcW w:w="680" w:type="dxa"/>
            <w:vAlign w:val="bottom"/>
            <w:tcBorders>
              <w:bottom w:val="single" w:sz="8" w:color="auto"/>
            </w:tcBorders>
          </w:tcPr>
          <w:p>
            <w:pPr>
              <w:jc w:val="right"/>
              <w:ind w:right="92"/>
              <w:spacing w:after="0" w:line="142" w:lineRule="exact"/>
              <w:rPr>
                <w:sz w:val="20"/>
                <w:szCs w:val="20"/>
                <w:color w:val="auto"/>
              </w:rPr>
            </w:pPr>
            <w:r>
              <w:rPr>
                <w:rFonts w:ascii="Arial" w:cs="Arial" w:eastAsia="Arial" w:hAnsi="Arial"/>
                <w:sz w:val="14"/>
                <w:szCs w:val="14"/>
                <w:b w:val="1"/>
                <w:bCs w:val="1"/>
                <w:color w:val="auto"/>
              </w:rPr>
              <w:t>Grade</w:t>
            </w:r>
          </w:p>
        </w:tc>
        <w:tc>
          <w:tcPr>
            <w:tcW w:w="80" w:type="dxa"/>
            <w:vAlign w:val="bottom"/>
          </w:tcPr>
          <w:p>
            <w:pPr>
              <w:spacing w:after="0"/>
              <w:rPr>
                <w:sz w:val="12"/>
                <w:szCs w:val="12"/>
                <w:color w:val="auto"/>
              </w:rPr>
            </w:pPr>
          </w:p>
        </w:tc>
        <w:tc>
          <w:tcPr>
            <w:tcW w:w="660" w:type="dxa"/>
            <w:vAlign w:val="bottom"/>
            <w:tcBorders>
              <w:bottom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91"/>
              </w:rPr>
              <w:t>Recovery</w:t>
            </w:r>
          </w:p>
        </w:tc>
        <w:tc>
          <w:tcPr>
            <w:tcW w:w="80" w:type="dxa"/>
            <w:vAlign w:val="bottom"/>
          </w:tcPr>
          <w:p>
            <w:pPr>
              <w:spacing w:after="0"/>
              <w:rPr>
                <w:sz w:val="12"/>
                <w:szCs w:val="12"/>
                <w:color w:val="auto"/>
              </w:rPr>
            </w:pPr>
          </w:p>
        </w:tc>
        <w:tc>
          <w:tcPr>
            <w:tcW w:w="740" w:type="dxa"/>
            <w:vAlign w:val="bottom"/>
            <w:tcBorders>
              <w:bottom w:val="single" w:sz="8" w:color="auto"/>
            </w:tcBorders>
          </w:tcPr>
          <w:p>
            <w:pPr>
              <w:jc w:val="right"/>
              <w:ind w:right="32"/>
              <w:spacing w:after="0" w:line="142" w:lineRule="exact"/>
              <w:rPr>
                <w:sz w:val="20"/>
                <w:szCs w:val="20"/>
                <w:color w:val="auto"/>
              </w:rPr>
            </w:pPr>
            <w:r>
              <w:rPr>
                <w:rFonts w:ascii="Arial" w:cs="Arial" w:eastAsia="Arial" w:hAnsi="Arial"/>
                <w:sz w:val="14"/>
                <w:szCs w:val="14"/>
                <w:b w:val="1"/>
                <w:bCs w:val="1"/>
                <w:color w:val="auto"/>
                <w:w w:val="95"/>
              </w:rPr>
              <w:t>Produced</w:t>
            </w:r>
          </w:p>
        </w:tc>
        <w:tc>
          <w:tcPr>
            <w:tcW w:w="80" w:type="dxa"/>
            <w:vAlign w:val="bottom"/>
          </w:tcPr>
          <w:p>
            <w:pPr>
              <w:spacing w:after="0"/>
              <w:rPr>
                <w:sz w:val="12"/>
                <w:szCs w:val="12"/>
                <w:color w:val="auto"/>
              </w:rPr>
            </w:pPr>
          </w:p>
        </w:tc>
        <w:tc>
          <w:tcPr>
            <w:tcW w:w="760" w:type="dxa"/>
            <w:vAlign w:val="bottom"/>
            <w:tcBorders>
              <w:bottom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2"/>
              </w:rPr>
              <w:t>Recoveries</w:t>
            </w:r>
          </w:p>
        </w:tc>
        <w:tc>
          <w:tcPr>
            <w:tcW w:w="80" w:type="dxa"/>
            <w:vAlign w:val="bottom"/>
          </w:tcPr>
          <w:p>
            <w:pPr>
              <w:spacing w:after="0"/>
              <w:rPr>
                <w:sz w:val="12"/>
                <w:szCs w:val="12"/>
                <w:color w:val="auto"/>
              </w:rPr>
            </w:pPr>
          </w:p>
        </w:tc>
        <w:tc>
          <w:tcPr>
            <w:tcW w:w="880" w:type="dxa"/>
            <w:vAlign w:val="bottom"/>
            <w:tcBorders>
              <w:bottom w:val="single" w:sz="8" w:color="auto"/>
            </w:tcBorders>
          </w:tcPr>
          <w:p>
            <w:pPr>
              <w:jc w:val="right"/>
              <w:ind w:right="52"/>
              <w:spacing w:after="0" w:line="142" w:lineRule="exact"/>
              <w:rPr>
                <w:sz w:val="20"/>
                <w:szCs w:val="20"/>
                <w:color w:val="auto"/>
              </w:rPr>
            </w:pPr>
            <w:r>
              <w:rPr>
                <w:rFonts w:ascii="Arial" w:cs="Arial" w:eastAsia="Arial" w:hAnsi="Arial"/>
                <w:sz w:val="14"/>
                <w:szCs w:val="14"/>
                <w:b w:val="1"/>
                <w:bCs w:val="1"/>
                <w:color w:val="auto"/>
              </w:rPr>
              <w:t>Production</w:t>
            </w:r>
          </w:p>
        </w:tc>
        <w:tc>
          <w:tcPr>
            <w:tcW w:w="160" w:type="dxa"/>
            <w:vAlign w:val="bottom"/>
          </w:tcPr>
          <w:p>
            <w:pPr>
              <w:spacing w:after="0"/>
              <w:rPr>
                <w:sz w:val="12"/>
                <w:szCs w:val="12"/>
                <w:color w:val="auto"/>
              </w:rPr>
            </w:pPr>
          </w:p>
        </w:tc>
      </w:tr>
      <w:tr>
        <w:trPr>
          <w:trHeight w:val="142"/>
        </w:trPr>
        <w:tc>
          <w:tcPr>
            <w:tcW w:w="20" w:type="dxa"/>
            <w:vAlign w:val="bottom"/>
          </w:tcPr>
          <w:p>
            <w:pPr>
              <w:spacing w:after="0"/>
              <w:rPr>
                <w:sz w:val="12"/>
                <w:szCs w:val="12"/>
                <w:color w:val="auto"/>
              </w:rPr>
            </w:pPr>
          </w:p>
        </w:tc>
        <w:tc>
          <w:tcPr>
            <w:tcW w:w="1440" w:type="dxa"/>
            <w:vAlign w:val="bottom"/>
            <w:shd w:val="clear" w:color="auto" w:fill="CCEEFF"/>
          </w:tcPr>
          <w:p>
            <w:pPr>
              <w:spacing w:after="0" w:line="142" w:lineRule="exact"/>
              <w:rPr>
                <w:sz w:val="20"/>
                <w:szCs w:val="20"/>
                <w:color w:val="auto"/>
              </w:rPr>
            </w:pPr>
            <w:r>
              <w:rPr>
                <w:rFonts w:ascii="Arial" w:cs="Arial" w:eastAsia="Arial" w:hAnsi="Arial"/>
                <w:sz w:val="14"/>
                <w:szCs w:val="14"/>
                <w:b w:val="1"/>
                <w:bCs w:val="1"/>
                <w:color w:val="auto"/>
              </w:rPr>
              <w:t>Gold</w:t>
            </w:r>
          </w:p>
        </w:tc>
        <w:tc>
          <w:tcPr>
            <w:tcW w:w="720" w:type="dxa"/>
            <w:vAlign w:val="bottom"/>
            <w:gridSpan w:val="2"/>
            <w:shd w:val="clear" w:color="auto" w:fill="CCEEFF"/>
          </w:tcPr>
          <w:p>
            <w:pPr>
              <w:ind w:left="220"/>
              <w:spacing w:after="0" w:line="142" w:lineRule="exact"/>
              <w:rPr>
                <w:sz w:val="20"/>
                <w:szCs w:val="20"/>
                <w:color w:val="auto"/>
              </w:rPr>
            </w:pPr>
            <w:r>
              <w:rPr>
                <w:rFonts w:ascii="Arial" w:cs="Arial" w:eastAsia="Arial" w:hAnsi="Arial"/>
                <w:sz w:val="14"/>
                <w:szCs w:val="14"/>
                <w:color w:val="auto"/>
              </w:rPr>
              <w:t>2.75 g/t</w:t>
            </w:r>
          </w:p>
        </w:tc>
        <w:tc>
          <w:tcPr>
            <w:tcW w:w="64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77.5 g/t</w:t>
            </w:r>
          </w:p>
        </w:tc>
        <w:tc>
          <w:tcPr>
            <w:tcW w:w="72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70.14%</w:t>
            </w:r>
          </w:p>
        </w:tc>
        <w:tc>
          <w:tcPr>
            <w:tcW w:w="8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3.03 g/t</w:t>
            </w:r>
          </w:p>
        </w:tc>
        <w:tc>
          <w:tcPr>
            <w:tcW w:w="72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5.28%</w:t>
            </w:r>
          </w:p>
        </w:tc>
        <w:tc>
          <w:tcPr>
            <w:tcW w:w="8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52.5 g/t</w:t>
            </w:r>
          </w:p>
        </w:tc>
        <w:tc>
          <w:tcPr>
            <w:tcW w:w="74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0.18%</w:t>
            </w:r>
          </w:p>
        </w:tc>
        <w:tc>
          <w:tcPr>
            <w:tcW w:w="8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32,849 oz</w:t>
            </w:r>
          </w:p>
        </w:tc>
        <w:tc>
          <w:tcPr>
            <w:tcW w:w="84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90.32%</w:t>
            </w:r>
          </w:p>
        </w:tc>
        <w:tc>
          <w:tcPr>
            <w:tcW w:w="80" w:type="dxa"/>
            <w:vAlign w:val="bottom"/>
            <w:shd w:val="clear" w:color="auto" w:fill="CCEEFF"/>
          </w:tcPr>
          <w:p>
            <w:pPr>
              <w:spacing w:after="0"/>
              <w:rPr>
                <w:sz w:val="12"/>
                <w:szCs w:val="12"/>
                <w:color w:val="auto"/>
              </w:rPr>
            </w:pPr>
          </w:p>
        </w:tc>
        <w:tc>
          <w:tcPr>
            <w:tcW w:w="1040" w:type="dxa"/>
            <w:vAlign w:val="bottom"/>
            <w:gridSpan w:val="2"/>
            <w:shd w:val="clear" w:color="auto" w:fill="CCEEFF"/>
          </w:tcPr>
          <w:p>
            <w:pPr>
              <w:jc w:val="right"/>
              <w:ind w:right="180"/>
              <w:spacing w:after="0" w:line="142" w:lineRule="exact"/>
              <w:rPr>
                <w:sz w:val="20"/>
                <w:szCs w:val="20"/>
                <w:color w:val="auto"/>
              </w:rPr>
            </w:pPr>
            <w:r>
              <w:rPr>
                <w:rFonts w:ascii="Arial" w:cs="Arial" w:eastAsia="Arial" w:hAnsi="Arial"/>
                <w:sz w:val="14"/>
                <w:szCs w:val="14"/>
                <w:color w:val="auto"/>
              </w:rPr>
              <w:t>203,494 oz</w:t>
            </w:r>
          </w:p>
        </w:tc>
      </w:tr>
      <w:tr>
        <w:trPr>
          <w:trHeight w:val="149"/>
        </w:trPr>
        <w:tc>
          <w:tcPr>
            <w:tcW w:w="20" w:type="dxa"/>
            <w:vAlign w:val="bottom"/>
          </w:tcPr>
          <w:p>
            <w:pPr>
              <w:spacing w:after="0"/>
              <w:rPr>
                <w:sz w:val="12"/>
                <w:szCs w:val="12"/>
                <w:color w:val="auto"/>
              </w:rPr>
            </w:pPr>
          </w:p>
        </w:tc>
        <w:tc>
          <w:tcPr>
            <w:tcW w:w="1440" w:type="dxa"/>
            <w:vAlign w:val="bottom"/>
          </w:tcPr>
          <w:p>
            <w:pPr>
              <w:spacing w:after="0" w:line="149" w:lineRule="exact"/>
              <w:rPr>
                <w:sz w:val="20"/>
                <w:szCs w:val="20"/>
                <w:color w:val="auto"/>
              </w:rPr>
            </w:pPr>
            <w:r>
              <w:rPr>
                <w:rFonts w:ascii="Arial" w:cs="Arial" w:eastAsia="Arial" w:hAnsi="Arial"/>
                <w:sz w:val="14"/>
                <w:szCs w:val="14"/>
                <w:b w:val="1"/>
                <w:bCs w:val="1"/>
                <w:color w:val="auto"/>
              </w:rPr>
              <w:t>Silver</w:t>
            </w:r>
          </w:p>
        </w:tc>
        <w:tc>
          <w:tcPr>
            <w:tcW w:w="7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62.98g/t</w:t>
            </w: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1,547 g/t</w:t>
            </w:r>
          </w:p>
        </w:tc>
        <w:tc>
          <w:tcPr>
            <w:tcW w:w="7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61.14%</w:t>
            </w:r>
          </w:p>
        </w:tc>
        <w:tc>
          <w:tcPr>
            <w:tcW w:w="8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178.0 g/t</w:t>
            </w:r>
          </w:p>
        </w:tc>
        <w:tc>
          <w:tcPr>
            <w:tcW w:w="7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13.54%</w:t>
            </w:r>
          </w:p>
        </w:tc>
        <w:tc>
          <w:tcPr>
            <w:tcW w:w="8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2,066 g/t</w:t>
            </w:r>
          </w:p>
        </w:tc>
        <w:tc>
          <w:tcPr>
            <w:tcW w:w="74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0.55%</w:t>
            </w:r>
          </w:p>
        </w:tc>
        <w:tc>
          <w:tcPr>
            <w:tcW w:w="80" w:type="dxa"/>
            <w:vAlign w:val="bottom"/>
          </w:tcPr>
          <w:p>
            <w:pPr>
              <w:spacing w:after="0"/>
              <w:rPr>
                <w:sz w:val="12"/>
                <w:szCs w:val="12"/>
                <w:color w:val="auto"/>
              </w:rPr>
            </w:pPr>
          </w:p>
        </w:tc>
        <w:tc>
          <w:tcPr>
            <w:tcW w:w="740" w:type="dxa"/>
            <w:vAlign w:val="bottom"/>
          </w:tcPr>
          <w:p>
            <w:pPr>
              <w:jc w:val="right"/>
              <w:spacing w:after="0" w:line="149" w:lineRule="exact"/>
              <w:rPr>
                <w:sz w:val="20"/>
                <w:szCs w:val="20"/>
                <w:color w:val="auto"/>
              </w:rPr>
            </w:pPr>
            <w:r>
              <w:rPr>
                <w:rFonts w:ascii="Arial" w:cs="Arial" w:eastAsia="Arial" w:hAnsi="Arial"/>
                <w:sz w:val="14"/>
                <w:szCs w:val="14"/>
                <w:color w:val="auto"/>
              </w:rPr>
              <w:t>642,304 oz</w:t>
            </w:r>
          </w:p>
        </w:tc>
        <w:tc>
          <w:tcPr>
            <w:tcW w:w="84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87.70%</w:t>
            </w:r>
          </w:p>
        </w:tc>
        <w:tc>
          <w:tcPr>
            <w:tcW w:w="80" w:type="dxa"/>
            <w:vAlign w:val="bottom"/>
          </w:tcPr>
          <w:p>
            <w:pPr>
              <w:spacing w:after="0"/>
              <w:rPr>
                <w:sz w:val="12"/>
                <w:szCs w:val="12"/>
                <w:color w:val="auto"/>
              </w:rPr>
            </w:pPr>
          </w:p>
        </w:tc>
        <w:tc>
          <w:tcPr>
            <w:tcW w:w="10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3,919,055 oz</w:t>
            </w:r>
          </w:p>
        </w:tc>
      </w:tr>
      <w:tr>
        <w:trPr>
          <w:trHeight w:val="149"/>
        </w:trPr>
        <w:tc>
          <w:tcPr>
            <w:tcW w:w="20" w:type="dxa"/>
            <w:vAlign w:val="bottom"/>
          </w:tcPr>
          <w:p>
            <w:pPr>
              <w:spacing w:after="0"/>
              <w:rPr>
                <w:sz w:val="12"/>
                <w:szCs w:val="12"/>
                <w:color w:val="auto"/>
              </w:rPr>
            </w:pPr>
          </w:p>
        </w:tc>
        <w:tc>
          <w:tcPr>
            <w:tcW w:w="1440" w:type="dxa"/>
            <w:vAlign w:val="bottom"/>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Copper</w:t>
            </w: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0.34%</w:t>
            </w:r>
          </w:p>
        </w:tc>
        <w:tc>
          <w:tcPr>
            <w:tcW w:w="8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11.61%</w:t>
            </w:r>
          </w:p>
        </w:tc>
        <w:tc>
          <w:tcPr>
            <w:tcW w:w="7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86.17%</w:t>
            </w:r>
          </w:p>
        </w:tc>
        <w:tc>
          <w:tcPr>
            <w:tcW w:w="8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86.17%</w:t>
            </w:r>
          </w:p>
        </w:tc>
        <w:tc>
          <w:tcPr>
            <w:tcW w:w="80" w:type="dxa"/>
            <w:vAlign w:val="bottom"/>
            <w:shd w:val="clear" w:color="auto" w:fill="CCEEFF"/>
          </w:tcPr>
          <w:p>
            <w:pPr>
              <w:spacing w:after="0"/>
              <w:rPr>
                <w:sz w:val="12"/>
                <w:szCs w:val="12"/>
                <w:color w:val="auto"/>
              </w:rPr>
            </w:pPr>
          </w:p>
        </w:tc>
        <w:tc>
          <w:tcPr>
            <w:tcW w:w="10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6,671 t</w:t>
            </w:r>
          </w:p>
        </w:tc>
      </w:tr>
      <w:tr>
        <w:trPr>
          <w:trHeight w:val="149"/>
        </w:trPr>
        <w:tc>
          <w:tcPr>
            <w:tcW w:w="20" w:type="dxa"/>
            <w:vAlign w:val="bottom"/>
          </w:tcPr>
          <w:p>
            <w:pPr>
              <w:spacing w:after="0"/>
              <w:rPr>
                <w:sz w:val="12"/>
                <w:szCs w:val="12"/>
                <w:color w:val="auto"/>
              </w:rPr>
            </w:pPr>
          </w:p>
        </w:tc>
        <w:tc>
          <w:tcPr>
            <w:tcW w:w="1440" w:type="dxa"/>
            <w:vAlign w:val="bottom"/>
          </w:tcPr>
          <w:p>
            <w:pPr>
              <w:spacing w:after="0" w:line="149" w:lineRule="exact"/>
              <w:rPr>
                <w:sz w:val="20"/>
                <w:szCs w:val="20"/>
                <w:color w:val="auto"/>
              </w:rPr>
            </w:pPr>
            <w:r>
              <w:rPr>
                <w:rFonts w:ascii="Arial" w:cs="Arial" w:eastAsia="Arial" w:hAnsi="Arial"/>
                <w:sz w:val="14"/>
                <w:szCs w:val="14"/>
                <w:b w:val="1"/>
                <w:bCs w:val="1"/>
                <w:color w:val="auto"/>
              </w:rPr>
              <w:t>Lead</w:t>
            </w: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0.31%</w:t>
            </w:r>
          </w:p>
        </w:tc>
        <w:tc>
          <w:tcPr>
            <w:tcW w:w="8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50.85%</w:t>
            </w:r>
          </w:p>
        </w:tc>
        <w:tc>
          <w:tcPr>
            <w:tcW w:w="74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2.75%</w:t>
            </w:r>
          </w:p>
        </w:tc>
        <w:tc>
          <w:tcPr>
            <w:tcW w:w="80" w:type="dxa"/>
            <w:vAlign w:val="bottom"/>
          </w:tcPr>
          <w:p>
            <w:pPr>
              <w:spacing w:after="0"/>
              <w:rPr>
                <w:sz w:val="12"/>
                <w:szCs w:val="12"/>
                <w:color w:val="auto"/>
              </w:rPr>
            </w:pPr>
          </w:p>
        </w:tc>
        <w:tc>
          <w:tcPr>
            <w:tcW w:w="74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2.75%</w:t>
            </w:r>
          </w:p>
        </w:tc>
        <w:tc>
          <w:tcPr>
            <w:tcW w:w="80" w:type="dxa"/>
            <w:vAlign w:val="bottom"/>
          </w:tcPr>
          <w:p>
            <w:pPr>
              <w:spacing w:after="0"/>
              <w:rPr>
                <w:sz w:val="12"/>
                <w:szCs w:val="12"/>
                <w:color w:val="auto"/>
              </w:rPr>
            </w:pPr>
          </w:p>
        </w:tc>
        <w:tc>
          <w:tcPr>
            <w:tcW w:w="10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207 t</w:t>
            </w:r>
          </w:p>
        </w:tc>
      </w:tr>
      <w:tr>
        <w:trPr>
          <w:trHeight w:val="149"/>
        </w:trPr>
        <w:tc>
          <w:tcPr>
            <w:tcW w:w="20" w:type="dxa"/>
            <w:vAlign w:val="bottom"/>
          </w:tcPr>
          <w:p>
            <w:pPr>
              <w:spacing w:after="0"/>
              <w:rPr>
                <w:sz w:val="12"/>
                <w:szCs w:val="12"/>
                <w:color w:val="auto"/>
              </w:rPr>
            </w:pPr>
          </w:p>
        </w:tc>
        <w:tc>
          <w:tcPr>
            <w:tcW w:w="1440" w:type="dxa"/>
            <w:vAlign w:val="bottom"/>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Zinc</w:t>
            </w: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2.96%</w:t>
            </w:r>
          </w:p>
        </w:tc>
        <w:tc>
          <w:tcPr>
            <w:tcW w:w="8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7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54.25%</w:t>
            </w:r>
          </w:p>
        </w:tc>
        <w:tc>
          <w:tcPr>
            <w:tcW w:w="7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87.74%</w:t>
            </w:r>
          </w:p>
        </w:tc>
        <w:tc>
          <w:tcPr>
            <w:tcW w:w="8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87.74%</w:t>
            </w:r>
          </w:p>
        </w:tc>
        <w:tc>
          <w:tcPr>
            <w:tcW w:w="80" w:type="dxa"/>
            <w:vAlign w:val="bottom"/>
            <w:shd w:val="clear" w:color="auto" w:fill="CCEEFF"/>
          </w:tcPr>
          <w:p>
            <w:pPr>
              <w:spacing w:after="0"/>
              <w:rPr>
                <w:sz w:val="12"/>
                <w:szCs w:val="12"/>
                <w:color w:val="auto"/>
              </w:rPr>
            </w:pPr>
          </w:p>
        </w:tc>
        <w:tc>
          <w:tcPr>
            <w:tcW w:w="10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56,186 t</w:t>
            </w:r>
          </w:p>
        </w:tc>
      </w:tr>
    </w:tbl>
    <w:p>
      <w:pPr>
        <w:spacing w:after="0" w:line="208"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Environmental Matters</w:t>
      </w:r>
    </w:p>
    <w:p>
      <w:pPr>
        <w:spacing w:after="0" w:line="225" w:lineRule="exact"/>
        <w:rPr>
          <w:sz w:val="20"/>
          <w:szCs w:val="20"/>
          <w:color w:val="auto"/>
        </w:rPr>
      </w:pPr>
    </w:p>
    <w:p>
      <w:pPr>
        <w:jc w:val="both"/>
        <w:ind w:firstLine="395"/>
        <w:spacing w:after="0" w:line="314" w:lineRule="auto"/>
        <w:rPr>
          <w:sz w:val="20"/>
          <w:szCs w:val="20"/>
          <w:color w:val="auto"/>
        </w:rPr>
      </w:pPr>
      <w:r>
        <w:rPr>
          <w:rFonts w:ascii="Arial" w:cs="Arial" w:eastAsia="Arial" w:hAnsi="Arial"/>
          <w:sz w:val="15"/>
          <w:szCs w:val="15"/>
          <w:color w:val="auto"/>
        </w:rPr>
        <w:t>Currently, water is treated at various facilities at the LaRonde Mine operations. Water contained in the tailings to be used as underground backfill is treated to degrade cyanide using a sulphur dioxide and air process. The tailings entering the tailings pond are first decanted and the clear water subjected to natural cyanide degradation. This water is then transferred to sedimentation pond #1 to undergo a secondary treatment at a plant located between sedimentation ponds #1 and #2 that uses a peroxy-silica process to destroy cyanide, lime and coagulant to precipitate metals. The tailings pond occupies an area of about 120 hectares. Waste rock that is not used underground for backfill is brought up to the surface and stored in close proximity to the tailings pond to be used to build coffer dams inside the pond. A waste rock pile containing approximately one million tonnes of waste and occupying about nine hectares is located west of the mill.</w:t>
      </w:r>
    </w:p>
    <w:p>
      <w:pPr>
        <w:spacing w:after="0" w:line="159" w:lineRule="exact"/>
        <w:rPr>
          <w:sz w:val="20"/>
          <w:szCs w:val="20"/>
          <w:color w:val="auto"/>
        </w:rPr>
      </w:pPr>
    </w:p>
    <w:p>
      <w:pPr>
        <w:jc w:val="both"/>
        <w:ind w:firstLine="370"/>
        <w:spacing w:after="0" w:line="291" w:lineRule="auto"/>
        <w:rPr>
          <w:sz w:val="20"/>
          <w:szCs w:val="20"/>
          <w:color w:val="auto"/>
        </w:rPr>
      </w:pPr>
      <w:r>
        <w:rPr>
          <w:rFonts w:ascii="Arial" w:cs="Arial" w:eastAsia="Arial" w:hAnsi="Arial"/>
          <w:sz w:val="16"/>
          <w:szCs w:val="16"/>
          <w:color w:val="auto"/>
        </w:rPr>
        <w:t>Due to the high sulphur content of the LaRonde ore, the Company has had to address toxicity issues in the tailings ponds since the 1990's. Since introducing and optimizing a biological treatment plant in 2005, the treatment process is now stable and the effluent has remained non-toxic since 2006. In 2006 the Company commenced an ammonia stripping operation of an effluent partially treated by the biological treatment plant which allowed an increase in treatment flow rate, while keeping the final effluent toxicity free. In 2009, to further increase treatment flow rate of the biological plant, the Company commenced construction of ammonia stripping towers, which should be in operation by April 2010. In addition, water from mine dewatering and drainage water are treated to remove metals prior to discharge at a lime treatment plant located at the LaRonde mill.</w:t>
      </w:r>
    </w:p>
    <w:p>
      <w:pPr>
        <w:spacing w:after="0" w:line="17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1" w:name="page72"/>
    <w:bookmarkEnd w:id="71"/>
    <w:p>
      <w:pPr>
        <w:spacing w:after="0"/>
        <w:rPr>
          <w:sz w:val="20"/>
          <w:szCs w:val="20"/>
          <w:color w:val="auto"/>
        </w:rPr>
      </w:pPr>
      <w:r>
        <w:rPr>
          <w:rFonts w:ascii="Arial" w:cs="Arial" w:eastAsia="Arial" w:hAnsi="Arial"/>
          <w:sz w:val="18"/>
          <w:szCs w:val="18"/>
          <w:i w:val="1"/>
          <w:iCs w:val="1"/>
          <w:color w:val="auto"/>
        </w:rPr>
        <w:t>Capital Expenditures</w:t>
      </w:r>
    </w:p>
    <w:p>
      <w:pPr>
        <w:spacing w:after="0" w:line="225" w:lineRule="exact"/>
        <w:rPr>
          <w:sz w:val="20"/>
          <w:szCs w:val="20"/>
          <w:color w:val="auto"/>
        </w:rPr>
      </w:pPr>
    </w:p>
    <w:p>
      <w:pPr>
        <w:jc w:val="both"/>
        <w:ind w:firstLine="374"/>
        <w:spacing w:after="0" w:line="294" w:lineRule="auto"/>
        <w:rPr>
          <w:sz w:val="20"/>
          <w:szCs w:val="20"/>
          <w:color w:val="auto"/>
        </w:rPr>
      </w:pPr>
      <w:r>
        <w:rPr>
          <w:rFonts w:ascii="Arial" w:cs="Arial" w:eastAsia="Arial" w:hAnsi="Arial"/>
          <w:sz w:val="16"/>
          <w:szCs w:val="16"/>
          <w:color w:val="auto"/>
        </w:rPr>
        <w:t>In 2006, the Company initiated construction to extend the infrastructure at the LaRonde Mine to access the ore below Level 245, referred to as the LaRonde Mine extension. The LaRonde Mine extension is expected to begin contributing to production in 2011. The LaRonde Mine extension infrastructure includes a new 823-metre internal shaft (completed in November 2009) starting from Level 203, to a total depth of 2,858 metres. A ramp will be used to access the lower part of the orebody (to 3,110 metres in depth). The internal winze system will be used to hoist ore from depth to facilities on Level 215, approximately 2,150 metres below surface, where it will be transferred to the Penna Shaft hoist. Excavation of the underground mining facilities is in progress.</w:t>
      </w:r>
    </w:p>
    <w:p>
      <w:pPr>
        <w:spacing w:after="0" w:line="170" w:lineRule="exact"/>
        <w:rPr>
          <w:sz w:val="20"/>
          <w:szCs w:val="20"/>
          <w:color w:val="auto"/>
        </w:rPr>
      </w:pPr>
    </w:p>
    <w:p>
      <w:pPr>
        <w:jc w:val="both"/>
        <w:ind w:firstLine="386"/>
        <w:spacing w:after="0" w:line="294" w:lineRule="auto"/>
        <w:rPr>
          <w:sz w:val="20"/>
          <w:szCs w:val="20"/>
          <w:color w:val="auto"/>
        </w:rPr>
      </w:pPr>
      <w:r>
        <w:rPr>
          <w:rFonts w:ascii="Arial" w:cs="Arial" w:eastAsia="Arial" w:hAnsi="Arial"/>
          <w:sz w:val="16"/>
          <w:szCs w:val="16"/>
          <w:color w:val="auto"/>
        </w:rPr>
        <w:t>Capital expenditures at the LaRonde Mine during 2009 were approximately $76 million, which included $37 million on sustaining capital expenditures and $39 million comprised primarily of expenditures on the LaRonde Mine extension. Budgeted 2010 capital expenditures at the LaRonde Mine are $96 million, including $29 million on sustaining capital expenditures and $67 million on the LaRonde Mine extension. At the end of 2009, the project capital cost of construction of the LaRonde Mine extension is estimated to be $230 million, of which the Company had incurred $124 million as of the end of 2009. Total capital expenditures for the LaRonde Mine and the LaRonde Mine extension are estimated at $403 million from 2009 to 2024.</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Development</w:t>
      </w:r>
    </w:p>
    <w:p>
      <w:pPr>
        <w:spacing w:after="0" w:line="225" w:lineRule="exact"/>
        <w:rPr>
          <w:sz w:val="20"/>
          <w:szCs w:val="20"/>
          <w:color w:val="auto"/>
        </w:rPr>
      </w:pPr>
    </w:p>
    <w:p>
      <w:pPr>
        <w:jc w:val="both"/>
        <w:ind w:firstLine="393"/>
        <w:spacing w:after="0" w:line="306" w:lineRule="auto"/>
        <w:rPr>
          <w:sz w:val="20"/>
          <w:szCs w:val="20"/>
          <w:color w:val="auto"/>
        </w:rPr>
      </w:pPr>
      <w:r>
        <w:rPr>
          <w:rFonts w:ascii="Arial" w:cs="Arial" w:eastAsia="Arial" w:hAnsi="Arial"/>
          <w:sz w:val="16"/>
          <w:szCs w:val="16"/>
          <w:color w:val="auto"/>
        </w:rPr>
        <w:t>In 2009, a total of 12,256 metres of lateral development was completed. Development was focused on stope preparation of mining blocks for production in 2009 and 2010, especially the preparation of the lower mine production horizon. A total of 2,004 metres of development work was completed for the LaRonde Mine extension mainly for ventilation infrastructure. This development work also included construction work on the ramp to access the LaRonde Mine extension.</w:t>
      </w:r>
    </w:p>
    <w:p>
      <w:pPr>
        <w:spacing w:after="0" w:line="161" w:lineRule="exact"/>
        <w:rPr>
          <w:sz w:val="20"/>
          <w:szCs w:val="20"/>
          <w:color w:val="auto"/>
        </w:rPr>
      </w:pPr>
    </w:p>
    <w:p>
      <w:pPr>
        <w:jc w:val="both"/>
        <w:ind w:firstLine="379"/>
        <w:spacing w:after="0" w:line="298" w:lineRule="auto"/>
        <w:rPr>
          <w:sz w:val="20"/>
          <w:szCs w:val="20"/>
          <w:color w:val="auto"/>
        </w:rPr>
      </w:pPr>
      <w:r>
        <w:rPr>
          <w:rFonts w:ascii="Arial" w:cs="Arial" w:eastAsia="Arial" w:hAnsi="Arial"/>
          <w:sz w:val="16"/>
          <w:szCs w:val="16"/>
          <w:color w:val="auto"/>
        </w:rPr>
        <w:t>A total of 14,400 metres of lateral development is planned for 2010. The main focus of development work continues to be stope preparation. The Company plans to develop and prepare the access to Zone 20 South down to Level 245. For the LaRonde Mine extension, a total of 5,365 metres of development is planned mainly to develop the ramp access from the new shaft to the orebody and to complete infrastructure around the new shaft and for future ventilation infrastructure. At the same time, development work will continue to prepare for mining below Level 245.</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i w:val="1"/>
          <w:iCs w:val="1"/>
          <w:u w:val="single" w:color="auto"/>
          <w:color w:val="auto"/>
        </w:rPr>
        <w:t>Geology, Mineralization and Exploration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Geology</w:t>
      </w:r>
    </w:p>
    <w:p>
      <w:pPr>
        <w:spacing w:after="0" w:line="225" w:lineRule="exact"/>
        <w:rPr>
          <w:sz w:val="20"/>
          <w:szCs w:val="20"/>
          <w:color w:val="auto"/>
        </w:rPr>
      </w:pPr>
    </w:p>
    <w:p>
      <w:pPr>
        <w:jc w:val="both"/>
        <w:ind w:firstLine="429"/>
        <w:spacing w:after="0" w:line="306" w:lineRule="auto"/>
        <w:rPr>
          <w:sz w:val="20"/>
          <w:szCs w:val="20"/>
          <w:color w:val="auto"/>
        </w:rPr>
      </w:pPr>
      <w:r>
        <w:rPr>
          <w:rFonts w:ascii="Arial" w:cs="Arial" w:eastAsia="Arial" w:hAnsi="Arial"/>
          <w:sz w:val="16"/>
          <w:szCs w:val="16"/>
          <w:color w:val="auto"/>
        </w:rPr>
        <w:t>The LaRonde property is located near the southern boundary of the Archean-age (2.7-billion years old) Abitibi Subprovince and the Pontiac Subprovince within the Superior Geological Province of the Canadian Shield. The most important regional structure is the Cadillac-Larder Lake (CLL) fault zone marking the contact between the Abitibi and Pontiac Subprovinces, located approximately two kilometres to the south of the LaRonde property.</w:t>
      </w:r>
    </w:p>
    <w:p>
      <w:pPr>
        <w:spacing w:after="0" w:line="161" w:lineRule="exact"/>
        <w:rPr>
          <w:sz w:val="20"/>
          <w:szCs w:val="20"/>
          <w:color w:val="auto"/>
        </w:rPr>
      </w:pPr>
    </w:p>
    <w:p>
      <w:pPr>
        <w:jc w:val="both"/>
        <w:ind w:firstLine="372"/>
        <w:spacing w:after="0" w:line="298" w:lineRule="auto"/>
        <w:rPr>
          <w:sz w:val="20"/>
          <w:szCs w:val="20"/>
          <w:color w:val="auto"/>
        </w:rPr>
      </w:pPr>
      <w:r>
        <w:rPr>
          <w:rFonts w:ascii="Arial" w:cs="Arial" w:eastAsia="Arial" w:hAnsi="Arial"/>
          <w:sz w:val="16"/>
          <w:szCs w:val="16"/>
          <w:color w:val="auto"/>
        </w:rPr>
        <w:t>The geology that underlies the LaRonde Mine consists of three east-west-trending, steeply south-dipping and generally south-facing regional groups of rock formations. From north to south, they are: (i) 400 metres (approximate true thickness) of the Kewagama Group, which is made up of a thick band of interbedded wacke; (ii) 1,500 metres of the Blake River Group, a volcanic assemblage that hosts all the known economic mineralization on the property; and (iii) 500 metres of the Cadillac Group, made up of a thick band of wacke interbedded with pelitic schist and minor iron formation.</w:t>
      </w:r>
    </w:p>
    <w:p>
      <w:pPr>
        <w:spacing w:after="0" w:line="167" w:lineRule="exact"/>
        <w:rPr>
          <w:sz w:val="20"/>
          <w:szCs w:val="20"/>
          <w:color w:val="auto"/>
        </w:rPr>
      </w:pPr>
    </w:p>
    <w:p>
      <w:pPr>
        <w:jc w:val="both"/>
        <w:ind w:firstLine="387"/>
        <w:spacing w:after="0" w:line="255" w:lineRule="auto"/>
        <w:rPr>
          <w:sz w:val="20"/>
          <w:szCs w:val="20"/>
          <w:color w:val="auto"/>
        </w:rPr>
      </w:pPr>
      <w:r>
        <w:rPr>
          <w:rFonts w:ascii="Arial" w:cs="Arial" w:eastAsia="Arial" w:hAnsi="Arial"/>
          <w:sz w:val="18"/>
          <w:szCs w:val="18"/>
          <w:color w:val="auto"/>
        </w:rPr>
        <w:t>Zones of strong sericite and chlorite alteration that enclose massive to disseminated sulphide mineralization (including the ore that is mined for gold, silver, zinc, copper and lead at the LaRonde Mine) follow steeply dipping, east-west-trending, anastomosing shear zone structures within the Blake River Group volcanic units across the property. These shear zones are part of the larger Doyon-Dumagami Structural Zone that hosts several important gold occurrences (including the Doyon gold mine and the former Bousquet mines) and has been traced for over ten kilometres within the Blake River Group, from the LaRonde Mine westward to the Mouska gold mine.</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2" w:name="page73"/>
    <w:bookmarkEnd w:id="72"/>
    <w:p>
      <w:pPr>
        <w:spacing w:after="0"/>
        <w:rPr>
          <w:sz w:val="20"/>
          <w:szCs w:val="20"/>
          <w:color w:val="auto"/>
        </w:rPr>
      </w:pPr>
      <w:r>
        <w:rPr>
          <w:rFonts w:ascii="Arial" w:cs="Arial" w:eastAsia="Arial" w:hAnsi="Arial"/>
          <w:sz w:val="18"/>
          <w:szCs w:val="18"/>
          <w:i w:val="1"/>
          <w:iCs w:val="1"/>
          <w:color w:val="auto"/>
        </w:rPr>
        <w:t>Mineralization</w:t>
      </w:r>
    </w:p>
    <w:p>
      <w:pPr>
        <w:spacing w:after="0" w:line="225" w:lineRule="exact"/>
        <w:rPr>
          <w:sz w:val="20"/>
          <w:szCs w:val="20"/>
          <w:color w:val="auto"/>
        </w:rPr>
      </w:pPr>
    </w:p>
    <w:p>
      <w:pPr>
        <w:jc w:val="both"/>
        <w:ind w:firstLine="348"/>
        <w:spacing w:after="0" w:line="256" w:lineRule="auto"/>
        <w:rPr>
          <w:sz w:val="20"/>
          <w:szCs w:val="20"/>
          <w:color w:val="auto"/>
        </w:rPr>
      </w:pPr>
      <w:r>
        <w:rPr>
          <w:rFonts w:ascii="Arial" w:cs="Arial" w:eastAsia="Arial" w:hAnsi="Arial"/>
          <w:sz w:val="18"/>
          <w:szCs w:val="18"/>
          <w:color w:val="auto"/>
        </w:rPr>
        <w:t>The gold-bearing zones at the LaRonde Mine are lenses of disseminated stringers through to massive, aggregates of coarse pyrite with zinc, copper and silver content. Ten zones that vary in size from 50,000 to 40,000,000 tonnes have been identified, of which four are (or are believed to be) economic. Gold content is not proportional to the total sulphide content but does increase with copper content. Gold values are also higher in areas where the pyrite lenses are crosscut by tightly spaced north-south fractures.</w:t>
      </w:r>
    </w:p>
    <w:p>
      <w:pPr>
        <w:spacing w:after="0" w:line="197" w:lineRule="exact"/>
        <w:rPr>
          <w:sz w:val="20"/>
          <w:szCs w:val="20"/>
          <w:color w:val="auto"/>
        </w:rPr>
      </w:pPr>
    </w:p>
    <w:p>
      <w:pPr>
        <w:jc w:val="both"/>
        <w:ind w:firstLine="471"/>
        <w:spacing w:after="0" w:line="256" w:lineRule="auto"/>
        <w:rPr>
          <w:sz w:val="20"/>
          <w:szCs w:val="20"/>
          <w:color w:val="auto"/>
        </w:rPr>
      </w:pPr>
      <w:r>
        <w:rPr>
          <w:rFonts w:ascii="Arial" w:cs="Arial" w:eastAsia="Arial" w:hAnsi="Arial"/>
          <w:sz w:val="18"/>
          <w:szCs w:val="18"/>
          <w:color w:val="auto"/>
        </w:rPr>
        <w:t>These historical relationships, which were noted at LaRonde Shaft #1's Main Zone, are maintained at the Penna Shaft zones. The zinc-silver (</w:t>
      </w:r>
      <w:r>
        <w:rPr>
          <w:rFonts w:ascii="Arial" w:cs="Arial" w:eastAsia="Arial" w:hAnsi="Arial"/>
          <w:sz w:val="18"/>
          <w:szCs w:val="18"/>
          <w:i w:val="1"/>
          <w:iCs w:val="1"/>
          <w:color w:val="auto"/>
        </w:rPr>
        <w:t>i.e</w:t>
      </w:r>
      <w:r>
        <w:rPr>
          <w:rFonts w:ascii="Arial" w:cs="Arial" w:eastAsia="Arial" w:hAnsi="Arial"/>
          <w:sz w:val="18"/>
          <w:szCs w:val="18"/>
          <w:color w:val="auto"/>
        </w:rPr>
        <w:t>., Zone 20 North) mineralization with lower gold values, common in the upper mine, grades into gold-copper mineralization within the lower mine. Gold value enhancement associated with crosscutting north-south fractures also occurs within the LaRonde Mine. The predominant base metal sulphides within the LaRonde Mine are chalcopyrite (copper) and sphalerite (zinc).</w:t>
      </w:r>
    </w:p>
    <w:p>
      <w:pPr>
        <w:spacing w:after="0" w:line="197" w:lineRule="exact"/>
        <w:rPr>
          <w:sz w:val="20"/>
          <w:szCs w:val="20"/>
          <w:color w:val="auto"/>
        </w:rPr>
      </w:pPr>
    </w:p>
    <w:p>
      <w:pPr>
        <w:jc w:val="both"/>
        <w:ind w:firstLine="387"/>
        <w:spacing w:after="0" w:line="254" w:lineRule="auto"/>
        <w:rPr>
          <w:sz w:val="20"/>
          <w:szCs w:val="20"/>
          <w:color w:val="auto"/>
        </w:rPr>
      </w:pPr>
      <w:r>
        <w:rPr>
          <w:rFonts w:ascii="Arial" w:cs="Arial" w:eastAsia="Arial" w:hAnsi="Arial"/>
          <w:sz w:val="18"/>
          <w:szCs w:val="18"/>
          <w:color w:val="auto"/>
        </w:rPr>
        <w:t>The Company believes that Zone 20 North is one of the largest gold-bearing massive sulphide mineralized zones known in the world and one of the largest mineralized zones known in the Abitibi region of Ontario and Quebec. Zone 20 North contains the majority of the mineral reserves and resources at the LaRonde Mine, including 32,467,717 tonnes of proven and probable mineral reserves grading 4.46 grams of gold per tonne, representing 94% of the total proven and probable mineral reserve at LaRonde, 5,280,356 tonnes of indicated mineral resource grading 1.68 grams of gold per tonne, representing 81% of the total measured and indicated mineral resource at LaRonde, and 10,322,738 tonnes of inferred mineral resource grading 4.00 grams of gold per tonne, representing 94% of the total inferred mineral resource at LaRonde.</w:t>
      </w:r>
    </w:p>
    <w:p>
      <w:pPr>
        <w:spacing w:after="0" w:line="198" w:lineRule="exact"/>
        <w:rPr>
          <w:sz w:val="20"/>
          <w:szCs w:val="20"/>
          <w:color w:val="auto"/>
        </w:rPr>
      </w:pPr>
    </w:p>
    <w:p>
      <w:pPr>
        <w:jc w:val="both"/>
        <w:ind w:firstLine="409"/>
        <w:spacing w:after="0" w:line="259" w:lineRule="auto"/>
        <w:rPr>
          <w:sz w:val="20"/>
          <w:szCs w:val="20"/>
          <w:color w:val="auto"/>
        </w:rPr>
      </w:pPr>
      <w:r>
        <w:rPr>
          <w:rFonts w:ascii="Arial" w:cs="Arial" w:eastAsia="Arial" w:hAnsi="Arial"/>
          <w:sz w:val="18"/>
          <w:szCs w:val="18"/>
          <w:color w:val="auto"/>
        </w:rPr>
        <w:t>The depth of Zone 20 North extends between 700 metres below surface and 3,500 metres below surface, and possibly lower. With increased access on the lower levels of the mine (</w:t>
      </w:r>
      <w:r>
        <w:rPr>
          <w:rFonts w:ascii="Arial" w:cs="Arial" w:eastAsia="Arial" w:hAnsi="Arial"/>
          <w:sz w:val="18"/>
          <w:szCs w:val="18"/>
          <w:i w:val="1"/>
          <w:iCs w:val="1"/>
          <w:color w:val="auto"/>
        </w:rPr>
        <w:t>i.e.</w:t>
      </w:r>
      <w:r>
        <w:rPr>
          <w:rFonts w:ascii="Arial" w:cs="Arial" w:eastAsia="Arial" w:hAnsi="Arial"/>
          <w:sz w:val="18"/>
          <w:szCs w:val="18"/>
          <w:color w:val="auto"/>
        </w:rPr>
        <w:t>, Levels 215, 224, 239 and 245), the transformation from a "zinc/silver" orebody to a "gold/copper" deposit is expected to continue during 2010.</w:t>
      </w:r>
    </w:p>
    <w:p>
      <w:pPr>
        <w:spacing w:after="0" w:line="194" w:lineRule="exact"/>
        <w:rPr>
          <w:sz w:val="20"/>
          <w:szCs w:val="20"/>
          <w:color w:val="auto"/>
        </w:rPr>
      </w:pPr>
    </w:p>
    <w:p>
      <w:pPr>
        <w:jc w:val="both"/>
        <w:ind w:firstLine="388"/>
        <w:spacing w:after="0" w:line="290" w:lineRule="auto"/>
        <w:rPr>
          <w:sz w:val="20"/>
          <w:szCs w:val="20"/>
          <w:color w:val="auto"/>
        </w:rPr>
      </w:pPr>
      <w:r>
        <w:rPr>
          <w:rFonts w:ascii="Arial" w:cs="Arial" w:eastAsia="Arial" w:hAnsi="Arial"/>
          <w:sz w:val="16"/>
          <w:szCs w:val="16"/>
          <w:color w:val="auto"/>
        </w:rPr>
        <w:t>Zone 20 North can be divided into an upper zinc/silver-enriched zone and a lower gold/copper-enriched zone. The zinc zone has been traced over a vertical distance of 1,700 metres and a horizontal distance of 570 metres, with thicknesses approaching 40 metres. The gold zone has been traced over a vertical distance of over 2,200 metres and a horizontal distance of 900 metres, with thicknesses varying from 3 to 40 metres. The zinc zone consists of massive zinc/silver mineralization containing 50% to 90% massive pyrite and 10% to 50% massive light brown sphalerite. The gold zone mineralization consists of 30% to 70% finely disseminated to massive pyrite containing 1% to 10% chalcopyrite veinlets, minor disseminated sphalerite and rare specks of visible gold. Gold grades are generally related to the chalcopyrite or copper content. At depth, the massive sulphide lens becomes richer in gold and copper. During 2009, 2.4 million tonnes of ore grading 2.63 grams of gold per tonne, 63.5 grams of silver per tonne, 2.98% zinc, 0.33% copper and 0.32% lead were mined from Zone 20 North.</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Exploration</w:t>
      </w:r>
    </w:p>
    <w:p>
      <w:pPr>
        <w:spacing w:after="0" w:line="225" w:lineRule="exact"/>
        <w:rPr>
          <w:sz w:val="20"/>
          <w:szCs w:val="20"/>
          <w:color w:val="auto"/>
        </w:rPr>
      </w:pPr>
    </w:p>
    <w:p>
      <w:pPr>
        <w:jc w:val="both"/>
        <w:ind w:firstLine="491"/>
        <w:spacing w:after="0" w:line="256" w:lineRule="auto"/>
        <w:rPr>
          <w:sz w:val="20"/>
          <w:szCs w:val="20"/>
          <w:color w:val="auto"/>
        </w:rPr>
      </w:pPr>
      <w:r>
        <w:rPr>
          <w:rFonts w:ascii="Arial" w:cs="Arial" w:eastAsia="Arial" w:hAnsi="Arial"/>
          <w:sz w:val="18"/>
          <w:szCs w:val="18"/>
          <w:color w:val="auto"/>
        </w:rPr>
        <w:t>The combined tonnage of proven and probable mineral reserves at the LaRonde Mine for year-end 2009 is 34.4 million tonnes which represents a 3% increase in the amount compared to year-end 2008. This mineral reserve includes the replacement of 2.5 million tonnes of ore that were mined in 2009. The Company's ability to sustain its level of proven and probable mineral reserves was primarily due to continued successful exploration results at depth as well as the increase in the three-year average gold price used for the year-end 2009 estimates.</w:t>
      </w:r>
    </w:p>
    <w:p>
      <w:pPr>
        <w:spacing w:after="0" w:line="197" w:lineRule="exact"/>
        <w:rPr>
          <w:sz w:val="20"/>
          <w:szCs w:val="20"/>
          <w:color w:val="auto"/>
        </w:rPr>
      </w:pPr>
    </w:p>
    <w:p>
      <w:pPr>
        <w:jc w:val="both"/>
        <w:ind w:firstLine="369"/>
        <w:spacing w:after="0" w:line="298" w:lineRule="auto"/>
        <w:rPr>
          <w:sz w:val="20"/>
          <w:szCs w:val="20"/>
          <w:color w:val="auto"/>
        </w:rPr>
      </w:pPr>
      <w:r>
        <w:rPr>
          <w:rFonts w:ascii="Arial" w:cs="Arial" w:eastAsia="Arial" w:hAnsi="Arial"/>
          <w:sz w:val="16"/>
          <w:szCs w:val="16"/>
          <w:color w:val="auto"/>
        </w:rPr>
        <w:t>An exploration program was initiated in 2009 to investigate the ultimate depth of Zone 20 North. The first hole of this program was completed at the end of 2009 with a final depth of 1,852 metres and intersected Zone 20 North at a depth of 3,520 metres below surface, which is approximately 410 metres below the current reserves envelope. The intersection returned 14.3 metres (true length) grading 3.03 grams of gold per tonne. This program was conducted from the Level 215 exploration drift, approximately 2,150 metres below the surface, and drilling will continue in 2010.</w:t>
      </w:r>
    </w:p>
    <w:p>
      <w:pPr>
        <w:spacing w:after="0" w:line="167" w:lineRule="exact"/>
        <w:rPr>
          <w:sz w:val="20"/>
          <w:szCs w:val="20"/>
          <w:color w:val="auto"/>
        </w:rPr>
      </w:pPr>
    </w:p>
    <w:p>
      <w:pPr>
        <w:jc w:val="both"/>
        <w:ind w:firstLine="543"/>
        <w:spacing w:after="0" w:line="259" w:lineRule="auto"/>
        <w:rPr>
          <w:sz w:val="20"/>
          <w:szCs w:val="20"/>
          <w:color w:val="auto"/>
        </w:rPr>
      </w:pPr>
      <w:r>
        <w:rPr>
          <w:rFonts w:ascii="Arial" w:cs="Arial" w:eastAsia="Arial" w:hAnsi="Arial"/>
          <w:sz w:val="18"/>
          <w:szCs w:val="18"/>
          <w:color w:val="auto"/>
        </w:rPr>
        <w:t>In 2009, a total of 268 holes were drilled on the LaRonde property for a total length of 30,699 metres, compared to 245 holes for a total length of 28,039 metres in 2008. Of the drilling in 2009, 140 holes (8,272 metres) were for production stope delineation, 114 holes (17,024 metres) were definition drilling and 14 holes (5,403 metres) were for exploration. In 2008, 178 holes (10,323 metres) were for production stope</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3" w:name="page74"/>
    <w:bookmarkEnd w:id="73"/>
    <w:p>
      <w:pPr>
        <w:jc w:val="both"/>
        <w:spacing w:after="0" w:line="306" w:lineRule="auto"/>
        <w:rPr>
          <w:sz w:val="20"/>
          <w:szCs w:val="20"/>
          <w:color w:val="auto"/>
        </w:rPr>
      </w:pPr>
      <w:r>
        <w:rPr>
          <w:rFonts w:ascii="Arial" w:cs="Arial" w:eastAsia="Arial" w:hAnsi="Arial"/>
          <w:sz w:val="16"/>
          <w:szCs w:val="16"/>
          <w:color w:val="auto"/>
        </w:rPr>
        <w:t>delineation, 53 holes (7,628 metres) were definition drilling and 14 holes (10,088 metres) were for deep exploration (below Level 245). Expenditures on diamond drilling at the LaRonde Mine during 2009 were approximately $3.3 million, including $1.9 million in definition and delineation drilling expenses charged to operating costs at the LaRonde Mine. Expenditures on exploration in 2009 were $1.3 million, and are expected to be $3.8 million in 2010.</w:t>
      </w:r>
    </w:p>
    <w:p>
      <w:pPr>
        <w:spacing w:after="0" w:line="161" w:lineRule="exact"/>
        <w:rPr>
          <w:sz w:val="20"/>
          <w:szCs w:val="20"/>
          <w:color w:val="auto"/>
        </w:rPr>
      </w:pPr>
    </w:p>
    <w:p>
      <w:pPr>
        <w:jc w:val="both"/>
        <w:ind w:firstLine="364"/>
        <w:spacing w:after="0" w:line="291" w:lineRule="auto"/>
        <w:rPr>
          <w:sz w:val="20"/>
          <w:szCs w:val="20"/>
          <w:color w:val="auto"/>
        </w:rPr>
      </w:pPr>
      <w:r>
        <w:rPr>
          <w:rFonts w:ascii="Arial" w:cs="Arial" w:eastAsia="Arial" w:hAnsi="Arial"/>
          <w:sz w:val="16"/>
          <w:szCs w:val="16"/>
          <w:color w:val="auto"/>
        </w:rPr>
        <w:t>In addition, some definition and delineation drilling was completed to assist in final mining stope design, mainly of Zone 20 North and Zone 20 South. Zone 20 North was the main focus of the definition drilling completed in 2009. The results of infill drilling in 2009 in Zone 20 North from Level 260 to Level 215, combined with the higher gold price used for the 2009 year-end mineral reserve and resource estimates, contributed to an increase of mineral reserves of 57,000 ounces of gold (729,000 tonnes of ore grading 2.43 grams of gold per tonne). Another focus of definition drilling in 2009 was Zone 20 South. This zone was intersected from Level 170 to Level 152 when there were no reserves in 2008 year-end estimates. This represents a net gain of 38,400 ounces of probable mineral reserves (363,000 tonnes grading 3.29 grams of gold per tonne).</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u w:val="single" w:color="auto"/>
          <w:color w:val="auto"/>
        </w:rPr>
        <w:t>Goldex Mine</w:t>
      </w:r>
    </w:p>
    <w:p>
      <w:pPr>
        <w:spacing w:after="0" w:line="225" w:lineRule="exact"/>
        <w:rPr>
          <w:sz w:val="20"/>
          <w:szCs w:val="20"/>
          <w:color w:val="auto"/>
        </w:rPr>
      </w:pPr>
    </w:p>
    <w:p>
      <w:pPr>
        <w:jc w:val="both"/>
        <w:ind w:firstLine="407"/>
        <w:spacing w:after="0" w:line="256" w:lineRule="auto"/>
        <w:rPr>
          <w:sz w:val="20"/>
          <w:szCs w:val="20"/>
          <w:color w:val="auto"/>
        </w:rPr>
      </w:pPr>
      <w:r>
        <w:rPr>
          <w:rFonts w:ascii="Arial" w:cs="Arial" w:eastAsia="Arial" w:hAnsi="Arial"/>
          <w:sz w:val="18"/>
          <w:szCs w:val="18"/>
          <w:color w:val="auto"/>
        </w:rPr>
        <w:t>The Goldex Mine, which achieved commercial production in August 2008, is located in the City of Val d'Or, Quebec, approximately 60 kilometres east of the LaRonde Mine. At December 31, 2009, the Goldex Mine was estimated to have proven mineral reserves of approximately 338,858 ounces of gold comprised of 5.2 million tonnes of ore grading 2.02 grams gold per tonne and probable mineral reserves of 1.29 million ounces of gold comprised of 19.5 million tonnes of ore grading 2.06 grams gold per tonne.</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color w:val="auto"/>
        </w:rPr>
        <w:t>Location Map of the Goldex Mine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991235</wp:posOffset>
            </wp:positionH>
            <wp:positionV relativeFrom="paragraph">
              <wp:posOffset>148590</wp:posOffset>
            </wp:positionV>
            <wp:extent cx="5539740" cy="398780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5539740" cy="39878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74" w:name="page75"/>
    <w:bookmarkEnd w:id="74"/>
    <w:p>
      <w:pPr>
        <w:jc w:val="both"/>
        <w:ind w:firstLine="550"/>
        <w:spacing w:after="0" w:line="255" w:lineRule="auto"/>
        <w:rPr>
          <w:sz w:val="20"/>
          <w:szCs w:val="20"/>
          <w:color w:val="auto"/>
        </w:rPr>
      </w:pPr>
      <w:r>
        <w:rPr>
          <w:rFonts w:ascii="Arial" w:cs="Arial" w:eastAsia="Arial" w:hAnsi="Arial"/>
          <w:sz w:val="18"/>
          <w:szCs w:val="18"/>
          <w:color w:val="auto"/>
        </w:rPr>
        <w:t>The Goldex Mine is accessible by provincial highway. The elevation is approximately 302 metres above sea level. All of the Goldex Mine's power requirements are supplied by Hydro-Quebec through connections to its main power transmission grid. All of the water required at the Goldex Mine is sourced directly by aqueduct from the Thompson River immediately adjacent to the minesite or through recirculation of water from the surface pond and the auxiliary tailings pond. For additional information regarding the Abitibi region in which the Goldex Mine is located, see "— Property, Plant and Equipment — LaRonde Mine".</w:t>
      </w:r>
    </w:p>
    <w:p>
      <w:pPr>
        <w:spacing w:after="0" w:line="197" w:lineRule="exact"/>
        <w:rPr>
          <w:sz w:val="20"/>
          <w:szCs w:val="20"/>
          <w:color w:val="auto"/>
        </w:rPr>
      </w:pPr>
    </w:p>
    <w:p>
      <w:pPr>
        <w:jc w:val="both"/>
        <w:ind w:firstLine="398"/>
        <w:spacing w:after="0" w:line="290" w:lineRule="auto"/>
        <w:rPr>
          <w:sz w:val="20"/>
          <w:szCs w:val="20"/>
          <w:color w:val="auto"/>
        </w:rPr>
      </w:pPr>
      <w:r>
        <w:rPr>
          <w:rFonts w:ascii="Arial" w:cs="Arial" w:eastAsia="Arial" w:hAnsi="Arial"/>
          <w:sz w:val="16"/>
          <w:szCs w:val="16"/>
          <w:color w:val="auto"/>
        </w:rPr>
        <w:t>The Goldex Mine operates under a mining lease obtained from the Ministry of Natural Resources and Wildlife (Quebec) and under certificates of approval granted by the Ministry of Sustainable Development, Environment and Parks (Quebec). The Goldex property, in which the Company has a 100% working interest, consists of 20 contiguous mining claims and, since April 2006, one provincial mining lease (98.6 hectares), covering an aggregate of 273.3 hectares. The property is made up of three blocks: the Probe block (122.7 hectares); the Dalton block (10.4 hectares); and the Goldex Extension block (140.2 hectares). The claims are renewable every second year upon payment of a small fee. The mining lease expires in 2028 and is automatically renewable for three further ten-year terms upon payment of a small fee. The Company also has one lease covering 418.5 hectares of surface rights that are used for the auxiliary tailings pond. This lease is renewable annually upon payment of a small fee.</w:t>
      </w:r>
    </w:p>
    <w:p>
      <w:pPr>
        <w:spacing w:after="0" w:line="172" w:lineRule="exact"/>
        <w:rPr>
          <w:sz w:val="20"/>
          <w:szCs w:val="20"/>
          <w:color w:val="auto"/>
        </w:rPr>
      </w:pPr>
    </w:p>
    <w:p>
      <w:pPr>
        <w:jc w:val="both"/>
        <w:ind w:firstLine="524"/>
        <w:spacing w:after="0" w:line="255" w:lineRule="auto"/>
        <w:rPr>
          <w:sz w:val="20"/>
          <w:szCs w:val="20"/>
          <w:color w:val="auto"/>
        </w:rPr>
      </w:pPr>
      <w:r>
        <w:rPr>
          <w:rFonts w:ascii="Arial" w:cs="Arial" w:eastAsia="Arial" w:hAnsi="Arial"/>
          <w:sz w:val="18"/>
          <w:szCs w:val="18"/>
          <w:color w:val="auto"/>
        </w:rPr>
        <w:t>The Goldex Mine includes underground operations that can be accessed from two shafts, a processing plant, an ore storage facility and other related facilities. The Goldex Extension Zone ("GEZ"), which is the gold deposit on which the Company is currently focusing its production efforts, was discovered in 1989 on the Goldex Extension block (although the Company believes a small portion of the GEZ occurs on the Dalton and Probe blocks). Probe Mines Ltd. holds a 5% net smelter return royalty interest on the Probe block. In 2009, exploration work on the Main zone located on the Probe block to the west of the current mining area continued.</w:t>
      </w:r>
    </w:p>
    <w:p>
      <w:pPr>
        <w:spacing w:after="0" w:line="197" w:lineRule="exact"/>
        <w:rPr>
          <w:sz w:val="20"/>
          <w:szCs w:val="20"/>
          <w:color w:val="auto"/>
        </w:rPr>
      </w:pPr>
    </w:p>
    <w:p>
      <w:pPr>
        <w:jc w:val="both"/>
        <w:ind w:firstLine="505"/>
        <w:spacing w:after="0" w:line="291" w:lineRule="auto"/>
        <w:rPr>
          <w:sz w:val="20"/>
          <w:szCs w:val="20"/>
          <w:color w:val="auto"/>
        </w:rPr>
      </w:pPr>
      <w:r>
        <w:rPr>
          <w:rFonts w:ascii="Arial" w:cs="Arial" w:eastAsia="Arial" w:hAnsi="Arial"/>
          <w:sz w:val="16"/>
          <w:szCs w:val="16"/>
          <w:color w:val="auto"/>
        </w:rPr>
        <w:t>In late 1997, the Company completed a mining study that indicated the deposit was not economically viable to mine at the then-prevailing gold price (approximately $323 per ounce of gold) using the mining approach chosen and drill-hole-indicated grade. The property was placed on care and maintenance and the workings were allowed to flood. In February 2005, a new mineral reserve and resource estimate was completed for the GEZ which, coupled with a feasibility study, led to a probable mineral reserve estimate of 1.6 million ounces of gold contained in 20.1 million tonnes of ore grading 2.54 grams of gold per tonne. The GEZ resource model was revised and, in March 2005, the Company approved a feasibility study and the construction of the Goldex Mine. The mine achieved commercial production on August 1, 2008 and has consistently operated at or above the designed rate of 6,900 tonnes per day.</w:t>
      </w:r>
    </w:p>
    <w:p>
      <w:pPr>
        <w:spacing w:after="0" w:line="174" w:lineRule="exact"/>
        <w:rPr>
          <w:sz w:val="20"/>
          <w:szCs w:val="20"/>
          <w:color w:val="auto"/>
        </w:rPr>
      </w:pPr>
    </w:p>
    <w:p>
      <w:pPr>
        <w:jc w:val="both"/>
        <w:ind w:right="20" w:firstLine="368"/>
        <w:spacing w:after="0" w:line="268" w:lineRule="auto"/>
        <w:rPr>
          <w:sz w:val="20"/>
          <w:szCs w:val="20"/>
          <w:color w:val="auto"/>
        </w:rPr>
      </w:pPr>
      <w:r>
        <w:rPr>
          <w:rFonts w:ascii="Arial" w:cs="Arial" w:eastAsia="Arial" w:hAnsi="Arial"/>
          <w:sz w:val="18"/>
          <w:szCs w:val="18"/>
          <w:color w:val="auto"/>
        </w:rPr>
        <w:t>The Goldex Mine produced 148,849 ounces of gold in 2009 at total cash costs of $365 per ounce. It is anticipated to produce approximately 169,000 ounces of gold in 2010 at estimated total cash costs per ounce of approximately $325.</w:t>
      </w:r>
    </w:p>
    <w:p>
      <w:pPr>
        <w:spacing w:after="0" w:line="186" w:lineRule="exact"/>
        <w:rPr>
          <w:sz w:val="20"/>
          <w:szCs w:val="20"/>
          <w:color w:val="auto"/>
        </w:rPr>
      </w:pPr>
    </w:p>
    <w:p>
      <w:pPr>
        <w:jc w:val="both"/>
        <w:ind w:firstLine="447"/>
        <w:spacing w:after="0" w:line="259" w:lineRule="auto"/>
        <w:rPr>
          <w:sz w:val="20"/>
          <w:szCs w:val="20"/>
          <w:color w:val="auto"/>
        </w:rPr>
      </w:pPr>
      <w:r>
        <w:rPr>
          <w:rFonts w:ascii="Arial" w:cs="Arial" w:eastAsia="Arial" w:hAnsi="Arial"/>
          <w:sz w:val="18"/>
          <w:szCs w:val="18"/>
          <w:color w:val="auto"/>
        </w:rPr>
        <w:t>Based on the results of a scoping study completed in July 2009, the Company determined to expand the mine and mill operations at the Goldex Mine to 8,000 tonnes per day. This project is expected to be completed in early 2011. Capital costs in connection with the expansion total $10 million, which are expected to be incurred in 2010.</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5" w:name="page76"/>
    <w:bookmarkEnd w:id="75"/>
    <w:p>
      <w:pPr>
        <w:spacing w:after="0"/>
        <w:rPr>
          <w:sz w:val="20"/>
          <w:szCs w:val="20"/>
          <w:color w:val="auto"/>
        </w:rPr>
      </w:pPr>
      <w:r>
        <w:rPr>
          <w:rFonts w:ascii="Arial" w:cs="Arial" w:eastAsia="Arial" w:hAnsi="Arial"/>
          <w:sz w:val="18"/>
          <w:szCs w:val="18"/>
          <w:i w:val="1"/>
          <w:iCs w:val="1"/>
          <w:u w:val="single" w:color="auto"/>
          <w:color w:val="auto"/>
        </w:rPr>
        <w:t>Mining and Milling Facilities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Surface Plan of the Goldex Mine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1231265</wp:posOffset>
            </wp:positionH>
            <wp:positionV relativeFrom="paragraph">
              <wp:posOffset>148590</wp:posOffset>
            </wp:positionV>
            <wp:extent cx="5042535" cy="398780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5042535" cy="39878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jc w:val="both"/>
        <w:ind w:firstLine="546"/>
        <w:spacing w:after="0" w:line="259" w:lineRule="auto"/>
        <w:rPr>
          <w:sz w:val="20"/>
          <w:szCs w:val="20"/>
          <w:color w:val="auto"/>
        </w:rPr>
      </w:pPr>
      <w:r>
        <w:rPr>
          <w:rFonts w:ascii="Arial" w:cs="Arial" w:eastAsia="Arial" w:hAnsi="Arial"/>
          <w:sz w:val="18"/>
          <w:szCs w:val="18"/>
          <w:color w:val="auto"/>
        </w:rPr>
        <w:t>At the time the Company commenced construction of the Goldex Mine, the surface facilities included a headframe, a hoistroom, a surface building containing a mechanical shop, a warehouse and an office. In addition, the Goldex property had a 790-metre deep shaft (Shaft #1), which provided access to underground workings. Shaft #1 is predominantly used to hoist waste rock from development activities.</w:t>
      </w:r>
    </w:p>
    <w:p>
      <w:pPr>
        <w:spacing w:after="0" w:line="194" w:lineRule="exact"/>
        <w:rPr>
          <w:sz w:val="20"/>
          <w:szCs w:val="20"/>
          <w:color w:val="auto"/>
        </w:rPr>
      </w:pPr>
    </w:p>
    <w:p>
      <w:pPr>
        <w:jc w:val="both"/>
        <w:ind w:firstLine="423"/>
        <w:spacing w:after="0" w:line="298" w:lineRule="auto"/>
        <w:rPr>
          <w:sz w:val="20"/>
          <w:szCs w:val="20"/>
          <w:color w:val="auto"/>
        </w:rPr>
      </w:pPr>
      <w:r>
        <w:rPr>
          <w:rFonts w:ascii="Arial" w:cs="Arial" w:eastAsia="Arial" w:hAnsi="Arial"/>
          <w:sz w:val="16"/>
          <w:szCs w:val="16"/>
          <w:color w:val="auto"/>
        </w:rPr>
        <w:t>The sinking of a new production shaft was completed in 2007. The new shaft (Shaft #2) is a 5.5-metre diameter shaft with a 50-centimetre thick concrete lining and is used for ventilation as well as hoisting services. Shaft #2 is 865 metres deep and includes five stations. A refurbished friction hoist was installed for production and service duties, and an auxiliary hoist was installed for emergency and personnel service. The production hoist is equipped with one cage-skip. Each skip has a 21.5-tonne capacity, and the shaft can hoist an average of 7,000 to 8,000 tonnes of ore per day.</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Mining Method</w:t>
      </w:r>
    </w:p>
    <w:p>
      <w:pPr>
        <w:spacing w:after="0" w:line="225" w:lineRule="exact"/>
        <w:rPr>
          <w:sz w:val="20"/>
          <w:szCs w:val="20"/>
          <w:color w:val="auto"/>
        </w:rPr>
      </w:pPr>
    </w:p>
    <w:p>
      <w:pPr>
        <w:jc w:val="both"/>
        <w:ind w:firstLine="443"/>
        <w:spacing w:after="0" w:line="306" w:lineRule="auto"/>
        <w:rPr>
          <w:sz w:val="20"/>
          <w:szCs w:val="20"/>
          <w:color w:val="auto"/>
        </w:rPr>
      </w:pPr>
      <w:r>
        <w:rPr>
          <w:rFonts w:ascii="Arial" w:cs="Arial" w:eastAsia="Arial" w:hAnsi="Arial"/>
          <w:sz w:val="16"/>
          <w:szCs w:val="16"/>
          <w:color w:val="auto"/>
        </w:rPr>
        <w:t>The Goldex Mine uses a high volume bulk mining method, which is made possible through the use of large mining stopes. Drilling and blasting of 165-millimetre production holes is used to obtain a muck size large enough to be economically efficient. Using this method requires a percentage of the broken ore to be kept in the stope to reduce the backfilling cost and to reduce sloughing on the walls. Little ore and waste development is necessary to mine out the deposit.</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Surface Facilities</w:t>
      </w:r>
    </w:p>
    <w:p>
      <w:pPr>
        <w:spacing w:after="0" w:line="225" w:lineRule="exact"/>
        <w:rPr>
          <w:sz w:val="20"/>
          <w:szCs w:val="20"/>
          <w:color w:val="auto"/>
        </w:rPr>
      </w:pPr>
    </w:p>
    <w:p>
      <w:pPr>
        <w:jc w:val="both"/>
        <w:ind w:firstLine="413"/>
        <w:spacing w:after="0" w:line="306" w:lineRule="auto"/>
        <w:rPr>
          <w:sz w:val="20"/>
          <w:szCs w:val="20"/>
          <w:color w:val="auto"/>
        </w:rPr>
      </w:pPr>
      <w:r>
        <w:rPr>
          <w:rFonts w:ascii="Arial" w:cs="Arial" w:eastAsia="Arial" w:hAnsi="Arial"/>
          <w:sz w:val="16"/>
          <w:szCs w:val="16"/>
          <w:color w:val="auto"/>
        </w:rPr>
        <w:t>Plant construction at the Goldex Mine commenced in the second quarter of 2006 and was completed in the first quarter of 2008. The plant reached design capacity in the second quarter of 2009. Grinding at the Goldex mill is done through a two-stage circuit comprised of a SAG mill and a ball mill. As part of the 2009 expansion project a surface crusher was added to reduce the size of ore transferred to the surface from 150 millimetres to</w:t>
      </w:r>
    </w:p>
    <w:p>
      <w:pPr>
        <w:spacing w:after="0" w:line="16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6" w:name="page77"/>
    <w:bookmarkEnd w:id="76"/>
    <w:p>
      <w:pPr>
        <w:jc w:val="both"/>
        <w:spacing w:after="0" w:line="256" w:lineRule="auto"/>
        <w:rPr>
          <w:sz w:val="20"/>
          <w:szCs w:val="20"/>
          <w:color w:val="auto"/>
        </w:rPr>
      </w:pPr>
      <w:r>
        <w:rPr>
          <w:rFonts w:ascii="Arial" w:cs="Arial" w:eastAsia="Arial" w:hAnsi="Arial"/>
          <w:sz w:val="18"/>
          <w:szCs w:val="18"/>
          <w:color w:val="auto"/>
        </w:rPr>
        <w:t>50 millimetres. Approximately two-thirds of the gold is recovered through a gravity circuit, passed over shaking tables and smelted on site. The remainder of the gold and pyrite is recovered by a flotation process. The concentrate is then thickened and trucked to the mill at the LaRonde Mine where it is further treated by cyanidation. Gold recovered is consolidated with precious metals from the LaRonde and Lapa Mines. The Company is targeting an average gold recovery of 92.1%.</w:t>
      </w:r>
    </w:p>
    <w:p>
      <w:pPr>
        <w:spacing w:after="0" w:line="197" w:lineRule="exact"/>
        <w:rPr>
          <w:sz w:val="20"/>
          <w:szCs w:val="20"/>
          <w:color w:val="auto"/>
        </w:rPr>
      </w:pPr>
    </w:p>
    <w:p>
      <w:pPr>
        <w:jc w:val="both"/>
        <w:ind w:firstLine="377"/>
        <w:spacing w:after="0" w:line="306" w:lineRule="auto"/>
        <w:rPr>
          <w:sz w:val="20"/>
          <w:szCs w:val="20"/>
          <w:color w:val="auto"/>
        </w:rPr>
      </w:pPr>
      <w:r>
        <w:rPr>
          <w:rFonts w:ascii="Arial" w:cs="Arial" w:eastAsia="Arial" w:hAnsi="Arial"/>
          <w:sz w:val="16"/>
          <w:szCs w:val="16"/>
          <w:color w:val="auto"/>
        </w:rPr>
        <w:t>In addition, surface facilities at the Goldex Mine include an electrical sub-station, a compressor building, a service building for administration and changing rooms, a warehouse building, a concrete headframe above Shaft #2, a hazardous waste storage facility and a dome covering the ore stockpile. In 2008, the processing plant building was commissioned along with the Manitou pumping station and its associated 24-kilometre pipeline.</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Mineral Recoveries</w:t>
      </w:r>
    </w:p>
    <w:p>
      <w:pPr>
        <w:spacing w:after="0" w:line="225" w:lineRule="exact"/>
        <w:rPr>
          <w:sz w:val="20"/>
          <w:szCs w:val="20"/>
          <w:color w:val="auto"/>
        </w:rPr>
      </w:pPr>
    </w:p>
    <w:p>
      <w:pPr>
        <w:jc w:val="both"/>
        <w:ind w:right="20" w:firstLine="541"/>
        <w:spacing w:after="0" w:line="268" w:lineRule="auto"/>
        <w:rPr>
          <w:sz w:val="20"/>
          <w:szCs w:val="20"/>
          <w:color w:val="auto"/>
        </w:rPr>
      </w:pPr>
      <w:r>
        <w:rPr>
          <w:rFonts w:ascii="Arial" w:cs="Arial" w:eastAsia="Arial" w:hAnsi="Arial"/>
          <w:sz w:val="18"/>
          <w:szCs w:val="18"/>
          <w:color w:val="auto"/>
        </w:rPr>
        <w:t>During 2009, the Goldex mill processed approximately 2.61 million tonnes of ore, averaging approximately 7,163 tonnes of ore treated per day and operating at approximately 95% of available time. The following table sets out the metal recoveries at the Goldex Mine in 2009.</w:t>
      </w:r>
    </w:p>
    <w:p>
      <w:pPr>
        <w:spacing w:after="0" w:line="169"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700" w:type="dxa"/>
            <w:vAlign w:val="bottom"/>
          </w:tcPr>
          <w:p>
            <w:pPr>
              <w:ind w:left="180"/>
              <w:spacing w:after="0"/>
              <w:rPr>
                <w:sz w:val="20"/>
                <w:szCs w:val="20"/>
                <w:color w:val="auto"/>
              </w:rPr>
            </w:pPr>
            <w:r>
              <w:rPr>
                <w:rFonts w:ascii="Arial" w:cs="Arial" w:eastAsia="Arial" w:hAnsi="Arial"/>
                <w:sz w:val="14"/>
                <w:szCs w:val="14"/>
                <w:b w:val="1"/>
                <w:bCs w:val="1"/>
                <w:color w:val="auto"/>
              </w:rPr>
              <w:t>Head</w:t>
            </w:r>
          </w:p>
        </w:tc>
        <w:tc>
          <w:tcPr>
            <w:tcW w:w="160" w:type="dxa"/>
            <w:vAlign w:val="bottom"/>
          </w:tcPr>
          <w:p>
            <w:pPr>
              <w:spacing w:after="0"/>
              <w:rPr>
                <w:sz w:val="14"/>
                <w:szCs w:val="14"/>
                <w:color w:val="auto"/>
              </w:rPr>
            </w:pPr>
          </w:p>
        </w:tc>
        <w:tc>
          <w:tcPr>
            <w:tcW w:w="106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980" w:type="dxa"/>
            <w:vAlign w:val="bottom"/>
            <w:gridSpan w:val="2"/>
          </w:tcPr>
          <w:p>
            <w:pPr>
              <w:jc w:val="center"/>
              <w:spacing w:after="0"/>
              <w:rPr>
                <w:sz w:val="20"/>
                <w:szCs w:val="20"/>
                <w:color w:val="auto"/>
              </w:rPr>
            </w:pPr>
            <w:r>
              <w:rPr>
                <w:rFonts w:ascii="Arial" w:cs="Arial" w:eastAsia="Arial" w:hAnsi="Arial"/>
                <w:sz w:val="14"/>
                <w:szCs w:val="14"/>
                <w:b w:val="1"/>
                <w:bCs w:val="1"/>
                <w:color w:val="auto"/>
                <w:w w:val="88"/>
              </w:rPr>
              <w:t>Flotation-Cyanidation</w:t>
            </w:r>
          </w:p>
        </w:tc>
        <w:tc>
          <w:tcPr>
            <w:tcW w:w="160" w:type="dxa"/>
            <w:vAlign w:val="bottom"/>
          </w:tcPr>
          <w:p>
            <w:pPr>
              <w:spacing w:after="0"/>
              <w:rPr>
                <w:sz w:val="14"/>
                <w:szCs w:val="14"/>
                <w:color w:val="auto"/>
              </w:rPr>
            </w:pPr>
          </w:p>
        </w:tc>
        <w:tc>
          <w:tcPr>
            <w:tcW w:w="112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80" w:type="dxa"/>
            <w:vAlign w:val="bottom"/>
            <w:gridSpan w:val="2"/>
          </w:tcPr>
          <w:p>
            <w:pPr>
              <w:ind w:left="220"/>
              <w:spacing w:after="0"/>
              <w:rPr>
                <w:sz w:val="20"/>
                <w:szCs w:val="20"/>
                <w:color w:val="auto"/>
              </w:rPr>
            </w:pPr>
            <w:r>
              <w:rPr>
                <w:rFonts w:ascii="Arial" w:cs="Arial" w:eastAsia="Arial" w:hAnsi="Arial"/>
                <w:sz w:val="14"/>
                <w:szCs w:val="14"/>
                <w:b w:val="1"/>
                <w:bCs w:val="1"/>
                <w:color w:val="auto"/>
              </w:rPr>
              <w:t>Payable</w:t>
            </w:r>
          </w:p>
        </w:tc>
      </w:tr>
      <w:tr>
        <w:trPr>
          <w:trHeight w:val="161"/>
        </w:trPr>
        <w:tc>
          <w:tcPr>
            <w:tcW w:w="2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700" w:type="dxa"/>
            <w:vAlign w:val="bottom"/>
            <w:tcBorders>
              <w:bottom w:val="single" w:sz="8" w:color="auto"/>
            </w:tcBorders>
          </w:tcPr>
          <w:p>
            <w:pPr>
              <w:ind w:left="140"/>
              <w:spacing w:after="0"/>
              <w:rPr>
                <w:sz w:val="20"/>
                <w:szCs w:val="20"/>
                <w:color w:val="auto"/>
              </w:rPr>
            </w:pPr>
            <w:r>
              <w:rPr>
                <w:rFonts w:ascii="Arial" w:cs="Arial" w:eastAsia="Arial" w:hAnsi="Arial"/>
                <w:sz w:val="14"/>
                <w:szCs w:val="14"/>
                <w:b w:val="1"/>
                <w:bCs w:val="1"/>
                <w:color w:val="auto"/>
              </w:rPr>
              <w:t>Grades</w:t>
            </w:r>
          </w:p>
        </w:tc>
        <w:tc>
          <w:tcPr>
            <w:tcW w:w="160" w:type="dxa"/>
            <w:vAlign w:val="bottom"/>
          </w:tcPr>
          <w:p>
            <w:pPr>
              <w:spacing w:after="0"/>
              <w:rPr>
                <w:sz w:val="14"/>
                <w:szCs w:val="14"/>
                <w:color w:val="auto"/>
              </w:rPr>
            </w:pPr>
          </w:p>
        </w:tc>
        <w:tc>
          <w:tcPr>
            <w:tcW w:w="1760" w:type="dxa"/>
            <w:vAlign w:val="bottom"/>
            <w:tcBorders>
              <w:bottom w:val="single" w:sz="8" w:color="auto"/>
            </w:tcBorders>
            <w:gridSpan w:val="2"/>
          </w:tcPr>
          <w:p>
            <w:pPr>
              <w:jc w:val="right"/>
              <w:ind w:right="292"/>
              <w:spacing w:after="0"/>
              <w:rPr>
                <w:sz w:val="20"/>
                <w:szCs w:val="20"/>
                <w:color w:val="auto"/>
              </w:rPr>
            </w:pPr>
            <w:r>
              <w:rPr>
                <w:rFonts w:ascii="Arial" w:cs="Arial" w:eastAsia="Arial" w:hAnsi="Arial"/>
                <w:sz w:val="14"/>
                <w:szCs w:val="14"/>
                <w:b w:val="1"/>
                <w:bCs w:val="1"/>
                <w:color w:val="auto"/>
              </w:rPr>
              <w:t>Gravity Recovery</w:t>
            </w:r>
          </w:p>
        </w:tc>
        <w:tc>
          <w:tcPr>
            <w:tcW w:w="160" w:type="dxa"/>
            <w:vAlign w:val="bottom"/>
          </w:tcPr>
          <w:p>
            <w:pPr>
              <w:spacing w:after="0"/>
              <w:rPr>
                <w:sz w:val="14"/>
                <w:szCs w:val="14"/>
                <w:color w:val="auto"/>
              </w:rPr>
            </w:pPr>
          </w:p>
        </w:tc>
        <w:tc>
          <w:tcPr>
            <w:tcW w:w="1380" w:type="dxa"/>
            <w:vAlign w:val="bottom"/>
            <w:tcBorders>
              <w:bottom w:val="single" w:sz="8" w:color="auto"/>
            </w:tcBorders>
          </w:tcPr>
          <w:p>
            <w:pPr>
              <w:jc w:val="center"/>
              <w:ind w:left="526"/>
              <w:spacing w:after="0"/>
              <w:rPr>
                <w:sz w:val="20"/>
                <w:szCs w:val="20"/>
                <w:color w:val="auto"/>
              </w:rPr>
            </w:pPr>
            <w:r>
              <w:rPr>
                <w:rFonts w:ascii="Arial" w:cs="Arial" w:eastAsia="Arial" w:hAnsi="Arial"/>
                <w:sz w:val="14"/>
                <w:szCs w:val="14"/>
                <w:b w:val="1"/>
                <w:bCs w:val="1"/>
                <w:color w:val="auto"/>
                <w:w w:val="85"/>
              </w:rPr>
              <w:t>Recovery</w:t>
            </w:r>
          </w:p>
        </w:tc>
        <w:tc>
          <w:tcPr>
            <w:tcW w:w="60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1780" w:type="dxa"/>
            <w:vAlign w:val="bottom"/>
            <w:tcBorders>
              <w:bottom w:val="single" w:sz="8" w:color="auto"/>
            </w:tcBorders>
            <w:gridSpan w:val="2"/>
          </w:tcPr>
          <w:p>
            <w:pPr>
              <w:jc w:val="right"/>
              <w:ind w:right="332"/>
              <w:spacing w:after="0"/>
              <w:rPr>
                <w:sz w:val="20"/>
                <w:szCs w:val="20"/>
                <w:color w:val="auto"/>
              </w:rPr>
            </w:pPr>
            <w:r>
              <w:rPr>
                <w:rFonts w:ascii="Arial" w:cs="Arial" w:eastAsia="Arial" w:hAnsi="Arial"/>
                <w:sz w:val="14"/>
                <w:szCs w:val="14"/>
                <w:b w:val="1"/>
                <w:bCs w:val="1"/>
                <w:color w:val="auto"/>
              </w:rPr>
              <w:t>Global Recovery</w:t>
            </w:r>
          </w:p>
        </w:tc>
        <w:tc>
          <w:tcPr>
            <w:tcW w:w="160" w:type="dxa"/>
            <w:vAlign w:val="bottom"/>
          </w:tcPr>
          <w:p>
            <w:pPr>
              <w:spacing w:after="0"/>
              <w:rPr>
                <w:sz w:val="14"/>
                <w:szCs w:val="14"/>
                <w:color w:val="auto"/>
              </w:rPr>
            </w:pPr>
          </w:p>
        </w:tc>
        <w:tc>
          <w:tcPr>
            <w:tcW w:w="920" w:type="dxa"/>
            <w:vAlign w:val="bottom"/>
            <w:tcBorders>
              <w:bottom w:val="single" w:sz="8" w:color="auto"/>
            </w:tcBorders>
          </w:tcPr>
          <w:p>
            <w:pPr>
              <w:ind w:left="120"/>
              <w:spacing w:after="0"/>
              <w:rPr>
                <w:sz w:val="20"/>
                <w:szCs w:val="20"/>
                <w:color w:val="auto"/>
              </w:rPr>
            </w:pPr>
            <w:r>
              <w:rPr>
                <w:rFonts w:ascii="Arial" w:cs="Arial" w:eastAsia="Arial" w:hAnsi="Arial"/>
                <w:sz w:val="14"/>
                <w:szCs w:val="14"/>
                <w:b w:val="1"/>
                <w:bCs w:val="1"/>
                <w:color w:val="auto"/>
              </w:rPr>
              <w:t>Production</w:t>
            </w:r>
          </w:p>
        </w:tc>
        <w:tc>
          <w:tcPr>
            <w:tcW w:w="160" w:type="dxa"/>
            <w:vAlign w:val="bottom"/>
          </w:tcPr>
          <w:p>
            <w:pPr>
              <w:spacing w:after="0"/>
              <w:rPr>
                <w:sz w:val="14"/>
                <w:szCs w:val="14"/>
                <w:color w:val="auto"/>
              </w:rPr>
            </w:pPr>
          </w:p>
        </w:tc>
      </w:tr>
      <w:tr>
        <w:trPr>
          <w:trHeight w:val="210"/>
        </w:trPr>
        <w:tc>
          <w:tcPr>
            <w:tcW w:w="20" w:type="dxa"/>
            <w:vAlign w:val="bottom"/>
          </w:tcPr>
          <w:p>
            <w:pPr>
              <w:spacing w:after="0"/>
              <w:rPr>
                <w:sz w:val="18"/>
                <w:szCs w:val="18"/>
                <w:color w:val="auto"/>
              </w:rPr>
            </w:pPr>
          </w:p>
        </w:tc>
        <w:tc>
          <w:tcPr>
            <w:tcW w:w="1300" w:type="dxa"/>
            <w:vAlign w:val="bottom"/>
            <w:shd w:val="clear" w:color="auto" w:fill="CCEEFF"/>
          </w:tcPr>
          <w:p>
            <w:pPr>
              <w:spacing w:after="0"/>
              <w:rPr>
                <w:sz w:val="20"/>
                <w:szCs w:val="20"/>
                <w:color w:val="auto"/>
              </w:rPr>
            </w:pPr>
            <w:r>
              <w:rPr>
                <w:rFonts w:ascii="Arial" w:cs="Arial" w:eastAsia="Arial" w:hAnsi="Arial"/>
                <w:sz w:val="18"/>
                <w:szCs w:val="18"/>
                <w:color w:val="auto"/>
              </w:rPr>
              <w:t>Gold</w:t>
            </w:r>
          </w:p>
        </w:tc>
        <w:tc>
          <w:tcPr>
            <w:tcW w:w="700" w:type="dxa"/>
            <w:vAlign w:val="bottom"/>
            <w:shd w:val="clear" w:color="auto" w:fill="CCEEFF"/>
          </w:tcPr>
          <w:p>
            <w:pPr>
              <w:ind w:left="160"/>
              <w:spacing w:after="0"/>
              <w:rPr>
                <w:sz w:val="20"/>
                <w:szCs w:val="20"/>
                <w:color w:val="auto"/>
              </w:rPr>
            </w:pPr>
            <w:r>
              <w:rPr>
                <w:rFonts w:ascii="Arial" w:cs="Arial" w:eastAsia="Arial" w:hAnsi="Arial"/>
                <w:sz w:val="18"/>
                <w:szCs w:val="18"/>
                <w:color w:val="auto"/>
                <w:w w:val="86"/>
              </w:rPr>
              <w:t>1.98 g/t</w:t>
            </w:r>
          </w:p>
        </w:tc>
        <w:tc>
          <w:tcPr>
            <w:tcW w:w="160" w:type="dxa"/>
            <w:vAlign w:val="bottom"/>
            <w:shd w:val="clear" w:color="auto" w:fill="CCEEFF"/>
          </w:tcPr>
          <w:p>
            <w:pPr>
              <w:spacing w:after="0"/>
              <w:rPr>
                <w:sz w:val="18"/>
                <w:szCs w:val="18"/>
                <w:color w:val="auto"/>
              </w:rPr>
            </w:pPr>
          </w:p>
        </w:tc>
        <w:tc>
          <w:tcPr>
            <w:tcW w:w="1060" w:type="dxa"/>
            <w:vAlign w:val="bottom"/>
            <w:shd w:val="clear" w:color="auto" w:fill="CCEEFF"/>
          </w:tcPr>
          <w:p>
            <w:pPr>
              <w:ind w:left="120"/>
              <w:spacing w:after="0"/>
              <w:rPr>
                <w:sz w:val="20"/>
                <w:szCs w:val="20"/>
                <w:color w:val="auto"/>
              </w:rPr>
            </w:pPr>
            <w:r>
              <w:rPr>
                <w:rFonts w:ascii="Arial" w:cs="Arial" w:eastAsia="Arial" w:hAnsi="Arial"/>
                <w:sz w:val="18"/>
                <w:szCs w:val="18"/>
                <w:color w:val="auto"/>
              </w:rPr>
              <w:t>107,232 oz</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64.10%</w:t>
            </w:r>
          </w:p>
        </w:tc>
        <w:tc>
          <w:tcPr>
            <w:tcW w:w="160" w:type="dxa"/>
            <w:vAlign w:val="bottom"/>
            <w:shd w:val="clear" w:color="auto" w:fill="CCEEFF"/>
          </w:tcPr>
          <w:p>
            <w:pPr>
              <w:spacing w:after="0"/>
              <w:rPr>
                <w:sz w:val="18"/>
                <w:szCs w:val="18"/>
                <w:color w:val="auto"/>
              </w:rPr>
            </w:pPr>
          </w:p>
        </w:tc>
        <w:tc>
          <w:tcPr>
            <w:tcW w:w="1380" w:type="dxa"/>
            <w:vAlign w:val="bottom"/>
            <w:shd w:val="clear" w:color="auto" w:fill="CCEEFF"/>
          </w:tcPr>
          <w:p>
            <w:pPr>
              <w:ind w:left="140"/>
              <w:spacing w:after="0"/>
              <w:rPr>
                <w:sz w:val="20"/>
                <w:szCs w:val="20"/>
                <w:color w:val="auto"/>
              </w:rPr>
            </w:pPr>
            <w:r>
              <w:rPr>
                <w:rFonts w:ascii="Arial" w:cs="Arial" w:eastAsia="Arial" w:hAnsi="Arial"/>
                <w:sz w:val="18"/>
                <w:szCs w:val="18"/>
                <w:color w:val="auto"/>
              </w:rPr>
              <w:t>41,617 oz</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24.9%</w:t>
            </w:r>
          </w:p>
        </w:tc>
        <w:tc>
          <w:tcPr>
            <w:tcW w:w="160" w:type="dxa"/>
            <w:vAlign w:val="bottom"/>
            <w:shd w:val="clear" w:color="auto" w:fill="CCEEFF"/>
          </w:tcPr>
          <w:p>
            <w:pPr>
              <w:spacing w:after="0"/>
              <w:rPr>
                <w:sz w:val="18"/>
                <w:szCs w:val="18"/>
                <w:color w:val="auto"/>
              </w:rPr>
            </w:pPr>
          </w:p>
        </w:tc>
        <w:tc>
          <w:tcPr>
            <w:tcW w:w="1120" w:type="dxa"/>
            <w:vAlign w:val="bottom"/>
            <w:shd w:val="clear" w:color="auto" w:fill="CCEEFF"/>
          </w:tcPr>
          <w:p>
            <w:pPr>
              <w:ind w:left="140"/>
              <w:spacing w:after="0"/>
              <w:rPr>
                <w:sz w:val="20"/>
                <w:szCs w:val="20"/>
                <w:color w:val="auto"/>
              </w:rPr>
            </w:pPr>
            <w:r>
              <w:rPr>
                <w:rFonts w:ascii="Arial" w:cs="Arial" w:eastAsia="Arial" w:hAnsi="Arial"/>
                <w:sz w:val="18"/>
                <w:szCs w:val="18"/>
                <w:color w:val="auto"/>
              </w:rPr>
              <w:t>148,849 oz</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89.0%</w:t>
            </w:r>
          </w:p>
        </w:tc>
        <w:tc>
          <w:tcPr>
            <w:tcW w:w="16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148,849 oz</w:t>
            </w:r>
          </w:p>
        </w:tc>
      </w:tr>
    </w:tbl>
    <w:p>
      <w:pPr>
        <w:spacing w:after="0" w:line="208"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Environmental Matters</w:t>
      </w:r>
    </w:p>
    <w:p>
      <w:pPr>
        <w:spacing w:after="0" w:line="225" w:lineRule="exact"/>
        <w:rPr>
          <w:sz w:val="20"/>
          <w:szCs w:val="20"/>
          <w:color w:val="auto"/>
        </w:rPr>
      </w:pPr>
    </w:p>
    <w:p>
      <w:pPr>
        <w:jc w:val="both"/>
        <w:ind w:firstLine="545"/>
        <w:spacing w:after="0" w:line="256" w:lineRule="auto"/>
        <w:rPr>
          <w:sz w:val="20"/>
          <w:szCs w:val="20"/>
          <w:color w:val="auto"/>
        </w:rPr>
      </w:pPr>
      <w:r>
        <w:rPr>
          <w:rFonts w:ascii="Arial" w:cs="Arial" w:eastAsia="Arial" w:hAnsi="Arial"/>
          <w:sz w:val="18"/>
          <w:szCs w:val="18"/>
          <w:color w:val="auto"/>
        </w:rPr>
        <w:t>Environmental permits for the construction and operation of an ore extracting infrastructure at the Goldex Mine were received from the Ministry of Sustainable Development, Environment and Parks (Quebec) in October 2005. The permits also covered the construction and operation of a sedimentation pond for mine water treatment and sewage facilities, and these facilities have been built at the Goldex Mine site. In June 2009, permits were revised to permit the expansion of the mine and mill operations to 8,500 tonnes per day.</w:t>
      </w:r>
    </w:p>
    <w:p>
      <w:pPr>
        <w:spacing w:after="0" w:line="197" w:lineRule="exact"/>
        <w:rPr>
          <w:sz w:val="20"/>
          <w:szCs w:val="20"/>
          <w:color w:val="auto"/>
        </w:rPr>
      </w:pPr>
    </w:p>
    <w:p>
      <w:pPr>
        <w:jc w:val="both"/>
        <w:ind w:firstLine="362"/>
        <w:spacing w:after="0" w:line="287" w:lineRule="auto"/>
        <w:rPr>
          <w:sz w:val="20"/>
          <w:szCs w:val="20"/>
          <w:color w:val="auto"/>
        </w:rPr>
      </w:pPr>
      <w:r>
        <w:rPr>
          <w:rFonts w:ascii="Arial" w:cs="Arial" w:eastAsia="Arial" w:hAnsi="Arial"/>
          <w:sz w:val="16"/>
          <w:szCs w:val="16"/>
          <w:color w:val="auto"/>
        </w:rPr>
        <w:t>In November 2006, the Company and the Quebec government signed an agreement permitting the Company to dispose of the Goldex tailings at the Manitou minesite, a tailings site formerly used by an unrelated third party and abandoned to the Quebec government. The Manitou tailings site has issues relating to acid drainage and the construction of tailings facilities by the Company and the deposit of tailings from the Goldex plant on the Manitou tailings site was accepted by the Ministry of Sustainable Development, Environment and Parks (Quebec) as a valid rehabilitation plan to address the acid generation problem at Manitou. Under the agreement, the Company managed the construction and operation of the tailings facilities and the Quebec government paid all additional costs above the Company's budget for tailings facilities set out in the Goldex feasibility study. The Quebec government retains responsibility for all environmental contamination at the Manitou tailings site and for final closure of the facilities. In addition, the Company has built a separate tailings deposition area (auxiliary tailings pond) near the Goldex Mine. Environmental permits for the construction and operation of the auxiliary tailings pond at the Goldex Mine were received in March 2007. In 2009, 6,000 tonnes of Goldex tailings were discharged to the auxiliary pond for a total to date of 493,000 tonnes. At the Manitou site, 2.57 million tonnes of Goldex tailings were discharged for a total to date of 3.2 million tonnes.</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Capital Expenditures</w:t>
      </w:r>
    </w:p>
    <w:p>
      <w:pPr>
        <w:spacing w:after="0" w:line="225" w:lineRule="exact"/>
        <w:rPr>
          <w:sz w:val="20"/>
          <w:szCs w:val="20"/>
          <w:color w:val="auto"/>
        </w:rPr>
      </w:pPr>
    </w:p>
    <w:p>
      <w:pPr>
        <w:jc w:val="both"/>
        <w:ind w:firstLine="392"/>
        <w:spacing w:after="0" w:line="306" w:lineRule="auto"/>
        <w:rPr>
          <w:sz w:val="20"/>
          <w:szCs w:val="20"/>
          <w:color w:val="auto"/>
        </w:rPr>
      </w:pPr>
      <w:r>
        <w:rPr>
          <w:rFonts w:ascii="Arial" w:cs="Arial" w:eastAsia="Arial" w:hAnsi="Arial"/>
          <w:sz w:val="16"/>
          <w:szCs w:val="16"/>
          <w:color w:val="auto"/>
        </w:rPr>
        <w:t>Capital expenditures at the Goldex Mine in 2009 were approximately $24 million, which included $4 million on sustaining capital expenditures, $9 million for the mill expansion project, $2 million for exploration, $8 million in deferred development expenses and $1 million for other projects. Sustaining capital expenditures are expected to be $4.5 million in 2010 and $17.6 million over the period from 2010 through 2014.</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Development</w:t>
      </w:r>
    </w:p>
    <w:p>
      <w:pPr>
        <w:spacing w:after="0" w:line="225" w:lineRule="exact"/>
        <w:rPr>
          <w:sz w:val="20"/>
          <w:szCs w:val="20"/>
          <w:color w:val="auto"/>
        </w:rPr>
      </w:pPr>
    </w:p>
    <w:p>
      <w:pPr>
        <w:jc w:val="both"/>
        <w:ind w:firstLine="589"/>
        <w:spacing w:after="0" w:line="259" w:lineRule="auto"/>
        <w:rPr>
          <w:sz w:val="20"/>
          <w:szCs w:val="20"/>
          <w:color w:val="auto"/>
        </w:rPr>
      </w:pPr>
      <w:r>
        <w:rPr>
          <w:rFonts w:ascii="Arial" w:cs="Arial" w:eastAsia="Arial" w:hAnsi="Arial"/>
          <w:sz w:val="18"/>
          <w:szCs w:val="18"/>
          <w:color w:val="auto"/>
        </w:rPr>
        <w:t>During 2009, approximately 5,000 metres of lateral and vertical development were completed at a cost of $12 million. For 2010, 3,115 metres of development is planned with a budget of $10 million (including $9 million for deferred development). In addition, ramp access from Level 49 to Level 37 will be completed in 2010.</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77" w:name="page78"/>
    <w:bookmarkEnd w:id="77"/>
    <w:p>
      <w:pPr>
        <w:spacing w:after="0"/>
        <w:rPr>
          <w:sz w:val="20"/>
          <w:szCs w:val="20"/>
          <w:color w:val="auto"/>
        </w:rPr>
      </w:pPr>
      <w:r>
        <w:rPr>
          <w:rFonts w:ascii="Arial" w:cs="Arial" w:eastAsia="Arial" w:hAnsi="Arial"/>
          <w:sz w:val="18"/>
          <w:szCs w:val="18"/>
          <w:i w:val="1"/>
          <w:iCs w:val="1"/>
          <w:u w:val="single" w:color="auto"/>
          <w:color w:val="auto"/>
        </w:rPr>
        <w:t>Geology, Mineralization and Exploration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Geology</w:t>
      </w:r>
    </w:p>
    <w:p>
      <w:pPr>
        <w:spacing w:after="0" w:line="225" w:lineRule="exact"/>
        <w:rPr>
          <w:sz w:val="20"/>
          <w:szCs w:val="20"/>
          <w:color w:val="auto"/>
        </w:rPr>
      </w:pPr>
    </w:p>
    <w:p>
      <w:pPr>
        <w:jc w:val="both"/>
        <w:ind w:firstLine="424"/>
        <w:spacing w:after="0" w:line="255" w:lineRule="auto"/>
        <w:rPr>
          <w:sz w:val="20"/>
          <w:szCs w:val="20"/>
          <w:color w:val="auto"/>
        </w:rPr>
      </w:pPr>
      <w:r>
        <w:rPr>
          <w:rFonts w:ascii="Arial" w:cs="Arial" w:eastAsia="Arial" w:hAnsi="Arial"/>
          <w:sz w:val="18"/>
          <w:szCs w:val="18"/>
          <w:color w:val="auto"/>
        </w:rPr>
        <w:t>Geologically, the Goldex property is similar to the LaRonde property and is located near the southern boundary of the Archean-age (2.7 billion years old) Abitibi Subprovince, a typical granite-greenstone terrane located within the Superior Province of the Canadian Shield. The southern contact of the Abitibi Subprovince with the Pontiac Subprovince is marked by the east-southeast trending CLL Fault Zone, the most important regional structural feature. The Goldex deposit is hosted within a quartz diorite sill, the Goldex Granodiorite, located in a succession of mafic to ultramafic volcanic rocks that are all generally oriented west-northwest.</w:t>
      </w:r>
    </w:p>
    <w:p>
      <w:pPr>
        <w:spacing w:after="0" w:line="197" w:lineRule="exact"/>
        <w:rPr>
          <w:sz w:val="20"/>
          <w:szCs w:val="20"/>
          <w:color w:val="auto"/>
        </w:rPr>
      </w:pPr>
    </w:p>
    <w:p>
      <w:pPr>
        <w:jc w:val="both"/>
        <w:ind w:firstLine="564"/>
        <w:spacing w:after="0" w:line="256" w:lineRule="auto"/>
        <w:rPr>
          <w:sz w:val="20"/>
          <w:szCs w:val="20"/>
          <w:color w:val="auto"/>
        </w:rPr>
      </w:pPr>
      <w:r>
        <w:rPr>
          <w:rFonts w:ascii="Arial" w:cs="Arial" w:eastAsia="Arial" w:hAnsi="Arial"/>
          <w:sz w:val="18"/>
          <w:szCs w:val="18"/>
          <w:color w:val="auto"/>
        </w:rPr>
        <w:t>The GEZ, which hosts all of the current mineral reserves, extends from 500 to 800 metres below the surface and is entirely hosted by the Goldex Granodiorite. The limits of the zone are defined by the intensity of the quartz vein stockwork envelope and by gold assays. The zone is almost egg-shaped; it is over 300 metres tall by 450 metres long (in a west-northwest direction) and its thickness increases rapidly from 25 metres along the east-west edges to almost 150 metres in the centre.</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Mineralization</w:t>
      </w:r>
    </w:p>
    <w:p>
      <w:pPr>
        <w:spacing w:after="0" w:line="225" w:lineRule="exact"/>
        <w:rPr>
          <w:sz w:val="20"/>
          <w:szCs w:val="20"/>
          <w:color w:val="auto"/>
        </w:rPr>
      </w:pPr>
    </w:p>
    <w:p>
      <w:pPr>
        <w:jc w:val="both"/>
        <w:ind w:firstLine="386"/>
        <w:spacing w:after="0" w:line="291" w:lineRule="auto"/>
        <w:rPr>
          <w:sz w:val="20"/>
          <w:szCs w:val="20"/>
          <w:color w:val="auto"/>
        </w:rPr>
      </w:pPr>
      <w:r>
        <w:rPr>
          <w:rFonts w:ascii="Arial" w:cs="Arial" w:eastAsia="Arial" w:hAnsi="Arial"/>
          <w:sz w:val="16"/>
          <w:szCs w:val="16"/>
          <w:color w:val="auto"/>
        </w:rPr>
        <w:t>Gold mineralization at Goldex corresponds to the quartz-tourmaline vein deposit type. The Goldex gold-bearing quartz-tourmaline-pyrite veins and veinlets have strong structural control. The most significant structure directly related to mineralization is a discrete shear zone, the Goldex Mylonite, that is up to five metres wide and occurs within the Goldex Granodiorite, just south of the GEZ and most other gold occurrences. The quartz-tourmaline-pyrite vein mineralization is controlled by minor fracture zones that are oriented west-northwest and dip steeply north or south. The fractures are parallel to but north of the Goldex Mylonite. Within the GEZ are three vein sets, the most important of which are extensional-shear veins dipping 30 degrees south and usually less than 10 centimetres thick. The vein sets and associated alteration combine to form stacked envelopes up to 30 metres thick.</w:t>
      </w:r>
    </w:p>
    <w:p>
      <w:pPr>
        <w:spacing w:after="0" w:line="174" w:lineRule="exact"/>
        <w:rPr>
          <w:sz w:val="20"/>
          <w:szCs w:val="20"/>
          <w:color w:val="auto"/>
        </w:rPr>
      </w:pPr>
    </w:p>
    <w:p>
      <w:pPr>
        <w:jc w:val="both"/>
        <w:ind w:firstLine="391"/>
        <w:spacing w:after="0" w:line="256" w:lineRule="auto"/>
        <w:rPr>
          <w:sz w:val="20"/>
          <w:szCs w:val="20"/>
          <w:color w:val="auto"/>
        </w:rPr>
      </w:pPr>
      <w:r>
        <w:rPr>
          <w:rFonts w:ascii="Arial" w:cs="Arial" w:eastAsia="Arial" w:hAnsi="Arial"/>
          <w:sz w:val="18"/>
          <w:szCs w:val="18"/>
          <w:color w:val="auto"/>
        </w:rPr>
        <w:t>Strong albite-sericite alteration of the host-rock quartz diorite surrounds the quartz-tourmaline-pyrite veins and covers almost 80% of the mineralized zone; outside of the envelopes, prior chlorite alteration affects the quartz diorite and gives it a darker grey-green colour. Occasionally, enclaves of relatively unaltered medium grey-green-coloured quartz diorite (with no veining or gold) are found within the GEZ; they are included exceptionally as internal waste to allow for a smooth shape, required for mining purposes.</w:t>
      </w:r>
    </w:p>
    <w:p>
      <w:pPr>
        <w:spacing w:after="0" w:line="197" w:lineRule="exact"/>
        <w:rPr>
          <w:sz w:val="20"/>
          <w:szCs w:val="20"/>
          <w:color w:val="auto"/>
        </w:rPr>
      </w:pPr>
    </w:p>
    <w:p>
      <w:pPr>
        <w:jc w:val="both"/>
        <w:ind w:firstLine="508"/>
        <w:spacing w:after="0" w:line="306" w:lineRule="auto"/>
        <w:rPr>
          <w:sz w:val="20"/>
          <w:szCs w:val="20"/>
          <w:color w:val="auto"/>
        </w:rPr>
      </w:pPr>
      <w:r>
        <w:rPr>
          <w:rFonts w:ascii="Arial" w:cs="Arial" w:eastAsia="Arial" w:hAnsi="Arial"/>
          <w:sz w:val="16"/>
          <w:szCs w:val="16"/>
          <w:color w:val="auto"/>
        </w:rPr>
        <w:t>Most of the gold occurs as microscopic particles that are almost always associated with pyrite, generally adjacent to grains and crystals but also 20% included within the pyrite. The gold-bearing pyrite occurs in the quartz-tourmaline veins and in narrow fractures in the sericite-albite-altered quartz diorite (generally immediately adjacent to the veins). Less than 1.5% of the gold occurs as the mineral calaverite, a gold telluride.</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Exploration</w:t>
      </w:r>
    </w:p>
    <w:p>
      <w:pPr>
        <w:spacing w:after="0" w:line="225" w:lineRule="exact"/>
        <w:rPr>
          <w:sz w:val="20"/>
          <w:szCs w:val="20"/>
          <w:color w:val="auto"/>
        </w:rPr>
      </w:pPr>
    </w:p>
    <w:p>
      <w:pPr>
        <w:jc w:val="both"/>
        <w:ind w:firstLine="447"/>
        <w:spacing w:after="0" w:line="290" w:lineRule="auto"/>
        <w:rPr>
          <w:sz w:val="20"/>
          <w:szCs w:val="20"/>
          <w:color w:val="auto"/>
        </w:rPr>
      </w:pPr>
      <w:r>
        <w:rPr>
          <w:rFonts w:ascii="Arial" w:cs="Arial" w:eastAsia="Arial" w:hAnsi="Arial"/>
          <w:sz w:val="16"/>
          <w:szCs w:val="16"/>
          <w:color w:val="auto"/>
        </w:rPr>
        <w:t>In 2009, 52 holes for a total length of 8,917 metres were drilled at the Goldex Mine with 212 metres of lateral development on Level 84 for exploration purposes. Four zones, all located in the Goldex Granodiorite intrusive, have been drilled. Thirty-three holes for 5,014 metres were drilled in the M-zone (a zone similar to the GEZ located 150 metres above the western end of the GEZ); M-zone is the main contributor to the increase in mineral reserves during 2009. Thirteen holes for 2,275 metres were drilled to define the western end of the S-zone, located 40 metres above the GEZ. Six holes were drilled in the E-zone to initiate the E-zone conversion program (including one hole drilled at depth below the E-zone (GEZ Deep)). Results of the 2009 exploration program converted 3.6 million tonnes of mineral resources at year-end 2008 into 3.2 million tonnes of probable mineral reserves at year-end 2009 and redefined the inferred mineral resources of the S-zone from 0.6 million tonnes at year-end 2008 to 1.5 million tonnes at year-end 2009.</w:t>
      </w:r>
    </w:p>
    <w:p>
      <w:pPr>
        <w:spacing w:after="0" w:line="172" w:lineRule="exact"/>
        <w:rPr>
          <w:sz w:val="20"/>
          <w:szCs w:val="20"/>
          <w:color w:val="auto"/>
        </w:rPr>
      </w:pPr>
    </w:p>
    <w:p>
      <w:pPr>
        <w:jc w:val="both"/>
        <w:ind w:right="20" w:firstLine="392"/>
        <w:spacing w:after="0" w:line="259" w:lineRule="auto"/>
        <w:rPr>
          <w:sz w:val="20"/>
          <w:szCs w:val="20"/>
          <w:color w:val="auto"/>
        </w:rPr>
      </w:pPr>
      <w:r>
        <w:rPr>
          <w:rFonts w:ascii="Arial" w:cs="Arial" w:eastAsia="Arial" w:hAnsi="Arial"/>
          <w:sz w:val="18"/>
          <w:szCs w:val="18"/>
          <w:color w:val="auto"/>
        </w:rPr>
        <w:t>More exploration is needed to define the possible extension or repetition of the zone at depth and in its east-west extensions. The inferred mineralization in the eastern portion of the property extends 175 metres east and 125 metres below the current envelope of probable mineral reserves. The zone is open above Level 73 to the east-southeast for approximately 300 metres.</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8" w:name="page79"/>
    <w:bookmarkEnd w:id="78"/>
    <w:p>
      <w:pPr>
        <w:jc w:val="both"/>
        <w:ind w:right="20" w:firstLine="435"/>
        <w:spacing w:after="0" w:line="332" w:lineRule="auto"/>
        <w:rPr>
          <w:sz w:val="20"/>
          <w:szCs w:val="20"/>
          <w:color w:val="auto"/>
        </w:rPr>
      </w:pPr>
      <w:r>
        <w:rPr>
          <w:rFonts w:ascii="Arial" w:cs="Arial" w:eastAsia="Arial" w:hAnsi="Arial"/>
          <w:sz w:val="16"/>
          <w:szCs w:val="16"/>
          <w:color w:val="auto"/>
        </w:rPr>
        <w:t>The 2010 exploration program is projected to include 28,206 metres of drilling. The primary target is GEZ Deep below the actual production levels. The remainder of drilling will be dedicated to conversion of the E-zone resources to reserves and to explore to the west and east of the GEZ and the south zones.</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u w:val="single" w:color="auto"/>
          <w:color w:val="auto"/>
        </w:rPr>
        <w:t>Kittila Mine</w:t>
      </w:r>
    </w:p>
    <w:p>
      <w:pPr>
        <w:spacing w:after="0" w:line="225" w:lineRule="exact"/>
        <w:rPr>
          <w:sz w:val="20"/>
          <w:szCs w:val="20"/>
          <w:color w:val="auto"/>
        </w:rPr>
      </w:pPr>
    </w:p>
    <w:p>
      <w:pPr>
        <w:jc w:val="both"/>
        <w:ind w:firstLine="464"/>
        <w:spacing w:after="0" w:line="291" w:lineRule="auto"/>
        <w:rPr>
          <w:sz w:val="20"/>
          <w:szCs w:val="20"/>
          <w:color w:val="auto"/>
        </w:rPr>
      </w:pPr>
      <w:r>
        <w:rPr>
          <w:rFonts w:ascii="Arial" w:cs="Arial" w:eastAsia="Arial" w:hAnsi="Arial"/>
          <w:sz w:val="16"/>
          <w:szCs w:val="16"/>
          <w:color w:val="auto"/>
        </w:rPr>
        <w:t>The Kittila Mine, which commenced commercial production in May 2009, is located approximately 900 kilometres north of Helsinki and 50 kilometres northeast of the town of Kittila in northern Finland. At December 31, 2009, the Kittila Mine was estimated to contain probable mineral reserves of 4.0 million ounces of gold comprised of 26.0 million tonnes of ore grading 4.83 grams per tonne. The Kittila Mine is accessible by paved road from the village of Kiistala, which is located on the southern portion of the main claim block. The gold deposit is located near the small village of Rouravaara, approximately ten kilometres north of the village of Kiistala, accessible via a paved road. The property is close to infrastructure, including hydro power, an airport and the town of Kittila. The project also has access to a qualified labour force, including mining and construction contractors.</w:t>
      </w:r>
    </w:p>
    <w:p>
      <w:pPr>
        <w:spacing w:after="0" w:line="174" w:lineRule="exact"/>
        <w:rPr>
          <w:sz w:val="20"/>
          <w:szCs w:val="20"/>
          <w:color w:val="auto"/>
        </w:rPr>
      </w:pPr>
    </w:p>
    <w:p>
      <w:pPr>
        <w:jc w:val="both"/>
        <w:ind w:firstLine="624"/>
        <w:spacing w:after="0" w:line="256" w:lineRule="auto"/>
        <w:rPr>
          <w:sz w:val="20"/>
          <w:szCs w:val="20"/>
          <w:color w:val="auto"/>
        </w:rPr>
      </w:pPr>
      <w:r>
        <w:rPr>
          <w:rFonts w:ascii="Arial" w:cs="Arial" w:eastAsia="Arial" w:hAnsi="Arial"/>
          <w:sz w:val="18"/>
          <w:szCs w:val="18"/>
          <w:color w:val="auto"/>
        </w:rPr>
        <w:t>The total landholdings surrounding and including the Kittila Mine comprise one mining licence covering an area of approximately 847 hectares, 130 individual tenements (valid claims) covering approximately 11,130 hectares and 152 claim applications covering approximately 13,730 hectares. The mineral titles form a continuous block around the Kittila mining licence. The block has been divided into the Suurikuusikko area, the Suurikuusikko West area and the Kittila mining licence centred at 25.4110 degrees longitude east and 67.9683 degrees latitude north.</w:t>
      </w:r>
    </w:p>
    <w:p>
      <w:pPr>
        <w:spacing w:after="0" w:line="197" w:lineRule="exact"/>
        <w:rPr>
          <w:sz w:val="20"/>
          <w:szCs w:val="20"/>
          <w:color w:val="auto"/>
        </w:rPr>
      </w:pPr>
    </w:p>
    <w:p>
      <w:pPr>
        <w:jc w:val="both"/>
        <w:ind w:firstLine="362"/>
        <w:spacing w:after="0" w:line="254" w:lineRule="auto"/>
        <w:rPr>
          <w:sz w:val="20"/>
          <w:szCs w:val="20"/>
          <w:color w:val="auto"/>
        </w:rPr>
      </w:pPr>
      <w:r>
        <w:rPr>
          <w:rFonts w:ascii="Arial" w:cs="Arial" w:eastAsia="Arial" w:hAnsi="Arial"/>
          <w:sz w:val="18"/>
          <w:szCs w:val="18"/>
          <w:color w:val="auto"/>
        </w:rPr>
        <w:t>The boundary of the mining licence is determined by ground-surveyed points whereas the boundaries of the other tenements are not required to be surveyed. All of the tenements in the Kittila Mine are registered in the name of Agnico-Eagle AB, an indirect, wholly-owned subsidiary of the Company. According to the Finnish government's land tenure records, all tenements are in good standing. The expiry dates of the tenements vary from April 2010 up to June 2014. Tenements are valid between three and five years, provided a small annual fee is paid to maintain title, and extensions can be granted for three years or more. Agnico-Eagle AB also holds the mining licence in respect of the Kittila Mine. The mine is subject to a 2.0% net smelter return royalty payable to the Republic of Finland starting in 2011.</w:t>
      </w:r>
    </w:p>
    <w:p>
      <w:pPr>
        <w:spacing w:after="0" w:line="198" w:lineRule="exact"/>
        <w:rPr>
          <w:sz w:val="20"/>
          <w:szCs w:val="20"/>
          <w:color w:val="auto"/>
        </w:rPr>
      </w:pPr>
    </w:p>
    <w:p>
      <w:pPr>
        <w:jc w:val="both"/>
        <w:ind w:firstLine="409"/>
        <w:spacing w:after="0" w:line="255" w:lineRule="auto"/>
        <w:rPr>
          <w:sz w:val="20"/>
          <w:szCs w:val="20"/>
          <w:color w:val="auto"/>
        </w:rPr>
      </w:pPr>
      <w:r>
        <w:rPr>
          <w:rFonts w:ascii="Arial" w:cs="Arial" w:eastAsia="Arial" w:hAnsi="Arial"/>
          <w:sz w:val="18"/>
          <w:szCs w:val="18"/>
          <w:color w:val="auto"/>
        </w:rPr>
        <w:t>The Kittila Mine area is sparsely populated and is situated between 200 and 245 metres elevation above sea level. The topography is characterized by low rolling forested hills separated by marshes, lakes and interconnected rivers. The gold deposit is situated on an area of land that has no special use at present and there is sufficient land available for tailings facilities. Water requirements for the Kittila Mine are sourced from the nearby Seurujoki River, recirculation of water from pit dewatering and tailings pond water. The Kittila region is located within the South-West Lapland zone of the northern boreal vegetation zone characterized by spruce forests, marshes and bogs.</w:t>
      </w:r>
    </w:p>
    <w:p>
      <w:pPr>
        <w:spacing w:after="0" w:line="197" w:lineRule="exact"/>
        <w:rPr>
          <w:sz w:val="20"/>
          <w:szCs w:val="20"/>
          <w:color w:val="auto"/>
        </w:rPr>
      </w:pPr>
    </w:p>
    <w:p>
      <w:pPr>
        <w:jc w:val="both"/>
        <w:ind w:firstLine="379"/>
        <w:spacing w:after="0" w:line="254" w:lineRule="auto"/>
        <w:rPr>
          <w:sz w:val="20"/>
          <w:szCs w:val="20"/>
          <w:color w:val="auto"/>
        </w:rPr>
      </w:pPr>
      <w:r>
        <w:rPr>
          <w:rFonts w:ascii="Arial" w:cs="Arial" w:eastAsia="Arial" w:hAnsi="Arial"/>
          <w:sz w:val="18"/>
          <w:szCs w:val="18"/>
          <w:color w:val="auto"/>
        </w:rPr>
        <w:t>The mine is located within the Arctic Circle but the climate is moderated by the Gulf Stream off the coast of Norway such that northern Finland's climate is comparable to that of eastern Canada. Winter temperatures range from -10 to -30 degrees Celsius, whereas summer temperatures range from 10 degrees Celsius to the mid-20s. Exploration and mining work can be carried out year round. Because of its northern latitude, winter days are extremely short with a brief period of 24-hour darkness around the winter solstice. Conversely, summer days are very long with a brief period of 24-hour daylight in early summer around the summer solstice. Annual precipitation varies between five and 50 centimetres, one-third of which falls as snow. Snow accumulation usually begins in November and remains until March or April.</w:t>
      </w: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9" w:name="page80"/>
    <w:bookmarkEnd w:id="79"/>
    <w:p>
      <w:pPr>
        <w:spacing w:after="0"/>
        <w:rPr>
          <w:sz w:val="20"/>
          <w:szCs w:val="20"/>
          <w:color w:val="auto"/>
        </w:rPr>
      </w:pPr>
      <w:r>
        <w:rPr>
          <w:rFonts w:ascii="Arial" w:cs="Arial" w:eastAsia="Arial" w:hAnsi="Arial"/>
          <w:sz w:val="18"/>
          <w:szCs w:val="18"/>
          <w:color w:val="auto"/>
        </w:rPr>
        <w:t>Location Map of the Kittila Mine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665480</wp:posOffset>
            </wp:positionH>
            <wp:positionV relativeFrom="paragraph">
              <wp:posOffset>148590</wp:posOffset>
            </wp:positionV>
            <wp:extent cx="6174740" cy="465645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6174740" cy="46564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jc w:val="both"/>
        <w:ind w:firstLine="366"/>
        <w:spacing w:after="0" w:line="289" w:lineRule="auto"/>
        <w:rPr>
          <w:sz w:val="20"/>
          <w:szCs w:val="20"/>
          <w:color w:val="auto"/>
        </w:rPr>
      </w:pPr>
      <w:r>
        <w:rPr>
          <w:rFonts w:ascii="Arial" w:cs="Arial" w:eastAsia="Arial" w:hAnsi="Arial"/>
          <w:sz w:val="16"/>
          <w:szCs w:val="16"/>
          <w:color w:val="auto"/>
        </w:rPr>
        <w:t>The Company acquired its 100%, indirect interest in the Kittila Mine through the acquisition of Riddarhyttan completed in November 2005. See "— History and Development of the Company". In June 2006, on the basis of an independently reviewed feasibility study, the Company approved construction of the Kittila Mine. The Kittila Mine is currently an open pit mining operation with underground mining via ramp access expected to be gradually phased in over three years. The initial underground stope was mined in early 2010. Ore is processed in a 3,000-tonne per day surface processing plant that was commissioned in late 2008. Limited gold concentrate production started in September 2008 and gold dore bar production commenced in January 2009. The Kittila Mine is anticipated to produce approximately 147,000 ounces of gold in 2010 at estimated total cash costs per ounce of approximately $502. Over the period of 2010 to 2023, total average gold production of approximately 150,000 ounces annually is anticipated. A scoping study is underway to assess the feasibility of significantly increasing the annual gold production. This could involve sinking a new shaft and expanding the Kittila mill.</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80" w:name="page81"/>
    <w:bookmarkEnd w:id="80"/>
    <w:p>
      <w:pPr>
        <w:spacing w:after="0"/>
        <w:rPr>
          <w:sz w:val="20"/>
          <w:szCs w:val="20"/>
          <w:color w:val="auto"/>
        </w:rPr>
      </w:pPr>
      <w:r>
        <w:rPr>
          <w:rFonts w:ascii="Arial" w:cs="Arial" w:eastAsia="Arial" w:hAnsi="Arial"/>
          <w:sz w:val="18"/>
          <w:szCs w:val="18"/>
          <w:i w:val="1"/>
          <w:iCs w:val="1"/>
          <w:u w:val="single" w:color="auto"/>
          <w:color w:val="auto"/>
        </w:rPr>
        <w:t>Mining and Milling Facilities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Surface Plan of the Kittila Mine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2226310</wp:posOffset>
            </wp:positionH>
            <wp:positionV relativeFrom="paragraph">
              <wp:posOffset>148590</wp:posOffset>
            </wp:positionV>
            <wp:extent cx="3070225" cy="443357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3070225" cy="44335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both"/>
        <w:ind w:firstLine="376"/>
        <w:spacing w:after="0" w:line="323" w:lineRule="auto"/>
        <w:rPr>
          <w:sz w:val="20"/>
          <w:szCs w:val="20"/>
          <w:color w:val="auto"/>
        </w:rPr>
      </w:pPr>
      <w:r>
        <w:rPr>
          <w:rFonts w:ascii="Arial" w:cs="Arial" w:eastAsia="Arial" w:hAnsi="Arial"/>
          <w:sz w:val="15"/>
          <w:szCs w:val="15"/>
          <w:color w:val="auto"/>
        </w:rPr>
        <w:t>The orebodies at Kittila are being mined initially from two open pits, followed by underground operations to mine the deposits at depth. Additional, smaller open pits will be used to mine any remaining mineral reserves close to the surface in the future. Open pit mining started in May 2008 and the extracted ore was stockpiled. As of December 2009, a total of 862,000 tonnes of ore have been processed, 263,234 tonnes of ore stockpiled and 16.9 million tonnes of waste rock had been excavated. Work on the ramp to access the underground reserves continued and total underground development to date is approximately 9,500 metres.</w:t>
      </w:r>
    </w:p>
    <w:p>
      <w:pPr>
        <w:spacing w:after="0" w:line="15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Mining Methods</w:t>
      </w:r>
    </w:p>
    <w:p>
      <w:pPr>
        <w:spacing w:after="0" w:line="225" w:lineRule="exact"/>
        <w:rPr>
          <w:sz w:val="20"/>
          <w:szCs w:val="20"/>
          <w:color w:val="auto"/>
        </w:rPr>
      </w:pPr>
    </w:p>
    <w:p>
      <w:pPr>
        <w:jc w:val="both"/>
        <w:ind w:firstLine="421"/>
        <w:spacing w:after="0" w:line="298" w:lineRule="auto"/>
        <w:rPr>
          <w:sz w:val="20"/>
          <w:szCs w:val="20"/>
          <w:color w:val="auto"/>
        </w:rPr>
      </w:pPr>
      <w:r>
        <w:rPr>
          <w:rFonts w:ascii="Arial" w:cs="Arial" w:eastAsia="Arial" w:hAnsi="Arial"/>
          <w:sz w:val="16"/>
          <w:szCs w:val="16"/>
          <w:color w:val="auto"/>
        </w:rPr>
        <w:t>The Kittila Mine currently mines the Suurikuusikko orebody with a 160-metre deep open pit. Ore is mined in 7.5-metre benches together with waste rock using buffer blasting techniques and is loaded selectively to minimize dilution and maximize ore recovery. Hydraulic excavators load ore into 100-tonne trucks that haul the ore to the crusher and the waste rock to the waste disposal area. Approximately 3,000 tonnes of ore per day are fed to the concentrator. Surface mining is expected to continue through 2013, during which time the ramp access to the underground mine will continue to be developed.</w:t>
      </w:r>
    </w:p>
    <w:p>
      <w:pPr>
        <w:spacing w:after="0" w:line="167" w:lineRule="exact"/>
        <w:rPr>
          <w:sz w:val="20"/>
          <w:szCs w:val="20"/>
          <w:color w:val="auto"/>
        </w:rPr>
      </w:pPr>
    </w:p>
    <w:p>
      <w:pPr>
        <w:jc w:val="both"/>
        <w:ind w:firstLine="348"/>
        <w:spacing w:after="0" w:line="256" w:lineRule="auto"/>
        <w:rPr>
          <w:sz w:val="20"/>
          <w:szCs w:val="20"/>
          <w:color w:val="auto"/>
        </w:rPr>
      </w:pPr>
      <w:r>
        <w:rPr>
          <w:rFonts w:ascii="Arial" w:cs="Arial" w:eastAsia="Arial" w:hAnsi="Arial"/>
          <w:sz w:val="18"/>
          <w:szCs w:val="18"/>
          <w:color w:val="auto"/>
        </w:rPr>
        <w:t>The underground mining method will be open stoping with delayed backfill. Stopes will be from 25 to 40 metres high and yield approximately 10,000 tonnes of ore per stope. To ensure sufficient ore production is available to supply the mill, approximately 5,000 metres of tunnels will be developed each year. After extraction, stopes will be filled with cemented backfill or paste fill to enable the safe extraction of ore in adjacent stopes. Ore will be trucked to the surface crusher via the ramp access system.</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81" w:name="page82"/>
    <w:bookmarkEnd w:id="81"/>
    <w:p>
      <w:pPr>
        <w:spacing w:after="0"/>
        <w:rPr>
          <w:sz w:val="20"/>
          <w:szCs w:val="20"/>
          <w:color w:val="auto"/>
        </w:rPr>
      </w:pPr>
      <w:r>
        <w:rPr>
          <w:rFonts w:ascii="Arial" w:cs="Arial" w:eastAsia="Arial" w:hAnsi="Arial"/>
          <w:sz w:val="18"/>
          <w:szCs w:val="18"/>
          <w:i w:val="1"/>
          <w:iCs w:val="1"/>
          <w:color w:val="auto"/>
        </w:rPr>
        <w:t>Surface Facilities</w:t>
      </w:r>
    </w:p>
    <w:p>
      <w:pPr>
        <w:spacing w:after="0" w:line="225" w:lineRule="exact"/>
        <w:rPr>
          <w:sz w:val="20"/>
          <w:szCs w:val="20"/>
          <w:color w:val="auto"/>
        </w:rPr>
      </w:pPr>
    </w:p>
    <w:p>
      <w:pPr>
        <w:jc w:val="both"/>
        <w:ind w:firstLine="366"/>
        <w:spacing w:after="0" w:line="259" w:lineRule="auto"/>
        <w:rPr>
          <w:sz w:val="20"/>
          <w:szCs w:val="20"/>
          <w:color w:val="auto"/>
        </w:rPr>
      </w:pPr>
      <w:r>
        <w:rPr>
          <w:rFonts w:ascii="Arial" w:cs="Arial" w:eastAsia="Arial" w:hAnsi="Arial"/>
          <w:sz w:val="18"/>
          <w:szCs w:val="18"/>
          <w:color w:val="auto"/>
        </w:rPr>
        <w:t>Construction of the processing plant and associated equipment was completed in 2008 and facilities on site include an office building, a maintenance facility for the open pit equipment, a warehouse, a maintenance shop, an oxygen plant, a processing plant, a tank farm, a crusher, conveyor housings and an ore bin. In addition, some temporary structures house contractor offices and work areas.</w:t>
      </w:r>
    </w:p>
    <w:p>
      <w:pPr>
        <w:spacing w:after="0" w:line="194" w:lineRule="exact"/>
        <w:rPr>
          <w:sz w:val="20"/>
          <w:szCs w:val="20"/>
          <w:color w:val="auto"/>
        </w:rPr>
      </w:pPr>
    </w:p>
    <w:p>
      <w:pPr>
        <w:jc w:val="both"/>
        <w:ind w:firstLine="467"/>
        <w:spacing w:after="0" w:line="268" w:lineRule="auto"/>
        <w:rPr>
          <w:sz w:val="20"/>
          <w:szCs w:val="20"/>
          <w:color w:val="auto"/>
        </w:rPr>
      </w:pPr>
      <w:r>
        <w:rPr>
          <w:rFonts w:ascii="Arial" w:cs="Arial" w:eastAsia="Arial" w:hAnsi="Arial"/>
          <w:sz w:val="18"/>
          <w:szCs w:val="18"/>
          <w:color w:val="auto"/>
        </w:rPr>
        <w:t>The ore at Kittila is treated by grinding, flotation, pressure oxidation and carbon-in-leach circuits. Gold is recovered from the carbon in a Zadra elution circuit and is recovered from solution using electrowinning and then poured into dore bars using an electric induction furnace.</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Mineral Recoveries</w:t>
      </w:r>
    </w:p>
    <w:p>
      <w:pPr>
        <w:spacing w:after="0" w:line="225" w:lineRule="exact"/>
        <w:rPr>
          <w:sz w:val="20"/>
          <w:szCs w:val="20"/>
          <w:color w:val="auto"/>
        </w:rPr>
      </w:pPr>
    </w:p>
    <w:p>
      <w:pPr>
        <w:jc w:val="both"/>
        <w:ind w:firstLine="354"/>
        <w:spacing w:after="0" w:line="256" w:lineRule="auto"/>
        <w:rPr>
          <w:sz w:val="20"/>
          <w:szCs w:val="20"/>
          <w:color w:val="auto"/>
        </w:rPr>
      </w:pPr>
      <w:r>
        <w:rPr>
          <w:rFonts w:ascii="Arial" w:cs="Arial" w:eastAsia="Arial" w:hAnsi="Arial"/>
          <w:sz w:val="18"/>
          <w:szCs w:val="18"/>
          <w:color w:val="auto"/>
        </w:rPr>
        <w:t>In 2009, the Kittila mill processed 750,660 tonnes of ore with an availability of 80% for an average throughput of 2,570 tonnes per day. Low mill availability was caused by maintenance issues associated with the autoclave, mainly leaking seals on valves and blocked air pipes caused by continuous start-stop cycles. During the last quarter of 2009, there were very few autoclave stoppages and leaking seals and blocked pipes were not an issue. Mill availability in the fourth quarter of 2009 was 84% with a total throughput of 250,964 tonnes.</w:t>
      </w:r>
    </w:p>
    <w:p>
      <w:pPr>
        <w:spacing w:after="0" w:line="197"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following table sets out the gold production at the Kittila Mine in 2009:</w:t>
      </w:r>
    </w:p>
    <w:p>
      <w:pPr>
        <w:spacing w:after="0" w:line="221" w:lineRule="exact"/>
        <w:rPr>
          <w:sz w:val="20"/>
          <w:szCs w:val="20"/>
          <w:color w:val="auto"/>
        </w:rPr>
      </w:pPr>
    </w:p>
    <w:p>
      <w:pPr>
        <w:ind w:left="8820"/>
        <w:spacing w:after="0"/>
        <w:rPr>
          <w:sz w:val="20"/>
          <w:szCs w:val="20"/>
          <w:color w:val="auto"/>
        </w:rPr>
      </w:pPr>
      <w:r>
        <w:rPr>
          <w:rFonts w:ascii="Arial" w:cs="Arial" w:eastAsia="Arial" w:hAnsi="Arial"/>
          <w:sz w:val="14"/>
          <w:szCs w:val="14"/>
          <w:b w:val="1"/>
          <w:bCs w:val="1"/>
          <w:color w:val="auto"/>
        </w:rPr>
        <w:t>Overall</w:t>
      </w:r>
    </w:p>
    <w:p>
      <w:pPr>
        <w:ind w:left="7120"/>
        <w:spacing w:after="0"/>
        <w:tabs>
          <w:tab w:leader="none" w:pos="8000" w:val="left"/>
          <w:tab w:leader="none" w:pos="8840" w:val="left"/>
          <w:tab w:leader="none" w:pos="9660" w:val="left"/>
        </w:tabs>
        <w:rPr>
          <w:sz w:val="20"/>
          <w:szCs w:val="20"/>
          <w:color w:val="auto"/>
        </w:rPr>
      </w:pPr>
      <w:r>
        <w:rPr>
          <w:rFonts w:ascii="Arial" w:cs="Arial" w:eastAsia="Arial" w:hAnsi="Arial"/>
          <w:sz w:val="14"/>
          <w:szCs w:val="14"/>
          <w:b w:val="1"/>
          <w:bCs w:val="1"/>
          <w:color w:val="auto"/>
        </w:rPr>
        <w:t>Head</w:t>
      </w:r>
      <w:r>
        <w:rPr>
          <w:sz w:val="20"/>
          <w:szCs w:val="20"/>
          <w:color w:val="auto"/>
        </w:rPr>
        <w:tab/>
      </w:r>
      <w:r>
        <w:rPr>
          <w:rFonts w:ascii="Arial" w:cs="Arial" w:eastAsia="Arial" w:hAnsi="Arial"/>
          <w:sz w:val="14"/>
          <w:szCs w:val="14"/>
          <w:b w:val="1"/>
          <w:bCs w:val="1"/>
          <w:color w:val="auto"/>
        </w:rPr>
        <w:t>Dore</w:t>
      </w:r>
      <w:r>
        <w:rPr>
          <w:sz w:val="20"/>
          <w:szCs w:val="20"/>
          <w:color w:val="auto"/>
        </w:rPr>
        <w:tab/>
      </w:r>
      <w:r>
        <w:rPr>
          <w:rFonts w:ascii="Arial" w:cs="Arial" w:eastAsia="Arial" w:hAnsi="Arial"/>
          <w:sz w:val="14"/>
          <w:szCs w:val="14"/>
          <w:b w:val="1"/>
          <w:bCs w:val="1"/>
          <w:color w:val="auto"/>
        </w:rPr>
        <w:t>Metal</w:t>
      </w:r>
      <w:r>
        <w:rPr>
          <w:sz w:val="20"/>
          <w:szCs w:val="20"/>
          <w:color w:val="auto"/>
        </w:rPr>
        <w:tab/>
      </w:r>
      <w:r>
        <w:rPr>
          <w:rFonts w:ascii="Arial" w:cs="Arial" w:eastAsia="Arial" w:hAnsi="Arial"/>
          <w:sz w:val="12"/>
          <w:szCs w:val="12"/>
          <w:b w:val="1"/>
          <w:bCs w:val="1"/>
          <w:color w:val="auto"/>
        </w:rPr>
        <w:t>Payable</w:t>
      </w:r>
    </w:p>
    <w:p>
      <w:pPr>
        <w:ind w:left="7100"/>
        <w:spacing w:after="0"/>
        <w:tabs>
          <w:tab w:leader="none" w:pos="7860" w:val="left"/>
          <w:tab w:leader="none" w:pos="8740" w:val="left"/>
          <w:tab w:leader="none" w:pos="9560" w:val="left"/>
        </w:tabs>
        <w:rPr>
          <w:sz w:val="20"/>
          <w:szCs w:val="20"/>
          <w:color w:val="auto"/>
        </w:rPr>
      </w:pPr>
      <w:r>
        <w:rPr>
          <w:rFonts w:ascii="Arial" w:cs="Arial" w:eastAsia="Arial" w:hAnsi="Arial"/>
          <w:sz w:val="14"/>
          <w:szCs w:val="14"/>
          <w:b w:val="1"/>
          <w:bCs w:val="1"/>
          <w:color w:val="auto"/>
        </w:rPr>
        <w:t>Grade</w:t>
      </w:r>
      <w:r>
        <w:rPr>
          <w:sz w:val="20"/>
          <w:szCs w:val="20"/>
          <w:color w:val="auto"/>
        </w:rPr>
        <w:tab/>
      </w:r>
      <w:r>
        <w:rPr>
          <w:rFonts w:ascii="Arial" w:cs="Arial" w:eastAsia="Arial" w:hAnsi="Arial"/>
          <w:sz w:val="14"/>
          <w:szCs w:val="14"/>
          <w:b w:val="1"/>
          <w:bCs w:val="1"/>
          <w:color w:val="auto"/>
        </w:rPr>
        <w:t>Produced</w:t>
      </w:r>
      <w:r>
        <w:rPr>
          <w:sz w:val="20"/>
          <w:szCs w:val="20"/>
          <w:color w:val="auto"/>
        </w:rPr>
        <w:tab/>
      </w:r>
      <w:r>
        <w:rPr>
          <w:rFonts w:ascii="Arial" w:cs="Arial" w:eastAsia="Arial" w:hAnsi="Arial"/>
          <w:sz w:val="14"/>
          <w:szCs w:val="14"/>
          <w:b w:val="1"/>
          <w:bCs w:val="1"/>
          <w:color w:val="auto"/>
        </w:rPr>
        <w:t>Recovery</w:t>
      </w:r>
      <w:r>
        <w:rPr>
          <w:sz w:val="20"/>
          <w:szCs w:val="20"/>
          <w:color w:val="auto"/>
        </w:rPr>
        <w:tab/>
      </w:r>
      <w:r>
        <w:rPr>
          <w:rFonts w:ascii="Arial" w:cs="Arial" w:eastAsia="Arial" w:hAnsi="Arial"/>
          <w:sz w:val="12"/>
          <w:szCs w:val="12"/>
          <w:b w:val="1"/>
          <w:bCs w:val="1"/>
          <w:color w:val="auto"/>
        </w:rPr>
        <w:t>Production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4404360</wp:posOffset>
            </wp:positionH>
            <wp:positionV relativeFrom="paragraph">
              <wp:posOffset>-7620</wp:posOffset>
            </wp:positionV>
            <wp:extent cx="2126615" cy="889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2126615" cy="8890"/>
                    </a:xfrm>
                    <a:prstGeom prst="rect">
                      <a:avLst/>
                    </a:prstGeom>
                    <a:noFill/>
                  </pic:spPr>
                </pic:pic>
              </a:graphicData>
            </a:graphic>
          </wp:anchor>
        </w:drawing>
      </w:r>
    </w:p>
    <w:p>
      <w:pPr>
        <w:ind w:left="1140"/>
        <w:spacing w:after="0"/>
        <w:tabs>
          <w:tab w:leader="none" w:pos="7060" w:val="left"/>
          <w:tab w:leader="none" w:pos="7820" w:val="left"/>
          <w:tab w:leader="none" w:pos="8820" w:val="left"/>
          <w:tab w:leader="none" w:pos="9560" w:val="left"/>
        </w:tabs>
        <w:rPr>
          <w:sz w:val="20"/>
          <w:szCs w:val="20"/>
          <w:color w:val="auto"/>
        </w:rPr>
      </w:pPr>
      <w:r>
        <w:rPr>
          <w:rFonts w:ascii="Arial" w:cs="Arial" w:eastAsia="Arial" w:hAnsi="Arial"/>
          <w:sz w:val="18"/>
          <w:szCs w:val="18"/>
          <w:color w:val="auto"/>
        </w:rPr>
        <w:t>Gold</w:t>
      </w:r>
      <w:r>
        <w:rPr>
          <w:sz w:val="20"/>
          <w:szCs w:val="20"/>
          <w:color w:val="auto"/>
        </w:rPr>
        <w:tab/>
      </w:r>
      <w:r>
        <w:rPr>
          <w:rFonts w:ascii="Arial" w:cs="Arial" w:eastAsia="Arial" w:hAnsi="Arial"/>
          <w:sz w:val="18"/>
          <w:szCs w:val="18"/>
          <w:color w:val="auto"/>
        </w:rPr>
        <w:t>5.02 g/t</w:t>
        <w:tab/>
        <w:t>72,207 oz</w:t>
      </w:r>
      <w:r>
        <w:rPr>
          <w:sz w:val="20"/>
          <w:szCs w:val="20"/>
          <w:color w:val="auto"/>
        </w:rPr>
        <w:tab/>
      </w:r>
      <w:r>
        <w:rPr>
          <w:rFonts w:ascii="Arial" w:cs="Arial" w:eastAsia="Arial" w:hAnsi="Arial"/>
          <w:sz w:val="18"/>
          <w:szCs w:val="18"/>
          <w:color w:val="auto"/>
        </w:rPr>
        <w:t>59.60%</w:t>
      </w:r>
      <w:r>
        <w:rPr>
          <w:sz w:val="20"/>
          <w:szCs w:val="20"/>
          <w:color w:val="auto"/>
        </w:rPr>
        <w:tab/>
      </w:r>
      <w:r>
        <w:rPr>
          <w:rFonts w:ascii="Arial" w:cs="Arial" w:eastAsia="Arial" w:hAnsi="Arial"/>
          <w:sz w:val="15"/>
          <w:szCs w:val="15"/>
          <w:color w:val="auto"/>
        </w:rPr>
        <w:t>71,838 oz</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734060</wp:posOffset>
            </wp:positionH>
            <wp:positionV relativeFrom="paragraph">
              <wp:posOffset>-130175</wp:posOffset>
            </wp:positionV>
            <wp:extent cx="5797550" cy="13716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5797550" cy="137160"/>
                    </a:xfrm>
                    <a:prstGeom prst="rect">
                      <a:avLst/>
                    </a:prstGeom>
                    <a:noFill/>
                  </pic:spPr>
                </pic:pic>
              </a:graphicData>
            </a:graphic>
          </wp:anchor>
        </w:drawing>
      </w:r>
    </w:p>
    <w:p>
      <w:pPr>
        <w:spacing w:after="0" w:line="197" w:lineRule="exact"/>
        <w:rPr>
          <w:sz w:val="20"/>
          <w:szCs w:val="20"/>
          <w:color w:val="auto"/>
        </w:rPr>
      </w:pPr>
    </w:p>
    <w:p>
      <w:pPr>
        <w:jc w:val="both"/>
        <w:ind w:firstLine="381"/>
        <w:spacing w:after="0" w:line="332" w:lineRule="auto"/>
        <w:rPr>
          <w:sz w:val="20"/>
          <w:szCs w:val="20"/>
          <w:color w:val="auto"/>
        </w:rPr>
      </w:pPr>
      <w:r>
        <w:rPr>
          <w:rFonts w:ascii="Arial" w:cs="Arial" w:eastAsia="Arial" w:hAnsi="Arial"/>
          <w:sz w:val="16"/>
          <w:szCs w:val="16"/>
          <w:color w:val="auto"/>
        </w:rPr>
        <w:t>Optimization of flotation recoveries has gone well and recoveries in the latter part of the year were consistently greater than 91%. Trials are still in progress with the aim to increase the flotation recovery even further. Batch laboratory flotation test-work is underway to optimize this process.</w:t>
      </w:r>
    </w:p>
    <w:p>
      <w:pPr>
        <w:spacing w:after="0" w:line="139" w:lineRule="exact"/>
        <w:rPr>
          <w:sz w:val="20"/>
          <w:szCs w:val="20"/>
          <w:color w:val="auto"/>
        </w:rPr>
      </w:pPr>
    </w:p>
    <w:p>
      <w:pPr>
        <w:jc w:val="both"/>
        <w:ind w:firstLine="380"/>
        <w:spacing w:after="0" w:line="255" w:lineRule="auto"/>
        <w:rPr>
          <w:sz w:val="20"/>
          <w:szCs w:val="20"/>
          <w:color w:val="auto"/>
        </w:rPr>
      </w:pPr>
      <w:r>
        <w:rPr>
          <w:rFonts w:ascii="Arial" w:cs="Arial" w:eastAsia="Arial" w:hAnsi="Arial"/>
          <w:sz w:val="18"/>
          <w:szCs w:val="18"/>
          <w:color w:val="auto"/>
        </w:rPr>
        <w:t>At the start of production, carbon-in-leach recoveries were between 60% and 75% but deteriorated quickly and were only approximately 25% by the end of February. Poor recovery was attributed to the formation of a chloride compound in the autoclave resulting in dissolved gold being absorbed by organic carbon contained in the ore before reaching the carbon-in-leach circuit. To reduce and better control the effect of the chloride, changes were made to the flow-sheet. The changes included removing the acidulation stage; stopping the recycling of autoclave discharge back to the autoclave feed; and optimizing the distribution management of the autoclave oxygen.</w:t>
      </w:r>
    </w:p>
    <w:p>
      <w:pPr>
        <w:spacing w:after="0" w:line="197" w:lineRule="exact"/>
        <w:rPr>
          <w:sz w:val="20"/>
          <w:szCs w:val="20"/>
          <w:color w:val="auto"/>
        </w:rPr>
      </w:pPr>
    </w:p>
    <w:p>
      <w:pPr>
        <w:jc w:val="both"/>
        <w:ind w:firstLine="371"/>
        <w:spacing w:after="0" w:line="268" w:lineRule="auto"/>
        <w:rPr>
          <w:sz w:val="20"/>
          <w:szCs w:val="20"/>
          <w:color w:val="auto"/>
        </w:rPr>
      </w:pPr>
      <w:r>
        <w:rPr>
          <w:rFonts w:ascii="Arial" w:cs="Arial" w:eastAsia="Arial" w:hAnsi="Arial"/>
          <w:sz w:val="18"/>
          <w:szCs w:val="18"/>
          <w:color w:val="auto"/>
        </w:rPr>
        <w:t>By June recovery had improved to 80% and since then, in trials, recoveries have at times reached over 90%. The carbon-in-leach recovery, however, has not been consistent. Further optimization and development work is ongoing.</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Environmental Matters</w:t>
      </w:r>
    </w:p>
    <w:p>
      <w:pPr>
        <w:spacing w:after="0" w:line="225" w:lineRule="exact"/>
        <w:rPr>
          <w:sz w:val="20"/>
          <w:szCs w:val="20"/>
          <w:color w:val="auto"/>
        </w:rPr>
      </w:pPr>
    </w:p>
    <w:p>
      <w:pPr>
        <w:jc w:val="both"/>
        <w:ind w:firstLine="445"/>
        <w:spacing w:after="0" w:line="259" w:lineRule="auto"/>
        <w:rPr>
          <w:sz w:val="20"/>
          <w:szCs w:val="20"/>
          <w:color w:val="auto"/>
        </w:rPr>
      </w:pPr>
      <w:r>
        <w:rPr>
          <w:rFonts w:ascii="Arial" w:cs="Arial" w:eastAsia="Arial" w:hAnsi="Arial"/>
          <w:sz w:val="18"/>
          <w:szCs w:val="18"/>
          <w:color w:val="auto"/>
        </w:rPr>
        <w:t>The Company currently holds a mining licence, an environmental permit and operational permits in respect of the Kittila Mine. All permits necessary to begin production were received during 2008, including an environmental permit update to change from a biological oxidation process to a pressure oxidation process and to change the slopes of the waste rock pile to decrease the footprint.</w:t>
      </w:r>
    </w:p>
    <w:p>
      <w:pPr>
        <w:spacing w:after="0" w:line="194" w:lineRule="exact"/>
        <w:rPr>
          <w:sz w:val="20"/>
          <w:szCs w:val="20"/>
          <w:color w:val="auto"/>
        </w:rPr>
      </w:pPr>
    </w:p>
    <w:p>
      <w:pPr>
        <w:jc w:val="both"/>
        <w:ind w:firstLine="413"/>
        <w:spacing w:after="0" w:line="298" w:lineRule="auto"/>
        <w:rPr>
          <w:sz w:val="20"/>
          <w:szCs w:val="20"/>
          <w:color w:val="auto"/>
        </w:rPr>
      </w:pPr>
      <w:r>
        <w:rPr>
          <w:rFonts w:ascii="Arial" w:cs="Arial" w:eastAsia="Arial" w:hAnsi="Arial"/>
          <w:sz w:val="16"/>
          <w:szCs w:val="16"/>
          <w:color w:val="auto"/>
        </w:rPr>
        <w:t>The construction of the first phase of the tailings dam and waterproof bottom layer was completed in the fall of 2008. This first phase is sufficient to hold tailings from three years of production. Work began on the second phase in 2009. Water from dewatering the mine and water used in the mine and mill is collected and treated by sedimentation. Emissions and environmental impact are monitored in accordance with the comprehensive monitoring program that has been approved by the Finnish environmental authorities. There are no material environmental liabilities related to the Kittila Mine.</w:t>
      </w:r>
    </w:p>
    <w:p>
      <w:pPr>
        <w:spacing w:after="0" w:line="1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82" w:name="page83"/>
    <w:bookmarkEnd w:id="82"/>
    <w:p>
      <w:pPr>
        <w:spacing w:after="0"/>
        <w:rPr>
          <w:sz w:val="20"/>
          <w:szCs w:val="20"/>
          <w:color w:val="auto"/>
        </w:rPr>
      </w:pPr>
      <w:r>
        <w:rPr>
          <w:rFonts w:ascii="Arial" w:cs="Arial" w:eastAsia="Arial" w:hAnsi="Arial"/>
          <w:sz w:val="18"/>
          <w:szCs w:val="18"/>
          <w:i w:val="1"/>
          <w:iCs w:val="1"/>
          <w:color w:val="auto"/>
        </w:rPr>
        <w:t>Capital Expenditures</w:t>
      </w:r>
    </w:p>
    <w:p>
      <w:pPr>
        <w:spacing w:after="0" w:line="225" w:lineRule="exact"/>
        <w:rPr>
          <w:sz w:val="20"/>
          <w:szCs w:val="20"/>
          <w:color w:val="auto"/>
        </w:rPr>
      </w:pPr>
    </w:p>
    <w:p>
      <w:pPr>
        <w:jc w:val="both"/>
        <w:ind w:firstLine="397"/>
        <w:spacing w:after="0" w:line="255" w:lineRule="auto"/>
        <w:rPr>
          <w:sz w:val="20"/>
          <w:szCs w:val="20"/>
          <w:color w:val="auto"/>
        </w:rPr>
      </w:pPr>
      <w:r>
        <w:rPr>
          <w:rFonts w:ascii="Arial" w:cs="Arial" w:eastAsia="Arial" w:hAnsi="Arial"/>
          <w:sz w:val="18"/>
          <w:szCs w:val="18"/>
          <w:color w:val="auto"/>
        </w:rPr>
        <w:t>Capital expenditures at the Kittila Mine during 2009 were approximately $90 million, which included deferred production costs prior to commencement of commercial production as of May 1, 2009, mill modification costs, underground mine development costs, exploration and conversion drilling costs within the mining licence area and sustaining capital costs. The Company expects capital expenditures at the Kittila Mine in 2010 to be approximately $57.3 million, most of which will be used for mining equipment for underground mining, development and construction of underground mining infrastructure and exploration and conversion drilling.</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Development</w:t>
      </w:r>
    </w:p>
    <w:p>
      <w:pPr>
        <w:spacing w:after="0" w:line="225" w:lineRule="exact"/>
        <w:rPr>
          <w:sz w:val="20"/>
          <w:szCs w:val="20"/>
          <w:color w:val="auto"/>
        </w:rPr>
      </w:pPr>
    </w:p>
    <w:p>
      <w:pPr>
        <w:jc w:val="both"/>
        <w:ind w:firstLine="436"/>
        <w:spacing w:after="0" w:line="256" w:lineRule="auto"/>
        <w:rPr>
          <w:sz w:val="20"/>
          <w:szCs w:val="20"/>
          <w:color w:val="auto"/>
        </w:rPr>
      </w:pPr>
      <w:r>
        <w:rPr>
          <w:rFonts w:ascii="Arial" w:cs="Arial" w:eastAsia="Arial" w:hAnsi="Arial"/>
          <w:sz w:val="18"/>
          <w:szCs w:val="18"/>
          <w:color w:val="auto"/>
        </w:rPr>
        <w:t>Mining at the Suurikuusikko open pit progressed throughout 2009 with a total of 781,000 tonnes of ore and nine million tonnes of waste mined from the open pit. The Company expects that 879,000 tonnes of ore and 8.6 million tonnes of waste will be mined from the Suurikuusikko pit during 2010. An additional 116,000 tonnes of ore and 900,000 tonnes of waste is expected to be mined from the Rouravaara pit during 2010. Total costs for open pit development in 2009 were $21 million.</w:t>
      </w:r>
    </w:p>
    <w:p>
      <w:pPr>
        <w:spacing w:after="0" w:line="197" w:lineRule="exact"/>
        <w:rPr>
          <w:sz w:val="20"/>
          <w:szCs w:val="20"/>
          <w:color w:val="auto"/>
        </w:rPr>
      </w:pPr>
    </w:p>
    <w:p>
      <w:pPr>
        <w:jc w:val="both"/>
        <w:ind w:firstLine="367"/>
        <w:spacing w:after="0" w:line="306" w:lineRule="auto"/>
        <w:rPr>
          <w:sz w:val="20"/>
          <w:szCs w:val="20"/>
          <w:color w:val="auto"/>
        </w:rPr>
      </w:pPr>
      <w:r>
        <w:rPr>
          <w:rFonts w:ascii="Arial" w:cs="Arial" w:eastAsia="Arial" w:hAnsi="Arial"/>
          <w:sz w:val="16"/>
          <w:szCs w:val="16"/>
          <w:color w:val="auto"/>
        </w:rPr>
        <w:t>In 2009, underground development progressed in both the Rouravaara and Suurikuusikko zones with 4,232 metres of ramp and sublevel access development completed during the year. The first test stope was mined near the end of 2009. A total of 2,500 tonnes of ore from development and 1,620 tonnes of stope ore were mined in 2009. The Company expects to complete 5,040 metres of lateral development and 540 metres of vertical development during 2010.</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i w:val="1"/>
          <w:iCs w:val="1"/>
          <w:u w:val="single" w:color="auto"/>
          <w:color w:val="auto"/>
        </w:rPr>
        <w:t>Geology, Mineralization and Exploration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Geology</w:t>
      </w:r>
    </w:p>
    <w:p>
      <w:pPr>
        <w:spacing w:after="0" w:line="225" w:lineRule="exact"/>
        <w:rPr>
          <w:sz w:val="20"/>
          <w:szCs w:val="20"/>
          <w:color w:val="auto"/>
        </w:rPr>
      </w:pPr>
    </w:p>
    <w:p>
      <w:pPr>
        <w:jc w:val="both"/>
        <w:ind w:firstLine="408"/>
        <w:spacing w:after="0" w:line="306" w:lineRule="auto"/>
        <w:rPr>
          <w:sz w:val="20"/>
          <w:szCs w:val="20"/>
          <w:color w:val="auto"/>
        </w:rPr>
      </w:pPr>
      <w:r>
        <w:rPr>
          <w:rFonts w:ascii="Arial" w:cs="Arial" w:eastAsia="Arial" w:hAnsi="Arial"/>
          <w:sz w:val="16"/>
          <w:szCs w:val="16"/>
          <w:color w:val="auto"/>
        </w:rPr>
        <w:t>The Kittila Mine is situated within the Kittila Greenstone belt, part of the Lapland Greenstone belt in the Proterozoic-age Svecofennian geologic province. The appearance and geology of the area is similar to that of the Abitibi region of the Canadian Shield. In northern Finland, the bedrock is typically covered by a thin but uniform blanket of unconsolidated glacial till. Bedrock exposures are scarce and irregularly distributed.</w:t>
      </w:r>
    </w:p>
    <w:p>
      <w:pPr>
        <w:spacing w:after="0" w:line="161" w:lineRule="exact"/>
        <w:rPr>
          <w:sz w:val="20"/>
          <w:szCs w:val="20"/>
          <w:color w:val="auto"/>
        </w:rPr>
      </w:pPr>
    </w:p>
    <w:p>
      <w:pPr>
        <w:jc w:val="both"/>
        <w:ind w:firstLine="467"/>
        <w:spacing w:after="0" w:line="291" w:lineRule="auto"/>
        <w:rPr>
          <w:sz w:val="20"/>
          <w:szCs w:val="20"/>
          <w:color w:val="auto"/>
        </w:rPr>
      </w:pPr>
      <w:r>
        <w:rPr>
          <w:rFonts w:ascii="Arial" w:cs="Arial" w:eastAsia="Arial" w:hAnsi="Arial"/>
          <w:sz w:val="16"/>
          <w:szCs w:val="16"/>
          <w:color w:val="auto"/>
        </w:rPr>
        <w:t>The mine area is underlain by mafic volcanic and sedimentary rocks metamorphosed to greenschist assemblages and assigned to the Kittila Group. The major rock units trend north to north-northeast and are near-vertical. The volcanics are further sub-divided into iron-rich tholeiitic basalts (Kautoselka Formation) located to the west and magnesium-rich tholeiitic basalt, coarse volcaniclastic units, graphitic schist and minor chemical sedimentary rocks (Vesmajarvi Formation) located to the east. The contact between these two rock units consists of a transitional zone (the Porkonen Formation) varying between 50 and 200 metres in thickness. This zone is strongly sheared, brecciated and characterized by intense hydrothermal alteration and gold mineralization, features consistent with major brittle-ductile deformation zones. It includes the north-northeast-oriented Suurikuusikko Trend.</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Mineralization</w:t>
      </w:r>
    </w:p>
    <w:p>
      <w:pPr>
        <w:spacing w:after="0" w:line="225" w:lineRule="exact"/>
        <w:rPr>
          <w:sz w:val="20"/>
          <w:szCs w:val="20"/>
          <w:color w:val="auto"/>
        </w:rPr>
      </w:pPr>
    </w:p>
    <w:p>
      <w:pPr>
        <w:jc w:val="both"/>
        <w:ind w:firstLine="352"/>
        <w:spacing w:after="0" w:line="291" w:lineRule="auto"/>
        <w:rPr>
          <w:sz w:val="20"/>
          <w:szCs w:val="20"/>
          <w:color w:val="auto"/>
        </w:rPr>
      </w:pPr>
      <w:r>
        <w:rPr>
          <w:rFonts w:ascii="Arial" w:cs="Arial" w:eastAsia="Arial" w:hAnsi="Arial"/>
          <w:sz w:val="16"/>
          <w:szCs w:val="16"/>
          <w:color w:val="auto"/>
        </w:rPr>
        <w:t>The Porkonen Formation hosts the Kittila gold deposit, which contains multiple mineralized zones stretching over a strike length of more than 25 kilometres. Most of the work has been focused on the 4.5-kilometre stretch that hosts the known gold reserves and resources. From north to south, the zones are Rimminvuoma ("Rimpi-S"), North Rouravaara ("Roura-N"), Central Rouravaara ("Roura-C"), depth extension of Rouravaara and Suurikuusikko ("Suuri/Roura Deep"), Suurikuusikko ("Suuri"), Etela and Ketola. The Suuri and Suuri/Roura Deep zones include several parallel sub-zones that have previously been referred to as Main East, Main Central and Main West. The Suuri zone hosts approximately 53% of the current probable gold reserve estimate on a contained-gold basis, while Suuri/Roura Deep has approximately 23%, Roura-C approximately 13%, Roura-N approximately 3% and Rimpi-S approximately 5%.</w:t>
      </w:r>
    </w:p>
    <w:p>
      <w:pPr>
        <w:spacing w:after="0" w:line="174" w:lineRule="exact"/>
        <w:rPr>
          <w:sz w:val="20"/>
          <w:szCs w:val="20"/>
          <w:color w:val="auto"/>
        </w:rPr>
      </w:pPr>
    </w:p>
    <w:p>
      <w:pPr>
        <w:jc w:val="both"/>
        <w:ind w:firstLine="355"/>
        <w:spacing w:after="0" w:line="268" w:lineRule="auto"/>
        <w:rPr>
          <w:sz w:val="20"/>
          <w:szCs w:val="20"/>
          <w:color w:val="auto"/>
        </w:rPr>
      </w:pPr>
      <w:r>
        <w:rPr>
          <w:rFonts w:ascii="Arial" w:cs="Arial" w:eastAsia="Arial" w:hAnsi="Arial"/>
          <w:sz w:val="18"/>
          <w:szCs w:val="18"/>
          <w:color w:val="auto"/>
        </w:rPr>
        <w:t>Gold mineralization in these zones is associated with intense hydrothermal alteration (carbonate-albite-sulphide), and is almost exclusively refractory, locked inside fine-grained sulphide minerals: arsenopyrite</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83" w:name="page84"/>
    <w:bookmarkEnd w:id="83"/>
    <w:p>
      <w:pPr>
        <w:spacing w:after="0"/>
        <w:rPr>
          <w:sz w:val="20"/>
          <w:szCs w:val="20"/>
          <w:color w:val="auto"/>
        </w:rPr>
      </w:pPr>
      <w:r>
        <w:rPr>
          <w:rFonts w:ascii="Arial" w:cs="Arial" w:eastAsia="Arial" w:hAnsi="Arial"/>
          <w:sz w:val="18"/>
          <w:szCs w:val="18"/>
          <w:color w:val="auto"/>
        </w:rPr>
        <w:t>(approximately 73%) or pyrite (approximately 23%). The rest is "free gold", which is manifested as extremely small grains of gold in pyrite.</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Exploration</w:t>
      </w:r>
    </w:p>
    <w:p>
      <w:pPr>
        <w:spacing w:after="0" w:line="225" w:lineRule="exact"/>
        <w:rPr>
          <w:sz w:val="20"/>
          <w:szCs w:val="20"/>
          <w:color w:val="auto"/>
        </w:rPr>
      </w:pPr>
    </w:p>
    <w:p>
      <w:pPr>
        <w:jc w:val="both"/>
        <w:ind w:firstLine="490"/>
        <w:spacing w:after="0" w:line="291" w:lineRule="auto"/>
        <w:rPr>
          <w:sz w:val="20"/>
          <w:szCs w:val="20"/>
          <w:color w:val="auto"/>
        </w:rPr>
      </w:pPr>
      <w:r>
        <w:rPr>
          <w:rFonts w:ascii="Arial" w:cs="Arial" w:eastAsia="Arial" w:hAnsi="Arial"/>
          <w:sz w:val="16"/>
          <w:szCs w:val="16"/>
          <w:color w:val="auto"/>
        </w:rPr>
        <w:t>In 1986, the discovery of coarse visible gold in quartz-carbonate veining along a road cut near the village of Kiistala alerted the Geological Survey of Finland ("GTK") to the gold exploration potential of the area. Following this discovery, GTK initiated regional exploration over the area and deployed a wide range of indirect exploration tools to explore this relatively unexplored area. Over the period from 1987 to 2005, GTK and later Riddarhyttan undertook drilling programs and other testing on the property. After it acquired the property in 1998, Riddarhyttan continued to investigate the metallurgical properties of the refractory gold mineralization with the objective of demonstrating its recoverability and assessing suitable processing scenarios and initiated engineering and environmental studies to assess the feasibility of a mining project.</w:t>
      </w:r>
    </w:p>
    <w:p>
      <w:pPr>
        <w:spacing w:after="0" w:line="174" w:lineRule="exact"/>
        <w:rPr>
          <w:sz w:val="20"/>
          <w:szCs w:val="20"/>
          <w:color w:val="auto"/>
        </w:rPr>
      </w:pPr>
    </w:p>
    <w:p>
      <w:pPr>
        <w:jc w:val="both"/>
        <w:ind w:firstLine="351"/>
        <w:spacing w:after="0" w:line="254" w:lineRule="auto"/>
        <w:rPr>
          <w:sz w:val="20"/>
          <w:szCs w:val="20"/>
          <w:color w:val="auto"/>
        </w:rPr>
      </w:pPr>
      <w:r>
        <w:rPr>
          <w:rFonts w:ascii="Arial" w:cs="Arial" w:eastAsia="Arial" w:hAnsi="Arial"/>
          <w:sz w:val="18"/>
          <w:szCs w:val="18"/>
          <w:color w:val="auto"/>
        </w:rPr>
        <w:t>Most of the work on the mining licence area has focused on the Suuri and Roura zones. Up to the end of December 2009, a total of 1,478 drill holes, totalling 418,449 metres, have been completed on the property. In 2009, between six and 11 drill machines worked on the Kittila property: two to three drills on underground infill drilling; three to eight drills on mine exploration; and one to three drills on resource-to-reserve conversion drilling. A total of 336 holes were completed for a length of 105,886 metres. Of these drill holes, 1160 drill holes (17,138 metres) were for definition drilling, 109 drill holes (32,072 metres) were for conversion drilling and 111 drill holes (56,672 metres) were related to mine exploration. Total expenditures for diamond drilling in 2009 were $21.0 million, including $2.4 million for definition and delineation drilling.</w:t>
      </w:r>
    </w:p>
    <w:p>
      <w:pPr>
        <w:spacing w:after="0" w:line="198" w:lineRule="exact"/>
        <w:rPr>
          <w:sz w:val="20"/>
          <w:szCs w:val="20"/>
          <w:color w:val="auto"/>
        </w:rPr>
      </w:pPr>
    </w:p>
    <w:p>
      <w:pPr>
        <w:jc w:val="both"/>
        <w:ind w:firstLine="351"/>
        <w:spacing w:after="0" w:line="298" w:lineRule="auto"/>
        <w:rPr>
          <w:sz w:val="20"/>
          <w:szCs w:val="20"/>
          <w:color w:val="auto"/>
        </w:rPr>
      </w:pPr>
      <w:r>
        <w:rPr>
          <w:rFonts w:ascii="Arial" w:cs="Arial" w:eastAsia="Arial" w:hAnsi="Arial"/>
          <w:sz w:val="16"/>
          <w:szCs w:val="16"/>
          <w:color w:val="auto"/>
        </w:rPr>
        <w:t>Exploration during 2009 increased proven and probable gold reserves to 4.0 million ounces (26.0 million tonnes of ore grading 4.8 grams per tonne). Most of the increase came from the Suuri/Roura Deep zone (921,904 ounces) and the Rimpi-S zone (194,694 ounces). Indicated mineral resources increased to 20.5 million tonnes of ore grading 2.1 grams per tonne. Inferred mineral resources were 5.3 million tonnes of ore grading 3.4 grams per tonne. This decrease reflected the successful conversion of resources to reserves, especially in the Suuri/Roura Deep and Rimpi-S zones.</w:t>
      </w:r>
    </w:p>
    <w:p>
      <w:pPr>
        <w:spacing w:after="0" w:line="167" w:lineRule="exact"/>
        <w:rPr>
          <w:sz w:val="20"/>
          <w:szCs w:val="20"/>
          <w:color w:val="auto"/>
        </w:rPr>
      </w:pPr>
    </w:p>
    <w:p>
      <w:pPr>
        <w:jc w:val="both"/>
        <w:ind w:firstLine="476"/>
        <w:spacing w:after="0" w:line="306" w:lineRule="auto"/>
        <w:rPr>
          <w:sz w:val="20"/>
          <w:szCs w:val="20"/>
          <w:color w:val="auto"/>
        </w:rPr>
      </w:pPr>
      <w:r>
        <w:rPr>
          <w:rFonts w:ascii="Arial" w:cs="Arial" w:eastAsia="Arial" w:hAnsi="Arial"/>
          <w:sz w:val="16"/>
          <w:szCs w:val="16"/>
          <w:color w:val="auto"/>
        </w:rPr>
        <w:t>The main Suuri zone is made up of three roughly parallel subzones, each containing several ore lenses — East, Central and West. The successful deep drilling campaign during 2009 at the Suuri/Roura Deep zone immediately below the Suuri zone has confirmed that most of the Suuri ore lenses can be traced deeper in the Suuri/Roura Deep zone. Mineralization is still open at depth and to the north, and these areas will be further tested in 2010.</w:t>
      </w:r>
    </w:p>
    <w:p>
      <w:pPr>
        <w:spacing w:after="0" w:line="161" w:lineRule="exact"/>
        <w:rPr>
          <w:sz w:val="20"/>
          <w:szCs w:val="20"/>
          <w:color w:val="auto"/>
        </w:rPr>
      </w:pPr>
    </w:p>
    <w:p>
      <w:pPr>
        <w:jc w:val="both"/>
        <w:ind w:firstLine="382"/>
        <w:spacing w:after="0" w:line="259" w:lineRule="auto"/>
        <w:rPr>
          <w:sz w:val="20"/>
          <w:szCs w:val="20"/>
          <w:color w:val="auto"/>
        </w:rPr>
      </w:pPr>
      <w:r>
        <w:rPr>
          <w:rFonts w:ascii="Arial" w:cs="Arial" w:eastAsia="Arial" w:hAnsi="Arial"/>
          <w:sz w:val="18"/>
          <w:szCs w:val="18"/>
          <w:color w:val="auto"/>
        </w:rPr>
        <w:t>An extensive resource to reserve conversion drilling campaign was carried out at Roura-N and Rimpi-S in 2009. As a result of this work, probable reserves increased by 40,021 ounces from Roura-N and by 198,694 ounces from Rimpi-S. The northernmost part of Rimpi-S is still open at depth and to the north. This area will also be tested in 2010.</w:t>
      </w:r>
    </w:p>
    <w:p>
      <w:pPr>
        <w:spacing w:after="0" w:line="194" w:lineRule="exact"/>
        <w:rPr>
          <w:sz w:val="20"/>
          <w:szCs w:val="20"/>
          <w:color w:val="auto"/>
        </w:rPr>
      </w:pPr>
    </w:p>
    <w:p>
      <w:pPr>
        <w:jc w:val="both"/>
        <w:ind w:firstLine="362"/>
        <w:spacing w:after="0" w:line="298" w:lineRule="auto"/>
        <w:rPr>
          <w:sz w:val="20"/>
          <w:szCs w:val="20"/>
          <w:color w:val="auto"/>
        </w:rPr>
      </w:pPr>
      <w:r>
        <w:rPr>
          <w:rFonts w:ascii="Arial" w:cs="Arial" w:eastAsia="Arial" w:hAnsi="Arial"/>
          <w:sz w:val="16"/>
          <w:szCs w:val="16"/>
          <w:color w:val="auto"/>
        </w:rPr>
        <w:t>Outside of the Kittila mining licence area, systematic geochemical sampling and diamond drilling continued on targets along the Suurikuusikko Trend, and a number of new targets were tested by diamond drilling. Encouraging results were received from a new gold zone in the Kuotko area located approximately ten kilometres north of the mine construction site as well as from the Hako area located one kilometre north of the mining licence area. A total of 191 diamond drill holes totalling 41,033 metres have been drilled on exploration targets outside of the mining licence area from 2006 to 2008.</w:t>
      </w:r>
    </w:p>
    <w:p>
      <w:pPr>
        <w:spacing w:after="0" w:line="167" w:lineRule="exact"/>
        <w:rPr>
          <w:sz w:val="20"/>
          <w:szCs w:val="20"/>
          <w:color w:val="auto"/>
        </w:rPr>
      </w:pPr>
    </w:p>
    <w:p>
      <w:pPr>
        <w:jc w:val="both"/>
        <w:ind w:firstLine="467"/>
        <w:spacing w:after="0" w:line="255" w:lineRule="auto"/>
        <w:rPr>
          <w:sz w:val="20"/>
          <w:szCs w:val="20"/>
          <w:color w:val="auto"/>
        </w:rPr>
      </w:pPr>
      <w:r>
        <w:rPr>
          <w:rFonts w:ascii="Arial" w:cs="Arial" w:eastAsia="Arial" w:hAnsi="Arial"/>
          <w:sz w:val="18"/>
          <w:szCs w:val="18"/>
          <w:color w:val="auto"/>
        </w:rPr>
        <w:t>The 2010 exploration budget for the Kittila Mine is approximately $12.6 million ($9.5 million for minesite exploration and $3.5 million for resource to reserve conversion), and includes over 65,000 metres in diamond drilling (40,000 metres for minesite exploration and 25,000 metres for resource to reserve conversion), using up to nine drills throughout the year to help further identify the gold reserve and resource potential of the Kittila property. In addition, $2.0 million of exploration expenditures, including an estimated 13,000 metres of diamond drilling, is planned for exploration along the 25-kilometre Suurikuusikko Trend.</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84" w:name="page85"/>
    <w:bookmarkEnd w:id="84"/>
    <w:p>
      <w:pPr>
        <w:spacing w:after="0"/>
        <w:rPr>
          <w:sz w:val="20"/>
          <w:szCs w:val="20"/>
          <w:color w:val="auto"/>
        </w:rPr>
      </w:pPr>
      <w:r>
        <w:rPr>
          <w:rFonts w:ascii="Arial" w:cs="Arial" w:eastAsia="Arial" w:hAnsi="Arial"/>
          <w:sz w:val="18"/>
          <w:szCs w:val="18"/>
          <w:b w:val="1"/>
          <w:bCs w:val="1"/>
          <w:i w:val="1"/>
          <w:iCs w:val="1"/>
          <w:u w:val="single" w:color="auto"/>
          <w:color w:val="auto"/>
        </w:rPr>
        <w:t>Lapa Mine</w:t>
      </w:r>
    </w:p>
    <w:p>
      <w:pPr>
        <w:spacing w:after="0" w:line="225" w:lineRule="exact"/>
        <w:rPr>
          <w:sz w:val="20"/>
          <w:szCs w:val="20"/>
          <w:color w:val="auto"/>
        </w:rPr>
      </w:pPr>
    </w:p>
    <w:p>
      <w:pPr>
        <w:jc w:val="both"/>
        <w:ind w:firstLine="478"/>
        <w:spacing w:after="0" w:line="298" w:lineRule="auto"/>
        <w:rPr>
          <w:sz w:val="20"/>
          <w:szCs w:val="20"/>
          <w:color w:val="auto"/>
        </w:rPr>
      </w:pPr>
      <w:r>
        <w:rPr>
          <w:rFonts w:ascii="Arial" w:cs="Arial" w:eastAsia="Arial" w:hAnsi="Arial"/>
          <w:sz w:val="16"/>
          <w:szCs w:val="16"/>
          <w:color w:val="auto"/>
        </w:rPr>
        <w:t>The Lapa Mine, which achieved commercial production in May 2009, is located approximately 11 kilometres east of the LaRonde Mine near Cadillac, Quebec. At December 31, 2009, the Lapa Mine was estimated to contain proven and probable mineral reserves of 0.8 million ounces of gold comprised of 3.2 million tonnes of ore grading 8.2 grams per tonne. The Lapa property is made up of the Tonawanda property, which consists of 43 contiguous mining claims and one provincial mining lease covering an aggregate of 702.4 hectares, and the Zulapa property, which consists of one mining concession of 93.5 hectares.</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color w:val="auto"/>
        </w:rPr>
        <w:t>Location Map of the Lapa Mine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1025525</wp:posOffset>
            </wp:positionH>
            <wp:positionV relativeFrom="paragraph">
              <wp:posOffset>147955</wp:posOffset>
            </wp:positionV>
            <wp:extent cx="5205730" cy="314706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5205730" cy="31470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jc w:val="both"/>
        <w:ind w:firstLine="370"/>
        <w:spacing w:after="0" w:line="253" w:lineRule="auto"/>
        <w:rPr>
          <w:sz w:val="20"/>
          <w:szCs w:val="20"/>
          <w:color w:val="auto"/>
        </w:rPr>
      </w:pPr>
      <w:r>
        <w:rPr>
          <w:rFonts w:ascii="Arial" w:cs="Arial" w:eastAsia="Arial" w:hAnsi="Arial"/>
          <w:sz w:val="18"/>
          <w:szCs w:val="18"/>
          <w:color w:val="auto"/>
        </w:rPr>
        <w:t>The Company's initial interest in the Lapa property was acquired in 2002 through an option agreement with Breakwater Resources Ltd. ("Breakwater"). The Company undertook an aggressive exploration program and discovered a new gold deposit almost 300 metres below the surface. In 2003, the Company purchased the Lapa property from Breakwater for a payment of $8.9 million, a 1% net smelter return royalty on the Tonawanda property and a 0.5% net smelter return royalty on the Zulapa property. In 2008, the Company purchased all royalties from Breakwater for C$6.35 million. In addition, both the Zulapa and Tonawanda properties are subject to a 5% net profit royalty payable to Alfer Inc. and René Amyot. In 2004, an additional claim of 9.4 hectares was added to the Company's holdings at the Lapa Mine. In January 2009, a mining lease covering 66.83 hectares was entered into with the Ministry of Natural Resources and Wildlife (Quebec).</w:t>
      </w:r>
    </w:p>
    <w:p>
      <w:pPr>
        <w:spacing w:after="0" w:line="201" w:lineRule="exact"/>
        <w:rPr>
          <w:sz w:val="20"/>
          <w:szCs w:val="20"/>
          <w:color w:val="auto"/>
        </w:rPr>
      </w:pPr>
    </w:p>
    <w:p>
      <w:pPr>
        <w:jc w:val="both"/>
        <w:ind w:firstLine="358"/>
        <w:spacing w:after="0" w:line="294" w:lineRule="auto"/>
        <w:rPr>
          <w:sz w:val="20"/>
          <w:szCs w:val="20"/>
          <w:color w:val="auto"/>
        </w:rPr>
      </w:pPr>
      <w:r>
        <w:rPr>
          <w:rFonts w:ascii="Arial" w:cs="Arial" w:eastAsia="Arial" w:hAnsi="Arial"/>
          <w:sz w:val="16"/>
          <w:szCs w:val="16"/>
          <w:color w:val="auto"/>
        </w:rPr>
        <w:t>The Lapa Mine is accessible by provincial highway. The elevation varies between approximately 320 and 390 metres above sea level. All of the Lapa Mine's power requirements are supplied by Hydro-Quebec through connections to its main power transmission grid. All of the water required at the Lapa Mine is sourced from the Heva river located 3.5 kilometres to the south of the mine. The water is pumped into an existing open pit nearby the property that has been allowed to flood and from which the mine is supplied. The topography slopes relatively gently from north to south. The property is generally covered by a boreal-type forest consisting mainly of black spruce and white pine with minor amounts of birch and poplar.</w:t>
      </w:r>
    </w:p>
    <w:p>
      <w:pPr>
        <w:spacing w:after="0" w:line="170" w:lineRule="exact"/>
        <w:rPr>
          <w:sz w:val="20"/>
          <w:szCs w:val="20"/>
          <w:color w:val="auto"/>
        </w:rPr>
      </w:pPr>
    </w:p>
    <w:p>
      <w:pPr>
        <w:ind w:left="360"/>
        <w:spacing w:after="0"/>
        <w:rPr>
          <w:sz w:val="20"/>
          <w:szCs w:val="20"/>
          <w:color w:val="auto"/>
        </w:rPr>
      </w:pPr>
      <w:r>
        <w:rPr>
          <w:rFonts w:ascii="Arial" w:cs="Arial" w:eastAsia="Arial" w:hAnsi="Arial"/>
          <w:sz w:val="16"/>
          <w:szCs w:val="16"/>
          <w:color w:val="auto"/>
        </w:rPr>
        <w:t>For additional information regarding the Abitibi region in which the Lapa Mine is located, see "— Property, Plant and Equipment — LaRonde Mine".</w:t>
      </w:r>
    </w:p>
    <w:p>
      <w:pPr>
        <w:spacing w:after="0" w:line="248" w:lineRule="exact"/>
        <w:rPr>
          <w:sz w:val="20"/>
          <w:szCs w:val="20"/>
          <w:color w:val="auto"/>
        </w:rPr>
      </w:pPr>
    </w:p>
    <w:p>
      <w:pPr>
        <w:jc w:val="both"/>
        <w:ind w:firstLine="733"/>
        <w:spacing w:after="0" w:line="268" w:lineRule="auto"/>
        <w:rPr>
          <w:sz w:val="20"/>
          <w:szCs w:val="20"/>
          <w:color w:val="auto"/>
        </w:rPr>
      </w:pPr>
      <w:r>
        <w:rPr>
          <w:rFonts w:ascii="Arial" w:cs="Arial" w:eastAsia="Arial" w:hAnsi="Arial"/>
          <w:sz w:val="18"/>
          <w:szCs w:val="18"/>
          <w:color w:val="auto"/>
        </w:rPr>
        <w:t>Gold production during 2010 at the Lapa Mine is expected to be approximately 115,000 ounces at estimated total cash costs per ounce of approximately $506.</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85" w:name="page86"/>
    <w:bookmarkEnd w:id="85"/>
    <w:p>
      <w:pPr>
        <w:spacing w:after="0"/>
        <w:rPr>
          <w:sz w:val="20"/>
          <w:szCs w:val="20"/>
          <w:color w:val="auto"/>
        </w:rPr>
      </w:pPr>
      <w:r>
        <w:rPr>
          <w:rFonts w:ascii="Arial" w:cs="Arial" w:eastAsia="Arial" w:hAnsi="Arial"/>
          <w:sz w:val="18"/>
          <w:szCs w:val="18"/>
          <w:i w:val="1"/>
          <w:iCs w:val="1"/>
          <w:u w:val="single" w:color="auto"/>
          <w:color w:val="auto"/>
        </w:rPr>
        <w:t>Mining and Milling Facilities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Surface Plan of the Lapa Mine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1771650</wp:posOffset>
            </wp:positionH>
            <wp:positionV relativeFrom="paragraph">
              <wp:posOffset>147955</wp:posOffset>
            </wp:positionV>
            <wp:extent cx="3970655" cy="316420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3970655" cy="31642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both"/>
        <w:ind w:firstLine="361"/>
        <w:spacing w:after="0" w:line="332" w:lineRule="auto"/>
        <w:rPr>
          <w:sz w:val="20"/>
          <w:szCs w:val="20"/>
          <w:color w:val="auto"/>
        </w:rPr>
      </w:pPr>
      <w:r>
        <w:rPr>
          <w:rFonts w:ascii="Arial" w:cs="Arial" w:eastAsia="Arial" w:hAnsi="Arial"/>
          <w:sz w:val="16"/>
          <w:szCs w:val="16"/>
          <w:color w:val="auto"/>
        </w:rPr>
        <w:t>The Lapa site hosts an underground mining operation and the ore is trucked to the processing facility at the LaRonde Mine, which has been modified to treat the ore, recover the gold and store the residues. Tailings from the Lapa Mine are deposited in the tailings pond at the LaRonde Mine.</w:t>
      </w:r>
    </w:p>
    <w:p>
      <w:pPr>
        <w:spacing w:after="0" w:line="139" w:lineRule="exact"/>
        <w:rPr>
          <w:sz w:val="20"/>
          <w:szCs w:val="20"/>
          <w:color w:val="auto"/>
        </w:rPr>
      </w:pPr>
    </w:p>
    <w:p>
      <w:pPr>
        <w:jc w:val="both"/>
        <w:ind w:firstLine="390"/>
        <w:spacing w:after="0" w:line="255" w:lineRule="auto"/>
        <w:rPr>
          <w:sz w:val="20"/>
          <w:szCs w:val="20"/>
          <w:color w:val="auto"/>
        </w:rPr>
      </w:pPr>
      <w:r>
        <w:rPr>
          <w:rFonts w:ascii="Arial" w:cs="Arial" w:eastAsia="Arial" w:hAnsi="Arial"/>
          <w:sz w:val="18"/>
          <w:szCs w:val="18"/>
          <w:color w:val="auto"/>
        </w:rPr>
        <w:t>In July 2004, the Company initiated sinking an 825-metre deep shaft at the Lapa property. In April 2006, 2,800 tonnes of ore development was extracted at Lapa and was estimated to contain on average 10.65 grams of gold per tonne. The results and results from other sampling methods were incorporated into a feasibility study and in June 2006, the Company accelerated construction of the Lapa Mine. This construction included extending the shaft to a depth of 1,369 metres, which was completed in October 2007. Significant additional construction was required in order for the Lapa Mine to achieve commercial production in May 2009, including the construction of the mill.</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Mining Methods</w:t>
      </w:r>
    </w:p>
    <w:p>
      <w:pPr>
        <w:spacing w:after="0" w:line="225" w:lineRule="exact"/>
        <w:rPr>
          <w:sz w:val="20"/>
          <w:szCs w:val="20"/>
          <w:color w:val="auto"/>
        </w:rPr>
      </w:pPr>
    </w:p>
    <w:p>
      <w:pPr>
        <w:jc w:val="both"/>
        <w:ind w:firstLine="374"/>
        <w:spacing w:after="0" w:line="259" w:lineRule="auto"/>
        <w:rPr>
          <w:sz w:val="20"/>
          <w:szCs w:val="20"/>
          <w:color w:val="auto"/>
        </w:rPr>
      </w:pPr>
      <w:r>
        <w:rPr>
          <w:rFonts w:ascii="Arial" w:cs="Arial" w:eastAsia="Arial" w:hAnsi="Arial"/>
          <w:sz w:val="18"/>
          <w:szCs w:val="18"/>
          <w:color w:val="auto"/>
        </w:rPr>
        <w:t>Two underground mining methods are used at the Lapa Mine: longitudinal retreat with cemented backfill and locally transverse open stoping with cemented backfill. Sublevels are driven at 30-metre vertical intervals. Stopes are mined in 12-metre sections and backfilled with 100% cemented rock fill. Excavated ore from the Lapa site is trucked via provincial highway to the processing facility at the LaRonde Mine.</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Surface Facilities</w:t>
      </w:r>
    </w:p>
    <w:p>
      <w:pPr>
        <w:spacing w:after="0" w:line="225" w:lineRule="exact"/>
        <w:rPr>
          <w:sz w:val="20"/>
          <w:szCs w:val="20"/>
          <w:color w:val="auto"/>
        </w:rPr>
      </w:pPr>
    </w:p>
    <w:p>
      <w:pPr>
        <w:jc w:val="both"/>
        <w:ind w:firstLine="363"/>
        <w:spacing w:after="0" w:line="256" w:lineRule="auto"/>
        <w:rPr>
          <w:sz w:val="20"/>
          <w:szCs w:val="20"/>
          <w:color w:val="auto"/>
        </w:rPr>
      </w:pPr>
      <w:r>
        <w:rPr>
          <w:rFonts w:ascii="Arial" w:cs="Arial" w:eastAsia="Arial" w:hAnsi="Arial"/>
          <w:sz w:val="18"/>
          <w:szCs w:val="18"/>
          <w:color w:val="auto"/>
        </w:rPr>
        <w:t>The infrastructure on the Lapa property includes the refurbished former LaRonde Shaft #1 headframe and shafthouse, service buildings, temporary offices, a settling pond for waste water, dry facilities, an ore bin, a diesel reservoir and a cement plant. In November 2007, lateral development began on three horizons. A backfill plant was commissioned in December 2008 and the sedimentation pond was extended in 2007 to control suspended solids from underground dewatering discharge.</w:t>
      </w:r>
    </w:p>
    <w:p>
      <w:pPr>
        <w:spacing w:after="0" w:line="197" w:lineRule="exact"/>
        <w:rPr>
          <w:sz w:val="20"/>
          <w:szCs w:val="20"/>
          <w:color w:val="auto"/>
        </w:rPr>
      </w:pPr>
    </w:p>
    <w:p>
      <w:pPr>
        <w:jc w:val="both"/>
        <w:ind w:firstLine="403"/>
        <w:spacing w:after="0" w:line="306" w:lineRule="auto"/>
        <w:rPr>
          <w:sz w:val="20"/>
          <w:szCs w:val="20"/>
          <w:color w:val="auto"/>
        </w:rPr>
      </w:pPr>
      <w:r>
        <w:rPr>
          <w:rFonts w:ascii="Arial" w:cs="Arial" w:eastAsia="Arial" w:hAnsi="Arial"/>
          <w:sz w:val="16"/>
          <w:szCs w:val="16"/>
          <w:color w:val="auto"/>
        </w:rPr>
        <w:t>Ore at the Lapa Mine is processed through grinding, gravity and leaching circuits. Dedicated milling facilities have been integrated into the facilities at the LaRonde Mine. Based on an average ore head grade of 7.29 grams per tonne, gold recovery averaged 76.03% in 2009. At the end of 2009, recovery was close to 80% and recovery is expected to be at the target of 85.65% after modifications to the gravity circuit in 2010. In addition,</w:t>
      </w:r>
    </w:p>
    <w:p>
      <w:pPr>
        <w:spacing w:after="0" w:line="16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86" w:name="page87"/>
    <w:bookmarkEnd w:id="86"/>
    <w:p>
      <w:pPr>
        <w:jc w:val="both"/>
        <w:spacing w:after="0" w:line="268" w:lineRule="auto"/>
        <w:rPr>
          <w:sz w:val="20"/>
          <w:szCs w:val="20"/>
          <w:color w:val="auto"/>
        </w:rPr>
      </w:pPr>
      <w:r>
        <w:rPr>
          <w:rFonts w:ascii="Arial" w:cs="Arial" w:eastAsia="Arial" w:hAnsi="Arial"/>
          <w:sz w:val="18"/>
          <w:szCs w:val="18"/>
          <w:color w:val="auto"/>
        </w:rPr>
        <w:t>the Company is attempting to reduce the mining dilution caused by weaker than expected rock conditions in the south wall, which is mainly composed of talc chlorite schist.</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Mineral Recoveries</w:t>
      </w:r>
    </w:p>
    <w:p>
      <w:pPr>
        <w:spacing w:after="0" w:line="225" w:lineRule="exact"/>
        <w:rPr>
          <w:sz w:val="20"/>
          <w:szCs w:val="20"/>
          <w:color w:val="auto"/>
        </w:rPr>
      </w:pPr>
    </w:p>
    <w:p>
      <w:pPr>
        <w:jc w:val="both"/>
        <w:ind w:firstLine="412"/>
        <w:spacing w:after="0" w:line="332" w:lineRule="auto"/>
        <w:rPr>
          <w:sz w:val="20"/>
          <w:szCs w:val="20"/>
          <w:color w:val="auto"/>
        </w:rPr>
      </w:pPr>
      <w:r>
        <w:rPr>
          <w:rFonts w:ascii="Arial" w:cs="Arial" w:eastAsia="Arial" w:hAnsi="Arial"/>
          <w:sz w:val="16"/>
          <w:szCs w:val="16"/>
          <w:color w:val="auto"/>
        </w:rPr>
        <w:t>From the achievement of commercial production in May 2009 to year-end, the Lapa Mine produced 299,430 tonnes of ore grading 7.29 grams of gold per tonne. The Lapa processing facility on average treated approximately 1,221 tonnes per day during this period, and operated at about 93.8% of available time.</w:t>
      </w:r>
    </w:p>
    <w:p>
      <w:pPr>
        <w:spacing w:after="0" w:line="122"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60" w:type="dxa"/>
            <w:vAlign w:val="bottom"/>
          </w:tcPr>
          <w:p>
            <w:pPr>
              <w:jc w:val="center"/>
              <w:spacing w:after="0"/>
              <w:rPr>
                <w:sz w:val="20"/>
                <w:szCs w:val="20"/>
                <w:color w:val="auto"/>
              </w:rPr>
            </w:pPr>
            <w:r>
              <w:rPr>
                <w:rFonts w:ascii="Arial" w:cs="Arial" w:eastAsia="Arial" w:hAnsi="Arial"/>
                <w:sz w:val="14"/>
                <w:szCs w:val="14"/>
                <w:b w:val="1"/>
                <w:bCs w:val="1"/>
                <w:color w:val="auto"/>
                <w:w w:val="92"/>
              </w:rPr>
              <w:t>Overall</w:t>
            </w:r>
          </w:p>
        </w:tc>
        <w:tc>
          <w:tcPr>
            <w:tcW w:w="16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160" w:type="dxa"/>
            <w:vAlign w:val="bottom"/>
          </w:tcPr>
          <w:p>
            <w:pPr>
              <w:spacing w:after="0"/>
              <w:rPr>
                <w:sz w:val="14"/>
                <w:szCs w:val="14"/>
                <w:color w:val="auto"/>
              </w:rPr>
            </w:pPr>
          </w:p>
        </w:tc>
      </w:tr>
      <w:tr>
        <w:trPr>
          <w:trHeight w:val="149"/>
        </w:trPr>
        <w:tc>
          <w:tcPr>
            <w:tcW w:w="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700" w:type="dxa"/>
            <w:vAlign w:val="bottom"/>
          </w:tcPr>
          <w:p>
            <w:pPr>
              <w:ind w:left="180"/>
              <w:spacing w:after="0" w:line="149" w:lineRule="exact"/>
              <w:rPr>
                <w:sz w:val="20"/>
                <w:szCs w:val="20"/>
                <w:color w:val="auto"/>
              </w:rPr>
            </w:pPr>
            <w:r>
              <w:rPr>
                <w:rFonts w:ascii="Arial" w:cs="Arial" w:eastAsia="Arial" w:hAnsi="Arial"/>
                <w:sz w:val="14"/>
                <w:szCs w:val="14"/>
                <w:b w:val="1"/>
                <w:bCs w:val="1"/>
                <w:color w:val="auto"/>
              </w:rPr>
              <w:t>Head</w:t>
            </w:r>
          </w:p>
        </w:tc>
        <w:tc>
          <w:tcPr>
            <w:tcW w:w="160" w:type="dxa"/>
            <w:vAlign w:val="bottom"/>
          </w:tcPr>
          <w:p>
            <w:pPr>
              <w:spacing w:after="0"/>
              <w:rPr>
                <w:sz w:val="12"/>
                <w:szCs w:val="12"/>
                <w:color w:val="auto"/>
              </w:rPr>
            </w:pPr>
          </w:p>
        </w:tc>
        <w:tc>
          <w:tcPr>
            <w:tcW w:w="840" w:type="dxa"/>
            <w:vAlign w:val="bottom"/>
          </w:tcPr>
          <w:p>
            <w:pPr>
              <w:ind w:left="260"/>
              <w:spacing w:after="0" w:line="149" w:lineRule="exact"/>
              <w:rPr>
                <w:sz w:val="20"/>
                <w:szCs w:val="20"/>
                <w:color w:val="auto"/>
              </w:rPr>
            </w:pPr>
            <w:r>
              <w:rPr>
                <w:rFonts w:ascii="Arial" w:cs="Arial" w:eastAsia="Arial" w:hAnsi="Arial"/>
                <w:sz w:val="14"/>
                <w:szCs w:val="14"/>
                <w:b w:val="1"/>
                <w:bCs w:val="1"/>
                <w:color w:val="auto"/>
              </w:rPr>
              <w:t>Dore</w:t>
            </w:r>
          </w:p>
        </w:tc>
        <w:tc>
          <w:tcPr>
            <w:tcW w:w="160" w:type="dxa"/>
            <w:vAlign w:val="bottom"/>
          </w:tcPr>
          <w:p>
            <w:pPr>
              <w:spacing w:after="0"/>
              <w:rPr>
                <w:sz w:val="12"/>
                <w:szCs w:val="12"/>
                <w:color w:val="auto"/>
              </w:rPr>
            </w:pPr>
          </w:p>
        </w:tc>
        <w:tc>
          <w:tcPr>
            <w:tcW w:w="76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4"/>
              </w:rPr>
              <w:t>Metal</w:t>
            </w:r>
          </w:p>
        </w:tc>
        <w:tc>
          <w:tcPr>
            <w:tcW w:w="160" w:type="dxa"/>
            <w:vAlign w:val="bottom"/>
          </w:tcPr>
          <w:p>
            <w:pPr>
              <w:spacing w:after="0"/>
              <w:rPr>
                <w:sz w:val="12"/>
                <w:szCs w:val="12"/>
                <w:color w:val="auto"/>
              </w:rPr>
            </w:pPr>
          </w:p>
        </w:tc>
        <w:tc>
          <w:tcPr>
            <w:tcW w:w="100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6"/>
              </w:rPr>
              <w:t>Payable</w:t>
            </w:r>
          </w:p>
        </w:tc>
      </w:tr>
      <w:tr>
        <w:trPr>
          <w:trHeight w:val="161"/>
        </w:trPr>
        <w:tc>
          <w:tcPr>
            <w:tcW w:w="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700" w:type="dxa"/>
            <w:vAlign w:val="bottom"/>
            <w:tcBorders>
              <w:bottom w:val="single" w:sz="8" w:color="auto"/>
            </w:tcBorders>
          </w:tcPr>
          <w:p>
            <w:pPr>
              <w:ind w:left="140"/>
              <w:spacing w:after="0"/>
              <w:rPr>
                <w:sz w:val="20"/>
                <w:szCs w:val="20"/>
                <w:color w:val="auto"/>
              </w:rPr>
            </w:pPr>
            <w:r>
              <w:rPr>
                <w:rFonts w:ascii="Arial" w:cs="Arial" w:eastAsia="Arial" w:hAnsi="Arial"/>
                <w:sz w:val="14"/>
                <w:szCs w:val="14"/>
                <w:b w:val="1"/>
                <w:bCs w:val="1"/>
                <w:color w:val="auto"/>
              </w:rPr>
              <w:t>Grades</w:t>
            </w:r>
          </w:p>
        </w:tc>
        <w:tc>
          <w:tcPr>
            <w:tcW w:w="160" w:type="dxa"/>
            <w:vAlign w:val="bottom"/>
          </w:tcPr>
          <w:p>
            <w:pPr>
              <w:spacing w:after="0"/>
              <w:rPr>
                <w:sz w:val="14"/>
                <w:szCs w:val="14"/>
                <w:color w:val="auto"/>
              </w:rPr>
            </w:pPr>
          </w:p>
        </w:tc>
        <w:tc>
          <w:tcPr>
            <w:tcW w:w="840" w:type="dxa"/>
            <w:vAlign w:val="bottom"/>
            <w:tcBorders>
              <w:bottom w:val="single" w:sz="8" w:color="auto"/>
            </w:tcBorders>
          </w:tcPr>
          <w:p>
            <w:pPr>
              <w:ind w:left="140"/>
              <w:spacing w:after="0"/>
              <w:rPr>
                <w:sz w:val="20"/>
                <w:szCs w:val="20"/>
                <w:color w:val="auto"/>
              </w:rPr>
            </w:pPr>
            <w:r>
              <w:rPr>
                <w:rFonts w:ascii="Arial" w:cs="Arial" w:eastAsia="Arial" w:hAnsi="Arial"/>
                <w:sz w:val="14"/>
                <w:szCs w:val="14"/>
                <w:b w:val="1"/>
                <w:bCs w:val="1"/>
                <w:color w:val="auto"/>
              </w:rPr>
              <w:t>Produced</w:t>
            </w:r>
          </w:p>
        </w:tc>
        <w:tc>
          <w:tcPr>
            <w:tcW w:w="160" w:type="dxa"/>
            <w:vAlign w:val="bottom"/>
          </w:tcPr>
          <w:p>
            <w:pPr>
              <w:spacing w:after="0"/>
              <w:rPr>
                <w:sz w:val="14"/>
                <w:szCs w:val="14"/>
                <w:color w:val="auto"/>
              </w:rPr>
            </w:pPr>
          </w:p>
        </w:tc>
        <w:tc>
          <w:tcPr>
            <w:tcW w:w="7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2"/>
              </w:rPr>
              <w:t>Recoveries</w:t>
            </w:r>
          </w:p>
        </w:tc>
        <w:tc>
          <w:tcPr>
            <w:tcW w:w="160" w:type="dxa"/>
            <w:vAlign w:val="bottom"/>
          </w:tcPr>
          <w:p>
            <w:pPr>
              <w:spacing w:after="0"/>
              <w:rPr>
                <w:sz w:val="14"/>
                <w:szCs w:val="14"/>
                <w:color w:val="auto"/>
              </w:rPr>
            </w:pPr>
          </w:p>
        </w:tc>
        <w:tc>
          <w:tcPr>
            <w:tcW w:w="84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6"/>
              </w:rPr>
              <w:t>Production</w:t>
            </w:r>
          </w:p>
        </w:tc>
        <w:tc>
          <w:tcPr>
            <w:tcW w:w="160" w:type="dxa"/>
            <w:vAlign w:val="bottom"/>
          </w:tcPr>
          <w:p>
            <w:pPr>
              <w:spacing w:after="0"/>
              <w:rPr>
                <w:sz w:val="14"/>
                <w:szCs w:val="14"/>
                <w:color w:val="auto"/>
              </w:rPr>
            </w:pPr>
          </w:p>
        </w:tc>
      </w:tr>
      <w:tr>
        <w:trPr>
          <w:trHeight w:val="210"/>
        </w:trPr>
        <w:tc>
          <w:tcPr>
            <w:tcW w:w="20" w:type="dxa"/>
            <w:vAlign w:val="bottom"/>
          </w:tcPr>
          <w:p>
            <w:pPr>
              <w:spacing w:after="0"/>
              <w:rPr>
                <w:sz w:val="18"/>
                <w:szCs w:val="18"/>
                <w:color w:val="auto"/>
              </w:rPr>
            </w:pPr>
          </w:p>
        </w:tc>
        <w:tc>
          <w:tcPr>
            <w:tcW w:w="5340" w:type="dxa"/>
            <w:vAlign w:val="bottom"/>
            <w:shd w:val="clear" w:color="auto" w:fill="CCEEFF"/>
          </w:tcPr>
          <w:p>
            <w:pPr>
              <w:spacing w:after="0"/>
              <w:rPr>
                <w:sz w:val="20"/>
                <w:szCs w:val="20"/>
                <w:color w:val="auto"/>
              </w:rPr>
            </w:pPr>
            <w:r>
              <w:rPr>
                <w:rFonts w:ascii="Arial" w:cs="Arial" w:eastAsia="Arial" w:hAnsi="Arial"/>
                <w:sz w:val="18"/>
                <w:szCs w:val="18"/>
                <w:color w:val="auto"/>
              </w:rPr>
              <w:t>Gold</w:t>
            </w:r>
          </w:p>
        </w:tc>
        <w:tc>
          <w:tcPr>
            <w:tcW w:w="700" w:type="dxa"/>
            <w:vAlign w:val="bottom"/>
            <w:shd w:val="clear" w:color="auto" w:fill="CCEEFF"/>
          </w:tcPr>
          <w:p>
            <w:pPr>
              <w:ind w:left="140"/>
              <w:spacing w:after="0"/>
              <w:rPr>
                <w:sz w:val="20"/>
                <w:szCs w:val="20"/>
                <w:color w:val="auto"/>
              </w:rPr>
            </w:pPr>
            <w:r>
              <w:rPr>
                <w:rFonts w:ascii="Arial" w:cs="Arial" w:eastAsia="Arial" w:hAnsi="Arial"/>
                <w:sz w:val="18"/>
                <w:szCs w:val="18"/>
                <w:color w:val="auto"/>
                <w:w w:val="89"/>
              </w:rPr>
              <w:t>7.29 g/t</w:t>
            </w:r>
          </w:p>
        </w:tc>
        <w:tc>
          <w:tcPr>
            <w:tcW w:w="160" w:type="dxa"/>
            <w:vAlign w:val="bottom"/>
            <w:shd w:val="clear" w:color="auto" w:fill="CCEEFF"/>
          </w:tcPr>
          <w:p>
            <w:pPr>
              <w:spacing w:after="0"/>
              <w:rPr>
                <w:sz w:val="18"/>
                <w:szCs w:val="18"/>
                <w:color w:val="auto"/>
              </w:rPr>
            </w:pPr>
          </w:p>
        </w:tc>
        <w:tc>
          <w:tcPr>
            <w:tcW w:w="840" w:type="dxa"/>
            <w:vAlign w:val="bottom"/>
            <w:shd w:val="clear" w:color="auto" w:fill="CCEEFF"/>
          </w:tcPr>
          <w:p>
            <w:pPr>
              <w:ind w:left="140"/>
              <w:spacing w:after="0"/>
              <w:rPr>
                <w:sz w:val="20"/>
                <w:szCs w:val="20"/>
                <w:color w:val="auto"/>
              </w:rPr>
            </w:pPr>
            <w:r>
              <w:rPr>
                <w:rFonts w:ascii="Arial" w:cs="Arial" w:eastAsia="Arial" w:hAnsi="Arial"/>
                <w:sz w:val="18"/>
                <w:szCs w:val="18"/>
                <w:color w:val="auto"/>
                <w:w w:val="85"/>
              </w:rPr>
              <w:t>53,382 oz</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76.03%</w:t>
            </w:r>
          </w:p>
        </w:tc>
        <w:tc>
          <w:tcPr>
            <w:tcW w:w="160" w:type="dxa"/>
            <w:vAlign w:val="bottom"/>
            <w:shd w:val="clear" w:color="auto" w:fill="CCEEFF"/>
          </w:tcPr>
          <w:p>
            <w:pPr>
              <w:spacing w:after="0"/>
              <w:rPr>
                <w:sz w:val="18"/>
                <w:szCs w:val="18"/>
                <w:color w:val="auto"/>
              </w:rPr>
            </w:pPr>
          </w:p>
        </w:tc>
        <w:tc>
          <w:tcPr>
            <w:tcW w:w="1000" w:type="dxa"/>
            <w:vAlign w:val="bottom"/>
            <w:gridSpan w:val="2"/>
            <w:shd w:val="clear" w:color="auto" w:fill="CCEEFF"/>
          </w:tcPr>
          <w:p>
            <w:pPr>
              <w:ind w:left="140"/>
              <w:spacing w:after="0"/>
              <w:rPr>
                <w:sz w:val="20"/>
                <w:szCs w:val="20"/>
                <w:color w:val="auto"/>
              </w:rPr>
            </w:pPr>
            <w:r>
              <w:rPr>
                <w:rFonts w:ascii="Arial" w:cs="Arial" w:eastAsia="Arial" w:hAnsi="Arial"/>
                <w:sz w:val="18"/>
                <w:szCs w:val="18"/>
                <w:color w:val="auto"/>
              </w:rPr>
              <w:t>52,602 oz</w:t>
            </w:r>
          </w:p>
        </w:tc>
      </w:tr>
    </w:tbl>
    <w:p>
      <w:pPr>
        <w:spacing w:after="0" w:line="208"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Environmental Matters</w:t>
      </w:r>
    </w:p>
    <w:p>
      <w:pPr>
        <w:spacing w:after="0" w:line="225" w:lineRule="exact"/>
        <w:rPr>
          <w:sz w:val="20"/>
          <w:szCs w:val="20"/>
          <w:color w:val="auto"/>
        </w:rPr>
      </w:pPr>
    </w:p>
    <w:p>
      <w:pPr>
        <w:jc w:val="both"/>
        <w:ind w:firstLine="370"/>
        <w:spacing w:after="0" w:line="256" w:lineRule="auto"/>
        <w:rPr>
          <w:sz w:val="20"/>
          <w:szCs w:val="20"/>
          <w:color w:val="auto"/>
        </w:rPr>
      </w:pPr>
      <w:r>
        <w:rPr>
          <w:rFonts w:ascii="Arial" w:cs="Arial" w:eastAsia="Arial" w:hAnsi="Arial"/>
          <w:sz w:val="18"/>
          <w:szCs w:val="18"/>
          <w:color w:val="auto"/>
        </w:rPr>
        <w:t>Water used underground at the Lapa Mine was initially re-circulated from mine dewatering after settling in the sedimentation pond. The re-circulation led to ammonia content in the water, and the Company experienced occasional toxicity problems in the water pond in 2008 and 2009. To address the ammonia content in the water, the Company built a 3.5-kilometre pipeline to obtain fresh water from the Heva River. The pipeline was commissioned in November 2009 and appears to have remedied the toxicity problems.</w:t>
      </w:r>
    </w:p>
    <w:p>
      <w:pPr>
        <w:spacing w:after="0" w:line="197" w:lineRule="exact"/>
        <w:rPr>
          <w:sz w:val="20"/>
          <w:szCs w:val="20"/>
          <w:color w:val="auto"/>
        </w:rPr>
      </w:pPr>
    </w:p>
    <w:p>
      <w:pPr>
        <w:jc w:val="both"/>
        <w:ind w:firstLine="401"/>
        <w:spacing w:after="0" w:line="298" w:lineRule="auto"/>
        <w:rPr>
          <w:sz w:val="20"/>
          <w:szCs w:val="20"/>
          <w:color w:val="auto"/>
        </w:rPr>
      </w:pPr>
      <w:r>
        <w:rPr>
          <w:rFonts w:ascii="Arial" w:cs="Arial" w:eastAsia="Arial" w:hAnsi="Arial"/>
          <w:sz w:val="16"/>
          <w:szCs w:val="16"/>
          <w:color w:val="auto"/>
        </w:rPr>
        <w:t>A sedimentation pond is used to remove suspended solids from the dewatering water before either release to the environment or re-use in the underground mining operation. The waste rock pile naturally drains towards the sedimentation pond. A waste rock sampling program implemented during the shaft sinking phase verified the non-acid generating nature of the waste rock. Water effluent from the sedimentation pond is being sampled as required under the Quebec mining effluent guidelines, and is expected to comply with the water quality criteria. The mill residues will be sent to the LaRonde tailings area.</w:t>
      </w:r>
    </w:p>
    <w:p>
      <w:pPr>
        <w:spacing w:after="0" w:line="167" w:lineRule="exact"/>
        <w:rPr>
          <w:sz w:val="20"/>
          <w:szCs w:val="20"/>
          <w:color w:val="auto"/>
        </w:rPr>
      </w:pPr>
    </w:p>
    <w:p>
      <w:pPr>
        <w:jc w:val="both"/>
        <w:ind w:firstLine="373"/>
        <w:spacing w:after="0" w:line="259" w:lineRule="auto"/>
        <w:rPr>
          <w:sz w:val="20"/>
          <w:szCs w:val="20"/>
          <w:color w:val="auto"/>
        </w:rPr>
      </w:pPr>
      <w:r>
        <w:rPr>
          <w:rFonts w:ascii="Arial" w:cs="Arial" w:eastAsia="Arial" w:hAnsi="Arial"/>
          <w:sz w:val="18"/>
          <w:szCs w:val="18"/>
          <w:color w:val="auto"/>
        </w:rPr>
        <w:t>There are no known environmental liabilities associated with the Lapa site. The Certificates of Authorization to proceed with mine production and with mill construction were issued by the Ministry of Sustainable Development, Environment and Parks (Quebec) in October and December 2007, respectively. The Certificate of Authorization for mill and tailings production was received in 2008.</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Capital Expenditures</w:t>
      </w:r>
    </w:p>
    <w:p>
      <w:pPr>
        <w:spacing w:after="0" w:line="225" w:lineRule="exact"/>
        <w:rPr>
          <w:sz w:val="20"/>
          <w:szCs w:val="20"/>
          <w:color w:val="auto"/>
        </w:rPr>
      </w:pPr>
    </w:p>
    <w:p>
      <w:pPr>
        <w:jc w:val="both"/>
        <w:ind w:firstLine="416"/>
        <w:spacing w:after="0" w:line="259" w:lineRule="auto"/>
        <w:rPr>
          <w:sz w:val="20"/>
          <w:szCs w:val="20"/>
          <w:color w:val="auto"/>
        </w:rPr>
      </w:pPr>
      <w:r>
        <w:rPr>
          <w:rFonts w:ascii="Arial" w:cs="Arial" w:eastAsia="Arial" w:hAnsi="Arial"/>
          <w:sz w:val="18"/>
          <w:szCs w:val="18"/>
          <w:color w:val="auto"/>
        </w:rPr>
        <w:t>The Company incurred approximately $44.7 million in capital expenditures at the Lapa Mine in 2009 and expects to incur approximately $31.8 million in 2010 of which $17.3 million relates to deferred development, $10 million to sustaining capital expenditures (including underground construction and mining equipment) and $3.6 million for exploration.</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Development</w:t>
      </w:r>
    </w:p>
    <w:p>
      <w:pPr>
        <w:spacing w:after="0" w:line="225" w:lineRule="exact"/>
        <w:rPr>
          <w:sz w:val="20"/>
          <w:szCs w:val="20"/>
          <w:color w:val="auto"/>
        </w:rPr>
      </w:pPr>
    </w:p>
    <w:p>
      <w:pPr>
        <w:jc w:val="both"/>
        <w:ind w:firstLine="481"/>
        <w:spacing w:after="0" w:line="332" w:lineRule="auto"/>
        <w:rPr>
          <w:sz w:val="20"/>
          <w:szCs w:val="20"/>
          <w:color w:val="auto"/>
        </w:rPr>
      </w:pPr>
      <w:r>
        <w:rPr>
          <w:rFonts w:ascii="Arial" w:cs="Arial" w:eastAsia="Arial" w:hAnsi="Arial"/>
          <w:sz w:val="16"/>
          <w:szCs w:val="16"/>
          <w:color w:val="auto"/>
        </w:rPr>
        <w:t>In 2009, a total of 10,874 metres of lateral development was completed. Development focused on permanent drifts (ramps and haulage way) and stope preparation of mining blocks set for production in 2009 and 2010. Development work was done on three separate horizons: Level 77, Level 101 and Level 125.</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i w:val="1"/>
          <w:iCs w:val="1"/>
          <w:u w:val="single" w:color="auto"/>
          <w:color w:val="auto"/>
        </w:rPr>
        <w:t>Geology, Mineralization and Exploration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Geology</w:t>
      </w:r>
    </w:p>
    <w:p>
      <w:pPr>
        <w:spacing w:after="0" w:line="225" w:lineRule="exact"/>
        <w:rPr>
          <w:sz w:val="20"/>
          <w:szCs w:val="20"/>
          <w:color w:val="auto"/>
        </w:rPr>
      </w:pPr>
    </w:p>
    <w:p>
      <w:pPr>
        <w:jc w:val="both"/>
        <w:ind w:firstLine="374"/>
        <w:spacing w:after="0" w:line="294" w:lineRule="auto"/>
        <w:rPr>
          <w:sz w:val="20"/>
          <w:szCs w:val="20"/>
          <w:color w:val="auto"/>
        </w:rPr>
      </w:pPr>
      <w:r>
        <w:rPr>
          <w:rFonts w:ascii="Arial" w:cs="Arial" w:eastAsia="Arial" w:hAnsi="Arial"/>
          <w:sz w:val="16"/>
          <w:szCs w:val="16"/>
          <w:color w:val="auto"/>
        </w:rPr>
        <w:t>The Lapa property is geologically similar to the LaRonde property and is also located near the southern boundary of the Archean-age (2.7-billion-years-old) Abitibi Subprovince and the Pontiac Subprovince within the Superior Province of the Canadian Shield. The most important regional structure is the CLL fault zone marking the contact between the Abitibi and Pontiac Subprovinces. The fault zone passes through the property from west to east, and is marked by schists and mafic to ultramafic volcanic flows that comprise the Piché group (up to approximately 300 metres thick in the mine area). On the Lapa property, the fault zone displays a "Z" shaped fold to which all of the lithologic groups in the region conform. Feldspathic dykes cut the Piché group, especially</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87" w:name="page88"/>
    <w:bookmarkEnd w:id="87"/>
    <w:p>
      <w:pPr>
        <w:jc w:val="both"/>
        <w:spacing w:after="0" w:line="259" w:lineRule="auto"/>
        <w:rPr>
          <w:sz w:val="20"/>
          <w:szCs w:val="20"/>
          <w:color w:val="auto"/>
        </w:rPr>
      </w:pPr>
      <w:r>
        <w:rPr>
          <w:rFonts w:ascii="Arial" w:cs="Arial" w:eastAsia="Arial" w:hAnsi="Arial"/>
          <w:sz w:val="18"/>
          <w:szCs w:val="18"/>
          <w:color w:val="auto"/>
        </w:rPr>
        <w:t>near the fold. North of the Piché group lies the Cadillac sedimentary group, which consists of 500 metres or more of well-banded wacke, conglomerate and siltstone with intercalations of iron formation. The Pontiac group sedimentary rocks (up to approximately 300 metres thick) that occur to the south of the Piché group are similar to the Cadillac group but do not contain conglomerate nor iron formation.</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Mineralization</w:t>
      </w:r>
    </w:p>
    <w:p>
      <w:pPr>
        <w:spacing w:after="0" w:line="225" w:lineRule="exact"/>
        <w:rPr>
          <w:sz w:val="20"/>
          <w:szCs w:val="20"/>
          <w:color w:val="auto"/>
        </w:rPr>
      </w:pPr>
    </w:p>
    <w:p>
      <w:pPr>
        <w:jc w:val="both"/>
        <w:ind w:right="20" w:firstLine="415"/>
        <w:spacing w:after="0" w:line="268" w:lineRule="auto"/>
        <w:rPr>
          <w:sz w:val="20"/>
          <w:szCs w:val="20"/>
          <w:color w:val="auto"/>
        </w:rPr>
      </w:pPr>
      <w:r>
        <w:rPr>
          <w:rFonts w:ascii="Arial" w:cs="Arial" w:eastAsia="Arial" w:hAnsi="Arial"/>
          <w:sz w:val="18"/>
          <w:szCs w:val="18"/>
          <w:color w:val="auto"/>
        </w:rPr>
        <w:t>All of the known gold mineralization along the CLL fault zone is epigenetic (late) vein, type, controlled by the structure. The mineralization is associated with the fault zone and occurs within or immediately adjacent to the Piché group rocks.</w:t>
      </w:r>
    </w:p>
    <w:p>
      <w:pPr>
        <w:spacing w:after="0" w:line="186" w:lineRule="exact"/>
        <w:rPr>
          <w:sz w:val="20"/>
          <w:szCs w:val="20"/>
          <w:color w:val="auto"/>
        </w:rPr>
      </w:pPr>
    </w:p>
    <w:p>
      <w:pPr>
        <w:ind w:left="360"/>
        <w:spacing w:after="0"/>
        <w:rPr>
          <w:sz w:val="20"/>
          <w:szCs w:val="20"/>
          <w:color w:val="auto"/>
        </w:rPr>
      </w:pPr>
      <w:r>
        <w:rPr>
          <w:rFonts w:ascii="Arial" w:cs="Arial" w:eastAsia="Arial" w:hAnsi="Arial"/>
          <w:sz w:val="16"/>
          <w:szCs w:val="16"/>
          <w:color w:val="auto"/>
        </w:rPr>
        <w:t>The Lapa deposit is comprised of the Contact zone and five satellite zones. The Contact zone accounts for approximately 85% of the mineral reserves.</w:t>
      </w:r>
    </w:p>
    <w:p>
      <w:pPr>
        <w:spacing w:after="0" w:line="248" w:lineRule="exact"/>
        <w:rPr>
          <w:sz w:val="20"/>
          <w:szCs w:val="20"/>
          <w:color w:val="auto"/>
        </w:rPr>
      </w:pPr>
    </w:p>
    <w:p>
      <w:pPr>
        <w:jc w:val="both"/>
        <w:ind w:firstLine="428"/>
        <w:spacing w:after="0" w:line="289" w:lineRule="auto"/>
        <w:rPr>
          <w:sz w:val="20"/>
          <w:szCs w:val="20"/>
          <w:color w:val="auto"/>
        </w:rPr>
      </w:pPr>
      <w:r>
        <w:rPr>
          <w:rFonts w:ascii="Arial" w:cs="Arial" w:eastAsia="Arial" w:hAnsi="Arial"/>
          <w:sz w:val="16"/>
          <w:szCs w:val="16"/>
          <w:color w:val="auto"/>
        </w:rPr>
        <w:t>The ore zones are made up of multiple quartz veins and veinlets, often smoky and anastomosing, within a sheared and altered envelope containing minor sulphides and visible gold. The Contact zone is generally located at the contact between the Piché group and the Cadillac group. The satellite zones are located within the Piché group at a distance varying from ten to 50 metres from the contact with the Cadillac group except for the Contact North zone, which is located approximately ten metres north of the Contact zone within the Cadillac group. The sheared envelope consists of millimetre-thick foliation bands of biotite or sericite with silica and, in places, cuts across rock units. Quartz veins and millimetre-sized veinlets parallel to the foliation account for 5% to 25% of the mineralization. Visible gold is common in the veins and veinlets but can also be found in the altered host rock. Sulphides account for 1% to 3% of the mineralization; the most common sulphides, in order of decreasing importance, are arsenopyrite, pyrite, pyrrhotite and stibnite. Graphite is also rarely observed as inclusions in smoky quartz veins.</w:t>
      </w:r>
    </w:p>
    <w:p>
      <w:pPr>
        <w:spacing w:after="0" w:line="172" w:lineRule="exact"/>
        <w:rPr>
          <w:sz w:val="20"/>
          <w:szCs w:val="20"/>
          <w:color w:val="auto"/>
        </w:rPr>
      </w:pPr>
    </w:p>
    <w:p>
      <w:pPr>
        <w:jc w:val="both"/>
        <w:ind w:firstLine="488"/>
        <w:spacing w:after="0" w:line="298" w:lineRule="auto"/>
        <w:rPr>
          <w:sz w:val="20"/>
          <w:szCs w:val="20"/>
          <w:color w:val="auto"/>
        </w:rPr>
      </w:pPr>
      <w:r>
        <w:rPr>
          <w:rFonts w:ascii="Arial" w:cs="Arial" w:eastAsia="Arial" w:hAnsi="Arial"/>
          <w:sz w:val="16"/>
          <w:szCs w:val="16"/>
          <w:color w:val="auto"/>
        </w:rPr>
        <w:t>The Contact and satellite zones are tabular mineralized envelopes oriented east-west and dipping very steeply to the north, turning south at depth. The economic portion of the zone has been traced from depths of approximately 450 metres to more than 1,500 metres below surface. The Contact zone has an average strike length of 300 metres, varies in thickness from 2.8 to 5.0 metres and is open at depth. Locally some thicker intervals have been intersected but their continuity has not been demonstrated. The satellite zones have thicknesses similar to the Contact zone.</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Exploration</w:t>
      </w:r>
    </w:p>
    <w:p>
      <w:pPr>
        <w:spacing w:after="0" w:line="225" w:lineRule="exact"/>
        <w:rPr>
          <w:sz w:val="20"/>
          <w:szCs w:val="20"/>
          <w:color w:val="auto"/>
        </w:rPr>
      </w:pPr>
    </w:p>
    <w:p>
      <w:pPr>
        <w:jc w:val="both"/>
        <w:ind w:firstLine="358"/>
        <w:spacing w:after="0" w:line="253" w:lineRule="auto"/>
        <w:rPr>
          <w:sz w:val="20"/>
          <w:szCs w:val="20"/>
          <w:color w:val="auto"/>
        </w:rPr>
      </w:pPr>
      <w:r>
        <w:rPr>
          <w:rFonts w:ascii="Arial" w:cs="Arial" w:eastAsia="Arial" w:hAnsi="Arial"/>
          <w:sz w:val="18"/>
          <w:szCs w:val="18"/>
          <w:color w:val="auto"/>
        </w:rPr>
        <w:t>Drilling in 2009 concentrated on confirming and expanding the known orebodies (Contact zone and the other satellite zones) in the immediate vicinity of the ore zones. The exploration program at the Lapa Mine in 2009 primarily tested the eastern area of the Contact zone reserve at roughly 1,000 metres depth below the surface and 300 metres east of the Contact zone reserve limit. Good results, including visible gold, were returned and additional resources were identified. The 2010 program will focus on mineral resource to mineral reserve conversion in this area. Overall, there was a reduction of approximately 120,000 ounces in gold reserves and resources at Lapa from 2008 to 2009 after mining 80,000 ounces of gold. The reduction was a result of a lower than expected grade in the lower portion of the mine and a higher dilution factor applied to the reserves and resources. These results are incorporated in the December 31, 2009 mineral reserve and resource estimate.</w:t>
      </w:r>
    </w:p>
    <w:p>
      <w:pPr>
        <w:spacing w:after="0" w:line="201" w:lineRule="exact"/>
        <w:rPr>
          <w:sz w:val="20"/>
          <w:szCs w:val="20"/>
          <w:color w:val="auto"/>
        </w:rPr>
      </w:pPr>
    </w:p>
    <w:p>
      <w:pPr>
        <w:jc w:val="both"/>
        <w:ind w:firstLine="377"/>
        <w:spacing w:after="0" w:line="294" w:lineRule="auto"/>
        <w:rPr>
          <w:sz w:val="20"/>
          <w:szCs w:val="20"/>
          <w:color w:val="auto"/>
        </w:rPr>
      </w:pPr>
      <w:r>
        <w:rPr>
          <w:rFonts w:ascii="Arial" w:cs="Arial" w:eastAsia="Arial" w:hAnsi="Arial"/>
          <w:sz w:val="16"/>
          <w:szCs w:val="16"/>
          <w:color w:val="auto"/>
        </w:rPr>
        <w:t>In 2009, a total of 353 holes were drilled on the Lapa property for a total length of 24,945 metres, compared to 170 holes for a total length of 16,546 metres in 2008. Of the drilling in 2009, 322 holes (19,248 metres) were for production stope delineation, 7 holes (1,451 metres) were for definition drilling and 24 holes (4,247 metres) were for exploration. In 2008, 134 holes (6,709 metres) were for production stope delineation, 21 holes (4,745 metres) were for definition drilling and 15 holes (5,092 metres) were for deep exploration. Expenditure on diamond drilling at the Lapa Mine during 2009 was approximately $2.0 million including $1.7 million in definition and delineation drilling expenses charged to operating costs.</w:t>
      </w:r>
    </w:p>
    <w:p>
      <w:pPr>
        <w:spacing w:after="0" w:line="170" w:lineRule="exact"/>
        <w:rPr>
          <w:sz w:val="20"/>
          <w:szCs w:val="20"/>
          <w:color w:val="auto"/>
        </w:rPr>
      </w:pPr>
    </w:p>
    <w:p>
      <w:pPr>
        <w:jc w:val="both"/>
        <w:ind w:firstLine="386"/>
        <w:spacing w:after="0" w:line="259" w:lineRule="auto"/>
        <w:rPr>
          <w:sz w:val="20"/>
          <w:szCs w:val="20"/>
          <w:color w:val="auto"/>
        </w:rPr>
      </w:pPr>
      <w:r>
        <w:rPr>
          <w:rFonts w:ascii="Arial" w:cs="Arial" w:eastAsia="Arial" w:hAnsi="Arial"/>
          <w:sz w:val="18"/>
          <w:szCs w:val="18"/>
          <w:color w:val="auto"/>
        </w:rPr>
        <w:t>In 2010, the Company expects to spend $4.3 million on exploration, including $3.6 million for the excavation of a track drift toward the east. In 2010, 45% of the exploration drilling budget will be used for exploration in close vicinity of the mine infrastructure and 55% will be used for drilling from the exploration drift.</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88" w:name="page89"/>
    <w:bookmarkEnd w:id="88"/>
    <w:p>
      <w:pPr>
        <w:spacing w:after="0"/>
        <w:rPr>
          <w:sz w:val="20"/>
          <w:szCs w:val="20"/>
          <w:color w:val="auto"/>
        </w:rPr>
      </w:pPr>
      <w:r>
        <w:rPr>
          <w:rFonts w:ascii="Arial" w:cs="Arial" w:eastAsia="Arial" w:hAnsi="Arial"/>
          <w:sz w:val="18"/>
          <w:szCs w:val="18"/>
          <w:b w:val="1"/>
          <w:bCs w:val="1"/>
          <w:i w:val="1"/>
          <w:iCs w:val="1"/>
          <w:u w:val="single" w:color="auto"/>
          <w:color w:val="auto"/>
        </w:rPr>
        <w:t>Pinos Altos Mine</w:t>
      </w:r>
    </w:p>
    <w:p>
      <w:pPr>
        <w:spacing w:after="0" w:line="225" w:lineRule="exact"/>
        <w:rPr>
          <w:sz w:val="20"/>
          <w:szCs w:val="20"/>
          <w:color w:val="auto"/>
        </w:rPr>
      </w:pPr>
    </w:p>
    <w:p>
      <w:pPr>
        <w:jc w:val="both"/>
        <w:ind w:firstLine="456"/>
        <w:spacing w:after="0" w:line="294" w:lineRule="auto"/>
        <w:rPr>
          <w:sz w:val="20"/>
          <w:szCs w:val="20"/>
          <w:color w:val="auto"/>
        </w:rPr>
      </w:pPr>
      <w:r>
        <w:rPr>
          <w:rFonts w:ascii="Arial" w:cs="Arial" w:eastAsia="Arial" w:hAnsi="Arial"/>
          <w:sz w:val="16"/>
          <w:szCs w:val="16"/>
          <w:color w:val="auto"/>
        </w:rPr>
        <w:t>The Pinos Altos Mine commenced commercial production in November 2009. It is located on an 11,000-hectare property in the Sierra Madre gold belt, 285 kilometres west of the City of Chihuahua in the State of Chihuahua in northern Mexico. At December 31, 2009, the Pinos Altos Mine was estimated to contain proven and probable mineral reserves of 3.4 million ounces of gold and 94 million ounces of silver comprised of 42.0 million tonnes of ore grading 2.52 grams of gold per tonne and 69.39 grams of silver per tonne. The Pinos Altos property is made up of three blocks: the Parrena Concessions (19 concessions, 6,041.1 hectares), the Madrono Concessions (17 concessions, 873.3 hectares) and the Pinos Altos Concession (one concession, 4,192.2 hectares).</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Location Map of the Pinos Altos Mine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1154430</wp:posOffset>
            </wp:positionH>
            <wp:positionV relativeFrom="paragraph">
              <wp:posOffset>148590</wp:posOffset>
            </wp:positionV>
            <wp:extent cx="5205730" cy="327596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5205730" cy="32759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both"/>
        <w:ind w:firstLine="532"/>
        <w:spacing w:after="0" w:line="288" w:lineRule="auto"/>
        <w:rPr>
          <w:sz w:val="20"/>
          <w:szCs w:val="20"/>
          <w:color w:val="auto"/>
        </w:rPr>
      </w:pPr>
      <w:r>
        <w:rPr>
          <w:rFonts w:ascii="Arial" w:cs="Arial" w:eastAsia="Arial" w:hAnsi="Arial"/>
          <w:sz w:val="16"/>
          <w:szCs w:val="16"/>
          <w:color w:val="auto"/>
        </w:rPr>
        <w:t>The Madrono Concessions (which cover approximately 74% of the current mineral resource) are subject to a net smelter royalty of 3.5% payable to Minerales El Madrono S.A. de C.V. ("Madrono"). The Pinos Altos Concession (which covers approximately 26% of the current mineral resource) is subject to a 2.5% net smelter return royalty payable to the Consejo de Recursos Minerales, a Mexican Federal Government agency. After 2029, this portion of the property will also be subject to a 3.5% net smelter return royalty payable to Madrono. The assets at Pinos Altos acquired by the Company in 2006 included an assignment of rights under contracts to explore and exploit the Madrono Concessions and the Pinos Altos Concession, the right to use up to 400 hectares of land owned by Madrono for mining installations for a period of 20 years after formal mining operations have been initiated and sole ownership of the Parrena Concessions. During 2008, the Company and Madrono entered an agreement under which the Company acquired further surface rights for open pit mining operations and additional facilities. Infrastructure payments, surface rights payments and advance royalty payments totalling $35.5 million were made to Madrono in 2009 in respect of this agreement.</w:t>
      </w:r>
    </w:p>
    <w:p>
      <w:pPr>
        <w:spacing w:after="0" w:line="174" w:lineRule="exact"/>
        <w:rPr>
          <w:sz w:val="20"/>
          <w:szCs w:val="20"/>
          <w:color w:val="auto"/>
        </w:rPr>
      </w:pPr>
    </w:p>
    <w:p>
      <w:pPr>
        <w:jc w:val="both"/>
        <w:ind w:firstLine="398"/>
        <w:spacing w:after="0" w:line="298" w:lineRule="auto"/>
        <w:rPr>
          <w:sz w:val="20"/>
          <w:szCs w:val="20"/>
          <w:color w:val="auto"/>
        </w:rPr>
      </w:pPr>
      <w:r>
        <w:rPr>
          <w:rFonts w:ascii="Arial" w:cs="Arial" w:eastAsia="Arial" w:hAnsi="Arial"/>
          <w:sz w:val="16"/>
          <w:szCs w:val="16"/>
          <w:color w:val="auto"/>
        </w:rPr>
        <w:t>In 2006, the Company concluded negotiations with communal land owners (ejidos) and others for the purchase of 5,745 hectares of lands contained within the Parrena and Pinos Altos Concessions. In addition, a temporary occupation agreement with a 30-year term expiring in 2036 was negotiated with ejido Jesus del Monte for 1,470 hectares of land covered by these same concession blocks. The acquisition of these surface rights for the geologically prospective lands within the district surrounding Pinos Altos will facilitate future exploration and mining development in these areas.</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89" w:name="page90"/>
    <w:bookmarkEnd w:id="89"/>
    <w:p>
      <w:pPr>
        <w:jc w:val="both"/>
        <w:ind w:firstLine="397"/>
        <w:spacing w:after="0" w:line="255" w:lineRule="auto"/>
        <w:rPr>
          <w:sz w:val="20"/>
          <w:szCs w:val="20"/>
          <w:color w:val="auto"/>
        </w:rPr>
      </w:pPr>
      <w:r>
        <w:rPr>
          <w:rFonts w:ascii="Arial" w:cs="Arial" w:eastAsia="Arial" w:hAnsi="Arial"/>
          <w:sz w:val="18"/>
          <w:szCs w:val="18"/>
          <w:color w:val="auto"/>
        </w:rPr>
        <w:t>The Pinos Altos Mine is directly accessible by a paved interstate highway that links the cities of Chihuahua and Hermosillo and is within ten kilometres of an extension of the state power grid. Existing and planned underground mine workings will intercept water resources sufficient to sustain the requirements for future operation. The land position is sufficient for construction of all planned surface, infrastructure and mining facilities at the Pinos Altos Mine, including its tailings impoundment area. The Company further believes that a sufficient local and trained workforce is available in northern Mexico to support the operation of the mine.</w:t>
      </w:r>
    </w:p>
    <w:p>
      <w:pPr>
        <w:spacing w:after="0" w:line="197" w:lineRule="exact"/>
        <w:rPr>
          <w:sz w:val="20"/>
          <w:szCs w:val="20"/>
          <w:color w:val="auto"/>
        </w:rPr>
      </w:pPr>
    </w:p>
    <w:p>
      <w:pPr>
        <w:jc w:val="both"/>
        <w:ind w:firstLine="507"/>
        <w:spacing w:after="0" w:line="259" w:lineRule="auto"/>
        <w:rPr>
          <w:sz w:val="20"/>
          <w:szCs w:val="20"/>
          <w:color w:val="auto"/>
        </w:rPr>
      </w:pPr>
      <w:r>
        <w:rPr>
          <w:rFonts w:ascii="Arial" w:cs="Arial" w:eastAsia="Arial" w:hAnsi="Arial"/>
          <w:sz w:val="18"/>
          <w:szCs w:val="18"/>
          <w:color w:val="auto"/>
        </w:rPr>
        <w:t>The Pinos Altos property is characterized by moderate to rough terrain with mixed forest (pine and oak) and altitudes that vary from 1,770 metres to 2,490 metres above sea level. The climate is sub-humid, with about one metre of annual precipitation. The average annual temperature is 18.3 degrees Celsius. Exploration and mining work can be carried out year round.</w:t>
      </w:r>
    </w:p>
    <w:p>
      <w:pPr>
        <w:spacing w:after="0" w:line="194" w:lineRule="exact"/>
        <w:rPr>
          <w:sz w:val="20"/>
          <w:szCs w:val="20"/>
          <w:color w:val="auto"/>
        </w:rPr>
      </w:pPr>
    </w:p>
    <w:p>
      <w:pPr>
        <w:jc w:val="both"/>
        <w:ind w:right="20" w:firstLine="515"/>
        <w:spacing w:after="0" w:line="268" w:lineRule="auto"/>
        <w:rPr>
          <w:sz w:val="20"/>
          <w:szCs w:val="20"/>
          <w:color w:val="auto"/>
        </w:rPr>
      </w:pPr>
      <w:r>
        <w:rPr>
          <w:rFonts w:ascii="Arial" w:cs="Arial" w:eastAsia="Arial" w:hAnsi="Arial"/>
          <w:sz w:val="18"/>
          <w:szCs w:val="18"/>
          <w:color w:val="auto"/>
        </w:rPr>
        <w:t>In August 2007, on the basis of an independently reviewed feasibility study, the Company approved construction of a mine at Pinos Altos. The mine achieved commercial production in November 2009.</w:t>
      </w:r>
    </w:p>
    <w:p>
      <w:pPr>
        <w:spacing w:after="0" w:line="186" w:lineRule="exact"/>
        <w:rPr>
          <w:sz w:val="20"/>
          <w:szCs w:val="20"/>
          <w:color w:val="auto"/>
        </w:rPr>
      </w:pPr>
    </w:p>
    <w:p>
      <w:pPr>
        <w:jc w:val="both"/>
        <w:ind w:firstLine="351"/>
        <w:spacing w:after="0" w:line="254" w:lineRule="auto"/>
        <w:rPr>
          <w:sz w:val="20"/>
          <w:szCs w:val="20"/>
          <w:color w:val="auto"/>
        </w:rPr>
      </w:pPr>
      <w:r>
        <w:rPr>
          <w:rFonts w:ascii="Arial" w:cs="Arial" w:eastAsia="Arial" w:hAnsi="Arial"/>
          <w:sz w:val="18"/>
          <w:szCs w:val="18"/>
          <w:color w:val="auto"/>
        </w:rPr>
        <w:t>The Pinos Altos Mine produced 16,189 ounces of gold and 116,000 ounces of silver in 2009 at total cash costs per ounce of gold of $596. Gold production in 2010 is expected to be approximately 150,000 ounces at estimated total cash costs per ounce of approximately $401 and silver production in 2010 is expected to be approximately 1,590,000 ounces. Over the period of 2010 to 2028, the mine (including production from the Creston Mascota deposit) is expected to produce an average of 170,000 ounces of gold per year. An optimized mine plan and budget incorporating the mineral reserves at December 31, 2009 will be adapted by the Company during 2010. Due to the increase in proven and probable mineral reserves at Pinos Altos, this optimized mine plan will be accretive to the aforementioned August 2007 feasibility study.</w:t>
      </w:r>
    </w:p>
    <w:p>
      <w:pPr>
        <w:spacing w:after="0" w:line="198" w:lineRule="exact"/>
        <w:rPr>
          <w:sz w:val="20"/>
          <w:szCs w:val="20"/>
          <w:color w:val="auto"/>
        </w:rPr>
      </w:pPr>
    </w:p>
    <w:p>
      <w:pPr>
        <w:jc w:val="both"/>
        <w:ind w:firstLine="383"/>
        <w:spacing w:after="0" w:line="298" w:lineRule="auto"/>
        <w:rPr>
          <w:sz w:val="20"/>
          <w:szCs w:val="20"/>
          <w:color w:val="auto"/>
        </w:rPr>
      </w:pPr>
      <w:r>
        <w:rPr>
          <w:rFonts w:ascii="Arial" w:cs="Arial" w:eastAsia="Arial" w:hAnsi="Arial"/>
          <w:sz w:val="16"/>
          <w:szCs w:val="16"/>
          <w:color w:val="auto"/>
        </w:rPr>
        <w:t>Based on a feasibility study prepared in 2009, the Company determined to build a stand-alone heap leach operation at the satellite Creston Mascota deposit. Construction activities for this project have been initiated for planned commencement of commercial operations in early 2011. Creston Mascota is expected to produce approximately 50,000 ounces of gold per year during its five-year mine life. Capital costs in connection with the project are expected to total $62 million, of which $8 million was incurred in 2009 and $54 million is expected to be incurred in 2010.</w:t>
      </w:r>
    </w:p>
    <w:p>
      <w:pPr>
        <w:spacing w:after="0" w:line="167" w:lineRule="exact"/>
        <w:rPr>
          <w:sz w:val="20"/>
          <w:szCs w:val="20"/>
          <w:color w:val="auto"/>
        </w:rPr>
      </w:pPr>
    </w:p>
    <w:p>
      <w:pPr>
        <w:jc w:val="both"/>
        <w:ind w:firstLine="383"/>
        <w:spacing w:after="0" w:line="259" w:lineRule="auto"/>
        <w:rPr>
          <w:sz w:val="20"/>
          <w:szCs w:val="20"/>
          <w:color w:val="auto"/>
        </w:rPr>
      </w:pPr>
      <w:r>
        <w:rPr>
          <w:rFonts w:ascii="Arial" w:cs="Arial" w:eastAsia="Arial" w:hAnsi="Arial"/>
          <w:sz w:val="18"/>
          <w:szCs w:val="18"/>
          <w:color w:val="auto"/>
        </w:rPr>
        <w:t>The Company has engaged the local communities in the project area with hiring, education support and medical support programs to ensure that the project provides long-term benefits to the residents living and working in the region. The Company received formal recognition from the Governor of Chihuahua State in April 2008 for distinction as a socially responsible company.</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90" w:name="page91"/>
    <w:bookmarkEnd w:id="90"/>
    <w:p>
      <w:pPr>
        <w:spacing w:after="0"/>
        <w:rPr>
          <w:sz w:val="20"/>
          <w:szCs w:val="20"/>
          <w:color w:val="auto"/>
        </w:rPr>
      </w:pPr>
      <w:r>
        <w:rPr>
          <w:rFonts w:ascii="Arial" w:cs="Arial" w:eastAsia="Arial" w:hAnsi="Arial"/>
          <w:sz w:val="18"/>
          <w:szCs w:val="18"/>
          <w:i w:val="1"/>
          <w:iCs w:val="1"/>
          <w:u w:val="single" w:color="auto"/>
          <w:color w:val="auto"/>
        </w:rPr>
        <w:t>Mining and Milling Facilities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Surface Plan of the Pinos Altos Mine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1154430</wp:posOffset>
            </wp:positionH>
            <wp:positionV relativeFrom="paragraph">
              <wp:posOffset>148590</wp:posOffset>
            </wp:positionV>
            <wp:extent cx="5205730" cy="312166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5205730" cy="31216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jc w:val="both"/>
        <w:ind w:firstLine="403"/>
        <w:spacing w:after="0" w:line="332" w:lineRule="auto"/>
        <w:rPr>
          <w:sz w:val="20"/>
          <w:szCs w:val="20"/>
          <w:color w:val="auto"/>
        </w:rPr>
      </w:pPr>
      <w:r>
        <w:rPr>
          <w:rFonts w:ascii="Arial" w:cs="Arial" w:eastAsia="Arial" w:hAnsi="Arial"/>
          <w:sz w:val="16"/>
          <w:szCs w:val="16"/>
          <w:color w:val="auto"/>
        </w:rPr>
        <w:t>During 2009, major construction activity at the Pinos Altos Mine included the completion of the pre-production development of the underground and open pit mines, completion of construction for the processing and surface infrastructure facilities and commissioning and start-up of the process facilities.</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Mining Methods</w:t>
      </w:r>
    </w:p>
    <w:p>
      <w:pPr>
        <w:spacing w:after="0" w:line="225" w:lineRule="exact"/>
        <w:rPr>
          <w:sz w:val="20"/>
          <w:szCs w:val="20"/>
          <w:color w:val="auto"/>
        </w:rPr>
      </w:pPr>
    </w:p>
    <w:p>
      <w:pPr>
        <w:jc w:val="both"/>
        <w:ind w:firstLine="419"/>
        <w:spacing w:after="0" w:line="290" w:lineRule="auto"/>
        <w:rPr>
          <w:sz w:val="20"/>
          <w:szCs w:val="20"/>
          <w:color w:val="auto"/>
        </w:rPr>
      </w:pPr>
      <w:r>
        <w:rPr>
          <w:rFonts w:ascii="Arial" w:cs="Arial" w:eastAsia="Arial" w:hAnsi="Arial"/>
          <w:sz w:val="16"/>
          <w:szCs w:val="16"/>
          <w:color w:val="auto"/>
        </w:rPr>
        <w:t>The surface operations at the Pinos Altos Mine use traditional open pit mining techniques with bench heights of seven metres with double benches on the footwall and single benching on the hanging wall. Mining is accomplished with front end loaders, trucks, track drills and various support equipment. At full capacity, the open pit mines will extract approximately 15 million tonnes of total material (overburden plus mineral) annually. Based upon geotechnical evaluations, the final pit slopes will vary between 45 degrees and 50 degrees. Performance of the open pit mining operation at Pinos Altos during the pre-production phase indicated that the equipment, mining methods and personnel selected for the project were satisfactory for future production phases. During the first ten years of the project life, it is expected that approximately half of the ore volume processed will be derived from open pit operations, principally at Santo Nino, Oberon de Weber and Creston Mascota. Underground mine production will produce the balance of the ore for the processing plant.</w:t>
      </w:r>
    </w:p>
    <w:p>
      <w:pPr>
        <w:spacing w:after="0" w:line="172" w:lineRule="exact"/>
        <w:rPr>
          <w:sz w:val="20"/>
          <w:szCs w:val="20"/>
          <w:color w:val="auto"/>
        </w:rPr>
      </w:pPr>
    </w:p>
    <w:p>
      <w:pPr>
        <w:jc w:val="both"/>
        <w:ind w:firstLine="492"/>
        <w:spacing w:after="0" w:line="289" w:lineRule="auto"/>
        <w:rPr>
          <w:sz w:val="20"/>
          <w:szCs w:val="20"/>
          <w:color w:val="auto"/>
        </w:rPr>
      </w:pPr>
      <w:r>
        <w:rPr>
          <w:rFonts w:ascii="Arial" w:cs="Arial" w:eastAsia="Arial" w:hAnsi="Arial"/>
          <w:sz w:val="16"/>
          <w:szCs w:val="16"/>
          <w:color w:val="auto"/>
        </w:rPr>
        <w:t>The underground mine will utilize the long hole sublevel stoping method to extract the ore. The Company has considerable expertise with this mining method at the LaRonde Mine in Quebec and this method is also well understood at various Mexican mining operations. The stope height is planned at 30 metres and stope width at 15 metres. Ore will be hauled to the surface utilizing underground trucks via a ramp system which is currently under development. Paste backfill will be used to stabilize the mined-out stopes. Ventilation of the underground mine will operate through raise bores, fans and the ramp system. At full capacity, the underground mine is expected to produce a maximum of 4,000 tonnes of ore per day. Performance of the lateral development underground during 2008 was sufficient to indicate that the equipment, mining methods, ground control and personnel selected were satisfactory for future production phases. During 2009, the Company completed the ventilation raises and underground infrastructure including a shop, a warehouse, pump stations and service bays. The Company anticipates that ore production from the underground mine will begin by the first quarter of 2010.</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91" w:name="page92"/>
    <w:bookmarkEnd w:id="91"/>
    <w:p>
      <w:pPr>
        <w:spacing w:after="0"/>
        <w:rPr>
          <w:sz w:val="20"/>
          <w:szCs w:val="20"/>
          <w:color w:val="auto"/>
        </w:rPr>
      </w:pPr>
      <w:r>
        <w:rPr>
          <w:rFonts w:ascii="Arial" w:cs="Arial" w:eastAsia="Arial" w:hAnsi="Arial"/>
          <w:sz w:val="18"/>
          <w:szCs w:val="18"/>
          <w:i w:val="1"/>
          <w:iCs w:val="1"/>
          <w:color w:val="auto"/>
        </w:rPr>
        <w:t>Surface Facilities</w:t>
      </w:r>
    </w:p>
    <w:p>
      <w:pPr>
        <w:spacing w:after="0" w:line="225" w:lineRule="exact"/>
        <w:rPr>
          <w:sz w:val="20"/>
          <w:szCs w:val="20"/>
          <w:color w:val="auto"/>
        </w:rPr>
      </w:pPr>
    </w:p>
    <w:p>
      <w:pPr>
        <w:jc w:val="both"/>
        <w:ind w:firstLine="358"/>
        <w:spacing w:after="0" w:line="291" w:lineRule="auto"/>
        <w:rPr>
          <w:sz w:val="20"/>
          <w:szCs w:val="20"/>
          <w:color w:val="auto"/>
        </w:rPr>
      </w:pPr>
      <w:r>
        <w:rPr>
          <w:rFonts w:ascii="Arial" w:cs="Arial" w:eastAsia="Arial" w:hAnsi="Arial"/>
          <w:sz w:val="16"/>
          <w:szCs w:val="16"/>
          <w:color w:val="auto"/>
        </w:rPr>
        <w:t>The principal mineral processing facilities at the Pinos Altos Mine are designed to process 4,000 tonnes of ore per day in a conventional process plant circuit which includes single-stage crushing, grinding in a SAG and ball mill in closed loop, gravity separation followed by agitated leaching, counter-current decantation and metals recovery in the Merrill-Crowe process. Tailings are detoxified and filtered and then used for paste backfill in the underground mine or deposited as dry tailings in an engineered tailings impoundment area. Low grade ore is processed in a heap leach system designed to accommodate approximately five million tonnes of mineralized material over the life of the project, the production from heap leach operations is expected to be relatively minor, contributing about 5% of total metal production planned for the life of the mine.</w:t>
      </w:r>
    </w:p>
    <w:p>
      <w:pPr>
        <w:spacing w:after="0" w:line="174" w:lineRule="exact"/>
        <w:rPr>
          <w:sz w:val="20"/>
          <w:szCs w:val="20"/>
          <w:color w:val="auto"/>
        </w:rPr>
      </w:pPr>
    </w:p>
    <w:p>
      <w:pPr>
        <w:jc w:val="both"/>
        <w:ind w:right="20" w:firstLine="381"/>
        <w:spacing w:after="0" w:line="268" w:lineRule="auto"/>
        <w:rPr>
          <w:sz w:val="20"/>
          <w:szCs w:val="20"/>
          <w:color w:val="auto"/>
        </w:rPr>
      </w:pPr>
      <w:r>
        <w:rPr>
          <w:rFonts w:ascii="Arial" w:cs="Arial" w:eastAsia="Arial" w:hAnsi="Arial"/>
          <w:sz w:val="18"/>
          <w:szCs w:val="18"/>
          <w:color w:val="auto"/>
        </w:rPr>
        <w:t>A separate heap leach operation and ancillary support facilities are being built for the Creston Mascota deposit, which is expected to process approximately 4,000 tonnes of ore per day in a three-stage crushing, agglomeration and heap leach circuit with carbon adsorption.</w:t>
      </w:r>
    </w:p>
    <w:p>
      <w:pPr>
        <w:spacing w:after="0" w:line="186" w:lineRule="exact"/>
        <w:rPr>
          <w:sz w:val="20"/>
          <w:szCs w:val="20"/>
          <w:color w:val="auto"/>
        </w:rPr>
      </w:pPr>
    </w:p>
    <w:p>
      <w:pPr>
        <w:jc w:val="both"/>
        <w:ind w:right="20" w:firstLine="513"/>
        <w:spacing w:after="0" w:line="259" w:lineRule="auto"/>
        <w:rPr>
          <w:sz w:val="20"/>
          <w:szCs w:val="20"/>
          <w:color w:val="auto"/>
        </w:rPr>
      </w:pPr>
      <w:r>
        <w:rPr>
          <w:rFonts w:ascii="Arial" w:cs="Arial" w:eastAsia="Arial" w:hAnsi="Arial"/>
          <w:sz w:val="18"/>
          <w:szCs w:val="18"/>
          <w:color w:val="auto"/>
        </w:rPr>
        <w:t>Surface facilities at the Pinos Altos Mine include a heap leach pad, pond, liner and pumping system; administrative support offices and change room facilities; camp facilities; a laboratory; a process plant shop; a maintenance shop; a generated power station; surface power transmission lines and substations; the engineered tailings management system; and a warehouse.</w:t>
      </w:r>
    </w:p>
    <w:p>
      <w:pPr>
        <w:spacing w:after="0" w:line="194" w:lineRule="exact"/>
        <w:rPr>
          <w:sz w:val="20"/>
          <w:szCs w:val="20"/>
          <w:color w:val="auto"/>
        </w:rPr>
      </w:pPr>
    </w:p>
    <w:p>
      <w:pPr>
        <w:jc w:val="both"/>
        <w:ind w:firstLine="571"/>
        <w:spacing w:after="0" w:line="253" w:lineRule="auto"/>
        <w:rPr>
          <w:sz w:val="20"/>
          <w:szCs w:val="20"/>
          <w:color w:val="auto"/>
        </w:rPr>
      </w:pPr>
      <w:r>
        <w:rPr>
          <w:rFonts w:ascii="Arial" w:cs="Arial" w:eastAsia="Arial" w:hAnsi="Arial"/>
          <w:sz w:val="18"/>
          <w:szCs w:val="18"/>
          <w:color w:val="auto"/>
        </w:rPr>
        <w:t>Over the life of the mine, recoveries of gold and silver in the milling circuit at Pinos Altos are expected to average approximately 95% and 53%, respectively. Precious metals recovery from low grade ore processed using heap leach techniques at Pinos Altos will be lower at about 68% for gold and 12% for silver. Heap leach recoveries for Creston Mascota ore are expected to average 71% for gold and 16% for silver. Start-up of the Pinos Altos mill was affected by increased quantities of clay minerals in the initial ore processed resulting in a subsequent limitation on the ability to filter tailings. At the end of 2009, processing rates were at approximately 2,300 tonnes per day compared to the 4,000 tonnes per day design capacity. Several measure are being used to increase throughput to target rates, including installation of additional filtration capacity and the blending of ores to minimize the impact of clay alteration. Target rates are expected to be reached in mid-2010.</w:t>
      </w:r>
    </w:p>
    <w:p>
      <w:pPr>
        <w:spacing w:after="0" w:line="20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Mineral Recoveries</w:t>
      </w:r>
    </w:p>
    <w:p>
      <w:pPr>
        <w:spacing w:after="0" w:line="225" w:lineRule="exact"/>
        <w:rPr>
          <w:sz w:val="20"/>
          <w:szCs w:val="20"/>
          <w:color w:val="auto"/>
        </w:rPr>
      </w:pPr>
    </w:p>
    <w:p>
      <w:pPr>
        <w:jc w:val="both"/>
        <w:ind w:firstLine="618"/>
        <w:spacing w:after="0" w:line="268" w:lineRule="auto"/>
        <w:rPr>
          <w:sz w:val="20"/>
          <w:szCs w:val="20"/>
          <w:color w:val="auto"/>
        </w:rPr>
      </w:pPr>
      <w:r>
        <w:rPr>
          <w:rFonts w:ascii="Arial" w:cs="Arial" w:eastAsia="Arial" w:hAnsi="Arial"/>
          <w:sz w:val="18"/>
          <w:szCs w:val="18"/>
          <w:color w:val="auto"/>
        </w:rPr>
        <w:t>During 2009, the Pinos Altos mill processed 198,181 tonnes of ore, averaging approximately 130 tonnes of ore treated per day and operating at approximately 70% of available time. The following table sets out the metal recoveries at the Pinos Altos mill in 2009.</w:t>
      </w:r>
    </w:p>
    <w:p>
      <w:pPr>
        <w:spacing w:after="0" w:line="169"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530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60" w:type="dxa"/>
            <w:vAlign w:val="bottom"/>
          </w:tcPr>
          <w:p>
            <w:pPr>
              <w:jc w:val="center"/>
              <w:spacing w:after="0"/>
              <w:rPr>
                <w:sz w:val="20"/>
                <w:szCs w:val="20"/>
                <w:color w:val="auto"/>
              </w:rPr>
            </w:pPr>
            <w:r>
              <w:rPr>
                <w:rFonts w:ascii="Arial" w:cs="Arial" w:eastAsia="Arial" w:hAnsi="Arial"/>
                <w:sz w:val="14"/>
                <w:szCs w:val="14"/>
                <w:b w:val="1"/>
                <w:bCs w:val="1"/>
                <w:color w:val="auto"/>
                <w:w w:val="92"/>
              </w:rPr>
              <w:t>Overall</w:t>
            </w:r>
          </w:p>
        </w:tc>
        <w:tc>
          <w:tcPr>
            <w:tcW w:w="16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160" w:type="dxa"/>
            <w:vAlign w:val="bottom"/>
          </w:tcPr>
          <w:p>
            <w:pPr>
              <w:spacing w:after="0"/>
              <w:rPr>
                <w:sz w:val="14"/>
                <w:szCs w:val="14"/>
                <w:color w:val="auto"/>
              </w:rPr>
            </w:pPr>
          </w:p>
        </w:tc>
      </w:tr>
      <w:tr>
        <w:trPr>
          <w:trHeight w:val="149"/>
        </w:trPr>
        <w:tc>
          <w:tcPr>
            <w:tcW w:w="20" w:type="dxa"/>
            <w:vAlign w:val="bottom"/>
          </w:tcPr>
          <w:p>
            <w:pPr>
              <w:spacing w:after="0"/>
              <w:rPr>
                <w:sz w:val="12"/>
                <w:szCs w:val="12"/>
                <w:color w:val="auto"/>
              </w:rPr>
            </w:pPr>
          </w:p>
        </w:tc>
        <w:tc>
          <w:tcPr>
            <w:tcW w:w="5300" w:type="dxa"/>
            <w:vAlign w:val="bottom"/>
          </w:tcPr>
          <w:p>
            <w:pPr>
              <w:spacing w:after="0"/>
              <w:rPr>
                <w:sz w:val="12"/>
                <w:szCs w:val="12"/>
                <w:color w:val="auto"/>
              </w:rPr>
            </w:pPr>
          </w:p>
        </w:tc>
        <w:tc>
          <w:tcPr>
            <w:tcW w:w="680" w:type="dxa"/>
            <w:vAlign w:val="bottom"/>
          </w:tcPr>
          <w:p>
            <w:pPr>
              <w:ind w:left="180"/>
              <w:spacing w:after="0" w:line="149" w:lineRule="exact"/>
              <w:rPr>
                <w:sz w:val="20"/>
                <w:szCs w:val="20"/>
                <w:color w:val="auto"/>
              </w:rPr>
            </w:pPr>
            <w:r>
              <w:rPr>
                <w:rFonts w:ascii="Arial" w:cs="Arial" w:eastAsia="Arial" w:hAnsi="Arial"/>
                <w:sz w:val="14"/>
                <w:szCs w:val="14"/>
                <w:b w:val="1"/>
                <w:bCs w:val="1"/>
                <w:color w:val="auto"/>
              </w:rPr>
              <w:t>Head</w:t>
            </w:r>
          </w:p>
        </w:tc>
        <w:tc>
          <w:tcPr>
            <w:tcW w:w="160" w:type="dxa"/>
            <w:vAlign w:val="bottom"/>
          </w:tcPr>
          <w:p>
            <w:pPr>
              <w:spacing w:after="0"/>
              <w:rPr>
                <w:sz w:val="12"/>
                <w:szCs w:val="12"/>
                <w:color w:val="auto"/>
              </w:rPr>
            </w:pPr>
          </w:p>
        </w:tc>
        <w:tc>
          <w:tcPr>
            <w:tcW w:w="920" w:type="dxa"/>
            <w:vAlign w:val="bottom"/>
          </w:tcPr>
          <w:p>
            <w:pPr>
              <w:jc w:val="right"/>
              <w:ind w:right="242"/>
              <w:spacing w:after="0" w:line="149" w:lineRule="exact"/>
              <w:rPr>
                <w:sz w:val="20"/>
                <w:szCs w:val="20"/>
                <w:color w:val="auto"/>
              </w:rPr>
            </w:pPr>
            <w:r>
              <w:rPr>
                <w:rFonts w:ascii="Arial" w:cs="Arial" w:eastAsia="Arial" w:hAnsi="Arial"/>
                <w:sz w:val="14"/>
                <w:szCs w:val="14"/>
                <w:b w:val="1"/>
                <w:bCs w:val="1"/>
                <w:color w:val="auto"/>
              </w:rPr>
              <w:t>Dore</w:t>
            </w:r>
          </w:p>
        </w:tc>
        <w:tc>
          <w:tcPr>
            <w:tcW w:w="160" w:type="dxa"/>
            <w:vAlign w:val="bottom"/>
          </w:tcPr>
          <w:p>
            <w:pPr>
              <w:spacing w:after="0"/>
              <w:rPr>
                <w:sz w:val="12"/>
                <w:szCs w:val="12"/>
                <w:color w:val="auto"/>
              </w:rPr>
            </w:pPr>
          </w:p>
        </w:tc>
        <w:tc>
          <w:tcPr>
            <w:tcW w:w="66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4"/>
              </w:rPr>
              <w:t>Metal</w:t>
            </w:r>
          </w:p>
        </w:tc>
        <w:tc>
          <w:tcPr>
            <w:tcW w:w="160" w:type="dxa"/>
            <w:vAlign w:val="bottom"/>
          </w:tcPr>
          <w:p>
            <w:pPr>
              <w:spacing w:after="0"/>
              <w:rPr>
                <w:sz w:val="12"/>
                <w:szCs w:val="12"/>
                <w:color w:val="auto"/>
              </w:rPr>
            </w:pPr>
          </w:p>
        </w:tc>
        <w:tc>
          <w:tcPr>
            <w:tcW w:w="1080" w:type="dxa"/>
            <w:vAlign w:val="bottom"/>
            <w:gridSpan w:val="2"/>
          </w:tcPr>
          <w:p>
            <w:pPr>
              <w:ind w:left="220"/>
              <w:spacing w:after="0" w:line="149" w:lineRule="exact"/>
              <w:rPr>
                <w:sz w:val="20"/>
                <w:szCs w:val="20"/>
                <w:color w:val="auto"/>
              </w:rPr>
            </w:pPr>
            <w:r>
              <w:rPr>
                <w:rFonts w:ascii="Arial" w:cs="Arial" w:eastAsia="Arial" w:hAnsi="Arial"/>
                <w:sz w:val="14"/>
                <w:szCs w:val="14"/>
                <w:b w:val="1"/>
                <w:bCs w:val="1"/>
                <w:color w:val="auto"/>
              </w:rPr>
              <w:t>Payable</w:t>
            </w:r>
          </w:p>
        </w:tc>
      </w:tr>
      <w:tr>
        <w:trPr>
          <w:trHeight w:val="161"/>
        </w:trPr>
        <w:tc>
          <w:tcPr>
            <w:tcW w:w="20" w:type="dxa"/>
            <w:vAlign w:val="bottom"/>
          </w:tcPr>
          <w:p>
            <w:pPr>
              <w:spacing w:after="0"/>
              <w:rPr>
                <w:sz w:val="14"/>
                <w:szCs w:val="14"/>
                <w:color w:val="auto"/>
              </w:rPr>
            </w:pPr>
          </w:p>
        </w:tc>
        <w:tc>
          <w:tcPr>
            <w:tcW w:w="5300" w:type="dxa"/>
            <w:vAlign w:val="bottom"/>
          </w:tcPr>
          <w:p>
            <w:pPr>
              <w:spacing w:after="0"/>
              <w:rPr>
                <w:sz w:val="14"/>
                <w:szCs w:val="14"/>
                <w:color w:val="auto"/>
              </w:rPr>
            </w:pPr>
          </w:p>
        </w:tc>
        <w:tc>
          <w:tcPr>
            <w:tcW w:w="680" w:type="dxa"/>
            <w:vAlign w:val="bottom"/>
            <w:tcBorders>
              <w:bottom w:val="single" w:sz="8" w:color="auto"/>
            </w:tcBorders>
          </w:tcPr>
          <w:p>
            <w:pPr>
              <w:ind w:left="140"/>
              <w:spacing w:after="0"/>
              <w:rPr>
                <w:sz w:val="20"/>
                <w:szCs w:val="20"/>
                <w:color w:val="auto"/>
              </w:rPr>
            </w:pPr>
            <w:r>
              <w:rPr>
                <w:rFonts w:ascii="Arial" w:cs="Arial" w:eastAsia="Arial" w:hAnsi="Arial"/>
                <w:sz w:val="14"/>
                <w:szCs w:val="14"/>
                <w:b w:val="1"/>
                <w:bCs w:val="1"/>
                <w:color w:val="auto"/>
              </w:rPr>
              <w:t>Grade</w:t>
            </w:r>
          </w:p>
        </w:tc>
        <w:tc>
          <w:tcPr>
            <w:tcW w:w="160" w:type="dxa"/>
            <w:vAlign w:val="bottom"/>
          </w:tcPr>
          <w:p>
            <w:pPr>
              <w:spacing w:after="0"/>
              <w:rPr>
                <w:sz w:val="14"/>
                <w:szCs w:val="14"/>
                <w:color w:val="auto"/>
              </w:rPr>
            </w:pPr>
          </w:p>
        </w:tc>
        <w:tc>
          <w:tcPr>
            <w:tcW w:w="920" w:type="dxa"/>
            <w:vAlign w:val="bottom"/>
            <w:tcBorders>
              <w:bottom w:val="single" w:sz="8" w:color="auto"/>
            </w:tcBorders>
          </w:tcPr>
          <w:p>
            <w:pPr>
              <w:jc w:val="right"/>
              <w:ind w:right="122"/>
              <w:spacing w:after="0"/>
              <w:rPr>
                <w:sz w:val="20"/>
                <w:szCs w:val="20"/>
                <w:color w:val="auto"/>
              </w:rPr>
            </w:pPr>
            <w:r>
              <w:rPr>
                <w:rFonts w:ascii="Arial" w:cs="Arial" w:eastAsia="Arial" w:hAnsi="Arial"/>
                <w:sz w:val="14"/>
                <w:szCs w:val="14"/>
                <w:b w:val="1"/>
                <w:bCs w:val="1"/>
                <w:color w:val="auto"/>
              </w:rPr>
              <w:t>Produced</w:t>
            </w:r>
          </w:p>
        </w:tc>
        <w:tc>
          <w:tcPr>
            <w:tcW w:w="160" w:type="dxa"/>
            <w:vAlign w:val="bottom"/>
          </w:tcPr>
          <w:p>
            <w:pPr>
              <w:spacing w:after="0"/>
              <w:rPr>
                <w:sz w:val="14"/>
                <w:szCs w:val="14"/>
                <w:color w:val="auto"/>
              </w:rPr>
            </w:pPr>
          </w:p>
        </w:tc>
        <w:tc>
          <w:tcPr>
            <w:tcW w:w="6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5"/>
              </w:rPr>
              <w:t>Recovery</w:t>
            </w:r>
          </w:p>
        </w:tc>
        <w:tc>
          <w:tcPr>
            <w:tcW w:w="160" w:type="dxa"/>
            <w:vAlign w:val="bottom"/>
          </w:tcPr>
          <w:p>
            <w:pPr>
              <w:spacing w:after="0"/>
              <w:rPr>
                <w:sz w:val="14"/>
                <w:szCs w:val="14"/>
                <w:color w:val="auto"/>
              </w:rPr>
            </w:pPr>
          </w:p>
        </w:tc>
        <w:tc>
          <w:tcPr>
            <w:tcW w:w="920" w:type="dxa"/>
            <w:vAlign w:val="bottom"/>
            <w:tcBorders>
              <w:bottom w:val="single" w:sz="8" w:color="auto"/>
            </w:tcBorders>
          </w:tcPr>
          <w:p>
            <w:pPr>
              <w:jc w:val="right"/>
              <w:ind w:right="62"/>
              <w:spacing w:after="0"/>
              <w:rPr>
                <w:sz w:val="20"/>
                <w:szCs w:val="20"/>
                <w:color w:val="auto"/>
              </w:rPr>
            </w:pPr>
            <w:r>
              <w:rPr>
                <w:rFonts w:ascii="Arial" w:cs="Arial" w:eastAsia="Arial" w:hAnsi="Arial"/>
                <w:sz w:val="14"/>
                <w:szCs w:val="14"/>
                <w:b w:val="1"/>
                <w:bCs w:val="1"/>
                <w:color w:val="auto"/>
              </w:rPr>
              <w:t>Production</w:t>
            </w:r>
          </w:p>
        </w:tc>
        <w:tc>
          <w:tcPr>
            <w:tcW w:w="160" w:type="dxa"/>
            <w:vAlign w:val="bottom"/>
          </w:tcPr>
          <w:p>
            <w:pPr>
              <w:spacing w:after="0"/>
              <w:rPr>
                <w:sz w:val="14"/>
                <w:szCs w:val="14"/>
                <w:color w:val="auto"/>
              </w:rPr>
            </w:pPr>
          </w:p>
        </w:tc>
      </w:tr>
      <w:tr>
        <w:trPr>
          <w:trHeight w:val="210"/>
        </w:trPr>
        <w:tc>
          <w:tcPr>
            <w:tcW w:w="20" w:type="dxa"/>
            <w:vAlign w:val="bottom"/>
          </w:tcPr>
          <w:p>
            <w:pPr>
              <w:spacing w:after="0"/>
              <w:rPr>
                <w:sz w:val="18"/>
                <w:szCs w:val="18"/>
                <w:color w:val="auto"/>
              </w:rPr>
            </w:pPr>
          </w:p>
        </w:tc>
        <w:tc>
          <w:tcPr>
            <w:tcW w:w="5300" w:type="dxa"/>
            <w:vAlign w:val="bottom"/>
            <w:shd w:val="clear" w:color="auto" w:fill="CCEEFF"/>
          </w:tcPr>
          <w:p>
            <w:pPr>
              <w:spacing w:after="0"/>
              <w:rPr>
                <w:sz w:val="20"/>
                <w:szCs w:val="20"/>
                <w:color w:val="auto"/>
              </w:rPr>
            </w:pPr>
            <w:r>
              <w:rPr>
                <w:rFonts w:ascii="Arial" w:cs="Arial" w:eastAsia="Arial" w:hAnsi="Arial"/>
                <w:sz w:val="18"/>
                <w:szCs w:val="18"/>
                <w:color w:val="auto"/>
              </w:rPr>
              <w:t>Gold</w:t>
            </w:r>
          </w:p>
        </w:tc>
        <w:tc>
          <w:tcPr>
            <w:tcW w:w="680" w:type="dxa"/>
            <w:vAlign w:val="bottom"/>
            <w:shd w:val="clear" w:color="auto" w:fill="CCEEFF"/>
          </w:tcPr>
          <w:p>
            <w:pPr>
              <w:ind w:left="140"/>
              <w:spacing w:after="0"/>
              <w:rPr>
                <w:sz w:val="20"/>
                <w:szCs w:val="20"/>
                <w:color w:val="auto"/>
              </w:rPr>
            </w:pPr>
            <w:r>
              <w:rPr>
                <w:rFonts w:ascii="Arial" w:cs="Arial" w:eastAsia="Arial" w:hAnsi="Arial"/>
                <w:sz w:val="18"/>
                <w:szCs w:val="18"/>
                <w:color w:val="auto"/>
                <w:w w:val="86"/>
              </w:rPr>
              <w:t>1.08 g/t</w:t>
            </w:r>
          </w:p>
        </w:tc>
        <w:tc>
          <w:tcPr>
            <w:tcW w:w="16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12,155 oz</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92%</w:t>
            </w:r>
          </w:p>
        </w:tc>
        <w:tc>
          <w:tcPr>
            <w:tcW w:w="16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16,189 oz</w:t>
            </w:r>
          </w:p>
        </w:tc>
      </w:tr>
      <w:tr>
        <w:trPr>
          <w:trHeight w:val="222"/>
        </w:trPr>
        <w:tc>
          <w:tcPr>
            <w:tcW w:w="20" w:type="dxa"/>
            <w:vAlign w:val="bottom"/>
          </w:tcPr>
          <w:p>
            <w:pPr>
              <w:spacing w:after="0"/>
              <w:rPr>
                <w:sz w:val="19"/>
                <w:szCs w:val="19"/>
                <w:color w:val="auto"/>
              </w:rPr>
            </w:pPr>
          </w:p>
        </w:tc>
        <w:tc>
          <w:tcPr>
            <w:tcW w:w="5300" w:type="dxa"/>
            <w:vAlign w:val="bottom"/>
          </w:tcPr>
          <w:p>
            <w:pPr>
              <w:spacing w:after="0"/>
              <w:rPr>
                <w:sz w:val="20"/>
                <w:szCs w:val="20"/>
                <w:color w:val="auto"/>
              </w:rPr>
            </w:pPr>
            <w:r>
              <w:rPr>
                <w:rFonts w:ascii="Arial" w:cs="Arial" w:eastAsia="Arial" w:hAnsi="Arial"/>
                <w:sz w:val="18"/>
                <w:szCs w:val="18"/>
                <w:color w:val="auto"/>
              </w:rPr>
              <w:t>Silver</w:t>
            </w:r>
          </w:p>
        </w:tc>
        <w:tc>
          <w:tcPr>
            <w:tcW w:w="680" w:type="dxa"/>
            <w:vAlign w:val="bottom"/>
          </w:tcPr>
          <w:p>
            <w:pPr>
              <w:ind w:left="140"/>
              <w:spacing w:after="0"/>
              <w:rPr>
                <w:sz w:val="20"/>
                <w:szCs w:val="20"/>
                <w:color w:val="auto"/>
              </w:rPr>
            </w:pPr>
            <w:r>
              <w:rPr>
                <w:rFonts w:ascii="Arial" w:cs="Arial" w:eastAsia="Arial" w:hAnsi="Arial"/>
                <w:sz w:val="18"/>
                <w:szCs w:val="18"/>
                <w:color w:val="auto"/>
                <w:w w:val="86"/>
              </w:rPr>
              <w:t>49.5 g/t</w:t>
            </w:r>
          </w:p>
        </w:tc>
        <w:tc>
          <w:tcPr>
            <w:tcW w:w="160" w:type="dxa"/>
            <w:vAlign w:val="bottom"/>
          </w:tcPr>
          <w:p>
            <w:pPr>
              <w:spacing w:after="0"/>
              <w:rPr>
                <w:sz w:val="19"/>
                <w:szCs w:val="19"/>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103,141 oz</w:t>
            </w:r>
          </w:p>
        </w:tc>
        <w:tc>
          <w:tcPr>
            <w:tcW w:w="820" w:type="dxa"/>
            <w:vAlign w:val="bottom"/>
            <w:gridSpan w:val="2"/>
          </w:tcPr>
          <w:p>
            <w:pPr>
              <w:jc w:val="right"/>
              <w:spacing w:after="0"/>
              <w:rPr>
                <w:sz w:val="20"/>
                <w:szCs w:val="20"/>
                <w:color w:val="auto"/>
              </w:rPr>
            </w:pPr>
            <w:r>
              <w:rPr>
                <w:rFonts w:ascii="Arial" w:cs="Arial" w:eastAsia="Arial" w:hAnsi="Arial"/>
                <w:sz w:val="18"/>
                <w:szCs w:val="18"/>
                <w:color w:val="auto"/>
              </w:rPr>
              <w:t>34%</w:t>
            </w:r>
          </w:p>
        </w:tc>
        <w:tc>
          <w:tcPr>
            <w:tcW w:w="160" w:type="dxa"/>
            <w:vAlign w:val="bottom"/>
          </w:tcPr>
          <w:p>
            <w:pPr>
              <w:spacing w:after="0"/>
              <w:rPr>
                <w:sz w:val="19"/>
                <w:szCs w:val="19"/>
                <w:color w:val="auto"/>
              </w:rPr>
            </w:pPr>
          </w:p>
        </w:tc>
        <w:tc>
          <w:tcPr>
            <w:tcW w:w="1080" w:type="dxa"/>
            <w:vAlign w:val="bottom"/>
            <w:gridSpan w:val="2"/>
          </w:tcPr>
          <w:p>
            <w:pPr>
              <w:jc w:val="right"/>
              <w:ind w:right="160"/>
              <w:spacing w:after="0"/>
              <w:rPr>
                <w:sz w:val="20"/>
                <w:szCs w:val="20"/>
                <w:color w:val="auto"/>
              </w:rPr>
            </w:pPr>
            <w:r>
              <w:rPr>
                <w:rFonts w:ascii="Arial" w:cs="Arial" w:eastAsia="Arial" w:hAnsi="Arial"/>
                <w:sz w:val="18"/>
                <w:szCs w:val="18"/>
                <w:color w:val="auto"/>
              </w:rPr>
              <w:t>116,000 oz</w:t>
            </w:r>
          </w:p>
        </w:tc>
      </w:tr>
    </w:tbl>
    <w:p>
      <w:pPr>
        <w:spacing w:after="0" w:line="201" w:lineRule="exact"/>
        <w:rPr>
          <w:sz w:val="20"/>
          <w:szCs w:val="20"/>
          <w:color w:val="auto"/>
        </w:rPr>
      </w:pPr>
    </w:p>
    <w:p>
      <w:pPr>
        <w:jc w:val="both"/>
        <w:ind w:firstLine="378"/>
        <w:spacing w:after="0" w:line="256" w:lineRule="auto"/>
        <w:rPr>
          <w:sz w:val="20"/>
          <w:szCs w:val="20"/>
          <w:color w:val="auto"/>
        </w:rPr>
      </w:pPr>
      <w:r>
        <w:rPr>
          <w:rFonts w:ascii="Arial" w:cs="Arial" w:eastAsia="Arial" w:hAnsi="Arial"/>
          <w:sz w:val="18"/>
          <w:szCs w:val="18"/>
          <w:color w:val="auto"/>
        </w:rPr>
        <w:t>An additional 347,512 tonnes of ore were processed and placed on the heap leach pad with an average grade of 1.1 grams of gold per tonne and 24.8 grams of silver per tonne. Cumulative metals recovery on the heap leach pad are 35.3% gold and 5.3% silver following the planned recovery curve and it is expected that the ultimate recovery of 68% for gold and 12% for silver will be achieved when the approximate one-year leaching cycle is completed on this low grade heap leach ore.</w:t>
      </w:r>
    </w:p>
    <w:p>
      <w:pPr>
        <w:spacing w:after="0" w:line="197"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Total metal production (from mill and heap leach) at Pinos Altos during 2009 was 16,561 ounces of gold and 118,164 ounces of silver.</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Environmental Matters</w:t>
      </w:r>
    </w:p>
    <w:p>
      <w:pPr>
        <w:spacing w:after="0" w:line="225" w:lineRule="exact"/>
        <w:rPr>
          <w:sz w:val="20"/>
          <w:szCs w:val="20"/>
          <w:color w:val="auto"/>
        </w:rPr>
      </w:pPr>
    </w:p>
    <w:p>
      <w:pPr>
        <w:jc w:val="both"/>
        <w:ind w:firstLine="358"/>
        <w:spacing w:after="0" w:line="256" w:lineRule="auto"/>
        <w:rPr>
          <w:sz w:val="20"/>
          <w:szCs w:val="20"/>
          <w:color w:val="auto"/>
        </w:rPr>
      </w:pPr>
      <w:r>
        <w:rPr>
          <w:rFonts w:ascii="Arial" w:cs="Arial" w:eastAsia="Arial" w:hAnsi="Arial"/>
          <w:sz w:val="18"/>
          <w:szCs w:val="18"/>
          <w:color w:val="auto"/>
        </w:rPr>
        <w:t>The Pinos Altos Mine has received the necessary permit authorizations for construction and operation of a mine, including a Change of Land Use permit and an Environmental Impact Study approval from the Mexican environmental agency ("SEMARNAT"). As of December 31, 2009, all permits necessary for the operation of the Pinos Altos Mine, including the operations at the Creston Mascota deposit, had been received and requests for modifications to allow for future expansion of facilities, including at the Creston Mascota deposit, had been</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92" w:name="page93"/>
    <w:bookmarkEnd w:id="92"/>
    <w:p>
      <w:pPr>
        <w:jc w:val="both"/>
        <w:spacing w:after="0" w:line="259" w:lineRule="auto"/>
        <w:rPr>
          <w:sz w:val="20"/>
          <w:szCs w:val="20"/>
          <w:color w:val="auto"/>
        </w:rPr>
      </w:pPr>
      <w:r>
        <w:rPr>
          <w:rFonts w:ascii="Arial" w:cs="Arial" w:eastAsia="Arial" w:hAnsi="Arial"/>
          <w:sz w:val="18"/>
          <w:szCs w:val="18"/>
          <w:color w:val="auto"/>
        </w:rPr>
        <w:t>approved or were under review by SEMARNAT. Pinos Altos will employ dry stack tailings technology to minimize the geotechnical and environmental risk that can be associated with the rainfall intensities and topographic relief in the Sierra Madre region of Mexico. All of the Mexican environmental regulatory requirements are expected to be met or exceeded by the Pinos Altos Mine.</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Capital Expenditures</w:t>
      </w:r>
    </w:p>
    <w:p>
      <w:pPr>
        <w:spacing w:after="0" w:line="225" w:lineRule="exact"/>
        <w:rPr>
          <w:sz w:val="20"/>
          <w:szCs w:val="20"/>
          <w:color w:val="auto"/>
        </w:rPr>
      </w:pPr>
    </w:p>
    <w:p>
      <w:pPr>
        <w:jc w:val="both"/>
        <w:ind w:firstLine="407"/>
        <w:spacing w:after="0" w:line="294" w:lineRule="auto"/>
        <w:rPr>
          <w:sz w:val="20"/>
          <w:szCs w:val="20"/>
          <w:color w:val="auto"/>
        </w:rPr>
      </w:pPr>
      <w:r>
        <w:rPr>
          <w:rFonts w:ascii="Arial" w:cs="Arial" w:eastAsia="Arial" w:hAnsi="Arial"/>
          <w:sz w:val="16"/>
          <w:szCs w:val="16"/>
          <w:color w:val="auto"/>
        </w:rPr>
        <w:t>Capital expenditures at the Pinos Altos Mine during 2009 were approximately $143.4 million, which included $40.9 million in mining equipment and pre-production development expenses; $79.4 million in infrastructure and process facilities construction; $9.6 million in expenses related to Creston Mascota; and $13.5 million in exploration and other regional expenses. The Company expects sustaining capital expenditures at Pinos Altos to be approximately $41 million in 2010 and average sustaining capital of approximately $6 million per year for a projected mine life of approximately 20 years. Approximately $52 million in development capital is forecast at Creston Mascota in 2010 with sustaining capital of $2 million during the five year mine life.</w:t>
      </w:r>
    </w:p>
    <w:p>
      <w:pPr>
        <w:spacing w:after="0" w:line="170" w:lineRule="exact"/>
        <w:rPr>
          <w:sz w:val="20"/>
          <w:szCs w:val="20"/>
          <w:color w:val="auto"/>
        </w:rPr>
      </w:pPr>
    </w:p>
    <w:p>
      <w:pPr>
        <w:jc w:val="both"/>
        <w:ind w:right="20" w:firstLine="373"/>
        <w:spacing w:after="0" w:line="268" w:lineRule="auto"/>
        <w:rPr>
          <w:sz w:val="20"/>
          <w:szCs w:val="20"/>
          <w:color w:val="auto"/>
        </w:rPr>
      </w:pPr>
      <w:r>
        <w:rPr>
          <w:rFonts w:ascii="Arial" w:cs="Arial" w:eastAsia="Arial" w:hAnsi="Arial"/>
          <w:sz w:val="18"/>
          <w:szCs w:val="18"/>
          <w:color w:val="auto"/>
        </w:rPr>
        <w:t>Capital costs for the Creston Mascota development are estimated at $62 million. Commercial operations at Creston Mascota are planned for early 2011 with production of approximately 50,000 ounces of gold annually for a mine life of approximately five years.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Development</w:t>
      </w:r>
    </w:p>
    <w:p>
      <w:pPr>
        <w:spacing w:after="0" w:line="225" w:lineRule="exact"/>
        <w:rPr>
          <w:sz w:val="20"/>
          <w:szCs w:val="20"/>
          <w:color w:val="auto"/>
        </w:rPr>
      </w:pPr>
    </w:p>
    <w:p>
      <w:pPr>
        <w:jc w:val="both"/>
        <w:ind w:right="20" w:firstLine="479"/>
        <w:spacing w:after="0" w:line="268" w:lineRule="auto"/>
        <w:rPr>
          <w:sz w:val="20"/>
          <w:szCs w:val="20"/>
          <w:color w:val="auto"/>
        </w:rPr>
      </w:pPr>
      <w:r>
        <w:rPr>
          <w:rFonts w:ascii="Arial" w:cs="Arial" w:eastAsia="Arial" w:hAnsi="Arial"/>
          <w:sz w:val="18"/>
          <w:szCs w:val="18"/>
          <w:color w:val="auto"/>
        </w:rPr>
        <w:t>At December 31, 2009 more than 30 million tonnes of overburden had been removed from the open pit mine and more than nine kilometres of lateral development had been completed in the underground mine.</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i w:val="1"/>
          <w:iCs w:val="1"/>
          <w:u w:val="single" w:color="auto"/>
          <w:color w:val="auto"/>
        </w:rPr>
        <w:t>Geology, Mineralization and Exploration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Geology</w:t>
      </w:r>
    </w:p>
    <w:p>
      <w:pPr>
        <w:spacing w:after="0" w:line="225" w:lineRule="exact"/>
        <w:rPr>
          <w:sz w:val="20"/>
          <w:szCs w:val="20"/>
          <w:color w:val="auto"/>
        </w:rPr>
      </w:pPr>
    </w:p>
    <w:p>
      <w:pPr>
        <w:jc w:val="both"/>
        <w:ind w:firstLine="459"/>
        <w:spacing w:after="0" w:line="268" w:lineRule="auto"/>
        <w:rPr>
          <w:sz w:val="20"/>
          <w:szCs w:val="20"/>
          <w:color w:val="auto"/>
        </w:rPr>
      </w:pPr>
      <w:r>
        <w:rPr>
          <w:rFonts w:ascii="Arial" w:cs="Arial" w:eastAsia="Arial" w:hAnsi="Arial"/>
          <w:sz w:val="18"/>
          <w:szCs w:val="18"/>
          <w:color w:val="auto"/>
        </w:rPr>
        <w:t>The Pinos Altos Mine is in the northern part of the Sierra Madre geologic province, on the northeast margin of the Ocampo Caldera, which hosts many epithermal gold and silver occurrences including the nearby Ocampo mining operation and Moris mine.</w:t>
      </w:r>
    </w:p>
    <w:p>
      <w:pPr>
        <w:spacing w:after="0" w:line="186" w:lineRule="exact"/>
        <w:rPr>
          <w:sz w:val="20"/>
          <w:szCs w:val="20"/>
          <w:color w:val="auto"/>
        </w:rPr>
      </w:pPr>
    </w:p>
    <w:p>
      <w:pPr>
        <w:jc w:val="both"/>
        <w:ind w:firstLine="437"/>
        <w:spacing w:after="0" w:line="294" w:lineRule="auto"/>
        <w:rPr>
          <w:sz w:val="20"/>
          <w:szCs w:val="20"/>
          <w:color w:val="auto"/>
        </w:rPr>
      </w:pPr>
      <w:r>
        <w:rPr>
          <w:rFonts w:ascii="Arial" w:cs="Arial" w:eastAsia="Arial" w:hAnsi="Arial"/>
          <w:sz w:val="16"/>
          <w:szCs w:val="16"/>
          <w:color w:val="auto"/>
        </w:rPr>
        <w:t>The property is underlain by Tertiary-age (less than 45-million-years-old) volcanic and intrusive rocks that have been disturbed by faulting. The volcanic rocks belong to the lower volcanic complex and the discordantly-overlying upper volcanic supergroup. The lower volcanic complex is represented on the property by the Navosaigame conglomerates (including thinly-bedded sandstone and siltstone) and the El Madrono volcanics (felsic tuffs and lavas intercalated with rhyolitic tuffs, sandy volcanoclastics and sediments). The upper volcanic group is made up of the Victoria ignimbrites (explosive felsic volcanics), the Frijolar andesites (massive to flow-banded, porphyritic flows) and the Buenavista ignimbrites (dacitic to rhyolitic pyroclastics).</w:t>
      </w:r>
    </w:p>
    <w:p>
      <w:pPr>
        <w:spacing w:after="0" w:line="170" w:lineRule="exact"/>
        <w:rPr>
          <w:sz w:val="20"/>
          <w:szCs w:val="20"/>
          <w:color w:val="auto"/>
        </w:rPr>
      </w:pPr>
    </w:p>
    <w:p>
      <w:pPr>
        <w:jc w:val="both"/>
        <w:ind w:right="20" w:firstLine="456"/>
        <w:spacing w:after="0" w:line="268" w:lineRule="auto"/>
        <w:rPr>
          <w:sz w:val="20"/>
          <w:szCs w:val="20"/>
          <w:color w:val="auto"/>
        </w:rPr>
      </w:pPr>
      <w:r>
        <w:rPr>
          <w:rFonts w:ascii="Arial" w:cs="Arial" w:eastAsia="Arial" w:hAnsi="Arial"/>
          <w:sz w:val="18"/>
          <w:szCs w:val="18"/>
          <w:color w:val="auto"/>
        </w:rPr>
        <w:t>Intermediate and felsic dykes as well as rhyolitic domes intrude all of these units. The Santo Nino andesite is a dyke that intrudes along the Santo Nino fault zone.</w:t>
      </w:r>
    </w:p>
    <w:p>
      <w:pPr>
        <w:spacing w:after="0" w:line="186" w:lineRule="exact"/>
        <w:rPr>
          <w:sz w:val="20"/>
          <w:szCs w:val="20"/>
          <w:color w:val="auto"/>
        </w:rPr>
      </w:pPr>
    </w:p>
    <w:p>
      <w:pPr>
        <w:jc w:val="both"/>
        <w:ind w:firstLine="415"/>
        <w:spacing w:after="0" w:line="259" w:lineRule="auto"/>
        <w:rPr>
          <w:sz w:val="20"/>
          <w:szCs w:val="20"/>
          <w:color w:val="auto"/>
        </w:rPr>
      </w:pPr>
      <w:r>
        <w:rPr>
          <w:rFonts w:ascii="Arial" w:cs="Arial" w:eastAsia="Arial" w:hAnsi="Arial"/>
          <w:sz w:val="18"/>
          <w:szCs w:val="18"/>
          <w:color w:val="auto"/>
        </w:rPr>
        <w:t>Structure on the property is dominated by a 10-kilometre by 3-kilometre horst, a fault-uplifted block structure oriented west-northwest, that is bounded on the south by the south-dipping Santo Nino fault and on the north by the north-dipping Reyna de Plata fault. Quartz-gold vein deposits are emplaced along these faults and along transfer faults that splay from the Santo Nino fault.</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Mineralization</w:t>
      </w:r>
    </w:p>
    <w:p>
      <w:pPr>
        <w:spacing w:after="0" w:line="225" w:lineRule="exact"/>
        <w:rPr>
          <w:sz w:val="20"/>
          <w:szCs w:val="20"/>
          <w:color w:val="auto"/>
        </w:rPr>
      </w:pPr>
    </w:p>
    <w:p>
      <w:pPr>
        <w:jc w:val="both"/>
        <w:ind w:firstLine="500"/>
        <w:spacing w:after="0" w:line="298" w:lineRule="auto"/>
        <w:rPr>
          <w:sz w:val="20"/>
          <w:szCs w:val="20"/>
          <w:color w:val="auto"/>
        </w:rPr>
      </w:pPr>
      <w:r>
        <w:rPr>
          <w:rFonts w:ascii="Arial" w:cs="Arial" w:eastAsia="Arial" w:hAnsi="Arial"/>
          <w:sz w:val="16"/>
          <w:szCs w:val="16"/>
          <w:color w:val="auto"/>
        </w:rPr>
        <w:t>Gold and silver mineralization at the Pinos Altos Mine consists of low sulphidation epithermal type hydrothermal veins and breccias. The Santo Nino structure outcrops over a distance of roughly six kilometres. It strikes at 060 degrees azimuth on its eastern portion and turns to strike roughly 090 degrees azimuth on its western fringe. The structure dips at 70 degrees towards the south. The four mineralized sectors hosted by the Santo Nino structure consist of discontinuous quartz rich lenses named from east to west: El Apache, Oberon de Weber, Santo Nino and Cerro Colorado.</w:t>
      </w:r>
    </w:p>
    <w:p>
      <w:pPr>
        <w:spacing w:after="0" w:line="1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93" w:name="page94"/>
    <w:bookmarkEnd w:id="93"/>
    <w:p>
      <w:pPr>
        <w:jc w:val="both"/>
        <w:ind w:firstLine="351"/>
        <w:spacing w:after="0" w:line="268" w:lineRule="auto"/>
        <w:rPr>
          <w:sz w:val="20"/>
          <w:szCs w:val="20"/>
          <w:color w:val="auto"/>
        </w:rPr>
      </w:pPr>
      <w:r>
        <w:rPr>
          <w:rFonts w:ascii="Arial" w:cs="Arial" w:eastAsia="Arial" w:hAnsi="Arial"/>
          <w:sz w:val="18"/>
          <w:szCs w:val="18"/>
          <w:color w:val="auto"/>
        </w:rPr>
        <w:t>The El Apache lens is the most weakly mineralized. The area hosts a weakly developed white quartz dominated breccia. Gold values are low and erratic over its roughly 750 metre strike length. Past drilling suggests that this zone is of limited extent at depth.</w:t>
      </w:r>
    </w:p>
    <w:p>
      <w:pPr>
        <w:spacing w:after="0" w:line="186" w:lineRule="exact"/>
        <w:rPr>
          <w:sz w:val="20"/>
          <w:szCs w:val="20"/>
          <w:color w:val="auto"/>
        </w:rPr>
      </w:pPr>
    </w:p>
    <w:p>
      <w:pPr>
        <w:jc w:val="both"/>
        <w:ind w:firstLine="508"/>
        <w:spacing w:after="0" w:line="259" w:lineRule="auto"/>
        <w:rPr>
          <w:sz w:val="20"/>
          <w:szCs w:val="20"/>
          <w:color w:val="auto"/>
        </w:rPr>
      </w:pPr>
      <w:r>
        <w:rPr>
          <w:rFonts w:ascii="Arial" w:cs="Arial" w:eastAsia="Arial" w:hAnsi="Arial"/>
          <w:sz w:val="18"/>
          <w:szCs w:val="18"/>
          <w:color w:val="auto"/>
        </w:rPr>
        <w:t>The Oberon de Weber lens has been followed on surface and by diamond drilling over an extent of roughly 500 metres. Shallow holes drilled by the Company show good continuity both in grade and thickness over roughly 550 metres. From previous drilling done by Penoles, continuity at depth appears to be erratic with a weakly defined western rake.</w:t>
      </w:r>
    </w:p>
    <w:p>
      <w:pPr>
        <w:spacing w:after="0" w:line="194" w:lineRule="exact"/>
        <w:rPr>
          <w:sz w:val="20"/>
          <w:szCs w:val="20"/>
          <w:color w:val="auto"/>
        </w:rPr>
      </w:pPr>
    </w:p>
    <w:p>
      <w:pPr>
        <w:jc w:val="both"/>
        <w:ind w:firstLine="419"/>
        <w:spacing w:after="0" w:line="306" w:lineRule="auto"/>
        <w:rPr>
          <w:sz w:val="20"/>
          <w:szCs w:val="20"/>
          <w:color w:val="auto"/>
        </w:rPr>
      </w:pPr>
      <w:r>
        <w:rPr>
          <w:rFonts w:ascii="Arial" w:cs="Arial" w:eastAsia="Arial" w:hAnsi="Arial"/>
          <w:sz w:val="16"/>
          <w:szCs w:val="16"/>
          <w:color w:val="auto"/>
        </w:rPr>
        <w:t>The Santo Nino lens is the most vertically extensive of these lenses. It has been traced to a depth of approximately 750 metres below surface. The vein is followed on surface over a distance of 550 metres and discontinuously up to 650 metres. Beyond its western and eastern extents, the Santo Nino andesite is massive and only weakly altered. Gold grades found are systematically associated with green quartz brecciated andestite.</w:t>
      </w:r>
    </w:p>
    <w:p>
      <w:pPr>
        <w:spacing w:after="0" w:line="161" w:lineRule="exact"/>
        <w:rPr>
          <w:sz w:val="20"/>
          <w:szCs w:val="20"/>
          <w:color w:val="auto"/>
        </w:rPr>
      </w:pPr>
    </w:p>
    <w:p>
      <w:pPr>
        <w:jc w:val="both"/>
        <w:ind w:firstLine="422"/>
        <w:spacing w:after="0" w:line="259" w:lineRule="auto"/>
        <w:rPr>
          <w:sz w:val="20"/>
          <w:szCs w:val="20"/>
          <w:color w:val="auto"/>
        </w:rPr>
      </w:pPr>
      <w:r>
        <w:rPr>
          <w:rFonts w:ascii="Arial" w:cs="Arial" w:eastAsia="Arial" w:hAnsi="Arial"/>
          <w:sz w:val="18"/>
          <w:szCs w:val="18"/>
          <w:color w:val="auto"/>
        </w:rPr>
        <w:t>The Cerro Colorado lens is structurally more complex than the three described above. Near the surface, it is marked by a complex superposition of brittle faults with mineralized zones which are difficult to correlate from hole to hole. Its relation to the Santo Nino fault zone is not clearly defined. Two deeper holes done by the Company during this campaign suggest better grade continuity at depth.</w:t>
      </w:r>
    </w:p>
    <w:p>
      <w:pPr>
        <w:spacing w:after="0" w:line="194" w:lineRule="exact"/>
        <w:rPr>
          <w:sz w:val="20"/>
          <w:szCs w:val="20"/>
          <w:color w:val="auto"/>
        </w:rPr>
      </w:pPr>
    </w:p>
    <w:p>
      <w:pPr>
        <w:jc w:val="both"/>
        <w:ind w:firstLine="348"/>
        <w:spacing w:after="0" w:line="256" w:lineRule="auto"/>
        <w:rPr>
          <w:sz w:val="20"/>
          <w:szCs w:val="20"/>
          <w:color w:val="auto"/>
        </w:rPr>
      </w:pPr>
      <w:r>
        <w:rPr>
          <w:rFonts w:ascii="Arial" w:cs="Arial" w:eastAsia="Arial" w:hAnsi="Arial"/>
          <w:sz w:val="18"/>
          <w:szCs w:val="18"/>
          <w:color w:val="auto"/>
        </w:rPr>
        <w:t>The San Eligio zone is located approximately 250 metres north of Santo Nino. The host rock is brecciated Victoria Ignimbrite with, rarely, stockworks. There is no andesite in this sector. Unlike the other lenses, the San Eligio lens dips towards the north. The lateral extent seems to be continuous for 950 metres. Its average width is five metres and never exceeds 15 metres. Surface mapping and prospecting has suggested good potential for additional mineralization on strike and at depths below 150 metres. Visible gold has been seen in the drill core.</w:t>
      </w:r>
    </w:p>
    <w:p>
      <w:pPr>
        <w:spacing w:after="0" w:line="197" w:lineRule="exact"/>
        <w:rPr>
          <w:sz w:val="20"/>
          <w:szCs w:val="20"/>
          <w:color w:val="auto"/>
        </w:rPr>
      </w:pPr>
    </w:p>
    <w:p>
      <w:pPr>
        <w:jc w:val="both"/>
        <w:ind w:firstLine="438"/>
        <w:spacing w:after="0" w:line="256" w:lineRule="auto"/>
        <w:rPr>
          <w:sz w:val="20"/>
          <w:szCs w:val="20"/>
          <w:color w:val="auto"/>
        </w:rPr>
      </w:pPr>
      <w:r>
        <w:rPr>
          <w:rFonts w:ascii="Arial" w:cs="Arial" w:eastAsia="Arial" w:hAnsi="Arial"/>
          <w:sz w:val="18"/>
          <w:szCs w:val="18"/>
          <w:color w:val="auto"/>
        </w:rPr>
        <w:t>The minerals present are indicative of an oxidized, epithermal, low sulphidation (and likely low sulphide) precious metals vein system rich in silver. The temperature of formation is thought to have been below 300 degrees Celsius, as no selenium minerals have been found to date. The presence of kaolinite and dickite are indicative of an acidic environment. The presence of hematite crystals in the centre of acanthite indicates that the deposit was probably formed under oxidative conditions.</w:t>
      </w:r>
    </w:p>
    <w:p>
      <w:pPr>
        <w:spacing w:after="0" w:line="197" w:lineRule="exact"/>
        <w:rPr>
          <w:sz w:val="20"/>
          <w:szCs w:val="20"/>
          <w:color w:val="auto"/>
        </w:rPr>
      </w:pPr>
    </w:p>
    <w:p>
      <w:pPr>
        <w:jc w:val="both"/>
        <w:ind w:right="20" w:firstLine="498"/>
        <w:spacing w:after="0" w:line="306" w:lineRule="auto"/>
        <w:rPr>
          <w:sz w:val="20"/>
          <w:szCs w:val="20"/>
          <w:color w:val="auto"/>
        </w:rPr>
      </w:pPr>
      <w:r>
        <w:rPr>
          <w:rFonts w:ascii="Arial" w:cs="Arial" w:eastAsia="Arial" w:hAnsi="Arial"/>
          <w:sz w:val="16"/>
          <w:szCs w:val="16"/>
          <w:color w:val="auto"/>
        </w:rPr>
        <w:t>Several other promising zones are associated with the horst feature in the northwest part of the property. The Creston Mascota deposit is 7 kilometres northwest of the Santo Nino deposit, and is similar but dips shallowly to the west. Creston Mascota is about 1,000 metres long and 4 to 40 metres wide, and extends from surface to more than 200 metres depth. The deposit will be exploited by open pit and heap leach starting in 2011.</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Exploration</w:t>
      </w:r>
    </w:p>
    <w:p>
      <w:pPr>
        <w:spacing w:after="0" w:line="225" w:lineRule="exact"/>
        <w:rPr>
          <w:sz w:val="20"/>
          <w:szCs w:val="20"/>
          <w:color w:val="auto"/>
        </w:rPr>
      </w:pPr>
    </w:p>
    <w:p>
      <w:pPr>
        <w:jc w:val="both"/>
        <w:ind w:firstLine="449"/>
        <w:spacing w:after="0" w:line="306" w:lineRule="auto"/>
        <w:rPr>
          <w:sz w:val="20"/>
          <w:szCs w:val="20"/>
          <w:color w:val="auto"/>
        </w:rPr>
      </w:pPr>
      <w:r>
        <w:rPr>
          <w:rFonts w:ascii="Arial" w:cs="Arial" w:eastAsia="Arial" w:hAnsi="Arial"/>
          <w:sz w:val="16"/>
          <w:szCs w:val="16"/>
          <w:color w:val="auto"/>
        </w:rPr>
        <w:t>In 2009, minesite exploration activities focused on delineation of the resources at San Eligio and exploration of the lateral and deep extents of the Cerro Colorado and Santo Nino orebodies. A total of 34.9 kilometres of minesite exploration and 13.9 kilometres of definition drilling were completed during the year. The result of the drilling was a small contraction in the minesite reserves and resources. The San Eligio zone continues to be open to the west and at depth.</w:t>
      </w:r>
    </w:p>
    <w:p>
      <w:pPr>
        <w:spacing w:after="0" w:line="161" w:lineRule="exact"/>
        <w:rPr>
          <w:sz w:val="20"/>
          <w:szCs w:val="20"/>
          <w:color w:val="auto"/>
        </w:rPr>
      </w:pPr>
    </w:p>
    <w:p>
      <w:pPr>
        <w:jc w:val="both"/>
        <w:ind w:firstLine="466"/>
        <w:spacing w:after="0" w:line="259" w:lineRule="auto"/>
        <w:rPr>
          <w:sz w:val="20"/>
          <w:szCs w:val="20"/>
          <w:color w:val="auto"/>
        </w:rPr>
      </w:pPr>
      <w:r>
        <w:rPr>
          <w:rFonts w:ascii="Arial" w:cs="Arial" w:eastAsia="Arial" w:hAnsi="Arial"/>
          <w:sz w:val="18"/>
          <w:szCs w:val="18"/>
          <w:color w:val="auto"/>
        </w:rPr>
        <w:t>Regional exploration in 2009 focused on the El Cubiro, Sinter and Reyna de Plata prospects. Diamond drilling consisted of 37.0 kilometres in 175 drill holes. Detailed geological and structural mapping and sampling was done in the El Cubiro, Mascota and Cerro la Plata areas. Almost 15,600 core samples and 2,330 rock-chip samples were sent to a certified laboratory and assayed mainly for gold and silver.</w:t>
      </w:r>
    </w:p>
    <w:p>
      <w:pPr>
        <w:spacing w:after="0" w:line="194" w:lineRule="exact"/>
        <w:rPr>
          <w:sz w:val="20"/>
          <w:szCs w:val="20"/>
          <w:color w:val="auto"/>
        </w:rPr>
      </w:pPr>
    </w:p>
    <w:p>
      <w:pPr>
        <w:jc w:val="both"/>
        <w:ind w:firstLine="377"/>
        <w:spacing w:after="0" w:line="259" w:lineRule="auto"/>
        <w:rPr>
          <w:sz w:val="20"/>
          <w:szCs w:val="20"/>
          <w:color w:val="auto"/>
        </w:rPr>
      </w:pPr>
      <w:r>
        <w:rPr>
          <w:rFonts w:ascii="Arial" w:cs="Arial" w:eastAsia="Arial" w:hAnsi="Arial"/>
          <w:sz w:val="18"/>
          <w:szCs w:val="18"/>
          <w:color w:val="auto"/>
        </w:rPr>
        <w:t>The recently-discovered Cubiro mineralization is two kilometres west of Creston Mascota. Cubiro is a surface deposit that strikes northwest, has a steep dip and has been followed along strike for approximately 850 metres. Drilling has intersected significant gold and silver mineralization up to 30 metres wide. The Cubiro deposit remains open in all directions.</w:t>
      </w:r>
    </w:p>
    <w:p>
      <w:pPr>
        <w:spacing w:after="0" w:line="194" w:lineRule="exact"/>
        <w:rPr>
          <w:sz w:val="20"/>
          <w:szCs w:val="20"/>
          <w:color w:val="auto"/>
        </w:rPr>
      </w:pPr>
    </w:p>
    <w:p>
      <w:pPr>
        <w:jc w:val="both"/>
        <w:ind w:firstLine="364"/>
        <w:spacing w:after="0" w:line="332" w:lineRule="auto"/>
        <w:rPr>
          <w:sz w:val="20"/>
          <w:szCs w:val="20"/>
          <w:color w:val="auto"/>
        </w:rPr>
      </w:pPr>
      <w:r>
        <w:rPr>
          <w:rFonts w:ascii="Arial" w:cs="Arial" w:eastAsia="Arial" w:hAnsi="Arial"/>
          <w:sz w:val="16"/>
          <w:szCs w:val="16"/>
          <w:color w:val="auto"/>
        </w:rPr>
        <w:t>The Sinter zone, 1,500 metres north-northeast of the Santo Nino zone, is part of the Reyna de Plata gold structure. The steeply-dipping mineralization is 4 to 35 metres wide and almost 900 metres long, with over 350 metres of vertical depth. Sinter is being evaluated for its open pit mining and heap leach potential.</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94" w:name="page95"/>
    <w:bookmarkEnd w:id="94"/>
    <w:p>
      <w:pPr>
        <w:spacing w:after="0"/>
        <w:rPr>
          <w:sz w:val="20"/>
          <w:szCs w:val="20"/>
          <w:color w:val="auto"/>
        </w:rPr>
      </w:pPr>
      <w:r>
        <w:rPr>
          <w:rFonts w:ascii="Arial" w:cs="Arial" w:eastAsia="Arial" w:hAnsi="Arial"/>
          <w:sz w:val="18"/>
          <w:szCs w:val="18"/>
          <w:b w:val="1"/>
          <w:bCs w:val="1"/>
          <w:i w:val="1"/>
          <w:iCs w:val="1"/>
          <w:u w:val="single" w:color="auto"/>
          <w:color w:val="auto"/>
        </w:rPr>
        <w:t>Meadowbank Mine</w:t>
      </w:r>
    </w:p>
    <w:p>
      <w:pPr>
        <w:spacing w:after="0" w:line="225" w:lineRule="exact"/>
        <w:rPr>
          <w:sz w:val="20"/>
          <w:szCs w:val="20"/>
          <w:color w:val="auto"/>
        </w:rPr>
      </w:pPr>
    </w:p>
    <w:p>
      <w:pPr>
        <w:jc w:val="both"/>
        <w:ind w:firstLine="355"/>
        <w:spacing w:after="0" w:line="298" w:lineRule="auto"/>
        <w:rPr>
          <w:sz w:val="20"/>
          <w:szCs w:val="20"/>
          <w:color w:val="auto"/>
        </w:rPr>
      </w:pPr>
      <w:r>
        <w:rPr>
          <w:rFonts w:ascii="Arial" w:cs="Arial" w:eastAsia="Arial" w:hAnsi="Arial"/>
          <w:sz w:val="16"/>
          <w:szCs w:val="16"/>
          <w:color w:val="auto"/>
        </w:rPr>
        <w:t>The Meadowbank Mine, which achieved commercial production in March 2010, is located in the Third Portage Lake area in the Kivalliq District of Nunavut in northern Canada, approximately 70 kilometres north of Baker Lake. At December 31, 2009, the Meadowbank Mine was estimated to contain probable mineral reserves of 3.66 million ounces of gold comprised of 32.2 million tonnes of ore grading 3.53 grams of gold per tonne. The Company acquired its 100% interest in the Meadowbank Mine in 2007, as the result of the successful acquisition of Cumberland (see "— History and Development of the Company").</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color w:val="auto"/>
        </w:rPr>
        <w:t>Location Map of the Meadowbank Mine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991235</wp:posOffset>
            </wp:positionH>
            <wp:positionV relativeFrom="paragraph">
              <wp:posOffset>148590</wp:posOffset>
            </wp:positionV>
            <wp:extent cx="5539740" cy="420243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5539740" cy="42024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both"/>
        <w:ind w:firstLine="463"/>
        <w:spacing w:after="0" w:line="287" w:lineRule="auto"/>
        <w:rPr>
          <w:sz w:val="20"/>
          <w:szCs w:val="20"/>
          <w:color w:val="auto"/>
        </w:rPr>
      </w:pPr>
      <w:r>
        <w:rPr>
          <w:rFonts w:ascii="Arial" w:cs="Arial" w:eastAsia="Arial" w:hAnsi="Arial"/>
          <w:sz w:val="16"/>
          <w:szCs w:val="16"/>
          <w:color w:val="auto"/>
        </w:rPr>
        <w:t>The Meadowbank Mine is held under ten Crown mining leases, three exploration concessions and 11 Crown mineral claims. The Crown mining leases, which cover the Portage, Goose Island and Goose South deposits, are administered under federal legislation. The mining leases, which have renewable ten-year terms, have no annual work commitments but are subject to annual rent fees that vary according to their renewal date. The mining leases cover approximately 7,400 hectares and expire in either 2016 or 2019. Annual rent currently totals C$18,273. The production lease with the KIA is a surface lease covering 1,354 hectares and requires payment of C$124,530 annually. Production from subsurface lease areas is subject to a royalty of up to 14% of the adjusted net profits, as defined in the Territorial Mining Regulations. In order to conduct exploration on the Inuit-owned lands at Meadowbank, the Company must receive approval for an annual work proposal from the KIA, the body that holds the surface rights in the Kivalliq District and administers land use in the region through various boards. The Nunavut Water Board, one such board, provided the recommendation to the Ministry of Indian Affairs and Northern Development (Canada) to grant the Meadowbank Mine's construction and operating licences in July 2008. The Company has obtained all of the approvals and licences required to build and operate the Meadowbank Mine.</w:t>
      </w:r>
    </w:p>
    <w:p>
      <w:pPr>
        <w:spacing w:after="0" w:line="17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95" w:name="page96"/>
    <w:bookmarkEnd w:id="95"/>
    <w:p>
      <w:pPr>
        <w:jc w:val="both"/>
        <w:ind w:firstLine="623"/>
        <w:spacing w:after="0" w:line="254" w:lineRule="auto"/>
        <w:rPr>
          <w:sz w:val="20"/>
          <w:szCs w:val="20"/>
          <w:color w:val="auto"/>
        </w:rPr>
      </w:pPr>
      <w:r>
        <w:rPr>
          <w:rFonts w:ascii="Arial" w:cs="Arial" w:eastAsia="Arial" w:hAnsi="Arial"/>
          <w:sz w:val="18"/>
          <w:szCs w:val="18"/>
          <w:color w:val="auto"/>
        </w:rPr>
        <w:t>The three Meadowbank exploration concessions comprise approximately 23,100 hectares and are granted by Nunavut Tunngavik, the corporation responsible for administering subsurface mineral rights on Inuit-owned lands in Nunavut. Exploration concessions cover the Vault deposit at Meadowbank and in 2010 will require annual rental fees of approximately C$58,000 and exploration expenses of approximately C$416,000. During the exploration phase, the concessions can be held for up to 20 years and the concessions can be converted into production leases with annual fees of C$1 per hectare, but no annual work commitments. Production from the concessions is subject to a 12% net profits interest royalty from which annual deductions are limited to 85% of the gross revenue.</w:t>
      </w:r>
    </w:p>
    <w:p>
      <w:pPr>
        <w:spacing w:after="0" w:line="198" w:lineRule="exact"/>
        <w:rPr>
          <w:sz w:val="20"/>
          <w:szCs w:val="20"/>
          <w:color w:val="auto"/>
        </w:rPr>
      </w:pPr>
    </w:p>
    <w:p>
      <w:pPr>
        <w:jc w:val="both"/>
        <w:ind w:firstLine="474"/>
        <w:spacing w:after="0" w:line="259" w:lineRule="auto"/>
        <w:rPr>
          <w:sz w:val="20"/>
          <w:szCs w:val="20"/>
          <w:color w:val="auto"/>
        </w:rPr>
      </w:pPr>
      <w:r>
        <w:rPr>
          <w:rFonts w:ascii="Arial" w:cs="Arial" w:eastAsia="Arial" w:hAnsi="Arial"/>
          <w:sz w:val="18"/>
          <w:szCs w:val="18"/>
          <w:color w:val="auto"/>
        </w:rPr>
        <w:t>The 23 Crown mineral claims cover approximately 18,500 hectares at Meadowbank and are subject to land fees and work commitments. Land fees are payable only when work is filed. The most recent filing was in 2009, when approximately C$4,568 in land fees were paid and approximately C$931,505 in assessment work was submitted.</w:t>
      </w:r>
    </w:p>
    <w:p>
      <w:pPr>
        <w:spacing w:after="0" w:line="194" w:lineRule="exact"/>
        <w:rPr>
          <w:sz w:val="20"/>
          <w:szCs w:val="20"/>
          <w:color w:val="auto"/>
        </w:rPr>
      </w:pPr>
    </w:p>
    <w:p>
      <w:pPr>
        <w:jc w:val="both"/>
        <w:ind w:firstLine="389"/>
        <w:spacing w:after="0" w:line="298" w:lineRule="auto"/>
        <w:rPr>
          <w:sz w:val="20"/>
          <w:szCs w:val="20"/>
          <w:color w:val="auto"/>
        </w:rPr>
      </w:pPr>
      <w:r>
        <w:rPr>
          <w:rFonts w:ascii="Arial" w:cs="Arial" w:eastAsia="Arial" w:hAnsi="Arial"/>
          <w:sz w:val="16"/>
          <w:szCs w:val="16"/>
          <w:color w:val="auto"/>
        </w:rPr>
        <w:t>The Kivalliq region in which the Meadowbank Mine is located has an arid arctic climate. The Meadowbank property is situated in an area characterized by low, rolling hills that are covered predominantly in heath tundra with numerous lakes and ponds. Elevation ranges from approximately 130 metres at lakeshores up to 200 metres on ridge crests. Operations at the Meadowbank Mine are expected to be year round with only minor weather-related interruptions to mining operations; however, these interruptions are not expected to affect ore availability for milling operations or other operating activities.</w:t>
      </w:r>
    </w:p>
    <w:p>
      <w:pPr>
        <w:spacing w:after="0" w:line="167" w:lineRule="exact"/>
        <w:rPr>
          <w:sz w:val="20"/>
          <w:szCs w:val="20"/>
          <w:color w:val="auto"/>
        </w:rPr>
      </w:pPr>
    </w:p>
    <w:p>
      <w:pPr>
        <w:jc w:val="both"/>
        <w:ind w:firstLine="377"/>
        <w:spacing w:after="0" w:line="290" w:lineRule="auto"/>
        <w:rPr>
          <w:sz w:val="20"/>
          <w:szCs w:val="20"/>
          <w:color w:val="auto"/>
        </w:rPr>
      </w:pPr>
      <w:r>
        <w:rPr>
          <w:rFonts w:ascii="Arial" w:cs="Arial" w:eastAsia="Arial" w:hAnsi="Arial"/>
          <w:sz w:val="16"/>
          <w:szCs w:val="16"/>
          <w:color w:val="auto"/>
        </w:rPr>
        <w:t>The Meadowbank Mine is accessible from Baker Lake, located 70 kilometres to the south, over a 110-kilometre all-weather road completed in March 2008. Baker Lake provides 2.5 months of summer shipping access via Hudson Bay and year round airport facilities. The Meadowbank Mine also has a 1,100-metre long gravel airstrip, permitting access by air. The Company will use ocean transportation for fuel, equipment, bulk materials and supplies from Montreal, Quebec, (or Hudson Bay port facilities) via barges and ships into Baker Lake during the summer port access period that starts at the end of July in each year. Fuel and supplies are transported to the site from Baker Lake by conventional tractor trailer units. Transportation for personnel and air cargo are provided on scheduled or chartered flights. The permanent bases for employees from which to service the Meadowbank Mine are Val D'Or and Montreal in Quebec and the Kivalliq communities. Since February 2009, all chartered flights have landed directly at Meadowbank.</w:t>
      </w:r>
    </w:p>
    <w:p>
      <w:pPr>
        <w:spacing w:after="0" w:line="172" w:lineRule="exact"/>
        <w:rPr>
          <w:sz w:val="20"/>
          <w:szCs w:val="20"/>
          <w:color w:val="auto"/>
        </w:rPr>
      </w:pPr>
    </w:p>
    <w:p>
      <w:pPr>
        <w:jc w:val="both"/>
        <w:ind w:firstLine="606"/>
        <w:spacing w:after="0" w:line="259" w:lineRule="auto"/>
        <w:rPr>
          <w:sz w:val="20"/>
          <w:szCs w:val="20"/>
          <w:color w:val="auto"/>
        </w:rPr>
      </w:pPr>
      <w:r>
        <w:rPr>
          <w:rFonts w:ascii="Arial" w:cs="Arial" w:eastAsia="Arial" w:hAnsi="Arial"/>
          <w:sz w:val="18"/>
          <w:szCs w:val="18"/>
          <w:color w:val="auto"/>
        </w:rPr>
        <w:t>The Company anticipates the Meadowbank Mine will achieve commercial production during the first quarter of 2010 and produce approximately 300,000 ounces of gold in 2010 at an estimated total cash costs per ounce of $460 and an average of 350,000 ounces of gold per year from 2010 to 2018 with total cash costs per ounce expected to average $520 over these years.</w:t>
      </w:r>
    </w:p>
    <w:p>
      <w:pPr>
        <w:spacing w:after="0" w:line="194" w:lineRule="exact"/>
        <w:rPr>
          <w:sz w:val="20"/>
          <w:szCs w:val="20"/>
          <w:color w:val="auto"/>
        </w:rPr>
      </w:pPr>
    </w:p>
    <w:p>
      <w:pPr>
        <w:jc w:val="both"/>
        <w:ind w:firstLine="379"/>
        <w:spacing w:after="0" w:line="298" w:lineRule="auto"/>
        <w:rPr>
          <w:sz w:val="20"/>
          <w:szCs w:val="20"/>
          <w:color w:val="auto"/>
        </w:rPr>
      </w:pPr>
      <w:r>
        <w:rPr>
          <w:rFonts w:ascii="Arial" w:cs="Arial" w:eastAsia="Arial" w:hAnsi="Arial"/>
          <w:sz w:val="16"/>
          <w:szCs w:val="16"/>
          <w:color w:val="auto"/>
        </w:rPr>
        <w:t>A scoping study is currently underway to assess the feasibility of increasing production from 8,500 tonnes per day to 10,000 tonnes per day by accelerating development from the Goose Island and Portage open pits and potentially building a ramp-access underground operation at the southern end of the deposit. Results of the scoping study are expected in the second quarter of 2010. Drilling done in 2009 on the underground resource increased the continuity over a 700-metre strike length and up to 500 metres at depth. A feasibility study is underway and results will be available early 2010.</w:t>
      </w:r>
    </w:p>
    <w:p>
      <w:pPr>
        <w:spacing w:after="0" w:line="1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96" w:name="page97"/>
    <w:bookmarkEnd w:id="96"/>
    <w:p>
      <w:pPr>
        <w:spacing w:after="0"/>
        <w:rPr>
          <w:sz w:val="20"/>
          <w:szCs w:val="20"/>
          <w:color w:val="auto"/>
        </w:rPr>
      </w:pPr>
      <w:r>
        <w:rPr>
          <w:rFonts w:ascii="Arial" w:cs="Arial" w:eastAsia="Arial" w:hAnsi="Arial"/>
          <w:sz w:val="18"/>
          <w:szCs w:val="18"/>
          <w:i w:val="1"/>
          <w:iCs w:val="1"/>
          <w:u w:val="single" w:color="auto"/>
          <w:color w:val="auto"/>
        </w:rPr>
        <w:t>Mining and Milling Facilities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Surface Plan of the Meadowbank Mine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982980</wp:posOffset>
            </wp:positionH>
            <wp:positionV relativeFrom="paragraph">
              <wp:posOffset>148590</wp:posOffset>
            </wp:positionV>
            <wp:extent cx="5539740" cy="499110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5539740" cy="49911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jc w:val="both"/>
        <w:ind w:firstLine="560"/>
        <w:spacing w:after="0" w:line="294" w:lineRule="auto"/>
        <w:rPr>
          <w:sz w:val="20"/>
          <w:szCs w:val="20"/>
          <w:color w:val="auto"/>
        </w:rPr>
      </w:pPr>
      <w:r>
        <w:rPr>
          <w:rFonts w:ascii="Arial" w:cs="Arial" w:eastAsia="Arial" w:hAnsi="Arial"/>
          <w:sz w:val="16"/>
          <w:szCs w:val="16"/>
          <w:color w:val="auto"/>
        </w:rPr>
        <w:t>Meadowbank has three major deposits that have sufficient drilling definition to sustain reserves. By the end of 2009, all of the camp infrastructure (dormitories and kitchen), a mill, a service building shop and generator buildings were built. All required aggregates used in the mining process are produced from waste material taken from the north end of the Portage pit. In 2008, a dyke was constructed to fully access the north half of the Portage pit in preparation for pit development in 2009 in order to have it ready for production in 2010. Future construction will include building a second major dyke (the Bay-Goose dyke) to access the southern portion of Portage and the Goose Island pits. In 2011, the Company will construct an eight-kilometre access road to service the Vault pit.</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Mining Methods</w:t>
      </w:r>
    </w:p>
    <w:p>
      <w:pPr>
        <w:spacing w:after="0" w:line="225" w:lineRule="exact"/>
        <w:rPr>
          <w:sz w:val="20"/>
          <w:szCs w:val="20"/>
          <w:color w:val="auto"/>
        </w:rPr>
      </w:pPr>
    </w:p>
    <w:p>
      <w:pPr>
        <w:jc w:val="both"/>
        <w:ind w:firstLine="470"/>
        <w:spacing w:after="0" w:line="294" w:lineRule="auto"/>
        <w:rPr>
          <w:sz w:val="20"/>
          <w:szCs w:val="20"/>
          <w:color w:val="auto"/>
        </w:rPr>
      </w:pPr>
      <w:r>
        <w:rPr>
          <w:rFonts w:ascii="Arial" w:cs="Arial" w:eastAsia="Arial" w:hAnsi="Arial"/>
          <w:sz w:val="16"/>
          <w:szCs w:val="16"/>
          <w:color w:val="auto"/>
        </w:rPr>
        <w:t>Mining at the Meadowbank Mine is done by open pit with trucks and excavators. Ore is extracted conventionally using drilling and blasting with truck haulage to a primary gyratory crusher located adjacent to the mill. The marginal grade material (that is, material grading between actual cut-off and break even cut-off) is separated and stockpiled for future processing. Also, a sub-grade material stockpile (that is, material for which extraction and stockpile has already been paid for and currently grades too low to be processed) will be created for potential processing at the end of the mine life. Waste rock is hauled to one of two waste storage areas on the property, used for dyke construction or fill material or dumped into selective areas of the open pits that have</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97" w:name="page98"/>
    <w:bookmarkEnd w:id="97"/>
    <w:p>
      <w:pPr>
        <w:jc w:val="both"/>
        <w:spacing w:after="0" w:line="268" w:lineRule="auto"/>
        <w:rPr>
          <w:sz w:val="20"/>
          <w:szCs w:val="20"/>
          <w:color w:val="auto"/>
        </w:rPr>
      </w:pPr>
      <w:r>
        <w:rPr>
          <w:rFonts w:ascii="Arial" w:cs="Arial" w:eastAsia="Arial" w:hAnsi="Arial"/>
          <w:sz w:val="18"/>
          <w:szCs w:val="18"/>
          <w:color w:val="auto"/>
        </w:rPr>
        <w:t>previously been mined out. Mining will initially be concentrated in the Portage pit area. Waste material from the pre-stripping will be used as bulk construction materials for dykes, as well as for construction fill material around the site.</w:t>
      </w:r>
    </w:p>
    <w:p>
      <w:pPr>
        <w:spacing w:after="0" w:line="186" w:lineRule="exact"/>
        <w:rPr>
          <w:sz w:val="20"/>
          <w:szCs w:val="20"/>
          <w:color w:val="auto"/>
        </w:rPr>
      </w:pPr>
    </w:p>
    <w:p>
      <w:pPr>
        <w:jc w:val="both"/>
        <w:ind w:firstLine="429"/>
        <w:spacing w:after="0" w:line="259" w:lineRule="auto"/>
        <w:rPr>
          <w:sz w:val="20"/>
          <w:szCs w:val="20"/>
          <w:color w:val="auto"/>
        </w:rPr>
      </w:pPr>
      <w:r>
        <w:rPr>
          <w:rFonts w:ascii="Arial" w:cs="Arial" w:eastAsia="Arial" w:hAnsi="Arial"/>
          <w:sz w:val="18"/>
          <w:szCs w:val="18"/>
          <w:color w:val="auto"/>
        </w:rPr>
        <w:t>During pre-production, ore grade material was stockpiled close to the primary crusher. From 2009 through 2013, all of the ore is scheduled to be sourced from the Portage pit. Waste material will be used to complete the construction of the Bay-Goose, Central, Stormwater and 7 Saddle Dam dykes, with the remaining waste hauled to a primary dump north of Second Portage Lake.</w:t>
      </w:r>
    </w:p>
    <w:p>
      <w:pPr>
        <w:spacing w:after="0" w:line="194" w:lineRule="exact"/>
        <w:rPr>
          <w:sz w:val="20"/>
          <w:szCs w:val="20"/>
          <w:color w:val="auto"/>
        </w:rPr>
      </w:pPr>
    </w:p>
    <w:p>
      <w:pPr>
        <w:jc w:val="both"/>
        <w:ind w:firstLine="377"/>
        <w:spacing w:after="0" w:line="256" w:lineRule="auto"/>
        <w:rPr>
          <w:sz w:val="20"/>
          <w:szCs w:val="20"/>
          <w:color w:val="auto"/>
        </w:rPr>
      </w:pPr>
      <w:r>
        <w:rPr>
          <w:rFonts w:ascii="Arial" w:cs="Arial" w:eastAsia="Arial" w:hAnsi="Arial"/>
          <w:sz w:val="18"/>
          <w:szCs w:val="18"/>
          <w:color w:val="auto"/>
        </w:rPr>
        <w:t>With the completion of the Bay-Goose dyke, the Goose Island pit will be brought into production in 2013. The Company anticipates that these two pits will operate concurrently for a period of one year, from 2013 through 2014. Waste stripping is scheduled to commence in the Vault pit in 2014, with the start of ore mining anticipated in 2014 as the Goose Island pit becomes depleted. During the last four years of the current mine life, estimated to begin in 2015, mining will be exclusively from the Vault pit.</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Surface Facilities</w:t>
      </w:r>
    </w:p>
    <w:p>
      <w:pPr>
        <w:spacing w:after="0" w:line="225" w:lineRule="exact"/>
        <w:rPr>
          <w:sz w:val="20"/>
          <w:szCs w:val="20"/>
          <w:color w:val="auto"/>
        </w:rPr>
      </w:pPr>
    </w:p>
    <w:p>
      <w:pPr>
        <w:jc w:val="both"/>
        <w:ind w:firstLine="572"/>
        <w:spacing w:after="0" w:line="306" w:lineRule="auto"/>
        <w:rPr>
          <w:sz w:val="20"/>
          <w:szCs w:val="20"/>
          <w:color w:val="auto"/>
        </w:rPr>
      </w:pPr>
      <w:r>
        <w:rPr>
          <w:rFonts w:ascii="Arial" w:cs="Arial" w:eastAsia="Arial" w:hAnsi="Arial"/>
          <w:sz w:val="16"/>
          <w:szCs w:val="16"/>
          <w:color w:val="auto"/>
        </w:rPr>
        <w:t>The accommodations complex at the Meadowbank Mine consists of a permanent camp with capacity for 364 employees and a temporary camp to accommodate 200 extra workers. The camp is supported with a sewage treatment, solid waste disposal and potable water plant. In 2008, the exploration group was relocated eight kilometres south of the minesite location to a separate camp with an 80-person capacity.</w:t>
      </w:r>
    </w:p>
    <w:p>
      <w:pPr>
        <w:spacing w:after="0" w:line="161" w:lineRule="exact"/>
        <w:rPr>
          <w:sz w:val="20"/>
          <w:szCs w:val="20"/>
          <w:color w:val="auto"/>
        </w:rPr>
      </w:pPr>
    </w:p>
    <w:p>
      <w:pPr>
        <w:jc w:val="both"/>
        <w:ind w:firstLine="452"/>
        <w:spacing w:after="0" w:line="298" w:lineRule="auto"/>
        <w:rPr>
          <w:sz w:val="20"/>
          <w:szCs w:val="20"/>
          <w:color w:val="auto"/>
        </w:rPr>
      </w:pPr>
      <w:r>
        <w:rPr>
          <w:rFonts w:ascii="Arial" w:cs="Arial" w:eastAsia="Arial" w:hAnsi="Arial"/>
          <w:sz w:val="16"/>
          <w:szCs w:val="16"/>
          <w:color w:val="auto"/>
        </w:rPr>
        <w:t>Plant site facilities include a mill building, a maintenance mechanical shop building, a generator building, an assay lab and a heavy vehicle maintenance shop. A separate crusher structure will flank the main process complex. Power is supplied by an 26.4-megawatt diesel electric power generation plant with heat recovery and an onsite fuel storage (5 million litres) and distribution system. The mill-service-power complex is connected to the accommodations complex by enclosed corridors. In addition, the Company will build peripheral infrastructure including tailings and waste impoundment areas.</w:t>
      </w:r>
    </w:p>
    <w:p>
      <w:pPr>
        <w:spacing w:after="0" w:line="167" w:lineRule="exact"/>
        <w:rPr>
          <w:sz w:val="20"/>
          <w:szCs w:val="20"/>
          <w:color w:val="auto"/>
        </w:rPr>
      </w:pPr>
    </w:p>
    <w:p>
      <w:pPr>
        <w:jc w:val="both"/>
        <w:ind w:firstLine="371"/>
        <w:spacing w:after="0" w:line="268" w:lineRule="auto"/>
        <w:rPr>
          <w:sz w:val="20"/>
          <w:szCs w:val="20"/>
          <w:color w:val="auto"/>
        </w:rPr>
      </w:pPr>
      <w:r>
        <w:rPr>
          <w:rFonts w:ascii="Arial" w:cs="Arial" w:eastAsia="Arial" w:hAnsi="Arial"/>
          <w:sz w:val="18"/>
          <w:szCs w:val="18"/>
          <w:color w:val="auto"/>
        </w:rPr>
        <w:t>Facilities constructed at Baker Lake include a barge landing site located three kilometres east of the community and a storage compound. A fuel storage and distribution complex with a 40-million litre capacity has been built next to the barge landing facility.</w:t>
      </w:r>
    </w:p>
    <w:p>
      <w:pPr>
        <w:spacing w:after="0" w:line="186" w:lineRule="exact"/>
        <w:rPr>
          <w:sz w:val="20"/>
          <w:szCs w:val="20"/>
          <w:color w:val="auto"/>
        </w:rPr>
      </w:pPr>
    </w:p>
    <w:p>
      <w:pPr>
        <w:jc w:val="both"/>
        <w:ind w:firstLine="528"/>
        <w:spacing w:after="0" w:line="256" w:lineRule="auto"/>
        <w:rPr>
          <w:sz w:val="20"/>
          <w:szCs w:val="20"/>
          <w:color w:val="auto"/>
        </w:rPr>
      </w:pPr>
      <w:r>
        <w:rPr>
          <w:rFonts w:ascii="Arial" w:cs="Arial" w:eastAsia="Arial" w:hAnsi="Arial"/>
          <w:sz w:val="18"/>
          <w:szCs w:val="18"/>
          <w:color w:val="auto"/>
        </w:rPr>
        <w:t>The process design is based on a conventional gold plant flowsheet consisting of primary gyratory crushing, grinding, gravity concentration, cyanide leaching and gold recovery in a carbon-in-pulp ("CIP") circuit. The mill is designed to operate 365 days per year with a design capacity of 8,500 tonnes per day. The overall gold recovery is projected to be approximately 93.4%, based on projections from metallurgical test work, with approximately 40% typically recovered in the gravity circuit.</w:t>
      </w:r>
    </w:p>
    <w:p>
      <w:pPr>
        <w:spacing w:after="0" w:line="197" w:lineRule="exact"/>
        <w:rPr>
          <w:sz w:val="20"/>
          <w:szCs w:val="20"/>
          <w:color w:val="auto"/>
        </w:rPr>
      </w:pPr>
    </w:p>
    <w:p>
      <w:pPr>
        <w:jc w:val="both"/>
        <w:ind w:firstLine="450"/>
        <w:spacing w:after="0" w:line="256" w:lineRule="auto"/>
        <w:rPr>
          <w:sz w:val="20"/>
          <w:szCs w:val="20"/>
          <w:color w:val="auto"/>
        </w:rPr>
      </w:pPr>
      <w:r>
        <w:rPr>
          <w:rFonts w:ascii="Arial" w:cs="Arial" w:eastAsia="Arial" w:hAnsi="Arial"/>
          <w:sz w:val="18"/>
          <w:szCs w:val="18"/>
          <w:color w:val="auto"/>
        </w:rPr>
        <w:t>The Company will use crushed ore that will be fed to a coarse ore stockpile and then reclaimed by a SAG mill operating in closed circuit with a pebble crusher. The SAG mill operates together with a ball mill to reduce the ore to approximately 80% passing 60 to 90 microns, depending on the ore type and its hardness. The ball mill operates in closed circuit with cyclones. The grinding circuit incorporates a gravity process to recover free gold and the free gold concentrate is leached in an intensive cyanide leach-direct electrowinning recovery process.</w:t>
      </w:r>
    </w:p>
    <w:p>
      <w:pPr>
        <w:spacing w:after="0" w:line="197" w:lineRule="exact"/>
        <w:rPr>
          <w:sz w:val="20"/>
          <w:szCs w:val="20"/>
          <w:color w:val="auto"/>
        </w:rPr>
      </w:pPr>
    </w:p>
    <w:p>
      <w:pPr>
        <w:jc w:val="both"/>
        <w:ind w:firstLine="417"/>
        <w:spacing w:after="0" w:line="259" w:lineRule="auto"/>
        <w:rPr>
          <w:sz w:val="20"/>
          <w:szCs w:val="20"/>
          <w:color w:val="auto"/>
        </w:rPr>
      </w:pPr>
      <w:r>
        <w:rPr>
          <w:rFonts w:ascii="Arial" w:cs="Arial" w:eastAsia="Arial" w:hAnsi="Arial"/>
          <w:sz w:val="18"/>
          <w:szCs w:val="18"/>
          <w:color w:val="auto"/>
        </w:rPr>
        <w:t>The cyclone overflow is thickened prior to pre-aeration with air and leaching in agitated tanks. The leached slurry is directed to a six-tank CIP system for gold recovery. Gold in solution from the leaching circuit is recovered on carbon and subsequently stripped and then recovered from the strip solution by electrowinning, followed by smelting and the production of a dore bar.</w:t>
      </w:r>
    </w:p>
    <w:p>
      <w:pPr>
        <w:spacing w:after="0" w:line="194" w:lineRule="exact"/>
        <w:rPr>
          <w:sz w:val="20"/>
          <w:szCs w:val="20"/>
          <w:color w:val="auto"/>
        </w:rPr>
      </w:pPr>
    </w:p>
    <w:p>
      <w:pPr>
        <w:jc w:val="both"/>
        <w:ind w:firstLine="400"/>
        <w:spacing w:after="0" w:line="259" w:lineRule="auto"/>
        <w:rPr>
          <w:sz w:val="20"/>
          <w:szCs w:val="20"/>
          <w:color w:val="auto"/>
        </w:rPr>
      </w:pPr>
      <w:r>
        <w:rPr>
          <w:rFonts w:ascii="Arial" w:cs="Arial" w:eastAsia="Arial" w:hAnsi="Arial"/>
          <w:sz w:val="18"/>
          <w:szCs w:val="18"/>
          <w:color w:val="auto"/>
        </w:rPr>
        <w:t>The CIP tailings will be treated for the destruction of cyanide using the standard sulphur-dioxide-air process. The detoxified tailings will be pumped to the permanent tailings facility. The tailings storage is designed for zero discharge, with all process water being reclaimed for re-use in the mill to minimize the water requirements for the project.</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Mineral Recoveries</w:t>
      </w:r>
    </w:p>
    <w:p>
      <w:pPr>
        <w:spacing w:after="0" w:line="225" w:lineRule="exact"/>
        <w:rPr>
          <w:sz w:val="20"/>
          <w:szCs w:val="20"/>
          <w:color w:val="auto"/>
        </w:rPr>
      </w:pPr>
    </w:p>
    <w:p>
      <w:pPr>
        <w:jc w:val="both"/>
        <w:ind w:firstLine="438"/>
        <w:spacing w:after="0" w:line="268" w:lineRule="auto"/>
        <w:rPr>
          <w:sz w:val="20"/>
          <w:szCs w:val="20"/>
          <w:color w:val="auto"/>
        </w:rPr>
      </w:pPr>
      <w:r>
        <w:rPr>
          <w:rFonts w:ascii="Arial" w:cs="Arial" w:eastAsia="Arial" w:hAnsi="Arial"/>
          <w:sz w:val="18"/>
          <w:szCs w:val="18"/>
          <w:color w:val="auto"/>
        </w:rPr>
        <w:t>Gold recoveries are expected to average 93.4% for all deposits. The different ore zones have slightly different grind sensitivities to gold recovery and, as such, different particle size distributions are recommended</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98" w:name="page99"/>
    <w:bookmarkEnd w:id="98"/>
    <w:p>
      <w:pPr>
        <w:jc w:val="both"/>
        <w:spacing w:after="0" w:line="268" w:lineRule="auto"/>
        <w:rPr>
          <w:sz w:val="20"/>
          <w:szCs w:val="20"/>
          <w:color w:val="auto"/>
        </w:rPr>
      </w:pPr>
      <w:r>
        <w:rPr>
          <w:rFonts w:ascii="Arial" w:cs="Arial" w:eastAsia="Arial" w:hAnsi="Arial"/>
          <w:sz w:val="18"/>
          <w:szCs w:val="18"/>
          <w:color w:val="auto"/>
        </w:rPr>
        <w:t>as target grinds in the process. The use of a slightly coarser grind for the Vault ores will allow all three of the ore zones to be processed at a consistent process throughput.</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Environmental Matters (including Inuit Impact and Benefit Agreement)</w:t>
      </w:r>
    </w:p>
    <w:p>
      <w:pPr>
        <w:spacing w:after="0" w:line="225" w:lineRule="exact"/>
        <w:rPr>
          <w:sz w:val="20"/>
          <w:szCs w:val="20"/>
          <w:color w:val="auto"/>
        </w:rPr>
      </w:pPr>
    </w:p>
    <w:p>
      <w:pPr>
        <w:jc w:val="both"/>
        <w:ind w:firstLine="568"/>
        <w:spacing w:after="0" w:line="323" w:lineRule="auto"/>
        <w:rPr>
          <w:sz w:val="20"/>
          <w:szCs w:val="20"/>
          <w:color w:val="auto"/>
        </w:rPr>
      </w:pPr>
      <w:r>
        <w:rPr>
          <w:rFonts w:ascii="Arial" w:cs="Arial" w:eastAsia="Arial" w:hAnsi="Arial"/>
          <w:sz w:val="15"/>
          <w:szCs w:val="15"/>
          <w:color w:val="auto"/>
        </w:rPr>
        <w:t>The development of the Meadowbank Mine was subject to an extensive environmental review process under the Nunavut Land Claims Agreement administered by the Nunavut Impact Review Board (the "NIRB"). On December 30, 2006, a predecessor to the Company received the Project Certificate from the NIRB, which includes the terms and conditions to ensure the integrity of the development process. The Nunavut Water Board provided the recommendation to the Ministry of Indian Affairs and Northern Development (Canada) to grant the Meadowbank Mine's construction and operation under a water licence in July 2008.</w:t>
      </w:r>
    </w:p>
    <w:p>
      <w:pPr>
        <w:spacing w:after="0" w:line="152" w:lineRule="exact"/>
        <w:rPr>
          <w:sz w:val="20"/>
          <w:szCs w:val="20"/>
          <w:color w:val="auto"/>
        </w:rPr>
      </w:pPr>
    </w:p>
    <w:p>
      <w:pPr>
        <w:jc w:val="both"/>
        <w:ind w:firstLine="358"/>
        <w:spacing w:after="0" w:line="259" w:lineRule="auto"/>
        <w:rPr>
          <w:sz w:val="20"/>
          <w:szCs w:val="20"/>
          <w:color w:val="auto"/>
        </w:rPr>
      </w:pPr>
      <w:r>
        <w:rPr>
          <w:rFonts w:ascii="Arial" w:cs="Arial" w:eastAsia="Arial" w:hAnsi="Arial"/>
          <w:sz w:val="18"/>
          <w:szCs w:val="18"/>
          <w:color w:val="auto"/>
        </w:rPr>
        <w:t>In February 2007, a predecessor to the Company and the Nunavut government signed a Development Partnership Agreement (the "DPA") with respect to the Meadowbank Mine. The DPA provides a framework for stakeholders including the federal and municipal governments and the KIA, to maximize the long-term socio-economic benefits of the Meadowbank Mine to Nunavut.</w:t>
      </w:r>
    </w:p>
    <w:p>
      <w:pPr>
        <w:spacing w:after="0" w:line="194" w:lineRule="exact"/>
        <w:rPr>
          <w:sz w:val="20"/>
          <w:szCs w:val="20"/>
          <w:color w:val="auto"/>
        </w:rPr>
      </w:pPr>
    </w:p>
    <w:p>
      <w:pPr>
        <w:jc w:val="both"/>
        <w:ind w:firstLine="554"/>
        <w:spacing w:after="0" w:line="306" w:lineRule="auto"/>
        <w:rPr>
          <w:sz w:val="20"/>
          <w:szCs w:val="20"/>
          <w:color w:val="auto"/>
        </w:rPr>
      </w:pPr>
      <w:r>
        <w:rPr>
          <w:rFonts w:ascii="Arial" w:cs="Arial" w:eastAsia="Arial" w:hAnsi="Arial"/>
          <w:sz w:val="16"/>
          <w:szCs w:val="16"/>
          <w:color w:val="auto"/>
        </w:rPr>
        <w:t>An Inuit Impact Benefit Agreement for the Meadowbank Mine (the "IIBA") was signed with the KIA in March 2006. The IIBA ensures that local employment, training and business opportunities arising from all phases of the project are accessible to the Kivalliq Inuit. The IIBA also outlines the special considerations and compensation that Cumberland agreed to provide to the Inuit regarding traditional, social and cultural matters.</w:t>
      </w:r>
    </w:p>
    <w:p>
      <w:pPr>
        <w:spacing w:after="0" w:line="161" w:lineRule="exact"/>
        <w:rPr>
          <w:sz w:val="20"/>
          <w:szCs w:val="20"/>
          <w:color w:val="auto"/>
        </w:rPr>
      </w:pPr>
    </w:p>
    <w:p>
      <w:pPr>
        <w:jc w:val="both"/>
        <w:ind w:firstLine="379"/>
        <w:spacing w:after="0" w:line="256" w:lineRule="auto"/>
        <w:rPr>
          <w:sz w:val="20"/>
          <w:szCs w:val="20"/>
          <w:color w:val="auto"/>
        </w:rPr>
      </w:pPr>
      <w:r>
        <w:rPr>
          <w:rFonts w:ascii="Arial" w:cs="Arial" w:eastAsia="Arial" w:hAnsi="Arial"/>
          <w:sz w:val="18"/>
          <w:szCs w:val="18"/>
          <w:color w:val="auto"/>
        </w:rPr>
        <w:t>The Company currently holds a renewable exploration lease from the KIA that expires December 31, 2010. In July 2008, the Company signed a production lease for the construction and the operation of the mine, the mill and all related activities. In April 2008, the Company and KIA signed a water compensation agreement for the Meadowbank Mine addressing Inuit rights under the Land Claims Agreement respecting compensation for water use and water impacts associated with the project.</w:t>
      </w:r>
    </w:p>
    <w:p>
      <w:pPr>
        <w:spacing w:after="0" w:line="197" w:lineRule="exact"/>
        <w:rPr>
          <w:sz w:val="20"/>
          <w:szCs w:val="20"/>
          <w:color w:val="auto"/>
        </w:rPr>
      </w:pPr>
    </w:p>
    <w:p>
      <w:pPr>
        <w:jc w:val="both"/>
        <w:ind w:firstLine="374"/>
        <w:spacing w:after="0" w:line="254" w:lineRule="auto"/>
        <w:rPr>
          <w:sz w:val="20"/>
          <w:szCs w:val="20"/>
          <w:color w:val="auto"/>
        </w:rPr>
      </w:pPr>
      <w:r>
        <w:rPr>
          <w:rFonts w:ascii="Arial" w:cs="Arial" w:eastAsia="Arial" w:hAnsi="Arial"/>
          <w:sz w:val="18"/>
          <w:szCs w:val="18"/>
          <w:color w:val="auto"/>
        </w:rPr>
        <w:t>The Meadowbank Mine consists of several gold-bearing deposits: Portage, Goose and Vault. A series of six dykes have or will be built to isolate the mining activities from neighbouring lakes. Waste rock from the Portage, Goose Island and Vault pits will be stored in the Portage and Vault rock storage facility. The control strategy to minimize the onset of oxidation and the subsequent generation of acid mine drainage includes freeze control of the waste rock through permafrost encapsulation and capping with an insulating convective layer of neutralizing rock (ultramafic and non-acid generating volcanic rocks). Because the site is underlain by about 450 metres of permafrost, the waste rock below the capping layer is expected to freeze, resulting in low rates of acid rock drainage generation in the long term.</w:t>
      </w:r>
    </w:p>
    <w:p>
      <w:pPr>
        <w:spacing w:after="0" w:line="198" w:lineRule="exact"/>
        <w:rPr>
          <w:sz w:val="20"/>
          <w:szCs w:val="20"/>
          <w:color w:val="auto"/>
        </w:rPr>
      </w:pPr>
    </w:p>
    <w:p>
      <w:pPr>
        <w:jc w:val="both"/>
        <w:ind w:firstLine="423"/>
        <w:spacing w:after="0" w:line="255" w:lineRule="auto"/>
        <w:rPr>
          <w:sz w:val="20"/>
          <w:szCs w:val="20"/>
          <w:color w:val="auto"/>
        </w:rPr>
      </w:pPr>
      <w:r>
        <w:rPr>
          <w:rFonts w:ascii="Arial" w:cs="Arial" w:eastAsia="Arial" w:hAnsi="Arial"/>
          <w:sz w:val="18"/>
          <w:szCs w:val="18"/>
          <w:color w:val="auto"/>
        </w:rPr>
        <w:t>Tailings will be stored in the Second Portage arm. Initially the tailings will be deposited in a subaqueous environment, but the majority of tailings will be deposited on tailings beaches. A reclamation pond will be operated within the tailings storage facility. The control strategy to minimize water infiltration into the tailings storage facility and the migration of constituents out of the facility includes freeze control of the tailings through permafrost encapsulation. A four-metre-thick dry cover of acid neutralizing ultramafic rockfill will be placed over the tailings as an insulating convective layer to confine the permafrost active layer within relatively inert materials.</w:t>
      </w:r>
    </w:p>
    <w:p>
      <w:pPr>
        <w:spacing w:after="0" w:line="197" w:lineRule="exact"/>
        <w:rPr>
          <w:sz w:val="20"/>
          <w:szCs w:val="20"/>
          <w:color w:val="auto"/>
        </w:rPr>
      </w:pPr>
    </w:p>
    <w:p>
      <w:pPr>
        <w:jc w:val="both"/>
        <w:ind w:firstLine="429"/>
        <w:spacing w:after="0" w:line="256" w:lineRule="auto"/>
        <w:rPr>
          <w:sz w:val="20"/>
          <w:szCs w:val="20"/>
          <w:color w:val="auto"/>
        </w:rPr>
      </w:pPr>
      <w:r>
        <w:rPr>
          <w:rFonts w:ascii="Arial" w:cs="Arial" w:eastAsia="Arial" w:hAnsi="Arial"/>
          <w:sz w:val="18"/>
          <w:szCs w:val="18"/>
          <w:color w:val="auto"/>
        </w:rPr>
        <w:t>The water management objective for the project is to minimize the potential impact on the quality of surface water and groundwater resources at the site. Diversion ditches will be constructed to avoid the contact of clean runoff water with areas affected by the mine or mining activities. Contact water originating from affected areas will be intercepted, collected, conveyed to the tailings storage facility for re-use in process or decanted to treatment (if needed) prior to release to receiving lakes.</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Capital Expenditures/Development</w:t>
      </w:r>
    </w:p>
    <w:p>
      <w:pPr>
        <w:spacing w:after="0" w:line="225" w:lineRule="exact"/>
        <w:rPr>
          <w:sz w:val="20"/>
          <w:szCs w:val="20"/>
          <w:color w:val="auto"/>
        </w:rPr>
      </w:pPr>
    </w:p>
    <w:p>
      <w:pPr>
        <w:jc w:val="both"/>
        <w:ind w:firstLine="345"/>
        <w:spacing w:after="0" w:line="268" w:lineRule="auto"/>
        <w:rPr>
          <w:sz w:val="20"/>
          <w:szCs w:val="20"/>
          <w:color w:val="auto"/>
        </w:rPr>
      </w:pPr>
      <w:r>
        <w:rPr>
          <w:rFonts w:ascii="Arial" w:cs="Arial" w:eastAsia="Arial" w:hAnsi="Arial"/>
          <w:sz w:val="18"/>
          <w:szCs w:val="18"/>
          <w:color w:val="auto"/>
        </w:rPr>
        <w:t>A total of $105 million has been budgeted to be spent at the Meadowbank Mine (excluding exploration) in 2010, including $48 million on dyke construction, $38 million on sustaining capital and equipment and $10 million on mining pre-production and deferred stripping.</w:t>
      </w:r>
    </w:p>
    <w:p>
      <w:pPr>
        <w:spacing w:after="0" w:line="186" w:lineRule="exact"/>
        <w:rPr>
          <w:sz w:val="20"/>
          <w:szCs w:val="20"/>
          <w:color w:val="auto"/>
        </w:rPr>
      </w:pPr>
    </w:p>
    <w:p>
      <w:pPr>
        <w:jc w:val="both"/>
        <w:ind w:firstLine="459"/>
        <w:spacing w:after="0" w:line="268" w:lineRule="auto"/>
        <w:rPr>
          <w:sz w:val="20"/>
          <w:szCs w:val="20"/>
          <w:color w:val="auto"/>
        </w:rPr>
      </w:pPr>
      <w:r>
        <w:rPr>
          <w:rFonts w:ascii="Arial" w:cs="Arial" w:eastAsia="Arial" w:hAnsi="Arial"/>
          <w:sz w:val="18"/>
          <w:szCs w:val="18"/>
          <w:color w:val="auto"/>
        </w:rPr>
        <w:t>The mine is expected to start production in 2010. Total capital costs of construction incurred since the date of acquisition by the Company amounted to $721 million. The mine life is expected to be ten years.</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99" w:name="page100"/>
    <w:bookmarkEnd w:id="99"/>
    <w:p>
      <w:pPr>
        <w:spacing w:after="0"/>
        <w:rPr>
          <w:sz w:val="20"/>
          <w:szCs w:val="20"/>
          <w:color w:val="auto"/>
        </w:rPr>
      </w:pPr>
      <w:r>
        <w:rPr>
          <w:rFonts w:ascii="Arial" w:cs="Arial" w:eastAsia="Arial" w:hAnsi="Arial"/>
          <w:sz w:val="18"/>
          <w:szCs w:val="18"/>
          <w:i w:val="1"/>
          <w:iCs w:val="1"/>
          <w:u w:val="single" w:color="auto"/>
          <w:color w:val="auto"/>
        </w:rPr>
        <w:t>Geology, Mineralization and Exploration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Geology</w:t>
      </w:r>
    </w:p>
    <w:p>
      <w:pPr>
        <w:spacing w:after="0" w:line="225" w:lineRule="exact"/>
        <w:rPr>
          <w:sz w:val="20"/>
          <w:szCs w:val="20"/>
          <w:color w:val="auto"/>
        </w:rPr>
      </w:pPr>
    </w:p>
    <w:p>
      <w:pPr>
        <w:jc w:val="both"/>
        <w:ind w:firstLine="436"/>
        <w:spacing w:after="0" w:line="268" w:lineRule="auto"/>
        <w:rPr>
          <w:sz w:val="20"/>
          <w:szCs w:val="20"/>
          <w:color w:val="auto"/>
        </w:rPr>
      </w:pPr>
      <w:r>
        <w:rPr>
          <w:rFonts w:ascii="Arial" w:cs="Arial" w:eastAsia="Arial" w:hAnsi="Arial"/>
          <w:sz w:val="18"/>
          <w:szCs w:val="18"/>
          <w:color w:val="auto"/>
        </w:rPr>
        <w:t>The Meadowbank Mine comprises a number of Archean-age gold deposits hosted within polydeformed volcanic and sedimentary rocks of the Woodburn Lake Group, part of the Western Churchill supergroup in northern Canada.</w:t>
      </w:r>
    </w:p>
    <w:p>
      <w:pPr>
        <w:spacing w:after="0" w:line="186" w:lineRule="exact"/>
        <w:rPr>
          <w:sz w:val="20"/>
          <w:szCs w:val="20"/>
          <w:color w:val="auto"/>
        </w:rPr>
      </w:pPr>
    </w:p>
    <w:p>
      <w:pPr>
        <w:jc w:val="both"/>
        <w:ind w:firstLine="485"/>
        <w:spacing w:after="0" w:line="259" w:lineRule="auto"/>
        <w:rPr>
          <w:sz w:val="20"/>
          <w:szCs w:val="20"/>
          <w:color w:val="auto"/>
        </w:rPr>
      </w:pPr>
      <w:r>
        <w:rPr>
          <w:rFonts w:ascii="Arial" w:cs="Arial" w:eastAsia="Arial" w:hAnsi="Arial"/>
          <w:sz w:val="18"/>
          <w:szCs w:val="18"/>
          <w:color w:val="auto"/>
        </w:rPr>
        <w:t>Three minable gold deposits — Goose, Portage and Vault — have been discovered along the 25-kilometre long Meadowbank gold trend, and the PDF deposit has been outlined on the northeast gold trend. These known gold resources are within 225 metres of the surface, making the project amenable to open pit mining.</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Mineralization</w:t>
      </w:r>
    </w:p>
    <w:p>
      <w:pPr>
        <w:spacing w:after="0" w:line="225" w:lineRule="exact"/>
        <w:rPr>
          <w:sz w:val="20"/>
          <w:szCs w:val="20"/>
          <w:color w:val="auto"/>
        </w:rPr>
      </w:pPr>
    </w:p>
    <w:p>
      <w:pPr>
        <w:jc w:val="both"/>
        <w:ind w:firstLine="372"/>
        <w:spacing w:after="0" w:line="291" w:lineRule="auto"/>
        <w:rPr>
          <w:sz w:val="20"/>
          <w:szCs w:val="20"/>
          <w:color w:val="auto"/>
        </w:rPr>
      </w:pPr>
      <w:r>
        <w:rPr>
          <w:rFonts w:ascii="Arial" w:cs="Arial" w:eastAsia="Arial" w:hAnsi="Arial"/>
          <w:sz w:val="16"/>
          <w:szCs w:val="16"/>
          <w:color w:val="auto"/>
        </w:rPr>
        <w:t>The predominant mineralization found in the Portage and Goose deposits is pyrrhotite, which is found as a replacement of magnetite in the oxide facies iron formation host rock. To a lesser extent, pyrite and chalcopyrite may be found and, on rare occasions, arsenopyrite may be associated with the other sulphides. The mineralization is usually restricted to several metres in length laterally, but vertically may extend to over several hundred metres. The sulphides primarily occur as narrow stringers or bands of disseminated sulphides that almost always crosscut the main foliation and/or bedding which would imply an epigenetic mode of emplacement. The percentage of sulphides is quite variable and may range from trace to semi-massive amounts over several centimetres to several metres in length. The higher gold grades and the occasional occurrence of visible gold are almost always associated with greater than 20% sulphide content.</w:t>
      </w:r>
    </w:p>
    <w:p>
      <w:pPr>
        <w:spacing w:after="0" w:line="174" w:lineRule="exact"/>
        <w:rPr>
          <w:sz w:val="20"/>
          <w:szCs w:val="20"/>
          <w:color w:val="auto"/>
        </w:rPr>
      </w:pPr>
    </w:p>
    <w:p>
      <w:pPr>
        <w:jc w:val="both"/>
        <w:ind w:firstLine="501"/>
        <w:spacing w:after="0" w:line="268" w:lineRule="auto"/>
        <w:rPr>
          <w:sz w:val="20"/>
          <w:szCs w:val="20"/>
          <w:color w:val="auto"/>
        </w:rPr>
      </w:pPr>
      <w:r>
        <w:rPr>
          <w:rFonts w:ascii="Arial" w:cs="Arial" w:eastAsia="Arial" w:hAnsi="Arial"/>
          <w:sz w:val="18"/>
          <w:szCs w:val="18"/>
          <w:color w:val="auto"/>
        </w:rPr>
        <w:t>The main mineralized banded iron formation unit is bounded by an ultramafic unit to the west which locally occurs interlayered with the banded iron formation and to the east by an intermediate to felsic metavolcaniclastic unit.</w:t>
      </w:r>
    </w:p>
    <w:p>
      <w:pPr>
        <w:spacing w:after="0" w:line="186" w:lineRule="exact"/>
        <w:rPr>
          <w:sz w:val="20"/>
          <w:szCs w:val="20"/>
          <w:color w:val="auto"/>
        </w:rPr>
      </w:pPr>
    </w:p>
    <w:p>
      <w:pPr>
        <w:jc w:val="both"/>
        <w:ind w:firstLine="452"/>
        <w:spacing w:after="0" w:line="268" w:lineRule="auto"/>
        <w:rPr>
          <w:sz w:val="20"/>
          <w:szCs w:val="20"/>
          <w:color w:val="auto"/>
        </w:rPr>
      </w:pPr>
      <w:r>
        <w:rPr>
          <w:rFonts w:ascii="Arial" w:cs="Arial" w:eastAsia="Arial" w:hAnsi="Arial"/>
          <w:sz w:val="18"/>
          <w:szCs w:val="18"/>
          <w:color w:val="auto"/>
        </w:rPr>
        <w:t>In the Vault deposit, pyrite is the principal ore bearing sulphide. The disseminated sulphides occur along sheared horizons that have been sericitized and silicified. These zones are several metres wide and may continue for hundreds of metres along strike and down dip.</w:t>
      </w:r>
    </w:p>
    <w:p>
      <w:pPr>
        <w:spacing w:after="0" w:line="186" w:lineRule="exact"/>
        <w:rPr>
          <w:sz w:val="20"/>
          <w:szCs w:val="20"/>
          <w:color w:val="auto"/>
        </w:rPr>
      </w:pPr>
    </w:p>
    <w:p>
      <w:pPr>
        <w:jc w:val="both"/>
        <w:ind w:firstLine="512"/>
        <w:spacing w:after="0" w:line="306" w:lineRule="auto"/>
        <w:rPr>
          <w:sz w:val="20"/>
          <w:szCs w:val="20"/>
          <w:color w:val="auto"/>
        </w:rPr>
      </w:pPr>
      <w:r>
        <w:rPr>
          <w:rFonts w:ascii="Arial" w:cs="Arial" w:eastAsia="Arial" w:hAnsi="Arial"/>
          <w:sz w:val="16"/>
          <w:szCs w:val="16"/>
          <w:color w:val="auto"/>
        </w:rPr>
        <w:t>Three of the four known gold deposits are currently planned to be mined. The Goose Island and Portage deposits are hosted within highly deformed, magnetite-rich iron formation rocks, while intermediate volcanic rock assemblages host the majority of the mineralization at the more northerly Vault deposit. The fourth deposit, PDF, shows the same characteristics as Vault, though it is not currently anticipated to be a mineable deposit.</w:t>
      </w:r>
    </w:p>
    <w:p>
      <w:pPr>
        <w:spacing w:after="0" w:line="161" w:lineRule="exact"/>
        <w:rPr>
          <w:sz w:val="20"/>
          <w:szCs w:val="20"/>
          <w:color w:val="auto"/>
        </w:rPr>
      </w:pPr>
    </w:p>
    <w:p>
      <w:pPr>
        <w:jc w:val="both"/>
        <w:ind w:firstLine="351"/>
        <w:spacing w:after="0" w:line="259" w:lineRule="auto"/>
        <w:rPr>
          <w:sz w:val="20"/>
          <w:szCs w:val="20"/>
          <w:color w:val="auto"/>
        </w:rPr>
      </w:pPr>
      <w:r>
        <w:rPr>
          <w:rFonts w:ascii="Arial" w:cs="Arial" w:eastAsia="Arial" w:hAnsi="Arial"/>
          <w:sz w:val="18"/>
          <w:szCs w:val="18"/>
          <w:color w:val="auto"/>
        </w:rPr>
        <w:t>Defined over a 1.85-kilometre strike length and across lateral extents ranging from 100 to 230 metres, the geometry of the Portage deposit consists of general north-northwest-striking ore zones that are highly folded. The mineralization in the lower limb of the fold is typically six to eight metres in true thickness, reaching up to 20 metres in the hinge area.</w:t>
      </w:r>
    </w:p>
    <w:p>
      <w:pPr>
        <w:spacing w:after="0" w:line="194" w:lineRule="exact"/>
        <w:rPr>
          <w:sz w:val="20"/>
          <w:szCs w:val="20"/>
          <w:color w:val="auto"/>
        </w:rPr>
      </w:pPr>
    </w:p>
    <w:p>
      <w:pPr>
        <w:jc w:val="both"/>
        <w:ind w:firstLine="368"/>
        <w:spacing w:after="0" w:line="294" w:lineRule="auto"/>
        <w:rPr>
          <w:sz w:val="20"/>
          <w:szCs w:val="20"/>
          <w:color w:val="auto"/>
        </w:rPr>
      </w:pPr>
      <w:r>
        <w:rPr>
          <w:rFonts w:ascii="Arial" w:cs="Arial" w:eastAsia="Arial" w:hAnsi="Arial"/>
          <w:sz w:val="16"/>
          <w:szCs w:val="16"/>
          <w:color w:val="auto"/>
        </w:rPr>
        <w:t>The Goose Island deposit is located just south of the Portage deposit and is also associated with iron formation but exhibits different geometry, with a north-south trend and a steep westerly dip. Mineralized zones typically occur as a single unit near surface, splaying into several limbs at depth. The deposit is currently defined over a 750-metre strike length and down to 500 metres at depth (mainly in the southern end), with true thicknesses of three to 12 metres (reaching up to 20 metres locally). The Goose underground resource (100 to 500 metres at depth) extends 700 metres to the south of the Goose pit. The ore zones show the same characteristics as the Goose pit which is two to five main zones sub-parallel and undulating. The average thickness rarely exceed three to five metres.</w:t>
      </w:r>
    </w:p>
    <w:p>
      <w:pPr>
        <w:spacing w:after="0" w:line="170" w:lineRule="exact"/>
        <w:rPr>
          <w:sz w:val="20"/>
          <w:szCs w:val="20"/>
          <w:color w:val="auto"/>
        </w:rPr>
      </w:pPr>
    </w:p>
    <w:p>
      <w:pPr>
        <w:jc w:val="both"/>
        <w:ind w:firstLine="543"/>
        <w:spacing w:after="0" w:line="256" w:lineRule="auto"/>
        <w:rPr>
          <w:sz w:val="20"/>
          <w:szCs w:val="20"/>
          <w:color w:val="auto"/>
        </w:rPr>
      </w:pPr>
      <w:r>
        <w:rPr>
          <w:rFonts w:ascii="Arial" w:cs="Arial" w:eastAsia="Arial" w:hAnsi="Arial"/>
          <w:sz w:val="18"/>
          <w:szCs w:val="18"/>
          <w:color w:val="auto"/>
        </w:rPr>
        <w:t>The Vault deposit is located seven kilometres northeast of the Portage and Goose deposits. It is planar and shallow-dipping with a defined strike of 1,100 metres. The deposit has been disturbed by two sets of normal faults striking east-west and north-south and dipping moderately to the southeast and steeply to the east, respectively. The main lens has an average true thickness of eight to 12 metres, reaching as high as 18 metres locally. The hanging wall lenses are typically three to five metres, and up to seven metres, in true thickness.</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00" w:name="page101"/>
    <w:bookmarkEnd w:id="100"/>
    <w:p>
      <w:pPr>
        <w:spacing w:after="0"/>
        <w:rPr>
          <w:sz w:val="20"/>
          <w:szCs w:val="20"/>
          <w:color w:val="auto"/>
        </w:rPr>
      </w:pPr>
      <w:r>
        <w:rPr>
          <w:rFonts w:ascii="Arial" w:cs="Arial" w:eastAsia="Arial" w:hAnsi="Arial"/>
          <w:sz w:val="18"/>
          <w:szCs w:val="18"/>
          <w:i w:val="1"/>
          <w:iCs w:val="1"/>
          <w:color w:val="auto"/>
        </w:rPr>
        <w:t>Exploration</w:t>
      </w:r>
    </w:p>
    <w:p>
      <w:pPr>
        <w:spacing w:after="0" w:line="225" w:lineRule="exact"/>
        <w:rPr>
          <w:sz w:val="20"/>
          <w:szCs w:val="20"/>
          <w:color w:val="auto"/>
        </w:rPr>
      </w:pPr>
    </w:p>
    <w:p>
      <w:pPr>
        <w:jc w:val="both"/>
        <w:ind w:firstLine="442"/>
        <w:spacing w:after="0" w:line="256" w:lineRule="auto"/>
        <w:rPr>
          <w:sz w:val="20"/>
          <w:szCs w:val="20"/>
          <w:color w:val="auto"/>
        </w:rPr>
      </w:pPr>
      <w:r>
        <w:rPr>
          <w:rFonts w:ascii="Arial" w:cs="Arial" w:eastAsia="Arial" w:hAnsi="Arial"/>
          <w:sz w:val="18"/>
          <w:szCs w:val="18"/>
          <w:color w:val="auto"/>
        </w:rPr>
        <w:t>Grass roots exploration in the project area began as early as 1980. As some interesting targets arose, several companies conducted various types of work between 1980 and 2007. Throughout these years, six deposits were the main focus of exploration: Portage, Cannu, Bay Zone, Goose, Vault and PDF. Over time, the Cannu, Bay Zone and Portage deposits were combined into one mineable deposit. Exploration has extended the Goose Island deposit southward, adding the Goose South and Gosling zones.</w:t>
      </w:r>
    </w:p>
    <w:p>
      <w:pPr>
        <w:spacing w:after="0" w:line="197" w:lineRule="exact"/>
        <w:rPr>
          <w:sz w:val="20"/>
          <w:szCs w:val="20"/>
          <w:color w:val="auto"/>
        </w:rPr>
      </w:pPr>
    </w:p>
    <w:p>
      <w:pPr>
        <w:jc w:val="both"/>
        <w:ind w:firstLine="376"/>
        <w:spacing w:after="0" w:line="268" w:lineRule="auto"/>
        <w:rPr>
          <w:sz w:val="20"/>
          <w:szCs w:val="20"/>
          <w:color w:val="auto"/>
        </w:rPr>
      </w:pPr>
      <w:r>
        <w:rPr>
          <w:rFonts w:ascii="Arial" w:cs="Arial" w:eastAsia="Arial" w:hAnsi="Arial"/>
          <w:sz w:val="18"/>
          <w:szCs w:val="18"/>
          <w:color w:val="auto"/>
        </w:rPr>
        <w:t>In 2009, the mine exploration group took over the pit and adjacent areas. Three goals were targeted: exploration drilling, resource conversion and waste pad condemnation.</w:t>
      </w:r>
    </w:p>
    <w:p>
      <w:pPr>
        <w:spacing w:after="0" w:line="186" w:lineRule="exact"/>
        <w:rPr>
          <w:sz w:val="20"/>
          <w:szCs w:val="20"/>
          <w:color w:val="auto"/>
        </w:rPr>
      </w:pPr>
    </w:p>
    <w:p>
      <w:pPr>
        <w:jc w:val="both"/>
        <w:ind w:firstLine="363"/>
        <w:spacing w:after="0" w:line="290" w:lineRule="auto"/>
        <w:rPr>
          <w:sz w:val="20"/>
          <w:szCs w:val="20"/>
          <w:color w:val="auto"/>
        </w:rPr>
      </w:pPr>
      <w:r>
        <w:rPr>
          <w:rFonts w:ascii="Arial" w:cs="Arial" w:eastAsia="Arial" w:hAnsi="Arial"/>
          <w:sz w:val="16"/>
          <w:szCs w:val="16"/>
          <w:color w:val="auto"/>
        </w:rPr>
        <w:t>The main focus of exploration was on underground potential at the Goose deposit. A total of 77 holes for 22,207 metres were drilled from 100 to 500 metres in depth. These holes greatly increased the continuity and understanding of the mineralization distribution. Other targets were the Goose-Portage gap, up to 100 metres in depth. These holes showed a lack of continuity between Portage South and Goose North. Nonetheless, deeper holes in the area pointed to the presence of a package of iron formations related to Goose deposit. Holes drilled on the west limb of Portage deposit focussed on raising the level of geological continuity under the Second Portage arm, with marginal impact on the overall reserves of the Portage deposit. Exploration expenditures of $7.0 million for a phase 1 of the mine and $2.0 million for regional exploration are planned for 2010. The Vault deposit will also be tested. Additionally, surface regional programs will be executed to follow up on known gold occurrences and identified gold and base metal showing on the regional scale of the property.</w:t>
      </w:r>
    </w:p>
    <w:p>
      <w:pPr>
        <w:spacing w:after="0" w:line="172" w:lineRule="exact"/>
        <w:rPr>
          <w:sz w:val="20"/>
          <w:szCs w:val="20"/>
          <w:color w:val="auto"/>
        </w:rPr>
      </w:pPr>
    </w:p>
    <w:p>
      <w:pPr>
        <w:jc w:val="both"/>
        <w:ind w:firstLine="400"/>
        <w:spacing w:after="0" w:line="259" w:lineRule="auto"/>
        <w:rPr>
          <w:sz w:val="20"/>
          <w:szCs w:val="20"/>
          <w:color w:val="auto"/>
        </w:rPr>
      </w:pPr>
      <w:r>
        <w:rPr>
          <w:rFonts w:ascii="Arial" w:cs="Arial" w:eastAsia="Arial" w:hAnsi="Arial"/>
          <w:sz w:val="18"/>
          <w:szCs w:val="18"/>
          <w:color w:val="auto"/>
        </w:rPr>
        <w:t>In 2009, 113 holes totalling 29,822 metres were drilled at Meadowbank. The drilling was predominantly to expand the Goose deposit at depth and towards the south, as well as to conduct infill drilling in areas where large gaps occurred between auriferous intersections. The program was successful in expanding the Goose deposit at depth and towards the south.</w:t>
      </w:r>
    </w:p>
    <w:p>
      <w:pPr>
        <w:spacing w:after="0" w:line="194" w:lineRule="exact"/>
        <w:rPr>
          <w:sz w:val="20"/>
          <w:szCs w:val="20"/>
          <w:color w:val="auto"/>
        </w:rPr>
      </w:pPr>
    </w:p>
    <w:p>
      <w:pPr>
        <w:jc w:val="both"/>
        <w:ind w:firstLine="513"/>
        <w:spacing w:after="0" w:line="255" w:lineRule="auto"/>
        <w:rPr>
          <w:sz w:val="20"/>
          <w:szCs w:val="20"/>
          <w:color w:val="auto"/>
        </w:rPr>
      </w:pPr>
      <w:r>
        <w:rPr>
          <w:rFonts w:ascii="Arial" w:cs="Arial" w:eastAsia="Arial" w:hAnsi="Arial"/>
          <w:sz w:val="18"/>
          <w:szCs w:val="18"/>
          <w:color w:val="auto"/>
        </w:rPr>
        <w:t>For 2010, the mine exploration program has three main goals: exploring the Goose-Portage gap at depth; filling gaps in the Goose underground area, including completing the 100 to 500 metre resource conversion coverage; and extending the continuity of the Goose underground zones to the south. A new theory of where auriferous banded iron formation should occur between the Portage and Goose deposits will be tested with additional testing further south and at depth along possible ore shoots within the host unit. The program will be completed in phases and will be conducted between January and June. Some holes will be drilled on Vault, especially on Vault South.</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u w:val="single" w:color="auto"/>
          <w:color w:val="auto"/>
        </w:rPr>
        <w:t>Exploration Activities</w:t>
      </w:r>
    </w:p>
    <w:p>
      <w:pPr>
        <w:spacing w:after="0" w:line="225" w:lineRule="exact"/>
        <w:rPr>
          <w:sz w:val="20"/>
          <w:szCs w:val="20"/>
          <w:color w:val="auto"/>
        </w:rPr>
      </w:pPr>
    </w:p>
    <w:p>
      <w:pPr>
        <w:jc w:val="both"/>
        <w:ind w:firstLine="432"/>
        <w:spacing w:after="0" w:line="294" w:lineRule="auto"/>
        <w:rPr>
          <w:sz w:val="20"/>
          <w:szCs w:val="20"/>
          <w:color w:val="auto"/>
        </w:rPr>
      </w:pPr>
      <w:r>
        <w:rPr>
          <w:rFonts w:ascii="Arial" w:cs="Arial" w:eastAsia="Arial" w:hAnsi="Arial"/>
          <w:sz w:val="16"/>
          <w:szCs w:val="16"/>
          <w:color w:val="auto"/>
        </w:rPr>
        <w:t>During 2009, the Company continued to actively explore in Quebec, Ontario, Nunavut, Nevada, Finland and Mexico and began exploration in Argentina. The Canadian exploration activities were focused on the Bousquet and Lapa mining camps in Quebec, as well as on the Meadowbank property in Nunavut where activities were conducted both within and outside the mining lease. In the United States, exploration activities during 2009 were concentrated on the West Pequop project located in northeast Nevada. At the Pinos Altos and Kittila Mines, the Company continued aggressive exploration programs around the current mines. In both countries, most of the exploration budget was spent on drilling programs near the mine infrastructure, along previously recognized gold trends.</w:t>
      </w:r>
    </w:p>
    <w:p>
      <w:pPr>
        <w:spacing w:after="0" w:line="170" w:lineRule="exact"/>
        <w:rPr>
          <w:sz w:val="20"/>
          <w:szCs w:val="20"/>
          <w:color w:val="auto"/>
        </w:rPr>
      </w:pPr>
    </w:p>
    <w:p>
      <w:pPr>
        <w:jc w:val="both"/>
        <w:ind w:firstLine="416"/>
        <w:spacing w:after="0" w:line="294" w:lineRule="auto"/>
        <w:rPr>
          <w:sz w:val="20"/>
          <w:szCs w:val="20"/>
          <w:color w:val="auto"/>
        </w:rPr>
      </w:pPr>
      <w:r>
        <w:rPr>
          <w:rFonts w:ascii="Arial" w:cs="Arial" w:eastAsia="Arial" w:hAnsi="Arial"/>
          <w:sz w:val="16"/>
          <w:szCs w:val="16"/>
          <w:color w:val="auto"/>
        </w:rPr>
        <w:t>At the end of December 2009, land holdings of the Company in Canada consisted of 78 projects comprised of 2,911 mineral titles (claims, mining leases, etc.) covering an aggregate of 222,825 hectares. Land holdings in the United States consisted of 11 properties comprised of 3,058 mineral titles covering an aggregate of 26,176 hectares. Land holdings in Finland consisted of three groups of properties comprised of 168 mineral titles covering an aggregate of 20,030 hectares. Land holdings in Mexico consisted of four projects comprised of 47 mining concession titles covering an aggregate of 63,990 hectares. New land holdings in Argentina in 2009 consisted of one project with two mineral titles covering an aggregate of 2,691 hectares.</w:t>
      </w:r>
    </w:p>
    <w:p>
      <w:pPr>
        <w:spacing w:after="0" w:line="170" w:lineRule="exact"/>
        <w:rPr>
          <w:sz w:val="20"/>
          <w:szCs w:val="20"/>
          <w:color w:val="auto"/>
        </w:rPr>
      </w:pPr>
    </w:p>
    <w:p>
      <w:pPr>
        <w:jc w:val="both"/>
        <w:ind w:firstLine="624"/>
        <w:spacing w:after="0" w:line="332" w:lineRule="auto"/>
        <w:rPr>
          <w:sz w:val="20"/>
          <w:szCs w:val="20"/>
          <w:color w:val="auto"/>
        </w:rPr>
      </w:pPr>
      <w:r>
        <w:rPr>
          <w:rFonts w:ascii="Arial" w:cs="Arial" w:eastAsia="Arial" w:hAnsi="Arial"/>
          <w:sz w:val="16"/>
          <w:szCs w:val="16"/>
          <w:color w:val="auto"/>
        </w:rPr>
        <w:t>The total amount spent on regional exploration in 2009 was $32.9 million, which included drilling 500 holes for an aggregate of approximately 125 kilometres. The budget for regional exploration expenditures in 2010 is approximately $38.9 million, including approximately 116 kilometres of drilling.</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01" w:name="page102"/>
    <w:bookmarkEnd w:id="101"/>
    <w:p>
      <w:pPr>
        <w:spacing w:after="0"/>
        <w:rPr>
          <w:sz w:val="20"/>
          <w:szCs w:val="20"/>
          <w:color w:val="auto"/>
        </w:rPr>
      </w:pPr>
      <w:r>
        <w:rPr>
          <w:rFonts w:ascii="Arial" w:cs="Arial" w:eastAsia="Arial" w:hAnsi="Arial"/>
          <w:sz w:val="18"/>
          <w:szCs w:val="18"/>
          <w:b w:val="1"/>
          <w:bCs w:val="1"/>
          <w:i w:val="1"/>
          <w:iCs w:val="1"/>
          <w:u w:val="single" w:color="auto"/>
          <w:color w:val="auto"/>
        </w:rPr>
        <w:t>Mineral Reserves and Mineral Resources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Cautionary Note to Investors Concerning Estimates of Measured and Indicated Mineral Resources</w:t>
      </w:r>
    </w:p>
    <w:p>
      <w:pPr>
        <w:spacing w:after="0" w:line="225" w:lineRule="exact"/>
        <w:rPr>
          <w:sz w:val="20"/>
          <w:szCs w:val="20"/>
          <w:color w:val="auto"/>
        </w:rPr>
      </w:pPr>
    </w:p>
    <w:p>
      <w:pPr>
        <w:jc w:val="both"/>
        <w:ind w:left="540"/>
        <w:spacing w:after="0" w:line="259" w:lineRule="auto"/>
        <w:rPr>
          <w:sz w:val="20"/>
          <w:szCs w:val="20"/>
          <w:color w:val="auto"/>
        </w:rPr>
      </w:pPr>
      <w:r>
        <w:rPr>
          <w:rFonts w:ascii="Arial" w:cs="Arial" w:eastAsia="Arial" w:hAnsi="Arial"/>
          <w:sz w:val="18"/>
          <w:szCs w:val="18"/>
          <w:color w:val="auto"/>
        </w:rPr>
        <w:t xml:space="preserve">This section uses the terms "measured mineral resources" and "indicated mineral resources". Investors are advised that while these terms are recognized and required by Canadian regulations, the SEC does not recognize them. </w:t>
      </w:r>
      <w:r>
        <w:rPr>
          <w:rFonts w:ascii="Arial" w:cs="Arial" w:eastAsia="Arial" w:hAnsi="Arial"/>
          <w:sz w:val="18"/>
          <w:szCs w:val="18"/>
          <w:b w:val="1"/>
          <w:bCs w:val="1"/>
          <w:color w:val="auto"/>
        </w:rPr>
        <w:t>Investors are cautioned not to assume that any part or all of mineral</w:t>
      </w:r>
      <w:r>
        <w:rPr>
          <w:rFonts w:ascii="Arial" w:cs="Arial" w:eastAsia="Arial" w:hAnsi="Arial"/>
          <w:sz w:val="18"/>
          <w:szCs w:val="18"/>
          <w:color w:val="auto"/>
        </w:rPr>
        <w:t xml:space="preserve"> </w:t>
      </w:r>
      <w:r>
        <w:rPr>
          <w:rFonts w:ascii="Arial" w:cs="Arial" w:eastAsia="Arial" w:hAnsi="Arial"/>
          <w:sz w:val="18"/>
          <w:szCs w:val="18"/>
          <w:b w:val="1"/>
          <w:bCs w:val="1"/>
          <w:color w:val="auto"/>
        </w:rPr>
        <w:t>deposits in these categories will ever be converted into mineral reserves</w:t>
      </w:r>
      <w:r>
        <w:rPr>
          <w:rFonts w:ascii="Arial" w:cs="Arial" w:eastAsia="Arial" w:hAnsi="Arial"/>
          <w:sz w:val="18"/>
          <w:szCs w:val="18"/>
          <w:color w:val="auto"/>
        </w:rPr>
        <w:t>.</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Cautionary Note to Investors Concerning Estimates of Inferred Mineral Resources</w:t>
      </w:r>
    </w:p>
    <w:p>
      <w:pPr>
        <w:spacing w:after="0" w:line="225" w:lineRule="exact"/>
        <w:rPr>
          <w:sz w:val="20"/>
          <w:szCs w:val="20"/>
          <w:color w:val="auto"/>
        </w:rPr>
      </w:pPr>
    </w:p>
    <w:p>
      <w:pPr>
        <w:jc w:val="both"/>
        <w:ind w:left="540"/>
        <w:spacing w:after="0" w:line="294" w:lineRule="auto"/>
        <w:rPr>
          <w:sz w:val="20"/>
          <w:szCs w:val="20"/>
          <w:color w:val="auto"/>
        </w:rPr>
      </w:pPr>
      <w:r>
        <w:rPr>
          <w:rFonts w:ascii="Arial" w:cs="Arial" w:eastAsia="Arial" w:hAnsi="Arial"/>
          <w:sz w:val="16"/>
          <w:szCs w:val="16"/>
          <w:color w:val="auto"/>
        </w:rPr>
        <w:t xml:space="preserve">This section uses the term "inferred mineral resources". Investors are advised that while this term is recognized and required by Canadian regulations, the SEC does not recognize it. "Inferred mineral resources" have a great amount of uncertainty as to their existence, and great uncertainty as to their economic and legal feasibility. It cannot be assumed that any part of or all of an inferred mineral resource will ever be upgraded to a higher category. Under Canadian rules, estimates of inferred mineral resources may not form the basis of feasibility or pre-feasibility studies. </w:t>
      </w:r>
      <w:r>
        <w:rPr>
          <w:rFonts w:ascii="Arial" w:cs="Arial" w:eastAsia="Arial" w:hAnsi="Arial"/>
          <w:sz w:val="16"/>
          <w:szCs w:val="16"/>
          <w:b w:val="1"/>
          <w:bCs w:val="1"/>
          <w:color w:val="auto"/>
        </w:rPr>
        <w:t>Investors are cautioned not to</w:t>
      </w:r>
      <w:r>
        <w:rPr>
          <w:rFonts w:ascii="Arial" w:cs="Arial" w:eastAsia="Arial" w:hAnsi="Arial"/>
          <w:sz w:val="16"/>
          <w:szCs w:val="16"/>
          <w:color w:val="auto"/>
        </w:rPr>
        <w:t xml:space="preserve"> </w:t>
      </w:r>
      <w:r>
        <w:rPr>
          <w:rFonts w:ascii="Arial" w:cs="Arial" w:eastAsia="Arial" w:hAnsi="Arial"/>
          <w:sz w:val="16"/>
          <w:szCs w:val="16"/>
          <w:b w:val="1"/>
          <w:bCs w:val="1"/>
          <w:color w:val="auto"/>
        </w:rPr>
        <w:t>assume that any part or all of an inferred mineral resource exists, or is economically or legally mineable</w:t>
      </w:r>
      <w:r>
        <w:rPr>
          <w:rFonts w:ascii="Arial" w:cs="Arial" w:eastAsia="Arial" w:hAnsi="Arial"/>
          <w:sz w:val="16"/>
          <w:szCs w:val="16"/>
          <w:color w:val="auto"/>
        </w:rPr>
        <w:t>.</w:t>
      </w:r>
    </w:p>
    <w:p>
      <w:pPr>
        <w:spacing w:after="0" w:line="170" w:lineRule="exact"/>
        <w:rPr>
          <w:sz w:val="20"/>
          <w:szCs w:val="20"/>
          <w:color w:val="auto"/>
        </w:rPr>
      </w:pPr>
    </w:p>
    <w:p>
      <w:pPr>
        <w:jc w:val="both"/>
        <w:ind w:firstLine="519"/>
        <w:spacing w:after="0" w:line="256" w:lineRule="auto"/>
        <w:rPr>
          <w:sz w:val="20"/>
          <w:szCs w:val="20"/>
          <w:color w:val="auto"/>
        </w:rPr>
      </w:pPr>
      <w:r>
        <w:rPr>
          <w:rFonts w:ascii="Arial" w:cs="Arial" w:eastAsia="Arial" w:hAnsi="Arial"/>
          <w:sz w:val="18"/>
          <w:szCs w:val="18"/>
          <w:color w:val="auto"/>
        </w:rPr>
        <w:t>The preparation of the information set forth below with respect to the mineral reserves at the LaRonde Mine (which includes mineral reserves at the LaRonde Mine extension), the Goldex, Lapa, Kittila, Pinos Altos and Meadowbank Mines has been supervised by the Company's Vice-President, Project Development, Marc Legault, P.Eng, a "qualified person" as that term is defined in NI 43-101. The Company's mineral reserves estimate was derived from internally generated data or audited reports.</w:t>
      </w:r>
    </w:p>
    <w:p>
      <w:pPr>
        <w:spacing w:after="0" w:line="197" w:lineRule="exact"/>
        <w:rPr>
          <w:sz w:val="20"/>
          <w:szCs w:val="20"/>
          <w:color w:val="auto"/>
        </w:rPr>
      </w:pPr>
    </w:p>
    <w:p>
      <w:pPr>
        <w:jc w:val="both"/>
        <w:ind w:firstLine="381"/>
        <w:spacing w:after="0" w:line="255" w:lineRule="auto"/>
        <w:rPr>
          <w:sz w:val="20"/>
          <w:szCs w:val="20"/>
          <w:color w:val="auto"/>
        </w:rPr>
      </w:pPr>
      <w:r>
        <w:rPr>
          <w:rFonts w:ascii="Arial" w:cs="Arial" w:eastAsia="Arial" w:hAnsi="Arial"/>
          <w:sz w:val="18"/>
          <w:szCs w:val="18"/>
          <w:color w:val="auto"/>
        </w:rPr>
        <w:t>The criteria set forth in NI 43-101 for reserve definitions and guidelines for classification of mineral reserve are similar to those used by Guide 7. However, the definitions in NI 43-101 differ in certain respects from those under Guide 7. Under Guide 7, among other things, a mineral reserve estimate must have a "final" or "bankable" feasibility study. Guide 7 also requires the use of commodity prices that reflect current economic conditions at the time of reserve determination which Staff of the SEC has interpreted to mean historic three-year average prices. In addition to the differences noted above, Guide 7 does not recognize mineral resources.</w:t>
      </w:r>
    </w:p>
    <w:p>
      <w:pPr>
        <w:spacing w:after="0" w:line="197" w:lineRule="exact"/>
        <w:rPr>
          <w:sz w:val="20"/>
          <w:szCs w:val="20"/>
          <w:color w:val="auto"/>
        </w:rPr>
      </w:pPr>
    </w:p>
    <w:p>
      <w:pPr>
        <w:jc w:val="both"/>
        <w:ind w:firstLine="418"/>
        <w:spacing w:after="0" w:line="312" w:lineRule="auto"/>
        <w:rPr>
          <w:sz w:val="20"/>
          <w:szCs w:val="20"/>
          <w:color w:val="auto"/>
        </w:rPr>
      </w:pPr>
      <w:r>
        <w:rPr>
          <w:rFonts w:ascii="Arial" w:cs="Arial" w:eastAsia="Arial" w:hAnsi="Arial"/>
          <w:sz w:val="15"/>
          <w:szCs w:val="15"/>
          <w:color w:val="auto"/>
        </w:rPr>
        <w:t>The assumptions used for the 2009 mineral reserves and resources estimate reported by the Company in this Form 20-F were based on three-year average prices for the period ending December 31, 2009 of $848 per ounce gold, $14.35 per ounce silver, $1.03 per pound zinc, $2.91 per pound copper, $0.97 per pound lead and exchange rates of C$1.09 per $1.00, 11.85 Mexican pesos per $1.00 and $1.41 per €1.00. The assumptions used for the 2008 mineral reserves and resources estimate reported by the Company in this Form 20-F were based on three-year average prices for the period ending December 31, 2008 of $725 per ounce gold, $13.32 per ounce silver, $1.27 per pound zinc, $3.15 per pound copper and exchange rates of C$1.09 per $1.00, 11.00 Mexican pesos per $1.00 and $1.37 per €1.00. Other assumptions used for estimating 2008 and 2007 mineral reserve and resource information may be found in the Company's annual filings in respect of the years ended December 31, 2008 and December 31, 2007, respectively. Set out below are the reserve estimates as calculated in accordance</w:t>
      </w:r>
    </w:p>
    <w:p>
      <w:pPr>
        <w:spacing w:after="0" w:line="15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02" w:name="page103"/>
    <w:bookmarkEnd w:id="102"/>
    <w:p>
      <w:pPr>
        <w:spacing w:after="0"/>
        <w:rPr>
          <w:sz w:val="20"/>
          <w:szCs w:val="20"/>
          <w:color w:val="auto"/>
        </w:rPr>
      </w:pPr>
      <w:r>
        <w:rPr>
          <w:rFonts w:ascii="Arial" w:cs="Arial" w:eastAsia="Arial" w:hAnsi="Arial"/>
          <w:sz w:val="18"/>
          <w:szCs w:val="18"/>
          <w:color w:val="auto"/>
        </w:rPr>
        <w:t>with NI 43-101 and Guide 7, respectively (tonnages and contained gold quantities are rounded to the nearest thousand):</w:t>
      </w:r>
    </w:p>
    <w:p>
      <w:pPr>
        <w:spacing w:after="0" w:line="275"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2700" w:type="dxa"/>
            <w:vAlign w:val="bottom"/>
          </w:tcPr>
          <w:p>
            <w:pPr>
              <w:spacing w:after="0"/>
              <w:rPr>
                <w:sz w:val="14"/>
                <w:szCs w:val="14"/>
                <w:color w:val="auto"/>
              </w:rPr>
            </w:pPr>
          </w:p>
        </w:tc>
        <w:tc>
          <w:tcPr>
            <w:tcW w:w="2760" w:type="dxa"/>
            <w:vAlign w:val="bottom"/>
            <w:gridSpan w:val="5"/>
          </w:tcPr>
          <w:p>
            <w:pPr>
              <w:jc w:val="right"/>
              <w:ind w:right="512"/>
              <w:spacing w:after="0"/>
              <w:rPr>
                <w:sz w:val="20"/>
                <w:szCs w:val="20"/>
                <w:color w:val="auto"/>
              </w:rPr>
            </w:pPr>
            <w:r>
              <w:rPr>
                <w:rFonts w:ascii="Arial" w:cs="Arial" w:eastAsia="Arial" w:hAnsi="Arial"/>
                <w:sz w:val="14"/>
                <w:szCs w:val="14"/>
                <w:b w:val="1"/>
                <w:bCs w:val="1"/>
                <w:color w:val="auto"/>
              </w:rPr>
              <w:t>National Instrument 43-101</w:t>
            </w:r>
          </w:p>
        </w:tc>
        <w:tc>
          <w:tcPr>
            <w:tcW w:w="160" w:type="dxa"/>
            <w:vAlign w:val="bottom"/>
          </w:tcPr>
          <w:p>
            <w:pPr>
              <w:spacing w:after="0"/>
              <w:rPr>
                <w:sz w:val="14"/>
                <w:szCs w:val="14"/>
                <w:color w:val="auto"/>
              </w:rPr>
            </w:pPr>
          </w:p>
        </w:tc>
        <w:tc>
          <w:tcPr>
            <w:tcW w:w="2940" w:type="dxa"/>
            <w:vAlign w:val="bottom"/>
            <w:gridSpan w:val="6"/>
          </w:tcPr>
          <w:p>
            <w:pPr>
              <w:ind w:left="780"/>
              <w:spacing w:after="0"/>
              <w:rPr>
                <w:sz w:val="20"/>
                <w:szCs w:val="20"/>
                <w:color w:val="auto"/>
              </w:rPr>
            </w:pPr>
            <w:r>
              <w:rPr>
                <w:rFonts w:ascii="Arial" w:cs="Arial" w:eastAsia="Arial" w:hAnsi="Arial"/>
                <w:sz w:val="14"/>
                <w:szCs w:val="14"/>
                <w:b w:val="1"/>
                <w:bCs w:val="1"/>
                <w:color w:val="auto"/>
              </w:rPr>
              <w:t>Industry Guide No. 7</w:t>
            </w: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2700" w:type="dxa"/>
            <w:vAlign w:val="bottom"/>
          </w:tcPr>
          <w:p>
            <w:pPr>
              <w:spacing w:after="0"/>
              <w:rPr>
                <w:sz w:val="11"/>
                <w:szCs w:val="11"/>
                <w:color w:val="auto"/>
              </w:rPr>
            </w:pPr>
          </w:p>
        </w:tc>
        <w:tc>
          <w:tcPr>
            <w:tcW w:w="1020" w:type="dxa"/>
            <w:vAlign w:val="bottom"/>
            <w:tcBorders>
              <w:top w:val="single" w:sz="8" w:color="auto"/>
            </w:tcBorders>
          </w:tcPr>
          <w:p>
            <w:pPr>
              <w:spacing w:after="0"/>
              <w:rPr>
                <w:sz w:val="11"/>
                <w:szCs w:val="11"/>
                <w:color w:val="auto"/>
              </w:rPr>
            </w:pPr>
          </w:p>
        </w:tc>
        <w:tc>
          <w:tcPr>
            <w:tcW w:w="160" w:type="dxa"/>
            <w:vAlign w:val="bottom"/>
            <w:tcBorders>
              <w:top w:val="single" w:sz="8" w:color="auto"/>
            </w:tcBorders>
          </w:tcPr>
          <w:p>
            <w:pPr>
              <w:spacing w:after="0"/>
              <w:rPr>
                <w:sz w:val="11"/>
                <w:szCs w:val="11"/>
                <w:color w:val="auto"/>
              </w:rPr>
            </w:pPr>
          </w:p>
        </w:tc>
        <w:tc>
          <w:tcPr>
            <w:tcW w:w="500" w:type="dxa"/>
            <w:vAlign w:val="bottom"/>
            <w:tcBorders>
              <w:top w:val="single" w:sz="8" w:color="auto"/>
            </w:tcBorders>
          </w:tcPr>
          <w:p>
            <w:pPr>
              <w:jc w:val="center"/>
              <w:spacing w:after="0" w:line="129" w:lineRule="exact"/>
              <w:rPr>
                <w:sz w:val="20"/>
                <w:szCs w:val="20"/>
                <w:color w:val="auto"/>
              </w:rPr>
            </w:pPr>
            <w:r>
              <w:rPr>
                <w:rFonts w:ascii="Arial" w:cs="Arial" w:eastAsia="Arial" w:hAnsi="Arial"/>
                <w:sz w:val="14"/>
                <w:szCs w:val="14"/>
                <w:b w:val="1"/>
                <w:bCs w:val="1"/>
                <w:color w:val="auto"/>
                <w:w w:val="87"/>
              </w:rPr>
              <w:t>Gold</w:t>
            </w:r>
          </w:p>
        </w:tc>
        <w:tc>
          <w:tcPr>
            <w:tcW w:w="160" w:type="dxa"/>
            <w:vAlign w:val="bottom"/>
            <w:tcBorders>
              <w:top w:val="single" w:sz="8" w:color="auto"/>
            </w:tcBorders>
          </w:tcPr>
          <w:p>
            <w:pPr>
              <w:spacing w:after="0"/>
              <w:rPr>
                <w:sz w:val="11"/>
                <w:szCs w:val="11"/>
                <w:color w:val="auto"/>
              </w:rPr>
            </w:pPr>
          </w:p>
        </w:tc>
        <w:tc>
          <w:tcPr>
            <w:tcW w:w="920" w:type="dxa"/>
            <w:vAlign w:val="bottom"/>
            <w:tcBorders>
              <w:top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1020" w:type="dxa"/>
            <w:vAlign w:val="bottom"/>
            <w:tcBorders>
              <w:top w:val="single" w:sz="8" w:color="auto"/>
            </w:tcBorders>
          </w:tcPr>
          <w:p>
            <w:pPr>
              <w:spacing w:after="0"/>
              <w:rPr>
                <w:sz w:val="11"/>
                <w:szCs w:val="11"/>
                <w:color w:val="auto"/>
              </w:rPr>
            </w:pPr>
          </w:p>
        </w:tc>
        <w:tc>
          <w:tcPr>
            <w:tcW w:w="160" w:type="dxa"/>
            <w:vAlign w:val="bottom"/>
            <w:tcBorders>
              <w:top w:val="single" w:sz="8" w:color="auto"/>
            </w:tcBorders>
          </w:tcPr>
          <w:p>
            <w:pPr>
              <w:spacing w:after="0"/>
              <w:rPr>
                <w:sz w:val="11"/>
                <w:szCs w:val="11"/>
                <w:color w:val="auto"/>
              </w:rPr>
            </w:pPr>
          </w:p>
        </w:tc>
        <w:tc>
          <w:tcPr>
            <w:tcW w:w="520" w:type="dxa"/>
            <w:vAlign w:val="bottom"/>
            <w:tcBorders>
              <w:top w:val="single" w:sz="8" w:color="auto"/>
            </w:tcBorders>
          </w:tcPr>
          <w:p>
            <w:pPr>
              <w:jc w:val="center"/>
              <w:spacing w:after="0" w:line="129" w:lineRule="exact"/>
              <w:rPr>
                <w:sz w:val="20"/>
                <w:szCs w:val="20"/>
                <w:color w:val="auto"/>
              </w:rPr>
            </w:pPr>
            <w:r>
              <w:rPr>
                <w:rFonts w:ascii="Arial" w:cs="Arial" w:eastAsia="Arial" w:hAnsi="Arial"/>
                <w:sz w:val="14"/>
                <w:szCs w:val="14"/>
                <w:b w:val="1"/>
                <w:bCs w:val="1"/>
                <w:color w:val="auto"/>
                <w:w w:val="87"/>
              </w:rPr>
              <w:t>Gold</w:t>
            </w:r>
          </w:p>
        </w:tc>
        <w:tc>
          <w:tcPr>
            <w:tcW w:w="160" w:type="dxa"/>
            <w:vAlign w:val="bottom"/>
            <w:tcBorders>
              <w:top w:val="single" w:sz="8" w:color="auto"/>
            </w:tcBorders>
          </w:tcPr>
          <w:p>
            <w:pPr>
              <w:spacing w:after="0"/>
              <w:rPr>
                <w:sz w:val="11"/>
                <w:szCs w:val="11"/>
                <w:color w:val="auto"/>
              </w:rPr>
            </w:pPr>
          </w:p>
        </w:tc>
        <w:tc>
          <w:tcPr>
            <w:tcW w:w="920" w:type="dxa"/>
            <w:vAlign w:val="bottom"/>
            <w:tcBorders>
              <w:top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270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5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8"/>
              </w:rPr>
              <w:t>Grade</w:t>
            </w:r>
          </w:p>
        </w:tc>
        <w:tc>
          <w:tcPr>
            <w:tcW w:w="160" w:type="dxa"/>
            <w:vAlign w:val="bottom"/>
          </w:tcPr>
          <w:p>
            <w:pPr>
              <w:spacing w:after="0"/>
              <w:rPr>
                <w:sz w:val="12"/>
                <w:szCs w:val="12"/>
                <w:color w:val="auto"/>
              </w:rPr>
            </w:pPr>
          </w:p>
        </w:tc>
        <w:tc>
          <w:tcPr>
            <w:tcW w:w="920" w:type="dxa"/>
            <w:vAlign w:val="bottom"/>
          </w:tcPr>
          <w:p>
            <w:pPr>
              <w:jc w:val="right"/>
              <w:ind w:right="92"/>
              <w:spacing w:after="0" w:line="149" w:lineRule="exact"/>
              <w:rPr>
                <w:sz w:val="20"/>
                <w:szCs w:val="20"/>
                <w:color w:val="auto"/>
              </w:rPr>
            </w:pPr>
            <w:r>
              <w:rPr>
                <w:rFonts w:ascii="Arial" w:cs="Arial" w:eastAsia="Arial" w:hAnsi="Arial"/>
                <w:sz w:val="14"/>
                <w:szCs w:val="14"/>
                <w:b w:val="1"/>
                <w:bCs w:val="1"/>
                <w:color w:val="auto"/>
              </w:rPr>
              <w:t>Contained</w:t>
            </w:r>
          </w:p>
        </w:tc>
        <w:tc>
          <w:tcPr>
            <w:tcW w:w="16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5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3"/>
              </w:rPr>
              <w:t>Grade</w:t>
            </w:r>
          </w:p>
        </w:tc>
        <w:tc>
          <w:tcPr>
            <w:tcW w:w="160" w:type="dxa"/>
            <w:vAlign w:val="bottom"/>
          </w:tcPr>
          <w:p>
            <w:pPr>
              <w:spacing w:after="0"/>
              <w:rPr>
                <w:sz w:val="12"/>
                <w:szCs w:val="12"/>
                <w:color w:val="auto"/>
              </w:rPr>
            </w:pPr>
          </w:p>
        </w:tc>
        <w:tc>
          <w:tcPr>
            <w:tcW w:w="108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Contained</w:t>
            </w:r>
          </w:p>
        </w:tc>
        <w:tc>
          <w:tcPr>
            <w:tcW w:w="0" w:type="dxa"/>
            <w:vAlign w:val="bottom"/>
          </w:tcPr>
          <w:p>
            <w:pPr>
              <w:spacing w:after="0"/>
              <w:rPr>
                <w:sz w:val="1"/>
                <w:szCs w:val="1"/>
                <w:color w:val="auto"/>
              </w:rPr>
            </w:pPr>
          </w:p>
        </w:tc>
      </w:tr>
      <w:tr>
        <w:trPr>
          <w:trHeight w:val="161"/>
        </w:trPr>
        <w:tc>
          <w:tcPr>
            <w:tcW w:w="3260" w:type="dxa"/>
            <w:vAlign w:val="bottom"/>
            <w:gridSpan w:val="3"/>
          </w:tcPr>
          <w:p>
            <w:pPr>
              <w:spacing w:after="0"/>
              <w:rPr>
                <w:sz w:val="20"/>
                <w:szCs w:val="20"/>
                <w:color w:val="auto"/>
              </w:rPr>
            </w:pPr>
            <w:r>
              <w:rPr>
                <w:rFonts w:ascii="Arial" w:cs="Arial" w:eastAsia="Arial" w:hAnsi="Arial"/>
                <w:sz w:val="14"/>
                <w:szCs w:val="14"/>
                <w:b w:val="1"/>
                <w:bCs w:val="1"/>
                <w:color w:val="auto"/>
              </w:rPr>
              <w:t>Property</w:t>
            </w:r>
          </w:p>
        </w:tc>
        <w:tc>
          <w:tcPr>
            <w:tcW w:w="1020" w:type="dxa"/>
            <w:vAlign w:val="bottom"/>
          </w:tcPr>
          <w:p>
            <w:pPr>
              <w:jc w:val="right"/>
              <w:ind w:right="234"/>
              <w:spacing w:after="0"/>
              <w:rPr>
                <w:sz w:val="20"/>
                <w:szCs w:val="20"/>
                <w:color w:val="auto"/>
              </w:rPr>
            </w:pPr>
            <w:r>
              <w:rPr>
                <w:rFonts w:ascii="Arial" w:cs="Arial" w:eastAsia="Arial" w:hAnsi="Arial"/>
                <w:sz w:val="14"/>
                <w:szCs w:val="14"/>
                <w:b w:val="1"/>
                <w:bCs w:val="1"/>
                <w:color w:val="auto"/>
              </w:rPr>
              <w:t>Tonnes</w:t>
            </w:r>
          </w:p>
        </w:tc>
        <w:tc>
          <w:tcPr>
            <w:tcW w:w="160" w:type="dxa"/>
            <w:vAlign w:val="bottom"/>
          </w:tcPr>
          <w:p>
            <w:pPr>
              <w:spacing w:after="0"/>
              <w:rPr>
                <w:sz w:val="14"/>
                <w:szCs w:val="14"/>
                <w:color w:val="auto"/>
              </w:rPr>
            </w:pPr>
          </w:p>
        </w:tc>
        <w:tc>
          <w:tcPr>
            <w:tcW w:w="500" w:type="dxa"/>
            <w:vAlign w:val="bottom"/>
          </w:tcPr>
          <w:p>
            <w:pPr>
              <w:jc w:val="center"/>
              <w:spacing w:after="0"/>
              <w:rPr>
                <w:sz w:val="20"/>
                <w:szCs w:val="20"/>
                <w:color w:val="auto"/>
              </w:rPr>
            </w:pPr>
            <w:r>
              <w:rPr>
                <w:rFonts w:ascii="Arial" w:cs="Arial" w:eastAsia="Arial" w:hAnsi="Arial"/>
                <w:sz w:val="14"/>
                <w:szCs w:val="14"/>
                <w:b w:val="1"/>
                <w:bCs w:val="1"/>
                <w:color w:val="auto"/>
                <w:w w:val="90"/>
              </w:rPr>
              <w:t>(g/t)</w:t>
            </w:r>
          </w:p>
        </w:tc>
        <w:tc>
          <w:tcPr>
            <w:tcW w:w="160" w:type="dxa"/>
            <w:vAlign w:val="bottom"/>
          </w:tcPr>
          <w:p>
            <w:pPr>
              <w:spacing w:after="0"/>
              <w:rPr>
                <w:sz w:val="14"/>
                <w:szCs w:val="14"/>
                <w:color w:val="auto"/>
              </w:rPr>
            </w:pPr>
          </w:p>
        </w:tc>
        <w:tc>
          <w:tcPr>
            <w:tcW w:w="920" w:type="dxa"/>
            <w:vAlign w:val="bottom"/>
          </w:tcPr>
          <w:p>
            <w:pPr>
              <w:jc w:val="right"/>
              <w:ind w:right="132"/>
              <w:spacing w:after="0"/>
              <w:rPr>
                <w:sz w:val="20"/>
                <w:szCs w:val="20"/>
                <w:color w:val="auto"/>
              </w:rPr>
            </w:pPr>
            <w:r>
              <w:rPr>
                <w:rFonts w:ascii="Arial" w:cs="Arial" w:eastAsia="Arial" w:hAnsi="Arial"/>
                <w:sz w:val="14"/>
                <w:szCs w:val="14"/>
                <w:b w:val="1"/>
                <w:bCs w:val="1"/>
                <w:color w:val="auto"/>
              </w:rPr>
              <w:t>Gold (oz)</w:t>
            </w:r>
          </w:p>
        </w:tc>
        <w:tc>
          <w:tcPr>
            <w:tcW w:w="160" w:type="dxa"/>
            <w:vAlign w:val="bottom"/>
          </w:tcPr>
          <w:p>
            <w:pPr>
              <w:spacing w:after="0"/>
              <w:rPr>
                <w:sz w:val="14"/>
                <w:szCs w:val="14"/>
                <w:color w:val="auto"/>
              </w:rPr>
            </w:pPr>
          </w:p>
        </w:tc>
        <w:tc>
          <w:tcPr>
            <w:tcW w:w="1020" w:type="dxa"/>
            <w:vAlign w:val="bottom"/>
          </w:tcPr>
          <w:p>
            <w:pPr>
              <w:jc w:val="right"/>
              <w:ind w:right="232"/>
              <w:spacing w:after="0"/>
              <w:rPr>
                <w:sz w:val="20"/>
                <w:szCs w:val="20"/>
                <w:color w:val="auto"/>
              </w:rPr>
            </w:pPr>
            <w:r>
              <w:rPr>
                <w:rFonts w:ascii="Arial" w:cs="Arial" w:eastAsia="Arial" w:hAnsi="Arial"/>
                <w:sz w:val="14"/>
                <w:szCs w:val="14"/>
                <w:b w:val="1"/>
                <w:bCs w:val="1"/>
                <w:color w:val="auto"/>
              </w:rPr>
              <w:t>Tonnes</w:t>
            </w:r>
          </w:p>
        </w:tc>
        <w:tc>
          <w:tcPr>
            <w:tcW w:w="160" w:type="dxa"/>
            <w:vAlign w:val="bottom"/>
          </w:tcPr>
          <w:p>
            <w:pPr>
              <w:spacing w:after="0"/>
              <w:rPr>
                <w:sz w:val="14"/>
                <w:szCs w:val="14"/>
                <w:color w:val="auto"/>
              </w:rPr>
            </w:pPr>
          </w:p>
        </w:tc>
        <w:tc>
          <w:tcPr>
            <w:tcW w:w="520" w:type="dxa"/>
            <w:vAlign w:val="bottom"/>
          </w:tcPr>
          <w:p>
            <w:pPr>
              <w:jc w:val="center"/>
              <w:spacing w:after="0"/>
              <w:rPr>
                <w:sz w:val="20"/>
                <w:szCs w:val="20"/>
                <w:color w:val="auto"/>
              </w:rPr>
            </w:pPr>
            <w:r>
              <w:rPr>
                <w:rFonts w:ascii="Arial" w:cs="Arial" w:eastAsia="Arial" w:hAnsi="Arial"/>
                <w:sz w:val="14"/>
                <w:szCs w:val="14"/>
                <w:b w:val="1"/>
                <w:bCs w:val="1"/>
                <w:color w:val="auto"/>
                <w:w w:val="90"/>
              </w:rPr>
              <w:t>(g/t)</w:t>
            </w:r>
          </w:p>
        </w:tc>
        <w:tc>
          <w:tcPr>
            <w:tcW w:w="160" w:type="dxa"/>
            <w:vAlign w:val="bottom"/>
          </w:tcPr>
          <w:p>
            <w:pPr>
              <w:spacing w:after="0"/>
              <w:rPr>
                <w:sz w:val="14"/>
                <w:szCs w:val="14"/>
                <w:color w:val="auto"/>
              </w:rPr>
            </w:pPr>
          </w:p>
        </w:tc>
        <w:tc>
          <w:tcPr>
            <w:tcW w:w="108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8"/>
              </w:rPr>
              <w:t>Gold (oz)</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2700" w:type="dxa"/>
            <w:vAlign w:val="bottom"/>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3240" w:type="dxa"/>
            <w:vAlign w:val="bottom"/>
            <w:gridSpan w:val="2"/>
            <w:shd w:val="clear" w:color="auto" w:fill="CCEEFF"/>
          </w:tcPr>
          <w:p>
            <w:pPr>
              <w:spacing w:after="0"/>
              <w:rPr>
                <w:sz w:val="20"/>
                <w:szCs w:val="20"/>
                <w:color w:val="auto"/>
              </w:rPr>
            </w:pPr>
            <w:r>
              <w:rPr>
                <w:rFonts w:ascii="Arial" w:cs="Arial" w:eastAsia="Arial" w:hAnsi="Arial"/>
                <w:sz w:val="18"/>
                <w:szCs w:val="18"/>
                <w:i w:val="1"/>
                <w:iCs w:val="1"/>
                <w:color w:val="auto"/>
              </w:rPr>
              <w:t>Proven Reserves</w:t>
            </w:r>
          </w:p>
        </w:tc>
        <w:tc>
          <w:tcPr>
            <w:tcW w:w="10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40" w:type="dxa"/>
            <w:vAlign w:val="bottom"/>
            <w:gridSpan w:val="2"/>
          </w:tcPr>
          <w:p>
            <w:pPr>
              <w:spacing w:after="0"/>
              <w:rPr>
                <w:sz w:val="20"/>
                <w:szCs w:val="20"/>
                <w:color w:val="auto"/>
              </w:rPr>
            </w:pPr>
            <w:r>
              <w:rPr>
                <w:rFonts w:ascii="Arial" w:cs="Arial" w:eastAsia="Arial" w:hAnsi="Arial"/>
                <w:sz w:val="18"/>
                <w:szCs w:val="18"/>
                <w:color w:val="auto"/>
              </w:rPr>
              <w:t>LaRonde (underground)</w:t>
            </w:r>
          </w:p>
        </w:tc>
        <w:tc>
          <w:tcPr>
            <w:tcW w:w="1020" w:type="dxa"/>
            <w:vAlign w:val="bottom"/>
          </w:tcPr>
          <w:p>
            <w:pPr>
              <w:jc w:val="right"/>
              <w:spacing w:after="0"/>
              <w:rPr>
                <w:sz w:val="20"/>
                <w:szCs w:val="20"/>
                <w:color w:val="auto"/>
              </w:rPr>
            </w:pPr>
            <w:r>
              <w:rPr>
                <w:rFonts w:ascii="Arial" w:cs="Arial" w:eastAsia="Arial" w:hAnsi="Arial"/>
                <w:sz w:val="18"/>
                <w:szCs w:val="18"/>
                <w:color w:val="auto"/>
              </w:rPr>
              <w:t>4,755,000</w:t>
            </w:r>
          </w:p>
        </w:tc>
        <w:tc>
          <w:tcPr>
            <w:tcW w:w="660" w:type="dxa"/>
            <w:vAlign w:val="bottom"/>
            <w:gridSpan w:val="2"/>
          </w:tcPr>
          <w:p>
            <w:pPr>
              <w:jc w:val="right"/>
              <w:spacing w:after="0"/>
              <w:rPr>
                <w:sz w:val="20"/>
                <w:szCs w:val="20"/>
                <w:color w:val="auto"/>
              </w:rPr>
            </w:pPr>
            <w:r>
              <w:rPr>
                <w:rFonts w:ascii="Arial" w:cs="Arial" w:eastAsia="Arial" w:hAnsi="Arial"/>
                <w:sz w:val="18"/>
                <w:szCs w:val="18"/>
                <w:color w:val="auto"/>
              </w:rPr>
              <w:t>2.34</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358,000</w:t>
            </w:r>
          </w:p>
        </w:tc>
        <w:tc>
          <w:tcPr>
            <w:tcW w:w="1180" w:type="dxa"/>
            <w:vAlign w:val="bottom"/>
            <w:gridSpan w:val="2"/>
          </w:tcPr>
          <w:p>
            <w:pPr>
              <w:jc w:val="right"/>
              <w:spacing w:after="0"/>
              <w:rPr>
                <w:sz w:val="20"/>
                <w:szCs w:val="20"/>
                <w:color w:val="auto"/>
              </w:rPr>
            </w:pPr>
            <w:r>
              <w:rPr>
                <w:rFonts w:ascii="Arial" w:cs="Arial" w:eastAsia="Arial" w:hAnsi="Arial"/>
                <w:sz w:val="18"/>
                <w:szCs w:val="18"/>
                <w:color w:val="auto"/>
              </w:rPr>
              <w:t>4,755,000</w:t>
            </w:r>
          </w:p>
        </w:tc>
        <w:tc>
          <w:tcPr>
            <w:tcW w:w="680" w:type="dxa"/>
            <w:vAlign w:val="bottom"/>
            <w:gridSpan w:val="2"/>
          </w:tcPr>
          <w:p>
            <w:pPr>
              <w:jc w:val="right"/>
              <w:spacing w:after="0"/>
              <w:rPr>
                <w:sz w:val="20"/>
                <w:szCs w:val="20"/>
                <w:color w:val="auto"/>
              </w:rPr>
            </w:pPr>
            <w:r>
              <w:rPr>
                <w:rFonts w:ascii="Arial" w:cs="Arial" w:eastAsia="Arial" w:hAnsi="Arial"/>
                <w:sz w:val="18"/>
                <w:szCs w:val="18"/>
                <w:color w:val="auto"/>
              </w:rPr>
              <w:t>2.34</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358,000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Goldex (underground)</w:t>
            </w: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5,217,000</w:t>
            </w: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2.02</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339,000</w:t>
            </w:r>
          </w:p>
        </w:tc>
        <w:tc>
          <w:tcPr>
            <w:tcW w:w="1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5,217,000</w:t>
            </w: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2.02</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339,000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40" w:type="dxa"/>
            <w:vAlign w:val="bottom"/>
            <w:gridSpan w:val="2"/>
          </w:tcPr>
          <w:p>
            <w:pPr>
              <w:ind w:left="120"/>
              <w:spacing w:after="0"/>
              <w:rPr>
                <w:sz w:val="20"/>
                <w:szCs w:val="20"/>
                <w:color w:val="auto"/>
              </w:rPr>
            </w:pPr>
            <w:r>
              <w:rPr>
                <w:rFonts w:ascii="Arial" w:cs="Arial" w:eastAsia="Arial" w:hAnsi="Arial"/>
                <w:sz w:val="18"/>
                <w:szCs w:val="18"/>
                <w:color w:val="auto"/>
              </w:rPr>
              <w:t>Kittila (open pit)</w:t>
            </w:r>
          </w:p>
        </w:tc>
        <w:tc>
          <w:tcPr>
            <w:tcW w:w="1020" w:type="dxa"/>
            <w:vAlign w:val="bottom"/>
          </w:tcPr>
          <w:p>
            <w:pPr>
              <w:jc w:val="right"/>
              <w:spacing w:after="0"/>
              <w:rPr>
                <w:sz w:val="20"/>
                <w:szCs w:val="20"/>
                <w:color w:val="auto"/>
              </w:rPr>
            </w:pPr>
            <w:r>
              <w:rPr>
                <w:rFonts w:ascii="Arial" w:cs="Arial" w:eastAsia="Arial" w:hAnsi="Arial"/>
                <w:sz w:val="18"/>
                <w:szCs w:val="18"/>
                <w:color w:val="auto"/>
              </w:rPr>
              <w:t>255,000</w:t>
            </w:r>
          </w:p>
        </w:tc>
        <w:tc>
          <w:tcPr>
            <w:tcW w:w="660" w:type="dxa"/>
            <w:vAlign w:val="bottom"/>
            <w:gridSpan w:val="2"/>
          </w:tcPr>
          <w:p>
            <w:pPr>
              <w:jc w:val="right"/>
              <w:spacing w:after="0"/>
              <w:rPr>
                <w:sz w:val="20"/>
                <w:szCs w:val="20"/>
                <w:color w:val="auto"/>
              </w:rPr>
            </w:pPr>
            <w:r>
              <w:rPr>
                <w:rFonts w:ascii="Arial" w:cs="Arial" w:eastAsia="Arial" w:hAnsi="Arial"/>
                <w:sz w:val="18"/>
                <w:szCs w:val="18"/>
                <w:color w:val="auto"/>
              </w:rPr>
              <w:t>3.71</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30,000</w:t>
            </w:r>
          </w:p>
        </w:tc>
        <w:tc>
          <w:tcPr>
            <w:tcW w:w="1180" w:type="dxa"/>
            <w:vAlign w:val="bottom"/>
            <w:gridSpan w:val="2"/>
          </w:tcPr>
          <w:p>
            <w:pPr>
              <w:jc w:val="right"/>
              <w:spacing w:after="0"/>
              <w:rPr>
                <w:sz w:val="20"/>
                <w:szCs w:val="20"/>
                <w:color w:val="auto"/>
              </w:rPr>
            </w:pPr>
            <w:r>
              <w:rPr>
                <w:rFonts w:ascii="Arial" w:cs="Arial" w:eastAsia="Arial" w:hAnsi="Arial"/>
                <w:sz w:val="18"/>
                <w:szCs w:val="18"/>
                <w:color w:val="auto"/>
              </w:rPr>
              <w:t>255,000</w:t>
            </w:r>
          </w:p>
        </w:tc>
        <w:tc>
          <w:tcPr>
            <w:tcW w:w="680" w:type="dxa"/>
            <w:vAlign w:val="bottom"/>
            <w:gridSpan w:val="2"/>
          </w:tcPr>
          <w:p>
            <w:pPr>
              <w:jc w:val="right"/>
              <w:spacing w:after="0"/>
              <w:rPr>
                <w:sz w:val="20"/>
                <w:szCs w:val="20"/>
                <w:color w:val="auto"/>
              </w:rPr>
            </w:pPr>
            <w:r>
              <w:rPr>
                <w:rFonts w:ascii="Arial" w:cs="Arial" w:eastAsia="Arial" w:hAnsi="Arial"/>
                <w:sz w:val="18"/>
                <w:szCs w:val="18"/>
                <w:color w:val="auto"/>
              </w:rPr>
              <w:t>3.71</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30,000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4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Kittila (underground)</w:t>
            </w: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1,000</w:t>
            </w: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3.81</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0</w:t>
            </w:r>
          </w:p>
        </w:tc>
        <w:tc>
          <w:tcPr>
            <w:tcW w:w="1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1,000</w:t>
            </w: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3.81</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40" w:type="dxa"/>
            <w:vAlign w:val="bottom"/>
            <w:gridSpan w:val="2"/>
          </w:tcPr>
          <w:p>
            <w:pPr>
              <w:spacing w:after="0"/>
              <w:rPr>
                <w:sz w:val="20"/>
                <w:szCs w:val="20"/>
                <w:color w:val="auto"/>
              </w:rPr>
            </w:pPr>
            <w:r>
              <w:rPr>
                <w:rFonts w:ascii="Arial" w:cs="Arial" w:eastAsia="Arial" w:hAnsi="Arial"/>
                <w:sz w:val="18"/>
                <w:szCs w:val="18"/>
                <w:color w:val="auto"/>
              </w:rPr>
              <w:t>Kittila total proven</w:t>
            </w:r>
          </w:p>
        </w:tc>
        <w:tc>
          <w:tcPr>
            <w:tcW w:w="1020" w:type="dxa"/>
            <w:vAlign w:val="bottom"/>
          </w:tcPr>
          <w:p>
            <w:pPr>
              <w:jc w:val="right"/>
              <w:spacing w:after="0"/>
              <w:rPr>
                <w:sz w:val="20"/>
                <w:szCs w:val="20"/>
                <w:color w:val="auto"/>
              </w:rPr>
            </w:pPr>
            <w:r>
              <w:rPr>
                <w:rFonts w:ascii="Arial" w:cs="Arial" w:eastAsia="Arial" w:hAnsi="Arial"/>
                <w:sz w:val="18"/>
                <w:szCs w:val="18"/>
                <w:color w:val="auto"/>
              </w:rPr>
              <w:t>257,000</w:t>
            </w:r>
          </w:p>
        </w:tc>
        <w:tc>
          <w:tcPr>
            <w:tcW w:w="660" w:type="dxa"/>
            <w:vAlign w:val="bottom"/>
            <w:gridSpan w:val="2"/>
          </w:tcPr>
          <w:p>
            <w:pPr>
              <w:jc w:val="right"/>
              <w:spacing w:after="0"/>
              <w:rPr>
                <w:sz w:val="20"/>
                <w:szCs w:val="20"/>
                <w:color w:val="auto"/>
              </w:rPr>
            </w:pPr>
            <w:r>
              <w:rPr>
                <w:rFonts w:ascii="Arial" w:cs="Arial" w:eastAsia="Arial" w:hAnsi="Arial"/>
                <w:sz w:val="18"/>
                <w:szCs w:val="18"/>
                <w:color w:val="auto"/>
              </w:rPr>
              <w:t>3.71</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31,000</w:t>
            </w:r>
          </w:p>
        </w:tc>
        <w:tc>
          <w:tcPr>
            <w:tcW w:w="1180" w:type="dxa"/>
            <w:vAlign w:val="bottom"/>
            <w:gridSpan w:val="2"/>
          </w:tcPr>
          <w:p>
            <w:pPr>
              <w:jc w:val="right"/>
              <w:spacing w:after="0"/>
              <w:rPr>
                <w:sz w:val="20"/>
                <w:szCs w:val="20"/>
                <w:color w:val="auto"/>
              </w:rPr>
            </w:pPr>
            <w:r>
              <w:rPr>
                <w:rFonts w:ascii="Arial" w:cs="Arial" w:eastAsia="Arial" w:hAnsi="Arial"/>
                <w:sz w:val="18"/>
                <w:szCs w:val="18"/>
                <w:color w:val="auto"/>
              </w:rPr>
              <w:t>257,000</w:t>
            </w:r>
          </w:p>
        </w:tc>
        <w:tc>
          <w:tcPr>
            <w:tcW w:w="680" w:type="dxa"/>
            <w:vAlign w:val="bottom"/>
            <w:gridSpan w:val="2"/>
          </w:tcPr>
          <w:p>
            <w:pPr>
              <w:jc w:val="right"/>
              <w:spacing w:after="0"/>
              <w:rPr>
                <w:sz w:val="20"/>
                <w:szCs w:val="20"/>
                <w:color w:val="auto"/>
              </w:rPr>
            </w:pPr>
            <w:r>
              <w:rPr>
                <w:rFonts w:ascii="Arial" w:cs="Arial" w:eastAsia="Arial" w:hAnsi="Arial"/>
                <w:sz w:val="18"/>
                <w:szCs w:val="18"/>
                <w:color w:val="auto"/>
              </w:rPr>
              <w:t>3.71</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31,000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Lapa (underground)</w:t>
            </w: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897,000</w:t>
            </w: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8.33</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240,000</w:t>
            </w:r>
          </w:p>
        </w:tc>
        <w:tc>
          <w:tcPr>
            <w:tcW w:w="1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897,000</w:t>
            </w: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8.33</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240,000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40" w:type="dxa"/>
            <w:vAlign w:val="bottom"/>
            <w:gridSpan w:val="2"/>
          </w:tcPr>
          <w:p>
            <w:pPr>
              <w:spacing w:after="0"/>
              <w:rPr>
                <w:sz w:val="20"/>
                <w:szCs w:val="20"/>
                <w:color w:val="auto"/>
              </w:rPr>
            </w:pPr>
            <w:r>
              <w:rPr>
                <w:rFonts w:ascii="Arial" w:cs="Arial" w:eastAsia="Arial" w:hAnsi="Arial"/>
                <w:sz w:val="18"/>
                <w:szCs w:val="18"/>
                <w:color w:val="auto"/>
              </w:rPr>
              <w:t>Pinos Altos (open pit)</w:t>
            </w:r>
          </w:p>
        </w:tc>
        <w:tc>
          <w:tcPr>
            <w:tcW w:w="1020" w:type="dxa"/>
            <w:vAlign w:val="bottom"/>
          </w:tcPr>
          <w:p>
            <w:pPr>
              <w:jc w:val="right"/>
              <w:spacing w:after="0"/>
              <w:rPr>
                <w:sz w:val="20"/>
                <w:szCs w:val="20"/>
                <w:color w:val="auto"/>
              </w:rPr>
            </w:pPr>
            <w:r>
              <w:rPr>
                <w:rFonts w:ascii="Arial" w:cs="Arial" w:eastAsia="Arial" w:hAnsi="Arial"/>
                <w:sz w:val="18"/>
                <w:szCs w:val="18"/>
                <w:color w:val="auto"/>
              </w:rPr>
              <w:t>880,000</w:t>
            </w:r>
          </w:p>
        </w:tc>
        <w:tc>
          <w:tcPr>
            <w:tcW w:w="660" w:type="dxa"/>
            <w:vAlign w:val="bottom"/>
            <w:gridSpan w:val="2"/>
          </w:tcPr>
          <w:p>
            <w:pPr>
              <w:jc w:val="right"/>
              <w:spacing w:after="0"/>
              <w:rPr>
                <w:sz w:val="20"/>
                <w:szCs w:val="20"/>
                <w:color w:val="auto"/>
              </w:rPr>
            </w:pPr>
            <w:r>
              <w:rPr>
                <w:rFonts w:ascii="Arial" w:cs="Arial" w:eastAsia="Arial" w:hAnsi="Arial"/>
                <w:sz w:val="18"/>
                <w:szCs w:val="18"/>
                <w:color w:val="auto"/>
              </w:rPr>
              <w:t>1.51</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43,000</w:t>
            </w:r>
          </w:p>
        </w:tc>
        <w:tc>
          <w:tcPr>
            <w:tcW w:w="1180" w:type="dxa"/>
            <w:vAlign w:val="bottom"/>
            <w:gridSpan w:val="2"/>
          </w:tcPr>
          <w:p>
            <w:pPr>
              <w:jc w:val="right"/>
              <w:spacing w:after="0"/>
              <w:rPr>
                <w:sz w:val="20"/>
                <w:szCs w:val="20"/>
                <w:color w:val="auto"/>
              </w:rPr>
            </w:pPr>
            <w:r>
              <w:rPr>
                <w:rFonts w:ascii="Arial" w:cs="Arial" w:eastAsia="Arial" w:hAnsi="Arial"/>
                <w:sz w:val="18"/>
                <w:szCs w:val="18"/>
                <w:color w:val="auto"/>
              </w:rPr>
              <w:t>880,000</w:t>
            </w:r>
          </w:p>
        </w:tc>
        <w:tc>
          <w:tcPr>
            <w:tcW w:w="680" w:type="dxa"/>
            <w:vAlign w:val="bottom"/>
            <w:gridSpan w:val="2"/>
          </w:tcPr>
          <w:p>
            <w:pPr>
              <w:jc w:val="right"/>
              <w:spacing w:after="0"/>
              <w:rPr>
                <w:sz w:val="20"/>
                <w:szCs w:val="20"/>
                <w:color w:val="auto"/>
              </w:rPr>
            </w:pPr>
            <w:r>
              <w:rPr>
                <w:rFonts w:ascii="Arial" w:cs="Arial" w:eastAsia="Arial" w:hAnsi="Arial"/>
                <w:sz w:val="18"/>
                <w:szCs w:val="18"/>
                <w:color w:val="auto"/>
              </w:rPr>
              <w:t>1.51</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43,000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Meadowbank (open pit)</w:t>
            </w: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600,000</w:t>
            </w: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4.57</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88,000</w:t>
            </w:r>
          </w:p>
        </w:tc>
        <w:tc>
          <w:tcPr>
            <w:tcW w:w="1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600,000</w:t>
            </w: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4.57</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88,000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40" w:type="dxa"/>
            <w:vAlign w:val="bottom"/>
            <w:gridSpan w:val="2"/>
          </w:tcPr>
          <w:p>
            <w:pPr>
              <w:spacing w:after="0"/>
              <w:rPr>
                <w:sz w:val="20"/>
                <w:szCs w:val="20"/>
                <w:color w:val="auto"/>
              </w:rPr>
            </w:pPr>
            <w:r>
              <w:rPr>
                <w:rFonts w:ascii="Arial" w:cs="Arial" w:eastAsia="Arial" w:hAnsi="Arial"/>
                <w:sz w:val="18"/>
                <w:szCs w:val="18"/>
                <w:b w:val="1"/>
                <w:bCs w:val="1"/>
                <w:color w:val="auto"/>
              </w:rPr>
              <w:t>Total Proven Reserves</w:t>
            </w:r>
          </w:p>
        </w:tc>
        <w:tc>
          <w:tcPr>
            <w:tcW w:w="1020" w:type="dxa"/>
            <w:vAlign w:val="bottom"/>
          </w:tcPr>
          <w:p>
            <w:pPr>
              <w:jc w:val="right"/>
              <w:spacing w:after="0"/>
              <w:rPr>
                <w:sz w:val="20"/>
                <w:szCs w:val="20"/>
                <w:color w:val="auto"/>
              </w:rPr>
            </w:pPr>
            <w:r>
              <w:rPr>
                <w:rFonts w:ascii="Arial" w:cs="Arial" w:eastAsia="Arial" w:hAnsi="Arial"/>
                <w:sz w:val="18"/>
                <w:szCs w:val="18"/>
                <w:b w:val="1"/>
                <w:bCs w:val="1"/>
                <w:color w:val="auto"/>
              </w:rPr>
              <w:t>12,605,000</w:t>
            </w:r>
          </w:p>
        </w:tc>
        <w:tc>
          <w:tcPr>
            <w:tcW w:w="660" w:type="dxa"/>
            <w:vAlign w:val="bottom"/>
            <w:gridSpan w:val="2"/>
          </w:tcPr>
          <w:p>
            <w:pPr>
              <w:jc w:val="right"/>
              <w:spacing w:after="0"/>
              <w:rPr>
                <w:sz w:val="20"/>
                <w:szCs w:val="20"/>
                <w:color w:val="auto"/>
              </w:rPr>
            </w:pPr>
            <w:r>
              <w:rPr>
                <w:rFonts w:ascii="Arial" w:cs="Arial" w:eastAsia="Arial" w:hAnsi="Arial"/>
                <w:sz w:val="18"/>
                <w:szCs w:val="18"/>
                <w:b w:val="1"/>
                <w:bCs w:val="1"/>
                <w:color w:val="auto"/>
              </w:rPr>
              <w:t>2.71</w:t>
            </w:r>
          </w:p>
        </w:tc>
        <w:tc>
          <w:tcPr>
            <w:tcW w:w="1080" w:type="dxa"/>
            <w:vAlign w:val="bottom"/>
            <w:gridSpan w:val="2"/>
          </w:tcPr>
          <w:p>
            <w:pPr>
              <w:jc w:val="right"/>
              <w:spacing w:after="0"/>
              <w:rPr>
                <w:sz w:val="20"/>
                <w:szCs w:val="20"/>
                <w:color w:val="auto"/>
              </w:rPr>
            </w:pPr>
            <w:r>
              <w:rPr>
                <w:rFonts w:ascii="Arial" w:cs="Arial" w:eastAsia="Arial" w:hAnsi="Arial"/>
                <w:sz w:val="18"/>
                <w:szCs w:val="18"/>
                <w:b w:val="1"/>
                <w:bCs w:val="1"/>
                <w:color w:val="auto"/>
              </w:rPr>
              <w:t>1,098,000</w:t>
            </w:r>
          </w:p>
        </w:tc>
        <w:tc>
          <w:tcPr>
            <w:tcW w:w="1180" w:type="dxa"/>
            <w:vAlign w:val="bottom"/>
            <w:gridSpan w:val="2"/>
          </w:tcPr>
          <w:p>
            <w:pPr>
              <w:jc w:val="right"/>
              <w:spacing w:after="0"/>
              <w:rPr>
                <w:sz w:val="20"/>
                <w:szCs w:val="20"/>
                <w:color w:val="auto"/>
              </w:rPr>
            </w:pPr>
            <w:r>
              <w:rPr>
                <w:rFonts w:ascii="Arial" w:cs="Arial" w:eastAsia="Arial" w:hAnsi="Arial"/>
                <w:sz w:val="18"/>
                <w:szCs w:val="18"/>
                <w:b w:val="1"/>
                <w:bCs w:val="1"/>
                <w:color w:val="auto"/>
              </w:rPr>
              <w:t>12,605,000</w:t>
            </w:r>
          </w:p>
        </w:tc>
        <w:tc>
          <w:tcPr>
            <w:tcW w:w="680" w:type="dxa"/>
            <w:vAlign w:val="bottom"/>
            <w:gridSpan w:val="2"/>
          </w:tcPr>
          <w:p>
            <w:pPr>
              <w:jc w:val="right"/>
              <w:spacing w:after="0"/>
              <w:rPr>
                <w:sz w:val="20"/>
                <w:szCs w:val="20"/>
                <w:color w:val="auto"/>
              </w:rPr>
            </w:pPr>
            <w:r>
              <w:rPr>
                <w:rFonts w:ascii="Arial" w:cs="Arial" w:eastAsia="Arial" w:hAnsi="Arial"/>
                <w:sz w:val="18"/>
                <w:szCs w:val="18"/>
                <w:b w:val="1"/>
                <w:bCs w:val="1"/>
                <w:color w:val="auto"/>
              </w:rPr>
              <w:t>2.71</w:t>
            </w:r>
          </w:p>
        </w:tc>
        <w:tc>
          <w:tcPr>
            <w:tcW w:w="1080" w:type="dxa"/>
            <w:vAlign w:val="bottom"/>
            <w:gridSpan w:val="2"/>
          </w:tcPr>
          <w:p>
            <w:pPr>
              <w:jc w:val="right"/>
              <w:spacing w:after="0"/>
              <w:rPr>
                <w:sz w:val="20"/>
                <w:szCs w:val="20"/>
                <w:color w:val="auto"/>
              </w:rPr>
            </w:pPr>
            <w:r>
              <w:rPr>
                <w:rFonts w:ascii="Arial" w:cs="Arial" w:eastAsia="Arial" w:hAnsi="Arial"/>
                <w:sz w:val="18"/>
                <w:szCs w:val="18"/>
                <w:b w:val="1"/>
                <w:bCs w:val="1"/>
                <w:color w:val="auto"/>
              </w:rPr>
              <w:t>1,098,000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3240" w:type="dxa"/>
            <w:vAlign w:val="bottom"/>
            <w:gridSpan w:val="2"/>
            <w:shd w:val="clear" w:color="auto" w:fill="CCEEFF"/>
          </w:tcPr>
          <w:p>
            <w:pPr>
              <w:spacing w:after="0"/>
              <w:rPr>
                <w:sz w:val="20"/>
                <w:szCs w:val="20"/>
                <w:color w:val="auto"/>
              </w:rPr>
            </w:pPr>
            <w:r>
              <w:rPr>
                <w:rFonts w:ascii="Arial" w:cs="Arial" w:eastAsia="Arial" w:hAnsi="Arial"/>
                <w:sz w:val="18"/>
                <w:szCs w:val="18"/>
                <w:i w:val="1"/>
                <w:iCs w:val="1"/>
                <w:color w:val="auto"/>
              </w:rPr>
              <w:t>Probable Reserves</w:t>
            </w:r>
          </w:p>
        </w:tc>
        <w:tc>
          <w:tcPr>
            <w:tcW w:w="102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50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92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02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52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92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40" w:type="dxa"/>
            <w:vAlign w:val="bottom"/>
            <w:gridSpan w:val="2"/>
          </w:tcPr>
          <w:p>
            <w:pPr>
              <w:spacing w:after="0"/>
              <w:rPr>
                <w:sz w:val="20"/>
                <w:szCs w:val="20"/>
                <w:color w:val="auto"/>
              </w:rPr>
            </w:pPr>
            <w:r>
              <w:rPr>
                <w:rFonts w:ascii="Arial" w:cs="Arial" w:eastAsia="Arial" w:hAnsi="Arial"/>
                <w:sz w:val="18"/>
                <w:szCs w:val="18"/>
                <w:color w:val="auto"/>
              </w:rPr>
              <w:t>LaRonde (underground)</w:t>
            </w:r>
          </w:p>
        </w:tc>
        <w:tc>
          <w:tcPr>
            <w:tcW w:w="1020" w:type="dxa"/>
            <w:vAlign w:val="bottom"/>
          </w:tcPr>
          <w:p>
            <w:pPr>
              <w:jc w:val="right"/>
              <w:spacing w:after="0"/>
              <w:rPr>
                <w:sz w:val="20"/>
                <w:szCs w:val="20"/>
                <w:color w:val="auto"/>
              </w:rPr>
            </w:pPr>
            <w:r>
              <w:rPr>
                <w:rFonts w:ascii="Arial" w:cs="Arial" w:eastAsia="Arial" w:hAnsi="Arial"/>
                <w:sz w:val="18"/>
                <w:szCs w:val="18"/>
                <w:color w:val="auto"/>
              </w:rPr>
              <w:t>29,625,000</w:t>
            </w:r>
          </w:p>
        </w:tc>
        <w:tc>
          <w:tcPr>
            <w:tcW w:w="660" w:type="dxa"/>
            <w:vAlign w:val="bottom"/>
            <w:gridSpan w:val="2"/>
          </w:tcPr>
          <w:p>
            <w:pPr>
              <w:jc w:val="right"/>
              <w:spacing w:after="0"/>
              <w:rPr>
                <w:sz w:val="20"/>
                <w:szCs w:val="20"/>
                <w:color w:val="auto"/>
              </w:rPr>
            </w:pPr>
            <w:r>
              <w:rPr>
                <w:rFonts w:ascii="Arial" w:cs="Arial" w:eastAsia="Arial" w:hAnsi="Arial"/>
                <w:sz w:val="18"/>
                <w:szCs w:val="18"/>
                <w:color w:val="auto"/>
              </w:rPr>
              <w:t>4.72</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4,492,000</w:t>
            </w:r>
          </w:p>
        </w:tc>
        <w:tc>
          <w:tcPr>
            <w:tcW w:w="1180" w:type="dxa"/>
            <w:vAlign w:val="bottom"/>
            <w:gridSpan w:val="2"/>
          </w:tcPr>
          <w:p>
            <w:pPr>
              <w:jc w:val="right"/>
              <w:spacing w:after="0"/>
              <w:rPr>
                <w:sz w:val="20"/>
                <w:szCs w:val="20"/>
                <w:color w:val="auto"/>
              </w:rPr>
            </w:pPr>
            <w:r>
              <w:rPr>
                <w:rFonts w:ascii="Arial" w:cs="Arial" w:eastAsia="Arial" w:hAnsi="Arial"/>
                <w:sz w:val="18"/>
                <w:szCs w:val="18"/>
                <w:color w:val="auto"/>
              </w:rPr>
              <w:t>29,625,000</w:t>
            </w:r>
          </w:p>
        </w:tc>
        <w:tc>
          <w:tcPr>
            <w:tcW w:w="680" w:type="dxa"/>
            <w:vAlign w:val="bottom"/>
            <w:gridSpan w:val="2"/>
          </w:tcPr>
          <w:p>
            <w:pPr>
              <w:jc w:val="right"/>
              <w:spacing w:after="0"/>
              <w:rPr>
                <w:sz w:val="20"/>
                <w:szCs w:val="20"/>
                <w:color w:val="auto"/>
              </w:rPr>
            </w:pPr>
            <w:r>
              <w:rPr>
                <w:rFonts w:ascii="Arial" w:cs="Arial" w:eastAsia="Arial" w:hAnsi="Arial"/>
                <w:sz w:val="18"/>
                <w:szCs w:val="18"/>
                <w:color w:val="auto"/>
              </w:rPr>
              <w:t>4.72</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4,492,000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Goldex (underground)</w:t>
            </w: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19,524,000</w:t>
            </w: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2.06</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1,291,000</w:t>
            </w:r>
          </w:p>
        </w:tc>
        <w:tc>
          <w:tcPr>
            <w:tcW w:w="1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19,524,000</w:t>
            </w: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2.06</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1,291,000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40" w:type="dxa"/>
            <w:vAlign w:val="bottom"/>
            <w:gridSpan w:val="2"/>
          </w:tcPr>
          <w:p>
            <w:pPr>
              <w:ind w:left="120"/>
              <w:spacing w:after="0"/>
              <w:rPr>
                <w:sz w:val="20"/>
                <w:szCs w:val="20"/>
                <w:color w:val="auto"/>
              </w:rPr>
            </w:pPr>
            <w:r>
              <w:rPr>
                <w:rFonts w:ascii="Arial" w:cs="Arial" w:eastAsia="Arial" w:hAnsi="Arial"/>
                <w:sz w:val="18"/>
                <w:szCs w:val="18"/>
                <w:color w:val="auto"/>
              </w:rPr>
              <w:t>Kittila (open pit)</w:t>
            </w:r>
          </w:p>
        </w:tc>
        <w:tc>
          <w:tcPr>
            <w:tcW w:w="1020" w:type="dxa"/>
            <w:vAlign w:val="bottom"/>
          </w:tcPr>
          <w:p>
            <w:pPr>
              <w:jc w:val="right"/>
              <w:spacing w:after="0"/>
              <w:rPr>
                <w:sz w:val="20"/>
                <w:szCs w:val="20"/>
                <w:color w:val="auto"/>
              </w:rPr>
            </w:pPr>
            <w:r>
              <w:rPr>
                <w:rFonts w:ascii="Arial" w:cs="Arial" w:eastAsia="Arial" w:hAnsi="Arial"/>
                <w:sz w:val="18"/>
                <w:szCs w:val="18"/>
                <w:color w:val="auto"/>
              </w:rPr>
              <w:t>3,053,000</w:t>
            </w:r>
          </w:p>
        </w:tc>
        <w:tc>
          <w:tcPr>
            <w:tcW w:w="660" w:type="dxa"/>
            <w:vAlign w:val="bottom"/>
            <w:gridSpan w:val="2"/>
          </w:tcPr>
          <w:p>
            <w:pPr>
              <w:jc w:val="right"/>
              <w:spacing w:after="0"/>
              <w:rPr>
                <w:sz w:val="20"/>
                <w:szCs w:val="20"/>
                <w:color w:val="auto"/>
              </w:rPr>
            </w:pPr>
            <w:r>
              <w:rPr>
                <w:rFonts w:ascii="Arial" w:cs="Arial" w:eastAsia="Arial" w:hAnsi="Arial"/>
                <w:sz w:val="18"/>
                <w:szCs w:val="18"/>
                <w:color w:val="auto"/>
              </w:rPr>
              <w:t>5.05</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496,000</w:t>
            </w:r>
          </w:p>
        </w:tc>
        <w:tc>
          <w:tcPr>
            <w:tcW w:w="1180" w:type="dxa"/>
            <w:vAlign w:val="bottom"/>
            <w:gridSpan w:val="2"/>
          </w:tcPr>
          <w:p>
            <w:pPr>
              <w:jc w:val="right"/>
              <w:spacing w:after="0"/>
              <w:rPr>
                <w:sz w:val="20"/>
                <w:szCs w:val="20"/>
                <w:color w:val="auto"/>
              </w:rPr>
            </w:pPr>
            <w:r>
              <w:rPr>
                <w:rFonts w:ascii="Arial" w:cs="Arial" w:eastAsia="Arial" w:hAnsi="Arial"/>
                <w:sz w:val="18"/>
                <w:szCs w:val="18"/>
                <w:color w:val="auto"/>
              </w:rPr>
              <w:t>3,053,000</w:t>
            </w:r>
          </w:p>
        </w:tc>
        <w:tc>
          <w:tcPr>
            <w:tcW w:w="680" w:type="dxa"/>
            <w:vAlign w:val="bottom"/>
            <w:gridSpan w:val="2"/>
          </w:tcPr>
          <w:p>
            <w:pPr>
              <w:jc w:val="right"/>
              <w:spacing w:after="0"/>
              <w:rPr>
                <w:sz w:val="20"/>
                <w:szCs w:val="20"/>
                <w:color w:val="auto"/>
              </w:rPr>
            </w:pPr>
            <w:r>
              <w:rPr>
                <w:rFonts w:ascii="Arial" w:cs="Arial" w:eastAsia="Arial" w:hAnsi="Arial"/>
                <w:sz w:val="18"/>
                <w:szCs w:val="18"/>
                <w:color w:val="auto"/>
              </w:rPr>
              <w:t>5.05</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496,000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4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Kittila (underground)</w:t>
            </w: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22,651,000</w:t>
            </w: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4.80</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3,499,000</w:t>
            </w:r>
          </w:p>
        </w:tc>
        <w:tc>
          <w:tcPr>
            <w:tcW w:w="1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22,651,000</w:t>
            </w: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4.80</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3,499,000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40" w:type="dxa"/>
            <w:vAlign w:val="bottom"/>
            <w:gridSpan w:val="2"/>
          </w:tcPr>
          <w:p>
            <w:pPr>
              <w:spacing w:after="0"/>
              <w:rPr>
                <w:sz w:val="20"/>
                <w:szCs w:val="20"/>
                <w:color w:val="auto"/>
              </w:rPr>
            </w:pPr>
            <w:r>
              <w:rPr>
                <w:rFonts w:ascii="Arial" w:cs="Arial" w:eastAsia="Arial" w:hAnsi="Arial"/>
                <w:sz w:val="18"/>
                <w:szCs w:val="18"/>
                <w:color w:val="auto"/>
              </w:rPr>
              <w:t>Kittila total probable</w:t>
            </w:r>
          </w:p>
        </w:tc>
        <w:tc>
          <w:tcPr>
            <w:tcW w:w="1020" w:type="dxa"/>
            <w:vAlign w:val="bottom"/>
          </w:tcPr>
          <w:p>
            <w:pPr>
              <w:jc w:val="right"/>
              <w:spacing w:after="0"/>
              <w:rPr>
                <w:sz w:val="20"/>
                <w:szCs w:val="20"/>
                <w:color w:val="auto"/>
              </w:rPr>
            </w:pPr>
            <w:r>
              <w:rPr>
                <w:rFonts w:ascii="Arial" w:cs="Arial" w:eastAsia="Arial" w:hAnsi="Arial"/>
                <w:sz w:val="18"/>
                <w:szCs w:val="18"/>
                <w:color w:val="auto"/>
              </w:rPr>
              <w:t>25,704,000</w:t>
            </w:r>
          </w:p>
        </w:tc>
        <w:tc>
          <w:tcPr>
            <w:tcW w:w="660" w:type="dxa"/>
            <w:vAlign w:val="bottom"/>
            <w:gridSpan w:val="2"/>
          </w:tcPr>
          <w:p>
            <w:pPr>
              <w:jc w:val="right"/>
              <w:spacing w:after="0"/>
              <w:rPr>
                <w:sz w:val="20"/>
                <w:szCs w:val="20"/>
                <w:color w:val="auto"/>
              </w:rPr>
            </w:pPr>
            <w:r>
              <w:rPr>
                <w:rFonts w:ascii="Arial" w:cs="Arial" w:eastAsia="Arial" w:hAnsi="Arial"/>
                <w:sz w:val="18"/>
                <w:szCs w:val="18"/>
                <w:color w:val="auto"/>
              </w:rPr>
              <w:t>4.83</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3,995,000</w:t>
            </w:r>
          </w:p>
        </w:tc>
        <w:tc>
          <w:tcPr>
            <w:tcW w:w="1180" w:type="dxa"/>
            <w:vAlign w:val="bottom"/>
            <w:gridSpan w:val="2"/>
          </w:tcPr>
          <w:p>
            <w:pPr>
              <w:jc w:val="right"/>
              <w:spacing w:after="0"/>
              <w:rPr>
                <w:sz w:val="20"/>
                <w:szCs w:val="20"/>
                <w:color w:val="auto"/>
              </w:rPr>
            </w:pPr>
            <w:r>
              <w:rPr>
                <w:rFonts w:ascii="Arial" w:cs="Arial" w:eastAsia="Arial" w:hAnsi="Arial"/>
                <w:sz w:val="18"/>
                <w:szCs w:val="18"/>
                <w:color w:val="auto"/>
              </w:rPr>
              <w:t>25,704,000</w:t>
            </w:r>
          </w:p>
        </w:tc>
        <w:tc>
          <w:tcPr>
            <w:tcW w:w="680" w:type="dxa"/>
            <w:vAlign w:val="bottom"/>
            <w:gridSpan w:val="2"/>
          </w:tcPr>
          <w:p>
            <w:pPr>
              <w:jc w:val="right"/>
              <w:spacing w:after="0"/>
              <w:rPr>
                <w:sz w:val="20"/>
                <w:szCs w:val="20"/>
                <w:color w:val="auto"/>
              </w:rPr>
            </w:pPr>
            <w:r>
              <w:rPr>
                <w:rFonts w:ascii="Arial" w:cs="Arial" w:eastAsia="Arial" w:hAnsi="Arial"/>
                <w:sz w:val="18"/>
                <w:szCs w:val="18"/>
                <w:color w:val="auto"/>
              </w:rPr>
              <w:t>4.83</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3,994,000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Lapa (underground)</w:t>
            </w: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2,319,000</w:t>
            </w: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8.09</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603,000</w:t>
            </w:r>
          </w:p>
        </w:tc>
        <w:tc>
          <w:tcPr>
            <w:tcW w:w="1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2,319,000</w:t>
            </w: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8.09</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603,000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40" w:type="dxa"/>
            <w:vAlign w:val="bottom"/>
            <w:gridSpan w:val="2"/>
          </w:tcPr>
          <w:p>
            <w:pPr>
              <w:ind w:left="120"/>
              <w:spacing w:after="0"/>
              <w:rPr>
                <w:sz w:val="20"/>
                <w:szCs w:val="20"/>
                <w:color w:val="auto"/>
              </w:rPr>
            </w:pPr>
            <w:r>
              <w:rPr>
                <w:rFonts w:ascii="Arial" w:cs="Arial" w:eastAsia="Arial" w:hAnsi="Arial"/>
                <w:sz w:val="18"/>
                <w:szCs w:val="18"/>
                <w:color w:val="auto"/>
              </w:rPr>
              <w:t>Pinos Altos (open pit)</w:t>
            </w:r>
          </w:p>
        </w:tc>
        <w:tc>
          <w:tcPr>
            <w:tcW w:w="1020" w:type="dxa"/>
            <w:vAlign w:val="bottom"/>
          </w:tcPr>
          <w:p>
            <w:pPr>
              <w:jc w:val="right"/>
              <w:spacing w:after="0"/>
              <w:rPr>
                <w:sz w:val="20"/>
                <w:szCs w:val="20"/>
                <w:color w:val="auto"/>
              </w:rPr>
            </w:pPr>
            <w:r>
              <w:rPr>
                <w:rFonts w:ascii="Arial" w:cs="Arial" w:eastAsia="Arial" w:hAnsi="Arial"/>
                <w:sz w:val="18"/>
                <w:szCs w:val="18"/>
                <w:color w:val="auto"/>
              </w:rPr>
              <w:t>18,101,000</w:t>
            </w:r>
          </w:p>
        </w:tc>
        <w:tc>
          <w:tcPr>
            <w:tcW w:w="660" w:type="dxa"/>
            <w:vAlign w:val="bottom"/>
            <w:gridSpan w:val="2"/>
          </w:tcPr>
          <w:p>
            <w:pPr>
              <w:jc w:val="right"/>
              <w:spacing w:after="0"/>
              <w:rPr>
                <w:sz w:val="20"/>
                <w:szCs w:val="20"/>
                <w:color w:val="auto"/>
              </w:rPr>
            </w:pPr>
            <w:r>
              <w:rPr>
                <w:rFonts w:ascii="Arial" w:cs="Arial" w:eastAsia="Arial" w:hAnsi="Arial"/>
                <w:sz w:val="18"/>
                <w:szCs w:val="18"/>
                <w:color w:val="auto"/>
              </w:rPr>
              <w:t>2.05</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1,195,000</w:t>
            </w:r>
          </w:p>
        </w:tc>
        <w:tc>
          <w:tcPr>
            <w:tcW w:w="1180" w:type="dxa"/>
            <w:vAlign w:val="bottom"/>
            <w:gridSpan w:val="2"/>
          </w:tcPr>
          <w:p>
            <w:pPr>
              <w:jc w:val="right"/>
              <w:spacing w:after="0"/>
              <w:rPr>
                <w:sz w:val="20"/>
                <w:szCs w:val="20"/>
                <w:color w:val="auto"/>
              </w:rPr>
            </w:pPr>
            <w:r>
              <w:rPr>
                <w:rFonts w:ascii="Arial" w:cs="Arial" w:eastAsia="Arial" w:hAnsi="Arial"/>
                <w:sz w:val="18"/>
                <w:szCs w:val="18"/>
                <w:color w:val="auto"/>
              </w:rPr>
              <w:t>18,101,000</w:t>
            </w:r>
          </w:p>
        </w:tc>
        <w:tc>
          <w:tcPr>
            <w:tcW w:w="680" w:type="dxa"/>
            <w:vAlign w:val="bottom"/>
            <w:gridSpan w:val="2"/>
          </w:tcPr>
          <w:p>
            <w:pPr>
              <w:jc w:val="right"/>
              <w:spacing w:after="0"/>
              <w:rPr>
                <w:sz w:val="20"/>
                <w:szCs w:val="20"/>
                <w:color w:val="auto"/>
              </w:rPr>
            </w:pPr>
            <w:r>
              <w:rPr>
                <w:rFonts w:ascii="Arial" w:cs="Arial" w:eastAsia="Arial" w:hAnsi="Arial"/>
                <w:sz w:val="18"/>
                <w:szCs w:val="18"/>
                <w:color w:val="auto"/>
              </w:rPr>
              <w:t>2.05</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1,195,000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4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Pinos Altos (underground)</w:t>
            </w: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22,979,000</w:t>
            </w: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2.92</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2,158,000</w:t>
            </w:r>
          </w:p>
        </w:tc>
        <w:tc>
          <w:tcPr>
            <w:tcW w:w="1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22,979,000</w:t>
            </w: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2.92</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2,158,000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40" w:type="dxa"/>
            <w:vAlign w:val="bottom"/>
            <w:gridSpan w:val="2"/>
          </w:tcPr>
          <w:p>
            <w:pPr>
              <w:spacing w:after="0"/>
              <w:rPr>
                <w:sz w:val="20"/>
                <w:szCs w:val="20"/>
                <w:color w:val="auto"/>
              </w:rPr>
            </w:pPr>
            <w:r>
              <w:rPr>
                <w:rFonts w:ascii="Arial" w:cs="Arial" w:eastAsia="Arial" w:hAnsi="Arial"/>
                <w:sz w:val="18"/>
                <w:szCs w:val="18"/>
                <w:color w:val="auto"/>
              </w:rPr>
              <w:t>Pinos Altos total probable</w:t>
            </w:r>
          </w:p>
        </w:tc>
        <w:tc>
          <w:tcPr>
            <w:tcW w:w="1020" w:type="dxa"/>
            <w:vAlign w:val="bottom"/>
          </w:tcPr>
          <w:p>
            <w:pPr>
              <w:jc w:val="right"/>
              <w:spacing w:after="0"/>
              <w:rPr>
                <w:sz w:val="20"/>
                <w:szCs w:val="20"/>
                <w:color w:val="auto"/>
              </w:rPr>
            </w:pPr>
            <w:r>
              <w:rPr>
                <w:rFonts w:ascii="Arial" w:cs="Arial" w:eastAsia="Arial" w:hAnsi="Arial"/>
                <w:sz w:val="18"/>
                <w:szCs w:val="18"/>
                <w:color w:val="auto"/>
              </w:rPr>
              <w:t>41,080,000</w:t>
            </w:r>
          </w:p>
        </w:tc>
        <w:tc>
          <w:tcPr>
            <w:tcW w:w="660" w:type="dxa"/>
            <w:vAlign w:val="bottom"/>
            <w:gridSpan w:val="2"/>
          </w:tcPr>
          <w:p>
            <w:pPr>
              <w:jc w:val="right"/>
              <w:spacing w:after="0"/>
              <w:rPr>
                <w:sz w:val="20"/>
                <w:szCs w:val="20"/>
                <w:color w:val="auto"/>
              </w:rPr>
            </w:pPr>
            <w:r>
              <w:rPr>
                <w:rFonts w:ascii="Arial" w:cs="Arial" w:eastAsia="Arial" w:hAnsi="Arial"/>
                <w:sz w:val="18"/>
                <w:szCs w:val="18"/>
                <w:color w:val="auto"/>
              </w:rPr>
              <w:t>2.54</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3,353,000</w:t>
            </w:r>
          </w:p>
        </w:tc>
        <w:tc>
          <w:tcPr>
            <w:tcW w:w="1180" w:type="dxa"/>
            <w:vAlign w:val="bottom"/>
            <w:gridSpan w:val="2"/>
          </w:tcPr>
          <w:p>
            <w:pPr>
              <w:jc w:val="right"/>
              <w:spacing w:after="0"/>
              <w:rPr>
                <w:sz w:val="20"/>
                <w:szCs w:val="20"/>
                <w:color w:val="auto"/>
              </w:rPr>
            </w:pPr>
            <w:r>
              <w:rPr>
                <w:rFonts w:ascii="Arial" w:cs="Arial" w:eastAsia="Arial" w:hAnsi="Arial"/>
                <w:sz w:val="18"/>
                <w:szCs w:val="18"/>
                <w:color w:val="auto"/>
              </w:rPr>
              <w:t>41,080,000</w:t>
            </w:r>
          </w:p>
        </w:tc>
        <w:tc>
          <w:tcPr>
            <w:tcW w:w="680" w:type="dxa"/>
            <w:vAlign w:val="bottom"/>
            <w:gridSpan w:val="2"/>
          </w:tcPr>
          <w:p>
            <w:pPr>
              <w:jc w:val="right"/>
              <w:spacing w:after="0"/>
              <w:rPr>
                <w:sz w:val="20"/>
                <w:szCs w:val="20"/>
                <w:color w:val="auto"/>
              </w:rPr>
            </w:pPr>
            <w:r>
              <w:rPr>
                <w:rFonts w:ascii="Arial" w:cs="Arial" w:eastAsia="Arial" w:hAnsi="Arial"/>
                <w:sz w:val="18"/>
                <w:szCs w:val="18"/>
                <w:color w:val="auto"/>
              </w:rPr>
              <w:t>2.54</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3,353,000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Meadowbank (open pit)</w:t>
            </w: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31,600,000</w:t>
            </w: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3.51</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3,567,000</w:t>
            </w:r>
          </w:p>
        </w:tc>
        <w:tc>
          <w:tcPr>
            <w:tcW w:w="1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31,600,000</w:t>
            </w: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3.51</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3,567,000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40" w:type="dxa"/>
            <w:vAlign w:val="bottom"/>
            <w:gridSpan w:val="2"/>
          </w:tcPr>
          <w:p>
            <w:pPr>
              <w:spacing w:after="0"/>
              <w:rPr>
                <w:sz w:val="20"/>
                <w:szCs w:val="20"/>
                <w:color w:val="auto"/>
              </w:rPr>
            </w:pPr>
            <w:r>
              <w:rPr>
                <w:rFonts w:ascii="Arial" w:cs="Arial" w:eastAsia="Arial" w:hAnsi="Arial"/>
                <w:sz w:val="18"/>
                <w:szCs w:val="18"/>
                <w:b w:val="1"/>
                <w:bCs w:val="1"/>
                <w:color w:val="auto"/>
              </w:rPr>
              <w:t>Total Probable Reserves</w:t>
            </w:r>
          </w:p>
        </w:tc>
        <w:tc>
          <w:tcPr>
            <w:tcW w:w="1020" w:type="dxa"/>
            <w:vAlign w:val="bottom"/>
          </w:tcPr>
          <w:p>
            <w:pPr>
              <w:jc w:val="right"/>
              <w:spacing w:after="0"/>
              <w:rPr>
                <w:sz w:val="20"/>
                <w:szCs w:val="20"/>
                <w:color w:val="auto"/>
              </w:rPr>
            </w:pPr>
            <w:r>
              <w:rPr>
                <w:rFonts w:ascii="Arial" w:cs="Arial" w:eastAsia="Arial" w:hAnsi="Arial"/>
                <w:sz w:val="18"/>
                <w:szCs w:val="18"/>
                <w:b w:val="1"/>
                <w:bCs w:val="1"/>
                <w:color w:val="auto"/>
                <w:w w:val="97"/>
              </w:rPr>
              <w:t>149,852,000</w:t>
            </w:r>
          </w:p>
        </w:tc>
        <w:tc>
          <w:tcPr>
            <w:tcW w:w="660" w:type="dxa"/>
            <w:vAlign w:val="bottom"/>
            <w:gridSpan w:val="2"/>
          </w:tcPr>
          <w:p>
            <w:pPr>
              <w:jc w:val="right"/>
              <w:spacing w:after="0"/>
              <w:rPr>
                <w:sz w:val="20"/>
                <w:szCs w:val="20"/>
                <w:color w:val="auto"/>
              </w:rPr>
            </w:pPr>
            <w:r>
              <w:rPr>
                <w:rFonts w:ascii="Arial" w:cs="Arial" w:eastAsia="Arial" w:hAnsi="Arial"/>
                <w:sz w:val="18"/>
                <w:szCs w:val="18"/>
                <w:b w:val="1"/>
                <w:bCs w:val="1"/>
                <w:color w:val="auto"/>
              </w:rPr>
              <w:t>3.59</w:t>
            </w:r>
          </w:p>
        </w:tc>
        <w:tc>
          <w:tcPr>
            <w:tcW w:w="1080" w:type="dxa"/>
            <w:vAlign w:val="bottom"/>
            <w:gridSpan w:val="2"/>
          </w:tcPr>
          <w:p>
            <w:pPr>
              <w:jc w:val="right"/>
              <w:spacing w:after="0"/>
              <w:rPr>
                <w:sz w:val="20"/>
                <w:szCs w:val="20"/>
                <w:color w:val="auto"/>
              </w:rPr>
            </w:pPr>
            <w:r>
              <w:rPr>
                <w:rFonts w:ascii="Arial" w:cs="Arial" w:eastAsia="Arial" w:hAnsi="Arial"/>
                <w:sz w:val="18"/>
                <w:szCs w:val="18"/>
                <w:b w:val="1"/>
                <w:bCs w:val="1"/>
                <w:color w:val="auto"/>
              </w:rPr>
              <w:t>17,300,000</w:t>
            </w:r>
          </w:p>
        </w:tc>
        <w:tc>
          <w:tcPr>
            <w:tcW w:w="1180" w:type="dxa"/>
            <w:vAlign w:val="bottom"/>
            <w:gridSpan w:val="2"/>
          </w:tcPr>
          <w:p>
            <w:pPr>
              <w:jc w:val="right"/>
              <w:spacing w:after="0"/>
              <w:rPr>
                <w:sz w:val="20"/>
                <w:szCs w:val="20"/>
                <w:color w:val="auto"/>
              </w:rPr>
            </w:pPr>
            <w:r>
              <w:rPr>
                <w:rFonts w:ascii="Arial" w:cs="Arial" w:eastAsia="Arial" w:hAnsi="Arial"/>
                <w:sz w:val="18"/>
                <w:szCs w:val="18"/>
                <w:b w:val="1"/>
                <w:bCs w:val="1"/>
                <w:color w:val="auto"/>
              </w:rPr>
              <w:t>149,852,000</w:t>
            </w:r>
          </w:p>
        </w:tc>
        <w:tc>
          <w:tcPr>
            <w:tcW w:w="680" w:type="dxa"/>
            <w:vAlign w:val="bottom"/>
            <w:gridSpan w:val="2"/>
          </w:tcPr>
          <w:p>
            <w:pPr>
              <w:jc w:val="right"/>
              <w:spacing w:after="0"/>
              <w:rPr>
                <w:sz w:val="20"/>
                <w:szCs w:val="20"/>
                <w:color w:val="auto"/>
              </w:rPr>
            </w:pPr>
            <w:r>
              <w:rPr>
                <w:rFonts w:ascii="Arial" w:cs="Arial" w:eastAsia="Arial" w:hAnsi="Arial"/>
                <w:sz w:val="18"/>
                <w:szCs w:val="18"/>
                <w:b w:val="1"/>
                <w:bCs w:val="1"/>
                <w:color w:val="auto"/>
              </w:rPr>
              <w:t>3.59</w:t>
            </w:r>
          </w:p>
        </w:tc>
        <w:tc>
          <w:tcPr>
            <w:tcW w:w="1080" w:type="dxa"/>
            <w:vAlign w:val="bottom"/>
            <w:gridSpan w:val="2"/>
          </w:tcPr>
          <w:p>
            <w:pPr>
              <w:jc w:val="right"/>
              <w:spacing w:after="0"/>
              <w:rPr>
                <w:sz w:val="20"/>
                <w:szCs w:val="20"/>
                <w:color w:val="auto"/>
              </w:rPr>
            </w:pPr>
            <w:r>
              <w:rPr>
                <w:rFonts w:ascii="Arial" w:cs="Arial" w:eastAsia="Arial" w:hAnsi="Arial"/>
                <w:sz w:val="18"/>
                <w:szCs w:val="18"/>
                <w:b w:val="1"/>
                <w:bCs w:val="1"/>
                <w:color w:val="auto"/>
              </w:rPr>
              <w:t>17,300,000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324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 Proven and Probable Reserves</w:t>
            </w: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97"/>
              </w:rPr>
              <w:t>162,458,000</w:t>
            </w: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rPr>
              <w:t>3.52</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rPr>
              <w:t>18,398,000</w:t>
            </w:r>
          </w:p>
        </w:tc>
        <w:tc>
          <w:tcPr>
            <w:tcW w:w="1180" w:type="dxa"/>
            <w:vAlign w:val="bottom"/>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rPr>
              <w:t>162,458,000</w:t>
            </w: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rPr>
              <w:t>3.52</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rPr>
              <w:t>18,398,000</w:t>
            </w: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bl>
    <w:p>
      <w:pPr>
        <w:spacing w:after="0" w:line="208" w:lineRule="exact"/>
        <w:rPr>
          <w:sz w:val="20"/>
          <w:szCs w:val="20"/>
          <w:color w:val="auto"/>
        </w:rPr>
      </w:pPr>
    </w:p>
    <w:p>
      <w:pPr>
        <w:jc w:val="both"/>
        <w:ind w:firstLine="359"/>
        <w:spacing w:after="0" w:line="294" w:lineRule="auto"/>
        <w:rPr>
          <w:sz w:val="20"/>
          <w:szCs w:val="20"/>
          <w:color w:val="auto"/>
        </w:rPr>
      </w:pPr>
      <w:r>
        <w:rPr>
          <w:rFonts w:ascii="Arial" w:cs="Arial" w:eastAsia="Arial" w:hAnsi="Arial"/>
          <w:sz w:val="16"/>
          <w:szCs w:val="16"/>
          <w:color w:val="auto"/>
        </w:rPr>
        <w:t>In the following tables setting out mineral reserve information about the Company's mineral projects, tonnage information is rounded to the nearest thousand tonnes, the total contained gold ounces stated do not include equivalent gold ounces for byproduct metals contained in the mineral reserve and the reported metal grades in the estimates represent in-place grades and do not reflect losses in the recovery process, that is, the metallurgical losses associated with processing the extracted ore. The mineral reserve and mineral resource figures presented in this Form 20-F are estimates, and no assurance can be given that the anticipated tonnages and grades will be achieved or that the indicated level of recovery will be realized.</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03" w:name="page104"/>
    <w:bookmarkEnd w:id="103"/>
    <w:p>
      <w:pPr>
        <w:spacing w:after="0"/>
        <w:rPr>
          <w:sz w:val="20"/>
          <w:szCs w:val="20"/>
          <w:color w:val="auto"/>
        </w:rPr>
      </w:pPr>
      <w:r>
        <w:rPr>
          <w:rFonts w:ascii="Arial" w:cs="Arial" w:eastAsia="Arial" w:hAnsi="Arial"/>
          <w:sz w:val="18"/>
          <w:szCs w:val="18"/>
          <w:b w:val="1"/>
          <w:bCs w:val="1"/>
          <w:i w:val="1"/>
          <w:iCs w:val="1"/>
          <w:u w:val="single" w:color="auto"/>
          <w:color w:val="auto"/>
        </w:rPr>
        <w:t>LaRonde Mineral Reserves and Mineral Resources</w:t>
      </w:r>
    </w:p>
    <w:p>
      <w:pPr>
        <w:spacing w:after="0" w:line="275"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260" w:type="dxa"/>
            <w:vAlign w:val="bottom"/>
          </w:tcPr>
          <w:p>
            <w:pPr>
              <w:spacing w:after="0"/>
              <w:rPr>
                <w:sz w:val="14"/>
                <w:szCs w:val="14"/>
                <w:color w:val="auto"/>
              </w:rPr>
            </w:pPr>
          </w:p>
        </w:tc>
        <w:tc>
          <w:tcPr>
            <w:tcW w:w="4620" w:type="dxa"/>
            <w:vAlign w:val="bottom"/>
          </w:tcPr>
          <w:p>
            <w:pPr>
              <w:spacing w:after="0"/>
              <w:rPr>
                <w:sz w:val="14"/>
                <w:szCs w:val="14"/>
                <w:color w:val="auto"/>
              </w:rPr>
            </w:pPr>
          </w:p>
        </w:tc>
        <w:tc>
          <w:tcPr>
            <w:tcW w:w="920" w:type="dxa"/>
            <w:vAlign w:val="bottom"/>
            <w:tcBorders>
              <w:bottom w:val="single" w:sz="8" w:color="auto"/>
            </w:tcBorders>
          </w:tcPr>
          <w:p>
            <w:pPr>
              <w:spacing w:after="0"/>
              <w:rPr>
                <w:sz w:val="14"/>
                <w:szCs w:val="14"/>
                <w:color w:val="auto"/>
              </w:rPr>
            </w:pPr>
          </w:p>
        </w:tc>
        <w:tc>
          <w:tcPr>
            <w:tcW w:w="1240" w:type="dxa"/>
            <w:vAlign w:val="bottom"/>
            <w:tcBorders>
              <w:bottom w:val="single" w:sz="8" w:color="auto"/>
            </w:tcBorders>
            <w:gridSpan w:val="3"/>
          </w:tcPr>
          <w:p>
            <w:pPr>
              <w:ind w:left="60"/>
              <w:spacing w:after="0"/>
              <w:rPr>
                <w:sz w:val="20"/>
                <w:szCs w:val="20"/>
                <w:color w:val="auto"/>
              </w:rPr>
            </w:pPr>
            <w:r>
              <w:rPr>
                <w:rFonts w:ascii="Arial" w:cs="Arial" w:eastAsia="Arial" w:hAnsi="Arial"/>
                <w:sz w:val="14"/>
                <w:szCs w:val="14"/>
                <w:b w:val="1"/>
                <w:bCs w:val="1"/>
                <w:color w:val="auto"/>
                <w:w w:val="89"/>
              </w:rPr>
              <w:t>As at December 31,</w:t>
            </w:r>
          </w:p>
        </w:tc>
        <w:tc>
          <w:tcPr>
            <w:tcW w:w="92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r>
      <w:tr>
        <w:trPr>
          <w:trHeight w:val="142"/>
        </w:trPr>
        <w:tc>
          <w:tcPr>
            <w:tcW w:w="2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4620" w:type="dxa"/>
            <w:vAlign w:val="bottom"/>
          </w:tcPr>
          <w:p>
            <w:pPr>
              <w:spacing w:after="0"/>
              <w:rPr>
                <w:sz w:val="12"/>
                <w:szCs w:val="12"/>
                <w:color w:val="auto"/>
              </w:rPr>
            </w:pPr>
          </w:p>
        </w:tc>
        <w:tc>
          <w:tcPr>
            <w:tcW w:w="920" w:type="dxa"/>
            <w:vAlign w:val="bottom"/>
          </w:tcPr>
          <w:p>
            <w:pPr>
              <w:jc w:val="right"/>
              <w:ind w:right="234"/>
              <w:spacing w:after="0" w:line="142" w:lineRule="exact"/>
              <w:rPr>
                <w:sz w:val="20"/>
                <w:szCs w:val="20"/>
                <w:color w:val="auto"/>
              </w:rPr>
            </w:pPr>
            <w:r>
              <w:rPr>
                <w:rFonts w:ascii="Arial" w:cs="Arial" w:eastAsia="Arial" w:hAnsi="Arial"/>
                <w:sz w:val="14"/>
                <w:szCs w:val="14"/>
                <w:b w:val="1"/>
                <w:bCs w:val="1"/>
                <w:color w:val="auto"/>
              </w:rPr>
              <w:t>2009</w:t>
            </w:r>
          </w:p>
        </w:tc>
        <w:tc>
          <w:tcPr>
            <w:tcW w:w="1080" w:type="dxa"/>
            <w:vAlign w:val="bottom"/>
            <w:gridSpan w:val="2"/>
          </w:tcPr>
          <w:p>
            <w:pPr>
              <w:jc w:val="right"/>
              <w:ind w:right="320"/>
              <w:spacing w:after="0" w:line="142" w:lineRule="exact"/>
              <w:rPr>
                <w:sz w:val="20"/>
                <w:szCs w:val="20"/>
                <w:color w:val="auto"/>
              </w:rPr>
            </w:pPr>
            <w:r>
              <w:rPr>
                <w:rFonts w:ascii="Arial" w:cs="Arial" w:eastAsia="Arial" w:hAnsi="Arial"/>
                <w:sz w:val="14"/>
                <w:szCs w:val="14"/>
                <w:b w:val="1"/>
                <w:bCs w:val="1"/>
                <w:color w:val="auto"/>
              </w:rPr>
              <w:t>2008</w:t>
            </w:r>
          </w:p>
        </w:tc>
        <w:tc>
          <w:tcPr>
            <w:tcW w:w="160" w:type="dxa"/>
            <w:vAlign w:val="bottom"/>
          </w:tcPr>
          <w:p>
            <w:pPr>
              <w:spacing w:after="0"/>
              <w:rPr>
                <w:sz w:val="12"/>
                <w:szCs w:val="12"/>
                <w:color w:val="auto"/>
              </w:rPr>
            </w:pPr>
          </w:p>
        </w:tc>
        <w:tc>
          <w:tcPr>
            <w:tcW w:w="920" w:type="dxa"/>
            <w:vAlign w:val="bottom"/>
          </w:tcPr>
          <w:p>
            <w:pPr>
              <w:jc w:val="right"/>
              <w:ind w:right="234"/>
              <w:spacing w:after="0" w:line="142" w:lineRule="exact"/>
              <w:rPr>
                <w:sz w:val="20"/>
                <w:szCs w:val="20"/>
                <w:color w:val="auto"/>
              </w:rPr>
            </w:pPr>
            <w:r>
              <w:rPr>
                <w:rFonts w:ascii="Arial" w:cs="Arial" w:eastAsia="Arial" w:hAnsi="Arial"/>
                <w:sz w:val="14"/>
                <w:szCs w:val="14"/>
                <w:b w:val="1"/>
                <w:bCs w:val="1"/>
                <w:color w:val="auto"/>
              </w:rPr>
              <w:t>2007</w:t>
            </w:r>
          </w:p>
        </w:tc>
        <w:tc>
          <w:tcPr>
            <w:tcW w:w="160" w:type="dxa"/>
            <w:vAlign w:val="bottom"/>
          </w:tcPr>
          <w:p>
            <w:pPr>
              <w:spacing w:after="0"/>
              <w:rPr>
                <w:sz w:val="12"/>
                <w:szCs w:val="12"/>
                <w:color w:val="auto"/>
              </w:rPr>
            </w:pPr>
          </w:p>
        </w:tc>
      </w:tr>
      <w:tr>
        <w:trPr>
          <w:trHeight w:val="210"/>
        </w:trPr>
        <w:tc>
          <w:tcPr>
            <w:tcW w:w="20" w:type="dxa"/>
            <w:vAlign w:val="bottom"/>
          </w:tcPr>
          <w:p>
            <w:pPr>
              <w:spacing w:after="0"/>
              <w:rPr>
                <w:sz w:val="18"/>
                <w:szCs w:val="18"/>
                <w:color w:val="auto"/>
              </w:rPr>
            </w:pPr>
          </w:p>
        </w:tc>
        <w:tc>
          <w:tcPr>
            <w:tcW w:w="588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Gold</w:t>
            </w:r>
          </w:p>
        </w:tc>
        <w:tc>
          <w:tcPr>
            <w:tcW w:w="92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2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2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880" w:type="dxa"/>
            <w:vAlign w:val="bottom"/>
            <w:gridSpan w:val="2"/>
          </w:tcPr>
          <w:p>
            <w:pPr>
              <w:ind w:left="120"/>
              <w:spacing w:after="0"/>
              <w:rPr>
                <w:sz w:val="20"/>
                <w:szCs w:val="20"/>
                <w:color w:val="auto"/>
              </w:rPr>
            </w:pPr>
            <w:r>
              <w:rPr>
                <w:rFonts w:ascii="Arial" w:cs="Arial" w:eastAsia="Arial" w:hAnsi="Arial"/>
                <w:sz w:val="18"/>
                <w:szCs w:val="18"/>
                <w:color w:val="auto"/>
              </w:rPr>
              <w:t>Proven mineral reserves — tonnes</w:t>
            </w:r>
          </w:p>
        </w:tc>
        <w:tc>
          <w:tcPr>
            <w:tcW w:w="920" w:type="dxa"/>
            <w:vAlign w:val="bottom"/>
          </w:tcPr>
          <w:p>
            <w:pPr>
              <w:jc w:val="right"/>
              <w:spacing w:after="0"/>
              <w:rPr>
                <w:sz w:val="20"/>
                <w:szCs w:val="20"/>
                <w:color w:val="auto"/>
              </w:rPr>
            </w:pPr>
            <w:r>
              <w:rPr>
                <w:rFonts w:ascii="Arial" w:cs="Arial" w:eastAsia="Arial" w:hAnsi="Arial"/>
                <w:sz w:val="18"/>
                <w:szCs w:val="18"/>
                <w:color w:val="auto"/>
              </w:rPr>
              <w:t>2,700,000</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2,300,000</w:t>
            </w:r>
          </w:p>
        </w:tc>
        <w:tc>
          <w:tcPr>
            <w:tcW w:w="16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2,800,000</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88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Average grade — gold grams per tonne</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3.37</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3.95</w:t>
            </w:r>
          </w:p>
        </w:tc>
        <w:tc>
          <w:tcPr>
            <w:tcW w:w="16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3.98</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880" w:type="dxa"/>
            <w:vAlign w:val="bottom"/>
            <w:gridSpan w:val="2"/>
          </w:tcPr>
          <w:p>
            <w:pPr>
              <w:ind w:left="120"/>
              <w:spacing w:after="0"/>
              <w:rPr>
                <w:sz w:val="20"/>
                <w:szCs w:val="20"/>
                <w:color w:val="auto"/>
              </w:rPr>
            </w:pPr>
            <w:r>
              <w:rPr>
                <w:rFonts w:ascii="Arial" w:cs="Arial" w:eastAsia="Arial" w:hAnsi="Arial"/>
                <w:sz w:val="18"/>
                <w:szCs w:val="18"/>
                <w:color w:val="auto"/>
              </w:rPr>
              <w:t>Probable mineral reserves — tonnes</w:t>
            </w:r>
          </w:p>
        </w:tc>
        <w:tc>
          <w:tcPr>
            <w:tcW w:w="920" w:type="dxa"/>
            <w:vAlign w:val="bottom"/>
          </w:tcPr>
          <w:p>
            <w:pPr>
              <w:jc w:val="right"/>
              <w:spacing w:after="0"/>
              <w:rPr>
                <w:sz w:val="20"/>
                <w:szCs w:val="20"/>
                <w:color w:val="auto"/>
              </w:rPr>
            </w:pPr>
            <w:r>
              <w:rPr>
                <w:rFonts w:ascii="Arial" w:cs="Arial" w:eastAsia="Arial" w:hAnsi="Arial"/>
                <w:sz w:val="18"/>
                <w:szCs w:val="18"/>
                <w:color w:val="auto"/>
                <w:w w:val="99"/>
              </w:rPr>
              <w:t>26,500,000</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26,500,000</w:t>
            </w:r>
          </w:p>
        </w:tc>
        <w:tc>
          <w:tcPr>
            <w:tcW w:w="16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w w:val="99"/>
              </w:rPr>
              <w:t>25,600,000</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88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Average grade — gold grams per tonne</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5.16</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5.23</w:t>
            </w:r>
          </w:p>
        </w:tc>
        <w:tc>
          <w:tcPr>
            <w:tcW w:w="16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5.37</w:t>
            </w:r>
          </w:p>
        </w:tc>
        <w:tc>
          <w:tcPr>
            <w:tcW w:w="160" w:type="dxa"/>
            <w:vAlign w:val="bottom"/>
            <w:shd w:val="clear" w:color="auto" w:fill="CCEEFF"/>
          </w:tcPr>
          <w:p>
            <w:pPr>
              <w:spacing w:after="0"/>
              <w:rPr>
                <w:sz w:val="18"/>
                <w:szCs w:val="18"/>
                <w:color w:val="auto"/>
              </w:rPr>
            </w:pPr>
          </w:p>
        </w:tc>
      </w:tr>
      <w:tr>
        <w:trPr>
          <w:trHeight w:val="431"/>
        </w:trPr>
        <w:tc>
          <w:tcPr>
            <w:tcW w:w="5900" w:type="dxa"/>
            <w:vAlign w:val="bottom"/>
            <w:gridSpan w:val="3"/>
          </w:tcPr>
          <w:p>
            <w:pPr>
              <w:spacing w:after="0"/>
              <w:rPr>
                <w:sz w:val="20"/>
                <w:szCs w:val="20"/>
                <w:color w:val="auto"/>
              </w:rPr>
            </w:pPr>
            <w:r>
              <w:rPr>
                <w:rFonts w:ascii="Arial" w:cs="Arial" w:eastAsia="Arial" w:hAnsi="Arial"/>
                <w:sz w:val="18"/>
                <w:szCs w:val="18"/>
                <w:b w:val="1"/>
                <w:bCs w:val="1"/>
                <w:color w:val="auto"/>
              </w:rPr>
              <w:t>Zinc</w:t>
            </w:r>
          </w:p>
        </w:tc>
        <w:tc>
          <w:tcPr>
            <w:tcW w:w="9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160" w:type="dxa"/>
            <w:vAlign w:val="bottom"/>
          </w:tcPr>
          <w:p>
            <w:pPr>
              <w:spacing w:after="0"/>
              <w:rPr>
                <w:sz w:val="24"/>
                <w:szCs w:val="24"/>
                <w:color w:val="auto"/>
              </w:rPr>
            </w:pPr>
          </w:p>
        </w:tc>
      </w:tr>
      <w:tr>
        <w:trPr>
          <w:trHeight w:val="217"/>
        </w:trPr>
        <w:tc>
          <w:tcPr>
            <w:tcW w:w="20" w:type="dxa"/>
            <w:vAlign w:val="bottom"/>
          </w:tcPr>
          <w:p>
            <w:pPr>
              <w:spacing w:after="0"/>
              <w:rPr>
                <w:sz w:val="18"/>
                <w:szCs w:val="18"/>
                <w:color w:val="auto"/>
              </w:rPr>
            </w:pPr>
          </w:p>
        </w:tc>
        <w:tc>
          <w:tcPr>
            <w:tcW w:w="588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Proven mineral reserves — tonnes</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2,100,000</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1,800,000</w:t>
            </w:r>
          </w:p>
        </w:tc>
        <w:tc>
          <w:tcPr>
            <w:tcW w:w="16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1,900,000</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880" w:type="dxa"/>
            <w:vAlign w:val="bottom"/>
            <w:gridSpan w:val="2"/>
          </w:tcPr>
          <w:p>
            <w:pPr>
              <w:ind w:left="120"/>
              <w:spacing w:after="0"/>
              <w:rPr>
                <w:sz w:val="20"/>
                <w:szCs w:val="20"/>
                <w:color w:val="auto"/>
              </w:rPr>
            </w:pPr>
            <w:r>
              <w:rPr>
                <w:rFonts w:ascii="Arial" w:cs="Arial" w:eastAsia="Arial" w:hAnsi="Arial"/>
                <w:sz w:val="18"/>
                <w:szCs w:val="18"/>
                <w:color w:val="auto"/>
              </w:rPr>
              <w:t>Average grade — gold grams per tonne</w:t>
            </w:r>
          </w:p>
        </w:tc>
        <w:tc>
          <w:tcPr>
            <w:tcW w:w="920" w:type="dxa"/>
            <w:vAlign w:val="bottom"/>
          </w:tcPr>
          <w:p>
            <w:pPr>
              <w:jc w:val="right"/>
              <w:spacing w:after="0"/>
              <w:rPr>
                <w:sz w:val="20"/>
                <w:szCs w:val="20"/>
                <w:color w:val="auto"/>
              </w:rPr>
            </w:pPr>
            <w:r>
              <w:rPr>
                <w:rFonts w:ascii="Arial" w:cs="Arial" w:eastAsia="Arial" w:hAnsi="Arial"/>
                <w:sz w:val="18"/>
                <w:szCs w:val="18"/>
                <w:color w:val="auto"/>
              </w:rPr>
              <w:t>1.03</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1.19</w:t>
            </w:r>
          </w:p>
        </w:tc>
        <w:tc>
          <w:tcPr>
            <w:tcW w:w="16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1.06</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88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Probable — tonnes</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3,100,000</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5,200,000</w:t>
            </w:r>
          </w:p>
        </w:tc>
        <w:tc>
          <w:tcPr>
            <w:tcW w:w="16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4,600,000</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880" w:type="dxa"/>
            <w:vAlign w:val="bottom"/>
            <w:gridSpan w:val="2"/>
          </w:tcPr>
          <w:p>
            <w:pPr>
              <w:ind w:left="120"/>
              <w:spacing w:after="0"/>
              <w:rPr>
                <w:sz w:val="20"/>
                <w:szCs w:val="20"/>
                <w:color w:val="auto"/>
              </w:rPr>
            </w:pPr>
            <w:r>
              <w:rPr>
                <w:rFonts w:ascii="Arial" w:cs="Arial" w:eastAsia="Arial" w:hAnsi="Arial"/>
                <w:sz w:val="18"/>
                <w:szCs w:val="18"/>
                <w:color w:val="auto"/>
              </w:rPr>
              <w:t>Average grade — gold grams per tonne</w:t>
            </w:r>
          </w:p>
        </w:tc>
        <w:tc>
          <w:tcPr>
            <w:tcW w:w="920" w:type="dxa"/>
            <w:vAlign w:val="bottom"/>
          </w:tcPr>
          <w:p>
            <w:pPr>
              <w:jc w:val="right"/>
              <w:spacing w:after="0"/>
              <w:rPr>
                <w:sz w:val="20"/>
                <w:szCs w:val="20"/>
                <w:color w:val="auto"/>
              </w:rPr>
            </w:pPr>
            <w:r>
              <w:rPr>
                <w:rFonts w:ascii="Arial" w:cs="Arial" w:eastAsia="Arial" w:hAnsi="Arial"/>
                <w:sz w:val="18"/>
                <w:szCs w:val="18"/>
                <w:color w:val="auto"/>
              </w:rPr>
              <w:t>0.99</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0.94</w:t>
            </w:r>
          </w:p>
        </w:tc>
        <w:tc>
          <w:tcPr>
            <w:tcW w:w="16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0.80</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88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 proven and probable mineral reserves — tonnes</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99"/>
              </w:rPr>
              <w:t>34,400,000</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rPr>
              <w:t>35,800,000</w:t>
            </w:r>
          </w:p>
        </w:tc>
        <w:tc>
          <w:tcPr>
            <w:tcW w:w="16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99"/>
              </w:rPr>
              <w:t>34,900,000</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880" w:type="dxa"/>
            <w:vAlign w:val="bottom"/>
            <w:gridSpan w:val="2"/>
          </w:tcPr>
          <w:p>
            <w:pPr>
              <w:spacing w:after="0"/>
              <w:rPr>
                <w:sz w:val="20"/>
                <w:szCs w:val="20"/>
                <w:color w:val="auto"/>
              </w:rPr>
            </w:pPr>
            <w:r>
              <w:rPr>
                <w:rFonts w:ascii="Arial" w:cs="Arial" w:eastAsia="Arial" w:hAnsi="Arial"/>
                <w:sz w:val="18"/>
                <w:szCs w:val="18"/>
                <w:b w:val="1"/>
                <w:bCs w:val="1"/>
                <w:color w:val="auto"/>
              </w:rPr>
              <w:t>Average grade — gold grams per tonne</w:t>
            </w:r>
          </w:p>
        </w:tc>
        <w:tc>
          <w:tcPr>
            <w:tcW w:w="920" w:type="dxa"/>
            <w:vAlign w:val="bottom"/>
          </w:tcPr>
          <w:p>
            <w:pPr>
              <w:jc w:val="right"/>
              <w:spacing w:after="0"/>
              <w:rPr>
                <w:sz w:val="20"/>
                <w:szCs w:val="20"/>
                <w:color w:val="auto"/>
              </w:rPr>
            </w:pPr>
            <w:r>
              <w:rPr>
                <w:rFonts w:ascii="Arial" w:cs="Arial" w:eastAsia="Arial" w:hAnsi="Arial"/>
                <w:sz w:val="18"/>
                <w:szCs w:val="18"/>
                <w:b w:val="1"/>
                <w:bCs w:val="1"/>
                <w:color w:val="auto"/>
              </w:rPr>
              <w:t>4.39</w:t>
            </w:r>
          </w:p>
        </w:tc>
        <w:tc>
          <w:tcPr>
            <w:tcW w:w="1080" w:type="dxa"/>
            <w:vAlign w:val="bottom"/>
            <w:gridSpan w:val="2"/>
          </w:tcPr>
          <w:p>
            <w:pPr>
              <w:jc w:val="right"/>
              <w:spacing w:after="0"/>
              <w:rPr>
                <w:sz w:val="20"/>
                <w:szCs w:val="20"/>
                <w:color w:val="auto"/>
              </w:rPr>
            </w:pPr>
            <w:r>
              <w:rPr>
                <w:rFonts w:ascii="Arial" w:cs="Arial" w:eastAsia="Arial" w:hAnsi="Arial"/>
                <w:sz w:val="18"/>
                <w:szCs w:val="18"/>
                <w:b w:val="1"/>
                <w:bCs w:val="1"/>
                <w:color w:val="auto"/>
              </w:rPr>
              <w:t>4.32</w:t>
            </w:r>
          </w:p>
        </w:tc>
        <w:tc>
          <w:tcPr>
            <w:tcW w:w="16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b w:val="1"/>
                <w:bCs w:val="1"/>
                <w:color w:val="auto"/>
              </w:rPr>
              <w:t>4.42</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88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 contained gold ounces</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4,849,000</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rPr>
              <w:t>4,974,000</w:t>
            </w:r>
          </w:p>
        </w:tc>
        <w:tc>
          <w:tcPr>
            <w:tcW w:w="16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4,958,000</w:t>
            </w:r>
          </w:p>
        </w:tc>
        <w:tc>
          <w:tcPr>
            <w:tcW w:w="160" w:type="dxa"/>
            <w:vAlign w:val="bottom"/>
            <w:shd w:val="clear" w:color="auto" w:fill="CCEEFF"/>
          </w:tcPr>
          <w:p>
            <w:pPr>
              <w:spacing w:after="0"/>
              <w:rPr>
                <w:sz w:val="18"/>
                <w:szCs w:val="18"/>
                <w:color w:val="auto"/>
              </w:rPr>
            </w:pPr>
          </w:p>
        </w:tc>
      </w:tr>
      <w:tr>
        <w:trPr>
          <w:trHeight w:val="108"/>
        </w:trPr>
        <w:tc>
          <w:tcPr>
            <w:tcW w:w="20" w:type="dxa"/>
            <w:vAlign w:val="bottom"/>
          </w:tcPr>
          <w:p>
            <w:pPr>
              <w:spacing w:after="0"/>
              <w:rPr>
                <w:sz w:val="9"/>
                <w:szCs w:val="9"/>
                <w:color w:val="auto"/>
              </w:rPr>
            </w:pPr>
          </w:p>
        </w:tc>
        <w:tc>
          <w:tcPr>
            <w:tcW w:w="1260" w:type="dxa"/>
            <w:vAlign w:val="bottom"/>
            <w:tcBorders>
              <w:bottom w:val="single" w:sz="8" w:color="auto"/>
            </w:tcBorders>
          </w:tcPr>
          <w:p>
            <w:pPr>
              <w:spacing w:after="0"/>
              <w:rPr>
                <w:sz w:val="9"/>
                <w:szCs w:val="9"/>
                <w:color w:val="auto"/>
              </w:rPr>
            </w:pPr>
          </w:p>
        </w:tc>
        <w:tc>
          <w:tcPr>
            <w:tcW w:w="4620" w:type="dxa"/>
            <w:vAlign w:val="bottom"/>
          </w:tcPr>
          <w:p>
            <w:pPr>
              <w:spacing w:after="0"/>
              <w:rPr>
                <w:sz w:val="9"/>
                <w:szCs w:val="9"/>
                <w:color w:val="auto"/>
              </w:rPr>
            </w:pPr>
          </w:p>
        </w:tc>
        <w:tc>
          <w:tcPr>
            <w:tcW w:w="920" w:type="dxa"/>
            <w:vAlign w:val="bottom"/>
          </w:tcPr>
          <w:p>
            <w:pPr>
              <w:spacing w:after="0"/>
              <w:rPr>
                <w:sz w:val="9"/>
                <w:szCs w:val="9"/>
                <w:color w:val="auto"/>
              </w:rPr>
            </w:pPr>
          </w:p>
        </w:tc>
        <w:tc>
          <w:tcPr>
            <w:tcW w:w="160" w:type="dxa"/>
            <w:vAlign w:val="bottom"/>
          </w:tcPr>
          <w:p>
            <w:pPr>
              <w:spacing w:after="0"/>
              <w:rPr>
                <w:sz w:val="9"/>
                <w:szCs w:val="9"/>
                <w:color w:val="auto"/>
              </w:rPr>
            </w:pPr>
          </w:p>
        </w:tc>
        <w:tc>
          <w:tcPr>
            <w:tcW w:w="920" w:type="dxa"/>
            <w:vAlign w:val="bottom"/>
          </w:tcPr>
          <w:p>
            <w:pPr>
              <w:spacing w:after="0"/>
              <w:rPr>
                <w:sz w:val="9"/>
                <w:szCs w:val="9"/>
                <w:color w:val="auto"/>
              </w:rPr>
            </w:pPr>
          </w:p>
        </w:tc>
        <w:tc>
          <w:tcPr>
            <w:tcW w:w="160" w:type="dxa"/>
            <w:vAlign w:val="bottom"/>
          </w:tcPr>
          <w:p>
            <w:pPr>
              <w:spacing w:after="0"/>
              <w:rPr>
                <w:sz w:val="9"/>
                <w:szCs w:val="9"/>
                <w:color w:val="auto"/>
              </w:rPr>
            </w:pPr>
          </w:p>
        </w:tc>
        <w:tc>
          <w:tcPr>
            <w:tcW w:w="920" w:type="dxa"/>
            <w:vAlign w:val="bottom"/>
          </w:tcPr>
          <w:p>
            <w:pPr>
              <w:spacing w:after="0"/>
              <w:rPr>
                <w:sz w:val="9"/>
                <w:szCs w:val="9"/>
                <w:color w:val="auto"/>
              </w:rPr>
            </w:pPr>
          </w:p>
        </w:tc>
        <w:tc>
          <w:tcPr>
            <w:tcW w:w="160" w:type="dxa"/>
            <w:vAlign w:val="bottom"/>
          </w:tcPr>
          <w:p>
            <w:pPr>
              <w:spacing w:after="0"/>
              <w:rPr>
                <w:sz w:val="9"/>
                <w:szCs w:val="9"/>
                <w:color w:val="auto"/>
              </w:rPr>
            </w:pPr>
          </w:p>
        </w:tc>
      </w:tr>
    </w:tbl>
    <w:p>
      <w:pPr>
        <w:spacing w:after="0" w:line="205" w:lineRule="exact"/>
        <w:rPr>
          <w:sz w:val="20"/>
          <w:szCs w:val="20"/>
          <w:color w:val="auto"/>
        </w:rPr>
      </w:pPr>
    </w:p>
    <w:p>
      <w:pPr>
        <w:ind w:left="1140"/>
        <w:spacing w:after="0"/>
        <w:rPr>
          <w:sz w:val="20"/>
          <w:szCs w:val="20"/>
          <w:color w:val="auto"/>
        </w:rPr>
      </w:pPr>
      <w:r>
        <w:rPr>
          <w:rFonts w:ascii="Arial" w:cs="Arial" w:eastAsia="Arial" w:hAnsi="Arial"/>
          <w:sz w:val="14"/>
          <w:szCs w:val="14"/>
          <w:color w:val="auto"/>
        </w:rPr>
        <w:t>Notes:</w:t>
      </w:r>
    </w:p>
    <w:p>
      <w:pPr>
        <w:spacing w:after="0" w:line="190" w:lineRule="exact"/>
        <w:rPr>
          <w:sz w:val="20"/>
          <w:szCs w:val="20"/>
          <w:color w:val="auto"/>
        </w:rPr>
      </w:pPr>
    </w:p>
    <w:p>
      <w:pPr>
        <w:jc w:val="both"/>
        <w:ind w:left="1680" w:hanging="531"/>
        <w:spacing w:after="0" w:line="230" w:lineRule="auto"/>
        <w:tabs>
          <w:tab w:leader="none" w:pos="1680" w:val="left"/>
        </w:tabs>
        <w:numPr>
          <w:ilvl w:val="0"/>
          <w:numId w:val="10"/>
        </w:numPr>
        <w:rPr>
          <w:rFonts w:ascii="Arial" w:cs="Arial" w:eastAsia="Arial" w:hAnsi="Arial"/>
          <w:sz w:val="14"/>
          <w:szCs w:val="14"/>
          <w:color w:val="auto"/>
        </w:rPr>
      </w:pPr>
      <w:r>
        <w:rPr>
          <w:rFonts w:ascii="Arial" w:cs="Arial" w:eastAsia="Arial" w:hAnsi="Arial"/>
          <w:sz w:val="14"/>
          <w:szCs w:val="14"/>
          <w:color w:val="auto"/>
        </w:rPr>
        <w:t>The 2009 proven and probable mineral reserves set forth in the table above are based on net smelter return cut-off value of the ore that varies between C$66.00 per tonne and C$77.00 per tonne depending on the deposit. The Company's historical metallurgical recovery rates at the LaRonde Mine from January 1, 2003 to December 31, 2009 averaged 91.0% for gold, 86.2% for silver, 85.1% for zinc and 81.9% for copper. The Company estimates that a 10% change in the gold price would result in an approximate 2% change in mineral reserves.</w:t>
      </w:r>
    </w:p>
    <w:p>
      <w:pPr>
        <w:spacing w:after="0" w:line="112" w:lineRule="exact"/>
        <w:rPr>
          <w:rFonts w:ascii="Arial" w:cs="Arial" w:eastAsia="Arial" w:hAnsi="Arial"/>
          <w:sz w:val="14"/>
          <w:szCs w:val="14"/>
          <w:color w:val="auto"/>
        </w:rPr>
      </w:pPr>
    </w:p>
    <w:p>
      <w:pPr>
        <w:ind w:left="1680" w:hanging="531"/>
        <w:spacing w:after="0" w:line="239" w:lineRule="auto"/>
        <w:tabs>
          <w:tab w:leader="none" w:pos="1680" w:val="left"/>
        </w:tabs>
        <w:numPr>
          <w:ilvl w:val="0"/>
          <w:numId w:val="10"/>
        </w:numPr>
        <w:rPr>
          <w:rFonts w:ascii="Arial" w:cs="Arial" w:eastAsia="Arial" w:hAnsi="Arial"/>
          <w:sz w:val="14"/>
          <w:szCs w:val="14"/>
          <w:color w:val="auto"/>
        </w:rPr>
      </w:pPr>
      <w:r>
        <w:rPr>
          <w:rFonts w:ascii="Arial" w:cs="Arial" w:eastAsia="Arial" w:hAnsi="Arial"/>
          <w:sz w:val="14"/>
          <w:szCs w:val="14"/>
          <w:color w:val="auto"/>
        </w:rPr>
        <w:t>In addition to the mineral reserves set out above, at December 31, 2009, the LaRonde Mine contained indicated mineral resources of 6.5 million tonnes grading 1.85 grams of gold per tonne and inferred mineral resources of 10.9 million tonnes grading 3.93 grams of gold per tonne.</w:t>
      </w:r>
    </w:p>
    <w:p>
      <w:pPr>
        <w:spacing w:after="0" w:line="111" w:lineRule="exact"/>
        <w:rPr>
          <w:rFonts w:ascii="Arial" w:cs="Arial" w:eastAsia="Arial" w:hAnsi="Arial"/>
          <w:sz w:val="14"/>
          <w:szCs w:val="14"/>
          <w:color w:val="auto"/>
        </w:rPr>
      </w:pPr>
    </w:p>
    <w:p>
      <w:pPr>
        <w:jc w:val="both"/>
        <w:ind w:left="1680" w:hanging="531"/>
        <w:spacing w:after="0" w:line="233" w:lineRule="auto"/>
        <w:tabs>
          <w:tab w:leader="none" w:pos="1680" w:val="left"/>
        </w:tabs>
        <w:numPr>
          <w:ilvl w:val="0"/>
          <w:numId w:val="10"/>
        </w:numPr>
        <w:rPr>
          <w:rFonts w:ascii="Arial" w:cs="Arial" w:eastAsia="Arial" w:hAnsi="Arial"/>
          <w:sz w:val="14"/>
          <w:szCs w:val="14"/>
          <w:color w:val="auto"/>
        </w:rPr>
      </w:pPr>
      <w:r>
        <w:rPr>
          <w:rFonts w:ascii="Arial" w:cs="Arial" w:eastAsia="Arial" w:hAnsi="Arial"/>
          <w:sz w:val="14"/>
          <w:szCs w:val="14"/>
          <w:color w:val="auto"/>
        </w:rPr>
        <w:t>The following table shows the reconciliation of mineral reserves (in nearest thousand tonnes) at the LaRonde Mine by category at December 31, 2009 with those at December 31, 2008. Revision means additional mineral reserves converted from mineral resources or other categories of mineral reserves and mineral reserves added from exploration activities during 2009.</w:t>
      </w:r>
    </w:p>
    <w:p>
      <w:pPr>
        <w:spacing w:after="0" w:line="191" w:lineRule="exact"/>
        <w:rPr>
          <w:sz w:val="20"/>
          <w:szCs w:val="20"/>
          <w:color w:val="auto"/>
        </w:rPr>
      </w:pPr>
    </w:p>
    <w:tbl>
      <w:tblPr>
        <w:tblLayout w:type="fixed"/>
        <w:tblInd w:w="2300" w:type="dxa"/>
        <w:tblCellMar>
          <w:top w:w="0" w:type="dxa"/>
          <w:left w:w="0" w:type="dxa"/>
          <w:bottom w:w="0" w:type="dxa"/>
          <w:right w:w="0" w:type="dxa"/>
        </w:tblCellMar>
      </w:tblPr>
      <w:tr>
        <w:trPr>
          <w:trHeight w:val="161"/>
        </w:trPr>
        <w:tc>
          <w:tcPr>
            <w:tcW w:w="4600" w:type="dxa"/>
            <w:vAlign w:val="bottom"/>
          </w:tcPr>
          <w:p>
            <w:pPr>
              <w:spacing w:after="0"/>
              <w:rPr>
                <w:sz w:val="14"/>
                <w:szCs w:val="14"/>
                <w:color w:val="auto"/>
              </w:rPr>
            </w:pPr>
          </w:p>
        </w:tc>
        <w:tc>
          <w:tcPr>
            <w:tcW w:w="560" w:type="dxa"/>
            <w:vAlign w:val="bottom"/>
            <w:tcBorders>
              <w:bottom w:val="single" w:sz="8" w:color="auto"/>
            </w:tcBorders>
          </w:tcPr>
          <w:p>
            <w:pPr>
              <w:ind w:left="80"/>
              <w:spacing w:after="0"/>
              <w:rPr>
                <w:sz w:val="20"/>
                <w:szCs w:val="20"/>
                <w:color w:val="auto"/>
              </w:rPr>
            </w:pPr>
            <w:r>
              <w:rPr>
                <w:rFonts w:ascii="Arial" w:cs="Arial" w:eastAsia="Arial" w:hAnsi="Arial"/>
                <w:sz w:val="14"/>
                <w:szCs w:val="14"/>
                <w:b w:val="1"/>
                <w:bCs w:val="1"/>
                <w:color w:val="auto"/>
                <w:w w:val="96"/>
              </w:rPr>
              <w:t>Proven</w:t>
            </w:r>
          </w:p>
        </w:tc>
        <w:tc>
          <w:tcPr>
            <w:tcW w:w="160" w:type="dxa"/>
            <w:vAlign w:val="bottom"/>
          </w:tcPr>
          <w:p>
            <w:pPr>
              <w:spacing w:after="0"/>
              <w:rPr>
                <w:sz w:val="14"/>
                <w:szCs w:val="14"/>
                <w:color w:val="auto"/>
              </w:rPr>
            </w:pPr>
          </w:p>
        </w:tc>
        <w:tc>
          <w:tcPr>
            <w:tcW w:w="680" w:type="dxa"/>
            <w:vAlign w:val="bottom"/>
            <w:tcBorders>
              <w:bottom w:val="single" w:sz="8" w:color="auto"/>
            </w:tcBorders>
          </w:tcPr>
          <w:p>
            <w:pPr>
              <w:jc w:val="right"/>
              <w:ind w:right="12"/>
              <w:spacing w:after="0"/>
              <w:rPr>
                <w:sz w:val="20"/>
                <w:szCs w:val="20"/>
                <w:color w:val="auto"/>
              </w:rPr>
            </w:pPr>
            <w:r>
              <w:rPr>
                <w:rFonts w:ascii="Arial" w:cs="Arial" w:eastAsia="Arial" w:hAnsi="Arial"/>
                <w:sz w:val="14"/>
                <w:szCs w:val="14"/>
                <w:b w:val="1"/>
                <w:bCs w:val="1"/>
                <w:color w:val="auto"/>
                <w:w w:val="96"/>
              </w:rPr>
              <w:t>Probable</w:t>
            </w:r>
          </w:p>
        </w:tc>
        <w:tc>
          <w:tcPr>
            <w:tcW w:w="160" w:type="dxa"/>
            <w:vAlign w:val="bottom"/>
          </w:tcPr>
          <w:p>
            <w:pPr>
              <w:spacing w:after="0"/>
              <w:rPr>
                <w:sz w:val="14"/>
                <w:szCs w:val="14"/>
                <w:color w:val="auto"/>
              </w:rPr>
            </w:pPr>
          </w:p>
        </w:tc>
        <w:tc>
          <w:tcPr>
            <w:tcW w:w="520" w:type="dxa"/>
            <w:vAlign w:val="bottom"/>
            <w:tcBorders>
              <w:bottom w:val="single" w:sz="8" w:color="auto"/>
            </w:tcBorders>
          </w:tcPr>
          <w:p>
            <w:pPr>
              <w:jc w:val="right"/>
              <w:ind w:right="52"/>
              <w:spacing w:after="0"/>
              <w:rPr>
                <w:sz w:val="20"/>
                <w:szCs w:val="20"/>
                <w:color w:val="auto"/>
              </w:rPr>
            </w:pPr>
            <w:r>
              <w:rPr>
                <w:rFonts w:ascii="Arial" w:cs="Arial" w:eastAsia="Arial" w:hAnsi="Arial"/>
                <w:sz w:val="14"/>
                <w:szCs w:val="14"/>
                <w:b w:val="1"/>
                <w:bCs w:val="1"/>
                <w:color w:val="auto"/>
              </w:rPr>
              <w:t>Total</w:t>
            </w:r>
          </w:p>
        </w:tc>
        <w:tc>
          <w:tcPr>
            <w:tcW w:w="160" w:type="dxa"/>
            <w:vAlign w:val="bottom"/>
          </w:tcPr>
          <w:p>
            <w:pPr>
              <w:spacing w:after="0"/>
              <w:rPr>
                <w:sz w:val="14"/>
                <w:szCs w:val="14"/>
                <w:color w:val="auto"/>
              </w:rPr>
            </w:pPr>
          </w:p>
        </w:tc>
      </w:tr>
      <w:tr>
        <w:trPr>
          <w:trHeight w:val="142"/>
        </w:trPr>
        <w:tc>
          <w:tcPr>
            <w:tcW w:w="4600" w:type="dxa"/>
            <w:vAlign w:val="bottom"/>
            <w:shd w:val="clear" w:color="auto" w:fill="CCEEFF"/>
          </w:tcPr>
          <w:p>
            <w:pPr>
              <w:ind w:left="200"/>
              <w:spacing w:after="0" w:line="142" w:lineRule="exact"/>
              <w:rPr>
                <w:sz w:val="20"/>
                <w:szCs w:val="20"/>
                <w:color w:val="auto"/>
              </w:rPr>
            </w:pPr>
            <w:r>
              <w:rPr>
                <w:rFonts w:ascii="Arial" w:cs="Arial" w:eastAsia="Arial" w:hAnsi="Arial"/>
                <w:sz w:val="14"/>
                <w:szCs w:val="14"/>
                <w:color w:val="auto"/>
              </w:rPr>
              <w:t>December 31, 2008</w:t>
            </w:r>
          </w:p>
        </w:tc>
        <w:tc>
          <w:tcPr>
            <w:tcW w:w="720" w:type="dxa"/>
            <w:vAlign w:val="bottom"/>
            <w:gridSpan w:val="2"/>
            <w:shd w:val="clear" w:color="auto" w:fill="CCEEFF"/>
          </w:tcPr>
          <w:p>
            <w:pPr>
              <w:jc w:val="right"/>
              <w:ind w:right="160"/>
              <w:spacing w:after="0" w:line="142" w:lineRule="exact"/>
              <w:rPr>
                <w:sz w:val="20"/>
                <w:szCs w:val="20"/>
                <w:color w:val="auto"/>
              </w:rPr>
            </w:pPr>
            <w:r>
              <w:rPr>
                <w:rFonts w:ascii="Arial" w:cs="Arial" w:eastAsia="Arial" w:hAnsi="Arial"/>
                <w:sz w:val="14"/>
                <w:szCs w:val="14"/>
                <w:color w:val="auto"/>
              </w:rPr>
              <w:t>4,075</w:t>
            </w:r>
          </w:p>
        </w:tc>
        <w:tc>
          <w:tcPr>
            <w:tcW w:w="6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31,735</w:t>
            </w:r>
          </w:p>
        </w:tc>
        <w:tc>
          <w:tcPr>
            <w:tcW w:w="16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60"/>
              <w:spacing w:after="0" w:line="142" w:lineRule="exact"/>
              <w:rPr>
                <w:sz w:val="20"/>
                <w:szCs w:val="20"/>
                <w:color w:val="auto"/>
              </w:rPr>
            </w:pPr>
            <w:r>
              <w:rPr>
                <w:rFonts w:ascii="Arial" w:cs="Arial" w:eastAsia="Arial" w:hAnsi="Arial"/>
                <w:sz w:val="14"/>
                <w:szCs w:val="14"/>
                <w:color w:val="auto"/>
              </w:rPr>
              <w:t>35,810</w:t>
            </w:r>
          </w:p>
        </w:tc>
      </w:tr>
      <w:tr>
        <w:trPr>
          <w:trHeight w:val="149"/>
        </w:trPr>
        <w:tc>
          <w:tcPr>
            <w:tcW w:w="4600" w:type="dxa"/>
            <w:vAlign w:val="bottom"/>
          </w:tcPr>
          <w:p>
            <w:pPr>
              <w:ind w:left="200"/>
              <w:spacing w:after="0" w:line="149" w:lineRule="exact"/>
              <w:rPr>
                <w:sz w:val="20"/>
                <w:szCs w:val="20"/>
                <w:color w:val="auto"/>
              </w:rPr>
            </w:pPr>
            <w:r>
              <w:rPr>
                <w:rFonts w:ascii="Arial" w:cs="Arial" w:eastAsia="Arial" w:hAnsi="Arial"/>
                <w:sz w:val="14"/>
                <w:szCs w:val="14"/>
                <w:color w:val="auto"/>
              </w:rPr>
              <w:t>Mined in 2009</w:t>
            </w:r>
          </w:p>
        </w:tc>
        <w:tc>
          <w:tcPr>
            <w:tcW w:w="72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2,546</w:t>
            </w: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0</w:t>
            </w:r>
          </w:p>
        </w:tc>
        <w:tc>
          <w:tcPr>
            <w:tcW w:w="160" w:type="dxa"/>
            <w:vAlign w:val="bottom"/>
          </w:tcPr>
          <w:p>
            <w:pPr>
              <w:spacing w:after="0"/>
              <w:rPr>
                <w:sz w:val="12"/>
                <w:szCs w:val="12"/>
                <w:color w:val="auto"/>
              </w:rPr>
            </w:pPr>
          </w:p>
        </w:tc>
        <w:tc>
          <w:tcPr>
            <w:tcW w:w="6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2,546</w:t>
            </w:r>
          </w:p>
        </w:tc>
      </w:tr>
      <w:tr>
        <w:trPr>
          <w:trHeight w:val="149"/>
        </w:trPr>
        <w:tc>
          <w:tcPr>
            <w:tcW w:w="460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Revision</w:t>
            </w:r>
          </w:p>
        </w:tc>
        <w:tc>
          <w:tcPr>
            <w:tcW w:w="72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3,226</w:t>
            </w:r>
          </w:p>
        </w:tc>
        <w:tc>
          <w:tcPr>
            <w:tcW w:w="8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(2,110)</w:t>
            </w:r>
          </w:p>
        </w:tc>
        <w:tc>
          <w:tcPr>
            <w:tcW w:w="6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1,116</w:t>
            </w:r>
          </w:p>
        </w:tc>
      </w:tr>
      <w:tr>
        <w:trPr>
          <w:trHeight w:val="174"/>
        </w:trPr>
        <w:tc>
          <w:tcPr>
            <w:tcW w:w="4600" w:type="dxa"/>
            <w:vAlign w:val="bottom"/>
          </w:tcPr>
          <w:p>
            <w:pPr>
              <w:ind w:left="200"/>
              <w:spacing w:after="0"/>
              <w:rPr>
                <w:sz w:val="20"/>
                <w:szCs w:val="20"/>
                <w:color w:val="auto"/>
              </w:rPr>
            </w:pPr>
            <w:r>
              <w:rPr>
                <w:rFonts w:ascii="Arial" w:cs="Arial" w:eastAsia="Arial" w:hAnsi="Arial"/>
                <w:sz w:val="14"/>
                <w:szCs w:val="14"/>
                <w:b w:val="1"/>
                <w:bCs w:val="1"/>
                <w:color w:val="auto"/>
              </w:rPr>
              <w:t>December 31, 2009</w:t>
            </w:r>
          </w:p>
        </w:tc>
        <w:tc>
          <w:tcPr>
            <w:tcW w:w="720" w:type="dxa"/>
            <w:vAlign w:val="bottom"/>
            <w:gridSpan w:val="2"/>
          </w:tcPr>
          <w:p>
            <w:pPr>
              <w:jc w:val="right"/>
              <w:ind w:right="160"/>
              <w:spacing w:after="0"/>
              <w:rPr>
                <w:sz w:val="20"/>
                <w:szCs w:val="20"/>
                <w:color w:val="auto"/>
              </w:rPr>
            </w:pPr>
            <w:r>
              <w:rPr>
                <w:rFonts w:ascii="Arial" w:cs="Arial" w:eastAsia="Arial" w:hAnsi="Arial"/>
                <w:sz w:val="14"/>
                <w:szCs w:val="14"/>
                <w:b w:val="1"/>
                <w:bCs w:val="1"/>
                <w:color w:val="auto"/>
              </w:rPr>
              <w:t>4,755</w:t>
            </w:r>
          </w:p>
        </w:tc>
        <w:tc>
          <w:tcPr>
            <w:tcW w:w="680" w:type="dxa"/>
            <w:vAlign w:val="bottom"/>
          </w:tcPr>
          <w:p>
            <w:pPr>
              <w:jc w:val="right"/>
              <w:spacing w:after="0"/>
              <w:rPr>
                <w:sz w:val="20"/>
                <w:szCs w:val="20"/>
                <w:color w:val="auto"/>
              </w:rPr>
            </w:pPr>
            <w:r>
              <w:rPr>
                <w:rFonts w:ascii="Arial" w:cs="Arial" w:eastAsia="Arial" w:hAnsi="Arial"/>
                <w:sz w:val="14"/>
                <w:szCs w:val="14"/>
                <w:b w:val="1"/>
                <w:bCs w:val="1"/>
                <w:color w:val="auto"/>
              </w:rPr>
              <w:t>29,625</w:t>
            </w:r>
          </w:p>
        </w:tc>
        <w:tc>
          <w:tcPr>
            <w:tcW w:w="160" w:type="dxa"/>
            <w:vAlign w:val="bottom"/>
          </w:tcPr>
          <w:p>
            <w:pPr>
              <w:spacing w:after="0"/>
              <w:rPr>
                <w:sz w:val="15"/>
                <w:szCs w:val="15"/>
                <w:color w:val="auto"/>
              </w:rPr>
            </w:pPr>
          </w:p>
        </w:tc>
        <w:tc>
          <w:tcPr>
            <w:tcW w:w="680" w:type="dxa"/>
            <w:vAlign w:val="bottom"/>
            <w:gridSpan w:val="2"/>
          </w:tcPr>
          <w:p>
            <w:pPr>
              <w:jc w:val="right"/>
              <w:ind w:right="160"/>
              <w:spacing w:after="0"/>
              <w:rPr>
                <w:sz w:val="20"/>
                <w:szCs w:val="20"/>
                <w:color w:val="auto"/>
              </w:rPr>
            </w:pPr>
            <w:r>
              <w:rPr>
                <w:rFonts w:ascii="Arial" w:cs="Arial" w:eastAsia="Arial" w:hAnsi="Arial"/>
                <w:sz w:val="14"/>
                <w:szCs w:val="14"/>
                <w:b w:val="1"/>
                <w:bCs w:val="1"/>
                <w:color w:val="auto"/>
              </w:rPr>
              <w:t>34,380</w:t>
            </w:r>
          </w:p>
        </w:tc>
      </w:tr>
    </w:tbl>
    <w:p>
      <w:pPr>
        <w:spacing w:after="0" w:line="166" w:lineRule="exact"/>
        <w:rPr>
          <w:sz w:val="20"/>
          <w:szCs w:val="20"/>
          <w:color w:val="auto"/>
        </w:rPr>
      </w:pPr>
    </w:p>
    <w:p>
      <w:pPr>
        <w:jc w:val="both"/>
        <w:ind w:left="1680" w:hanging="531"/>
        <w:spacing w:after="0" w:line="233" w:lineRule="auto"/>
        <w:tabs>
          <w:tab w:leader="none" w:pos="1680" w:val="left"/>
        </w:tabs>
        <w:numPr>
          <w:ilvl w:val="0"/>
          <w:numId w:val="11"/>
        </w:numPr>
        <w:rPr>
          <w:rFonts w:ascii="Arial" w:cs="Arial" w:eastAsia="Arial" w:hAnsi="Arial"/>
          <w:sz w:val="14"/>
          <w:szCs w:val="14"/>
          <w:color w:val="auto"/>
        </w:rPr>
      </w:pPr>
      <w:r>
        <w:rPr>
          <w:rFonts w:ascii="Arial" w:cs="Arial" w:eastAsia="Arial" w:hAnsi="Arial"/>
          <w:sz w:val="14"/>
          <w:szCs w:val="14"/>
          <w:color w:val="auto"/>
        </w:rPr>
        <w:t>Complete information on the verification procedures, the quality assurance program, quality control procedures, parameters and methods and other factors that may materially affect scientific and technical information presented in this Form 20-F relating to the LaRonde Mine may be found in the Technical Report on the 2005 LaRonde Mineral Resource &amp; Mineral Reserve Estimate filed with Canadian securities regulatory authorities on SEDAR on March 23, 2005.</w:t>
      </w:r>
    </w:p>
    <w:p>
      <w:pPr>
        <w:spacing w:after="0" w:line="19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04" w:name="page105"/>
    <w:bookmarkEnd w:id="104"/>
    <w:p>
      <w:pPr>
        <w:spacing w:after="0"/>
        <w:rPr>
          <w:sz w:val="20"/>
          <w:szCs w:val="20"/>
          <w:color w:val="auto"/>
        </w:rPr>
      </w:pPr>
      <w:r>
        <w:rPr>
          <w:rFonts w:ascii="Arial" w:cs="Arial" w:eastAsia="Arial" w:hAnsi="Arial"/>
          <w:sz w:val="18"/>
          <w:szCs w:val="18"/>
          <w:b w:val="1"/>
          <w:bCs w:val="1"/>
          <w:i w:val="1"/>
          <w:iCs w:val="1"/>
          <w:u w:val="single" w:color="auto"/>
          <w:color w:val="auto"/>
        </w:rPr>
        <w:t>Goldex Mineral Reserves and Mineral Resources</w:t>
      </w:r>
    </w:p>
    <w:p>
      <w:pPr>
        <w:spacing w:after="0" w:line="275"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260" w:type="dxa"/>
            <w:vAlign w:val="bottom"/>
          </w:tcPr>
          <w:p>
            <w:pPr>
              <w:spacing w:after="0"/>
              <w:rPr>
                <w:sz w:val="14"/>
                <w:szCs w:val="14"/>
                <w:color w:val="auto"/>
              </w:rPr>
            </w:pPr>
          </w:p>
        </w:tc>
        <w:tc>
          <w:tcPr>
            <w:tcW w:w="4620" w:type="dxa"/>
            <w:vAlign w:val="bottom"/>
          </w:tcPr>
          <w:p>
            <w:pPr>
              <w:spacing w:after="0"/>
              <w:rPr>
                <w:sz w:val="14"/>
                <w:szCs w:val="14"/>
                <w:color w:val="auto"/>
              </w:rPr>
            </w:pPr>
          </w:p>
        </w:tc>
        <w:tc>
          <w:tcPr>
            <w:tcW w:w="920" w:type="dxa"/>
            <w:vAlign w:val="bottom"/>
            <w:tcBorders>
              <w:bottom w:val="single" w:sz="8" w:color="auto"/>
            </w:tcBorders>
          </w:tcPr>
          <w:p>
            <w:pPr>
              <w:spacing w:after="0"/>
              <w:rPr>
                <w:sz w:val="14"/>
                <w:szCs w:val="14"/>
                <w:color w:val="auto"/>
              </w:rPr>
            </w:pPr>
          </w:p>
        </w:tc>
        <w:tc>
          <w:tcPr>
            <w:tcW w:w="1240" w:type="dxa"/>
            <w:vAlign w:val="bottom"/>
            <w:tcBorders>
              <w:bottom w:val="single" w:sz="8" w:color="auto"/>
            </w:tcBorders>
            <w:gridSpan w:val="3"/>
          </w:tcPr>
          <w:p>
            <w:pPr>
              <w:ind w:left="60"/>
              <w:spacing w:after="0"/>
              <w:rPr>
                <w:sz w:val="20"/>
                <w:szCs w:val="20"/>
                <w:color w:val="auto"/>
              </w:rPr>
            </w:pPr>
            <w:r>
              <w:rPr>
                <w:rFonts w:ascii="Arial" w:cs="Arial" w:eastAsia="Arial" w:hAnsi="Arial"/>
                <w:sz w:val="14"/>
                <w:szCs w:val="14"/>
                <w:b w:val="1"/>
                <w:bCs w:val="1"/>
                <w:color w:val="auto"/>
                <w:w w:val="89"/>
              </w:rPr>
              <w:t>As at December 31,</w:t>
            </w:r>
          </w:p>
        </w:tc>
        <w:tc>
          <w:tcPr>
            <w:tcW w:w="92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r>
      <w:tr>
        <w:trPr>
          <w:trHeight w:val="142"/>
        </w:trPr>
        <w:tc>
          <w:tcPr>
            <w:tcW w:w="2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4620" w:type="dxa"/>
            <w:vAlign w:val="bottom"/>
          </w:tcPr>
          <w:p>
            <w:pPr>
              <w:spacing w:after="0"/>
              <w:rPr>
                <w:sz w:val="12"/>
                <w:szCs w:val="12"/>
                <w:color w:val="auto"/>
              </w:rPr>
            </w:pPr>
          </w:p>
        </w:tc>
        <w:tc>
          <w:tcPr>
            <w:tcW w:w="920" w:type="dxa"/>
            <w:vAlign w:val="bottom"/>
          </w:tcPr>
          <w:p>
            <w:pPr>
              <w:jc w:val="right"/>
              <w:ind w:right="235"/>
              <w:spacing w:after="0" w:line="142" w:lineRule="exact"/>
              <w:rPr>
                <w:sz w:val="20"/>
                <w:szCs w:val="20"/>
                <w:color w:val="auto"/>
              </w:rPr>
            </w:pPr>
            <w:r>
              <w:rPr>
                <w:rFonts w:ascii="Arial" w:cs="Arial" w:eastAsia="Arial" w:hAnsi="Arial"/>
                <w:sz w:val="14"/>
                <w:szCs w:val="14"/>
                <w:b w:val="1"/>
                <w:bCs w:val="1"/>
                <w:color w:val="auto"/>
              </w:rPr>
              <w:t>2009</w:t>
            </w:r>
          </w:p>
        </w:tc>
        <w:tc>
          <w:tcPr>
            <w:tcW w:w="1080" w:type="dxa"/>
            <w:vAlign w:val="bottom"/>
            <w:gridSpan w:val="2"/>
          </w:tcPr>
          <w:p>
            <w:pPr>
              <w:jc w:val="right"/>
              <w:ind w:right="320"/>
              <w:spacing w:after="0" w:line="142" w:lineRule="exact"/>
              <w:rPr>
                <w:sz w:val="20"/>
                <w:szCs w:val="20"/>
                <w:color w:val="auto"/>
              </w:rPr>
            </w:pPr>
            <w:r>
              <w:rPr>
                <w:rFonts w:ascii="Arial" w:cs="Arial" w:eastAsia="Arial" w:hAnsi="Arial"/>
                <w:sz w:val="14"/>
                <w:szCs w:val="14"/>
                <w:b w:val="1"/>
                <w:bCs w:val="1"/>
                <w:color w:val="auto"/>
              </w:rPr>
              <w:t>2008</w:t>
            </w:r>
          </w:p>
        </w:tc>
        <w:tc>
          <w:tcPr>
            <w:tcW w:w="160" w:type="dxa"/>
            <w:vAlign w:val="bottom"/>
          </w:tcPr>
          <w:p>
            <w:pPr>
              <w:spacing w:after="0"/>
              <w:rPr>
                <w:sz w:val="12"/>
                <w:szCs w:val="12"/>
                <w:color w:val="auto"/>
              </w:rPr>
            </w:pPr>
          </w:p>
        </w:tc>
        <w:tc>
          <w:tcPr>
            <w:tcW w:w="920" w:type="dxa"/>
            <w:vAlign w:val="bottom"/>
          </w:tcPr>
          <w:p>
            <w:pPr>
              <w:jc w:val="right"/>
              <w:ind w:right="235"/>
              <w:spacing w:after="0" w:line="142" w:lineRule="exact"/>
              <w:rPr>
                <w:sz w:val="20"/>
                <w:szCs w:val="20"/>
                <w:color w:val="auto"/>
              </w:rPr>
            </w:pPr>
            <w:r>
              <w:rPr>
                <w:rFonts w:ascii="Arial" w:cs="Arial" w:eastAsia="Arial" w:hAnsi="Arial"/>
                <w:sz w:val="14"/>
                <w:szCs w:val="14"/>
                <w:b w:val="1"/>
                <w:bCs w:val="1"/>
                <w:color w:val="auto"/>
              </w:rPr>
              <w:t>2007</w:t>
            </w:r>
          </w:p>
        </w:tc>
        <w:tc>
          <w:tcPr>
            <w:tcW w:w="160" w:type="dxa"/>
            <w:vAlign w:val="bottom"/>
          </w:tcPr>
          <w:p>
            <w:pPr>
              <w:spacing w:after="0"/>
              <w:rPr>
                <w:sz w:val="12"/>
                <w:szCs w:val="12"/>
                <w:color w:val="auto"/>
              </w:rPr>
            </w:pPr>
          </w:p>
        </w:tc>
      </w:tr>
      <w:tr>
        <w:trPr>
          <w:trHeight w:val="210"/>
        </w:trPr>
        <w:tc>
          <w:tcPr>
            <w:tcW w:w="20" w:type="dxa"/>
            <w:vAlign w:val="bottom"/>
          </w:tcPr>
          <w:p>
            <w:pPr>
              <w:spacing w:after="0"/>
              <w:rPr>
                <w:sz w:val="18"/>
                <w:szCs w:val="18"/>
                <w:color w:val="auto"/>
              </w:rPr>
            </w:pPr>
          </w:p>
        </w:tc>
        <w:tc>
          <w:tcPr>
            <w:tcW w:w="588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Gold</w:t>
            </w:r>
          </w:p>
        </w:tc>
        <w:tc>
          <w:tcPr>
            <w:tcW w:w="92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2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2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880" w:type="dxa"/>
            <w:vAlign w:val="bottom"/>
            <w:gridSpan w:val="2"/>
          </w:tcPr>
          <w:p>
            <w:pPr>
              <w:ind w:left="120"/>
              <w:spacing w:after="0"/>
              <w:rPr>
                <w:sz w:val="20"/>
                <w:szCs w:val="20"/>
                <w:color w:val="auto"/>
              </w:rPr>
            </w:pPr>
            <w:r>
              <w:rPr>
                <w:rFonts w:ascii="Arial" w:cs="Arial" w:eastAsia="Arial" w:hAnsi="Arial"/>
                <w:sz w:val="18"/>
                <w:szCs w:val="18"/>
                <w:color w:val="auto"/>
              </w:rPr>
              <w:t>Proven mineral reserves — tonnes</w:t>
            </w:r>
          </w:p>
        </w:tc>
        <w:tc>
          <w:tcPr>
            <w:tcW w:w="920" w:type="dxa"/>
            <w:vAlign w:val="bottom"/>
          </w:tcPr>
          <w:p>
            <w:pPr>
              <w:jc w:val="right"/>
              <w:spacing w:after="0"/>
              <w:rPr>
                <w:sz w:val="20"/>
                <w:szCs w:val="20"/>
                <w:color w:val="auto"/>
              </w:rPr>
            </w:pPr>
            <w:r>
              <w:rPr>
                <w:rFonts w:ascii="Arial" w:cs="Arial" w:eastAsia="Arial" w:hAnsi="Arial"/>
                <w:sz w:val="18"/>
                <w:szCs w:val="18"/>
                <w:color w:val="auto"/>
              </w:rPr>
              <w:t>5,217,000</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434,000</w:t>
            </w:r>
          </w:p>
        </w:tc>
        <w:tc>
          <w:tcPr>
            <w:tcW w:w="16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250,000</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88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Average grade — gold grams per tonne</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2.02</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1.95</w:t>
            </w:r>
          </w:p>
        </w:tc>
        <w:tc>
          <w:tcPr>
            <w:tcW w:w="16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2.23</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880" w:type="dxa"/>
            <w:vAlign w:val="bottom"/>
            <w:gridSpan w:val="2"/>
          </w:tcPr>
          <w:p>
            <w:pPr>
              <w:ind w:left="120"/>
              <w:spacing w:after="0"/>
              <w:rPr>
                <w:sz w:val="20"/>
                <w:szCs w:val="20"/>
                <w:color w:val="auto"/>
              </w:rPr>
            </w:pPr>
            <w:r>
              <w:rPr>
                <w:rFonts w:ascii="Arial" w:cs="Arial" w:eastAsia="Arial" w:hAnsi="Arial"/>
                <w:sz w:val="18"/>
                <w:szCs w:val="18"/>
                <w:color w:val="auto"/>
              </w:rPr>
              <w:t>Probable mineral reserves — tonnes</w:t>
            </w:r>
          </w:p>
        </w:tc>
        <w:tc>
          <w:tcPr>
            <w:tcW w:w="920" w:type="dxa"/>
            <w:vAlign w:val="bottom"/>
          </w:tcPr>
          <w:p>
            <w:pPr>
              <w:jc w:val="right"/>
              <w:spacing w:after="0"/>
              <w:rPr>
                <w:sz w:val="20"/>
                <w:szCs w:val="20"/>
                <w:color w:val="auto"/>
              </w:rPr>
            </w:pPr>
            <w:r>
              <w:rPr>
                <w:rFonts w:ascii="Arial" w:cs="Arial" w:eastAsia="Arial" w:hAnsi="Arial"/>
                <w:sz w:val="18"/>
                <w:szCs w:val="18"/>
                <w:color w:val="auto"/>
                <w:w w:val="99"/>
              </w:rPr>
              <w:t>19,524,000</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23,391,000</w:t>
            </w:r>
          </w:p>
        </w:tc>
        <w:tc>
          <w:tcPr>
            <w:tcW w:w="16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w w:val="99"/>
              </w:rPr>
              <w:t>22,800,000</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88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Average grade — gold grams per tonne</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2.06</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2.05</w:t>
            </w:r>
          </w:p>
        </w:tc>
        <w:tc>
          <w:tcPr>
            <w:tcW w:w="16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2.20</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880" w:type="dxa"/>
            <w:vAlign w:val="bottom"/>
            <w:gridSpan w:val="2"/>
          </w:tcPr>
          <w:p>
            <w:pPr>
              <w:spacing w:after="0"/>
              <w:rPr>
                <w:sz w:val="20"/>
                <w:szCs w:val="20"/>
                <w:color w:val="auto"/>
              </w:rPr>
            </w:pPr>
            <w:r>
              <w:rPr>
                <w:rFonts w:ascii="Arial" w:cs="Arial" w:eastAsia="Arial" w:hAnsi="Arial"/>
                <w:sz w:val="18"/>
                <w:szCs w:val="18"/>
                <w:b w:val="1"/>
                <w:bCs w:val="1"/>
                <w:color w:val="auto"/>
              </w:rPr>
              <w:t>Total proven and probable mineral reserves — tonnes</w:t>
            </w:r>
          </w:p>
        </w:tc>
        <w:tc>
          <w:tcPr>
            <w:tcW w:w="920" w:type="dxa"/>
            <w:vAlign w:val="bottom"/>
          </w:tcPr>
          <w:p>
            <w:pPr>
              <w:jc w:val="right"/>
              <w:spacing w:after="0"/>
              <w:rPr>
                <w:sz w:val="20"/>
                <w:szCs w:val="20"/>
                <w:color w:val="auto"/>
              </w:rPr>
            </w:pPr>
            <w:r>
              <w:rPr>
                <w:rFonts w:ascii="Arial" w:cs="Arial" w:eastAsia="Arial" w:hAnsi="Arial"/>
                <w:sz w:val="18"/>
                <w:szCs w:val="18"/>
                <w:b w:val="1"/>
                <w:bCs w:val="1"/>
                <w:color w:val="auto"/>
                <w:w w:val="99"/>
              </w:rPr>
              <w:t>24,741,000</w:t>
            </w:r>
          </w:p>
        </w:tc>
        <w:tc>
          <w:tcPr>
            <w:tcW w:w="1080" w:type="dxa"/>
            <w:vAlign w:val="bottom"/>
            <w:gridSpan w:val="2"/>
          </w:tcPr>
          <w:p>
            <w:pPr>
              <w:jc w:val="right"/>
              <w:spacing w:after="0"/>
              <w:rPr>
                <w:sz w:val="20"/>
                <w:szCs w:val="20"/>
                <w:color w:val="auto"/>
              </w:rPr>
            </w:pPr>
            <w:r>
              <w:rPr>
                <w:rFonts w:ascii="Arial" w:cs="Arial" w:eastAsia="Arial" w:hAnsi="Arial"/>
                <w:sz w:val="18"/>
                <w:szCs w:val="18"/>
                <w:b w:val="1"/>
                <w:bCs w:val="1"/>
                <w:color w:val="auto"/>
              </w:rPr>
              <w:t>23,825,000</w:t>
            </w:r>
          </w:p>
        </w:tc>
        <w:tc>
          <w:tcPr>
            <w:tcW w:w="16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b w:val="1"/>
                <w:bCs w:val="1"/>
                <w:color w:val="auto"/>
                <w:w w:val="99"/>
              </w:rPr>
              <w:t>23,100,000</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88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Average grade — gold grams per tonne</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2.05</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rPr>
              <w:t>2.05</w:t>
            </w:r>
          </w:p>
        </w:tc>
        <w:tc>
          <w:tcPr>
            <w:tcW w:w="16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2.20</w:t>
            </w:r>
          </w:p>
        </w:tc>
        <w:tc>
          <w:tcPr>
            <w:tcW w:w="160" w:type="dxa"/>
            <w:vAlign w:val="bottom"/>
            <w:shd w:val="clear" w:color="auto" w:fill="CCEEFF"/>
          </w:tcPr>
          <w:p>
            <w:pPr>
              <w:spacing w:after="0"/>
              <w:rPr>
                <w:sz w:val="18"/>
                <w:szCs w:val="18"/>
                <w:color w:val="auto"/>
              </w:rPr>
            </w:pPr>
          </w:p>
        </w:tc>
      </w:tr>
      <w:tr>
        <w:trPr>
          <w:trHeight w:val="228"/>
        </w:trPr>
        <w:tc>
          <w:tcPr>
            <w:tcW w:w="20" w:type="dxa"/>
            <w:vAlign w:val="bottom"/>
          </w:tcPr>
          <w:p>
            <w:pPr>
              <w:spacing w:after="0"/>
              <w:rPr>
                <w:sz w:val="19"/>
                <w:szCs w:val="19"/>
                <w:color w:val="auto"/>
              </w:rPr>
            </w:pPr>
          </w:p>
        </w:tc>
        <w:tc>
          <w:tcPr>
            <w:tcW w:w="5880" w:type="dxa"/>
            <w:vAlign w:val="bottom"/>
            <w:gridSpan w:val="2"/>
          </w:tcPr>
          <w:p>
            <w:pPr>
              <w:spacing w:after="0"/>
              <w:rPr>
                <w:sz w:val="20"/>
                <w:szCs w:val="20"/>
                <w:color w:val="auto"/>
              </w:rPr>
            </w:pPr>
            <w:r>
              <w:rPr>
                <w:rFonts w:ascii="Arial" w:cs="Arial" w:eastAsia="Arial" w:hAnsi="Arial"/>
                <w:sz w:val="18"/>
                <w:szCs w:val="18"/>
                <w:b w:val="1"/>
                <w:bCs w:val="1"/>
                <w:color w:val="auto"/>
              </w:rPr>
              <w:t>Total contained gold ounces</w:t>
            </w:r>
          </w:p>
        </w:tc>
        <w:tc>
          <w:tcPr>
            <w:tcW w:w="920" w:type="dxa"/>
            <w:vAlign w:val="bottom"/>
          </w:tcPr>
          <w:p>
            <w:pPr>
              <w:jc w:val="right"/>
              <w:spacing w:after="0"/>
              <w:rPr>
                <w:sz w:val="20"/>
                <w:szCs w:val="20"/>
                <w:color w:val="auto"/>
              </w:rPr>
            </w:pPr>
            <w:r>
              <w:rPr>
                <w:rFonts w:ascii="Arial" w:cs="Arial" w:eastAsia="Arial" w:hAnsi="Arial"/>
                <w:sz w:val="18"/>
                <w:szCs w:val="18"/>
                <w:b w:val="1"/>
                <w:bCs w:val="1"/>
                <w:color w:val="auto"/>
              </w:rPr>
              <w:t>1,630,000</w:t>
            </w:r>
          </w:p>
        </w:tc>
        <w:tc>
          <w:tcPr>
            <w:tcW w:w="1080" w:type="dxa"/>
            <w:vAlign w:val="bottom"/>
            <w:gridSpan w:val="2"/>
          </w:tcPr>
          <w:p>
            <w:pPr>
              <w:jc w:val="right"/>
              <w:spacing w:after="0"/>
              <w:rPr>
                <w:sz w:val="20"/>
                <w:szCs w:val="20"/>
                <w:color w:val="auto"/>
              </w:rPr>
            </w:pPr>
            <w:r>
              <w:rPr>
                <w:rFonts w:ascii="Arial" w:cs="Arial" w:eastAsia="Arial" w:hAnsi="Arial"/>
                <w:sz w:val="18"/>
                <w:szCs w:val="18"/>
                <w:b w:val="1"/>
                <w:bCs w:val="1"/>
                <w:color w:val="auto"/>
              </w:rPr>
              <w:t>1,571,000</w:t>
            </w:r>
          </w:p>
        </w:tc>
        <w:tc>
          <w:tcPr>
            <w:tcW w:w="160" w:type="dxa"/>
            <w:vAlign w:val="bottom"/>
          </w:tcPr>
          <w:p>
            <w:pPr>
              <w:spacing w:after="0"/>
              <w:rPr>
                <w:sz w:val="19"/>
                <w:szCs w:val="19"/>
                <w:color w:val="auto"/>
              </w:rPr>
            </w:pPr>
          </w:p>
        </w:tc>
        <w:tc>
          <w:tcPr>
            <w:tcW w:w="920" w:type="dxa"/>
            <w:vAlign w:val="bottom"/>
          </w:tcPr>
          <w:p>
            <w:pPr>
              <w:jc w:val="right"/>
              <w:spacing w:after="0"/>
              <w:rPr>
                <w:sz w:val="20"/>
                <w:szCs w:val="20"/>
                <w:color w:val="auto"/>
              </w:rPr>
            </w:pPr>
            <w:r>
              <w:rPr>
                <w:rFonts w:ascii="Arial" w:cs="Arial" w:eastAsia="Arial" w:hAnsi="Arial"/>
                <w:sz w:val="18"/>
                <w:szCs w:val="18"/>
                <w:b w:val="1"/>
                <w:bCs w:val="1"/>
                <w:color w:val="auto"/>
              </w:rPr>
              <w:t>1,634,000</w:t>
            </w:r>
          </w:p>
        </w:tc>
        <w:tc>
          <w:tcPr>
            <w:tcW w:w="160" w:type="dxa"/>
            <w:vAlign w:val="bottom"/>
          </w:tcPr>
          <w:p>
            <w:pPr>
              <w:spacing w:after="0"/>
              <w:rPr>
                <w:sz w:val="19"/>
                <w:szCs w:val="19"/>
                <w:color w:val="auto"/>
              </w:rPr>
            </w:pPr>
          </w:p>
        </w:tc>
      </w:tr>
      <w:tr>
        <w:trPr>
          <w:trHeight w:val="96"/>
        </w:trPr>
        <w:tc>
          <w:tcPr>
            <w:tcW w:w="20" w:type="dxa"/>
            <w:vAlign w:val="bottom"/>
            <w:tcBorders>
              <w:bottom w:val="single" w:sz="8" w:color="auto"/>
            </w:tcBorders>
          </w:tcPr>
          <w:p>
            <w:pPr>
              <w:spacing w:after="0"/>
              <w:rPr>
                <w:sz w:val="8"/>
                <w:szCs w:val="8"/>
                <w:color w:val="auto"/>
              </w:rPr>
            </w:pPr>
          </w:p>
        </w:tc>
        <w:tc>
          <w:tcPr>
            <w:tcW w:w="1260" w:type="dxa"/>
            <w:vAlign w:val="bottom"/>
            <w:tcBorders>
              <w:bottom w:val="single" w:sz="8" w:color="auto"/>
            </w:tcBorders>
          </w:tcPr>
          <w:p>
            <w:pPr>
              <w:spacing w:after="0"/>
              <w:rPr>
                <w:sz w:val="8"/>
                <w:szCs w:val="8"/>
                <w:color w:val="auto"/>
              </w:rPr>
            </w:pPr>
          </w:p>
        </w:tc>
        <w:tc>
          <w:tcPr>
            <w:tcW w:w="4620" w:type="dxa"/>
            <w:vAlign w:val="bottom"/>
          </w:tcPr>
          <w:p>
            <w:pPr>
              <w:spacing w:after="0"/>
              <w:rPr>
                <w:sz w:val="8"/>
                <w:szCs w:val="8"/>
                <w:color w:val="auto"/>
              </w:rPr>
            </w:pPr>
          </w:p>
        </w:tc>
        <w:tc>
          <w:tcPr>
            <w:tcW w:w="920" w:type="dxa"/>
            <w:vAlign w:val="bottom"/>
          </w:tcPr>
          <w:p>
            <w:pPr>
              <w:spacing w:after="0"/>
              <w:rPr>
                <w:sz w:val="8"/>
                <w:szCs w:val="8"/>
                <w:color w:val="auto"/>
              </w:rPr>
            </w:pPr>
          </w:p>
        </w:tc>
        <w:tc>
          <w:tcPr>
            <w:tcW w:w="160" w:type="dxa"/>
            <w:vAlign w:val="bottom"/>
          </w:tcPr>
          <w:p>
            <w:pPr>
              <w:spacing w:after="0"/>
              <w:rPr>
                <w:sz w:val="8"/>
                <w:szCs w:val="8"/>
                <w:color w:val="auto"/>
              </w:rPr>
            </w:pPr>
          </w:p>
        </w:tc>
        <w:tc>
          <w:tcPr>
            <w:tcW w:w="920" w:type="dxa"/>
            <w:vAlign w:val="bottom"/>
          </w:tcPr>
          <w:p>
            <w:pPr>
              <w:spacing w:after="0"/>
              <w:rPr>
                <w:sz w:val="8"/>
                <w:szCs w:val="8"/>
                <w:color w:val="auto"/>
              </w:rPr>
            </w:pPr>
          </w:p>
        </w:tc>
        <w:tc>
          <w:tcPr>
            <w:tcW w:w="160" w:type="dxa"/>
            <w:vAlign w:val="bottom"/>
          </w:tcPr>
          <w:p>
            <w:pPr>
              <w:spacing w:after="0"/>
              <w:rPr>
                <w:sz w:val="8"/>
                <w:szCs w:val="8"/>
                <w:color w:val="auto"/>
              </w:rPr>
            </w:pPr>
          </w:p>
        </w:tc>
        <w:tc>
          <w:tcPr>
            <w:tcW w:w="920" w:type="dxa"/>
            <w:vAlign w:val="bottom"/>
          </w:tcPr>
          <w:p>
            <w:pPr>
              <w:spacing w:after="0"/>
              <w:rPr>
                <w:sz w:val="8"/>
                <w:szCs w:val="8"/>
                <w:color w:val="auto"/>
              </w:rPr>
            </w:pPr>
          </w:p>
        </w:tc>
        <w:tc>
          <w:tcPr>
            <w:tcW w:w="160" w:type="dxa"/>
            <w:vAlign w:val="bottom"/>
          </w:tcPr>
          <w:p>
            <w:pPr>
              <w:spacing w:after="0"/>
              <w:rPr>
                <w:sz w:val="8"/>
                <w:szCs w:val="8"/>
                <w:color w:val="auto"/>
              </w:rPr>
            </w:pPr>
          </w:p>
        </w:tc>
      </w:tr>
    </w:tbl>
    <w:p>
      <w:pPr>
        <w:spacing w:after="0" w:line="205" w:lineRule="exact"/>
        <w:rPr>
          <w:sz w:val="20"/>
          <w:szCs w:val="20"/>
          <w:color w:val="auto"/>
        </w:rPr>
      </w:pPr>
    </w:p>
    <w:p>
      <w:pPr>
        <w:ind w:left="1140"/>
        <w:spacing w:after="0"/>
        <w:rPr>
          <w:sz w:val="20"/>
          <w:szCs w:val="20"/>
          <w:color w:val="auto"/>
        </w:rPr>
      </w:pPr>
      <w:r>
        <w:rPr>
          <w:rFonts w:ascii="Arial" w:cs="Arial" w:eastAsia="Arial" w:hAnsi="Arial"/>
          <w:sz w:val="14"/>
          <w:szCs w:val="14"/>
          <w:color w:val="auto"/>
        </w:rPr>
        <w:t>Notes:</w:t>
      </w:r>
    </w:p>
    <w:p>
      <w:pPr>
        <w:spacing w:after="0" w:line="190" w:lineRule="exact"/>
        <w:rPr>
          <w:sz w:val="20"/>
          <w:szCs w:val="20"/>
          <w:color w:val="auto"/>
        </w:rPr>
      </w:pPr>
    </w:p>
    <w:p>
      <w:pPr>
        <w:jc w:val="both"/>
        <w:ind w:left="1680" w:hanging="531"/>
        <w:spacing w:after="0" w:line="233" w:lineRule="auto"/>
        <w:tabs>
          <w:tab w:leader="none" w:pos="1680" w:val="left"/>
        </w:tabs>
        <w:numPr>
          <w:ilvl w:val="0"/>
          <w:numId w:val="12"/>
        </w:numPr>
        <w:rPr>
          <w:rFonts w:ascii="Arial" w:cs="Arial" w:eastAsia="Arial" w:hAnsi="Arial"/>
          <w:sz w:val="14"/>
          <w:szCs w:val="14"/>
          <w:color w:val="auto"/>
        </w:rPr>
      </w:pPr>
      <w:r>
        <w:rPr>
          <w:rFonts w:ascii="Arial" w:cs="Arial" w:eastAsia="Arial" w:hAnsi="Arial"/>
          <w:sz w:val="14"/>
          <w:szCs w:val="14"/>
          <w:color w:val="auto"/>
        </w:rPr>
        <w:t>The 2009 proven and probable mineral reserves were estimated using an assumed metallurgical gold recovery of 90.0%. Mining costs were estimated to vary between C$19.52 per tonne and C$36.20 per tonne, depending on the deposit. The cut-off grade used for mineral reserves was 1.37 grams of gold per tonne. The Company estimates that a 10% change in the gold price would result in no change in mineral reserves.</w:t>
      </w:r>
    </w:p>
    <w:p>
      <w:pPr>
        <w:spacing w:after="0" w:line="111" w:lineRule="exact"/>
        <w:rPr>
          <w:rFonts w:ascii="Arial" w:cs="Arial" w:eastAsia="Arial" w:hAnsi="Arial"/>
          <w:sz w:val="14"/>
          <w:szCs w:val="14"/>
          <w:color w:val="auto"/>
        </w:rPr>
      </w:pPr>
    </w:p>
    <w:p>
      <w:pPr>
        <w:ind w:left="1680" w:hanging="531"/>
        <w:spacing w:after="0" w:line="239" w:lineRule="auto"/>
        <w:tabs>
          <w:tab w:leader="none" w:pos="1680" w:val="left"/>
        </w:tabs>
        <w:numPr>
          <w:ilvl w:val="0"/>
          <w:numId w:val="12"/>
        </w:numPr>
        <w:rPr>
          <w:rFonts w:ascii="Arial" w:cs="Arial" w:eastAsia="Arial" w:hAnsi="Arial"/>
          <w:sz w:val="14"/>
          <w:szCs w:val="14"/>
          <w:color w:val="auto"/>
        </w:rPr>
      </w:pPr>
      <w:r>
        <w:rPr>
          <w:rFonts w:ascii="Arial" w:cs="Arial" w:eastAsia="Arial" w:hAnsi="Arial"/>
          <w:sz w:val="14"/>
          <w:szCs w:val="14"/>
          <w:color w:val="auto"/>
        </w:rPr>
        <w:t>In addition to the mineral reserves set out above, at December 31, 2009, the Goldex Mine contained indicated mineral resources of 0.2 million tonnes grading 1.79 grams of gold per tonne and inferred mineral resources of 10.5 million tonnes grading 2.37 grams of gold per tonne.</w:t>
      </w:r>
    </w:p>
    <w:p>
      <w:pPr>
        <w:spacing w:after="0" w:line="111" w:lineRule="exact"/>
        <w:rPr>
          <w:rFonts w:ascii="Arial" w:cs="Arial" w:eastAsia="Arial" w:hAnsi="Arial"/>
          <w:sz w:val="14"/>
          <w:szCs w:val="14"/>
          <w:color w:val="auto"/>
        </w:rPr>
      </w:pPr>
    </w:p>
    <w:p>
      <w:pPr>
        <w:jc w:val="both"/>
        <w:ind w:left="1680" w:hanging="531"/>
        <w:spacing w:after="0" w:line="233" w:lineRule="auto"/>
        <w:tabs>
          <w:tab w:leader="none" w:pos="1680" w:val="left"/>
        </w:tabs>
        <w:numPr>
          <w:ilvl w:val="0"/>
          <w:numId w:val="12"/>
        </w:numPr>
        <w:rPr>
          <w:rFonts w:ascii="Arial" w:cs="Arial" w:eastAsia="Arial" w:hAnsi="Arial"/>
          <w:sz w:val="14"/>
          <w:szCs w:val="14"/>
          <w:color w:val="auto"/>
        </w:rPr>
      </w:pPr>
      <w:r>
        <w:rPr>
          <w:rFonts w:ascii="Arial" w:cs="Arial" w:eastAsia="Arial" w:hAnsi="Arial"/>
          <w:sz w:val="14"/>
          <w:szCs w:val="14"/>
          <w:color w:val="auto"/>
        </w:rPr>
        <w:t>The following table shows the reconciliation of mineral reserves (in nearest thousand tonnes) at the Goldex Mine by category at December 31, 2009 with those at December 31, 2008. Revision means additional mineral reserves converted from mineral resources or other categories of mineral reserves and mineral reserves added from exploration activities during 2009.</w:t>
      </w:r>
    </w:p>
    <w:p>
      <w:pPr>
        <w:spacing w:after="0" w:line="191" w:lineRule="exact"/>
        <w:rPr>
          <w:sz w:val="20"/>
          <w:szCs w:val="20"/>
          <w:color w:val="auto"/>
        </w:rPr>
      </w:pPr>
    </w:p>
    <w:tbl>
      <w:tblPr>
        <w:tblLayout w:type="fixed"/>
        <w:tblInd w:w="2300" w:type="dxa"/>
        <w:tblCellMar>
          <w:top w:w="0" w:type="dxa"/>
          <w:left w:w="0" w:type="dxa"/>
          <w:bottom w:w="0" w:type="dxa"/>
          <w:right w:w="0" w:type="dxa"/>
        </w:tblCellMar>
      </w:tblPr>
      <w:tr>
        <w:trPr>
          <w:trHeight w:val="161"/>
        </w:trPr>
        <w:tc>
          <w:tcPr>
            <w:tcW w:w="4600" w:type="dxa"/>
            <w:vAlign w:val="bottom"/>
          </w:tcPr>
          <w:p>
            <w:pPr>
              <w:spacing w:after="0"/>
              <w:rPr>
                <w:sz w:val="14"/>
                <w:szCs w:val="14"/>
                <w:color w:val="auto"/>
              </w:rPr>
            </w:pPr>
          </w:p>
        </w:tc>
        <w:tc>
          <w:tcPr>
            <w:tcW w:w="560" w:type="dxa"/>
            <w:vAlign w:val="bottom"/>
            <w:tcBorders>
              <w:bottom w:val="single" w:sz="8" w:color="auto"/>
            </w:tcBorders>
          </w:tcPr>
          <w:p>
            <w:pPr>
              <w:ind w:left="80"/>
              <w:spacing w:after="0"/>
              <w:rPr>
                <w:sz w:val="20"/>
                <w:szCs w:val="20"/>
                <w:color w:val="auto"/>
              </w:rPr>
            </w:pPr>
            <w:r>
              <w:rPr>
                <w:rFonts w:ascii="Arial" w:cs="Arial" w:eastAsia="Arial" w:hAnsi="Arial"/>
                <w:sz w:val="14"/>
                <w:szCs w:val="14"/>
                <w:b w:val="1"/>
                <w:bCs w:val="1"/>
                <w:color w:val="auto"/>
                <w:w w:val="96"/>
              </w:rPr>
              <w:t>Proven</w:t>
            </w:r>
          </w:p>
        </w:tc>
        <w:tc>
          <w:tcPr>
            <w:tcW w:w="160" w:type="dxa"/>
            <w:vAlign w:val="bottom"/>
          </w:tcPr>
          <w:p>
            <w:pPr>
              <w:spacing w:after="0"/>
              <w:rPr>
                <w:sz w:val="14"/>
                <w:szCs w:val="14"/>
                <w:color w:val="auto"/>
              </w:rPr>
            </w:pPr>
          </w:p>
        </w:tc>
        <w:tc>
          <w:tcPr>
            <w:tcW w:w="680" w:type="dxa"/>
            <w:vAlign w:val="bottom"/>
            <w:tcBorders>
              <w:bottom w:val="single" w:sz="8" w:color="auto"/>
            </w:tcBorders>
          </w:tcPr>
          <w:p>
            <w:pPr>
              <w:jc w:val="right"/>
              <w:ind w:right="12"/>
              <w:spacing w:after="0"/>
              <w:rPr>
                <w:sz w:val="20"/>
                <w:szCs w:val="20"/>
                <w:color w:val="auto"/>
              </w:rPr>
            </w:pPr>
            <w:r>
              <w:rPr>
                <w:rFonts w:ascii="Arial" w:cs="Arial" w:eastAsia="Arial" w:hAnsi="Arial"/>
                <w:sz w:val="14"/>
                <w:szCs w:val="14"/>
                <w:b w:val="1"/>
                <w:bCs w:val="1"/>
                <w:color w:val="auto"/>
                <w:w w:val="96"/>
              </w:rPr>
              <w:t>Probable</w:t>
            </w:r>
          </w:p>
        </w:tc>
        <w:tc>
          <w:tcPr>
            <w:tcW w:w="160" w:type="dxa"/>
            <w:vAlign w:val="bottom"/>
          </w:tcPr>
          <w:p>
            <w:pPr>
              <w:spacing w:after="0"/>
              <w:rPr>
                <w:sz w:val="14"/>
                <w:szCs w:val="14"/>
                <w:color w:val="auto"/>
              </w:rPr>
            </w:pPr>
          </w:p>
        </w:tc>
        <w:tc>
          <w:tcPr>
            <w:tcW w:w="520" w:type="dxa"/>
            <w:vAlign w:val="bottom"/>
            <w:tcBorders>
              <w:bottom w:val="single" w:sz="8" w:color="auto"/>
            </w:tcBorders>
          </w:tcPr>
          <w:p>
            <w:pPr>
              <w:jc w:val="right"/>
              <w:ind w:right="52"/>
              <w:spacing w:after="0"/>
              <w:rPr>
                <w:sz w:val="20"/>
                <w:szCs w:val="20"/>
                <w:color w:val="auto"/>
              </w:rPr>
            </w:pPr>
            <w:r>
              <w:rPr>
                <w:rFonts w:ascii="Arial" w:cs="Arial" w:eastAsia="Arial" w:hAnsi="Arial"/>
                <w:sz w:val="14"/>
                <w:szCs w:val="14"/>
                <w:b w:val="1"/>
                <w:bCs w:val="1"/>
                <w:color w:val="auto"/>
              </w:rPr>
              <w:t>Total</w:t>
            </w:r>
          </w:p>
        </w:tc>
        <w:tc>
          <w:tcPr>
            <w:tcW w:w="160" w:type="dxa"/>
            <w:vAlign w:val="bottom"/>
          </w:tcPr>
          <w:p>
            <w:pPr>
              <w:spacing w:after="0"/>
              <w:rPr>
                <w:sz w:val="14"/>
                <w:szCs w:val="14"/>
                <w:color w:val="auto"/>
              </w:rPr>
            </w:pPr>
          </w:p>
        </w:tc>
      </w:tr>
      <w:tr>
        <w:trPr>
          <w:trHeight w:val="142"/>
        </w:trPr>
        <w:tc>
          <w:tcPr>
            <w:tcW w:w="4600" w:type="dxa"/>
            <w:vAlign w:val="bottom"/>
            <w:shd w:val="clear" w:color="auto" w:fill="CCEEFF"/>
          </w:tcPr>
          <w:p>
            <w:pPr>
              <w:ind w:left="200"/>
              <w:spacing w:after="0" w:line="142" w:lineRule="exact"/>
              <w:rPr>
                <w:sz w:val="20"/>
                <w:szCs w:val="20"/>
                <w:color w:val="auto"/>
              </w:rPr>
            </w:pPr>
            <w:r>
              <w:rPr>
                <w:rFonts w:ascii="Arial" w:cs="Arial" w:eastAsia="Arial" w:hAnsi="Arial"/>
                <w:sz w:val="14"/>
                <w:szCs w:val="14"/>
                <w:color w:val="auto"/>
              </w:rPr>
              <w:t>December 31, 2008</w:t>
            </w:r>
          </w:p>
        </w:tc>
        <w:tc>
          <w:tcPr>
            <w:tcW w:w="720" w:type="dxa"/>
            <w:vAlign w:val="bottom"/>
            <w:gridSpan w:val="2"/>
            <w:shd w:val="clear" w:color="auto" w:fill="CCEEFF"/>
          </w:tcPr>
          <w:p>
            <w:pPr>
              <w:jc w:val="right"/>
              <w:ind w:right="160"/>
              <w:spacing w:after="0" w:line="142" w:lineRule="exact"/>
              <w:rPr>
                <w:sz w:val="20"/>
                <w:szCs w:val="20"/>
                <w:color w:val="auto"/>
              </w:rPr>
            </w:pPr>
            <w:r>
              <w:rPr>
                <w:rFonts w:ascii="Arial" w:cs="Arial" w:eastAsia="Arial" w:hAnsi="Arial"/>
                <w:sz w:val="14"/>
                <w:szCs w:val="14"/>
                <w:color w:val="auto"/>
              </w:rPr>
              <w:t>434</w:t>
            </w:r>
          </w:p>
        </w:tc>
        <w:tc>
          <w:tcPr>
            <w:tcW w:w="6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23,391</w:t>
            </w:r>
          </w:p>
        </w:tc>
        <w:tc>
          <w:tcPr>
            <w:tcW w:w="16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60"/>
              <w:spacing w:after="0" w:line="142" w:lineRule="exact"/>
              <w:rPr>
                <w:sz w:val="20"/>
                <w:szCs w:val="20"/>
                <w:color w:val="auto"/>
              </w:rPr>
            </w:pPr>
            <w:r>
              <w:rPr>
                <w:rFonts w:ascii="Arial" w:cs="Arial" w:eastAsia="Arial" w:hAnsi="Arial"/>
                <w:sz w:val="14"/>
                <w:szCs w:val="14"/>
                <w:color w:val="auto"/>
              </w:rPr>
              <w:t>23,825</w:t>
            </w:r>
          </w:p>
        </w:tc>
      </w:tr>
      <w:tr>
        <w:trPr>
          <w:trHeight w:val="149"/>
        </w:trPr>
        <w:tc>
          <w:tcPr>
            <w:tcW w:w="4600" w:type="dxa"/>
            <w:vAlign w:val="bottom"/>
          </w:tcPr>
          <w:p>
            <w:pPr>
              <w:ind w:left="200"/>
              <w:spacing w:after="0" w:line="149" w:lineRule="exact"/>
              <w:rPr>
                <w:sz w:val="20"/>
                <w:szCs w:val="20"/>
                <w:color w:val="auto"/>
              </w:rPr>
            </w:pPr>
            <w:r>
              <w:rPr>
                <w:rFonts w:ascii="Arial" w:cs="Arial" w:eastAsia="Arial" w:hAnsi="Arial"/>
                <w:sz w:val="14"/>
                <w:szCs w:val="14"/>
                <w:color w:val="auto"/>
              </w:rPr>
              <w:t>Mined in 2009</w:t>
            </w:r>
          </w:p>
        </w:tc>
        <w:tc>
          <w:tcPr>
            <w:tcW w:w="72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2,615</w:t>
            </w: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0</w:t>
            </w:r>
          </w:p>
        </w:tc>
        <w:tc>
          <w:tcPr>
            <w:tcW w:w="160" w:type="dxa"/>
            <w:vAlign w:val="bottom"/>
          </w:tcPr>
          <w:p>
            <w:pPr>
              <w:spacing w:after="0"/>
              <w:rPr>
                <w:sz w:val="12"/>
                <w:szCs w:val="12"/>
                <w:color w:val="auto"/>
              </w:rPr>
            </w:pPr>
          </w:p>
        </w:tc>
        <w:tc>
          <w:tcPr>
            <w:tcW w:w="6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2,615</w:t>
            </w:r>
          </w:p>
        </w:tc>
      </w:tr>
      <w:tr>
        <w:trPr>
          <w:trHeight w:val="149"/>
        </w:trPr>
        <w:tc>
          <w:tcPr>
            <w:tcW w:w="460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Revision</w:t>
            </w:r>
          </w:p>
        </w:tc>
        <w:tc>
          <w:tcPr>
            <w:tcW w:w="72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7,398</w:t>
            </w:r>
          </w:p>
        </w:tc>
        <w:tc>
          <w:tcPr>
            <w:tcW w:w="8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(3,867)</w:t>
            </w:r>
          </w:p>
        </w:tc>
        <w:tc>
          <w:tcPr>
            <w:tcW w:w="6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3,531</w:t>
            </w:r>
          </w:p>
        </w:tc>
      </w:tr>
      <w:tr>
        <w:trPr>
          <w:trHeight w:val="174"/>
        </w:trPr>
        <w:tc>
          <w:tcPr>
            <w:tcW w:w="4600" w:type="dxa"/>
            <w:vAlign w:val="bottom"/>
          </w:tcPr>
          <w:p>
            <w:pPr>
              <w:ind w:left="200"/>
              <w:spacing w:after="0"/>
              <w:rPr>
                <w:sz w:val="20"/>
                <w:szCs w:val="20"/>
                <w:color w:val="auto"/>
              </w:rPr>
            </w:pPr>
            <w:r>
              <w:rPr>
                <w:rFonts w:ascii="Arial" w:cs="Arial" w:eastAsia="Arial" w:hAnsi="Arial"/>
                <w:sz w:val="14"/>
                <w:szCs w:val="14"/>
                <w:b w:val="1"/>
                <w:bCs w:val="1"/>
                <w:color w:val="auto"/>
              </w:rPr>
              <w:t>December 31, 2009</w:t>
            </w:r>
          </w:p>
        </w:tc>
        <w:tc>
          <w:tcPr>
            <w:tcW w:w="720" w:type="dxa"/>
            <w:vAlign w:val="bottom"/>
            <w:gridSpan w:val="2"/>
          </w:tcPr>
          <w:p>
            <w:pPr>
              <w:jc w:val="right"/>
              <w:ind w:right="160"/>
              <w:spacing w:after="0"/>
              <w:rPr>
                <w:sz w:val="20"/>
                <w:szCs w:val="20"/>
                <w:color w:val="auto"/>
              </w:rPr>
            </w:pPr>
            <w:r>
              <w:rPr>
                <w:rFonts w:ascii="Arial" w:cs="Arial" w:eastAsia="Arial" w:hAnsi="Arial"/>
                <w:sz w:val="14"/>
                <w:szCs w:val="14"/>
                <w:b w:val="1"/>
                <w:bCs w:val="1"/>
                <w:color w:val="auto"/>
              </w:rPr>
              <w:t>5,217</w:t>
            </w:r>
          </w:p>
        </w:tc>
        <w:tc>
          <w:tcPr>
            <w:tcW w:w="680" w:type="dxa"/>
            <w:vAlign w:val="bottom"/>
          </w:tcPr>
          <w:p>
            <w:pPr>
              <w:jc w:val="right"/>
              <w:spacing w:after="0"/>
              <w:rPr>
                <w:sz w:val="20"/>
                <w:szCs w:val="20"/>
                <w:color w:val="auto"/>
              </w:rPr>
            </w:pPr>
            <w:r>
              <w:rPr>
                <w:rFonts w:ascii="Arial" w:cs="Arial" w:eastAsia="Arial" w:hAnsi="Arial"/>
                <w:sz w:val="14"/>
                <w:szCs w:val="14"/>
                <w:b w:val="1"/>
                <w:bCs w:val="1"/>
                <w:color w:val="auto"/>
              </w:rPr>
              <w:t>19,524</w:t>
            </w:r>
          </w:p>
        </w:tc>
        <w:tc>
          <w:tcPr>
            <w:tcW w:w="160" w:type="dxa"/>
            <w:vAlign w:val="bottom"/>
          </w:tcPr>
          <w:p>
            <w:pPr>
              <w:spacing w:after="0"/>
              <w:rPr>
                <w:sz w:val="15"/>
                <w:szCs w:val="15"/>
                <w:color w:val="auto"/>
              </w:rPr>
            </w:pPr>
          </w:p>
        </w:tc>
        <w:tc>
          <w:tcPr>
            <w:tcW w:w="680" w:type="dxa"/>
            <w:vAlign w:val="bottom"/>
            <w:gridSpan w:val="2"/>
          </w:tcPr>
          <w:p>
            <w:pPr>
              <w:jc w:val="right"/>
              <w:ind w:right="160"/>
              <w:spacing w:after="0"/>
              <w:rPr>
                <w:sz w:val="20"/>
                <w:szCs w:val="20"/>
                <w:color w:val="auto"/>
              </w:rPr>
            </w:pPr>
            <w:r>
              <w:rPr>
                <w:rFonts w:ascii="Arial" w:cs="Arial" w:eastAsia="Arial" w:hAnsi="Arial"/>
                <w:sz w:val="14"/>
                <w:szCs w:val="14"/>
                <w:b w:val="1"/>
                <w:bCs w:val="1"/>
                <w:color w:val="auto"/>
              </w:rPr>
              <w:t>24,741</w:t>
            </w:r>
          </w:p>
        </w:tc>
      </w:tr>
    </w:tbl>
    <w:p>
      <w:pPr>
        <w:spacing w:after="0" w:line="166" w:lineRule="exact"/>
        <w:rPr>
          <w:sz w:val="20"/>
          <w:szCs w:val="20"/>
          <w:color w:val="auto"/>
        </w:rPr>
      </w:pPr>
    </w:p>
    <w:p>
      <w:pPr>
        <w:jc w:val="both"/>
        <w:ind w:left="1680" w:hanging="531"/>
        <w:spacing w:after="0" w:line="288" w:lineRule="auto"/>
        <w:tabs>
          <w:tab w:leader="none" w:pos="1680" w:val="left"/>
        </w:tabs>
        <w:numPr>
          <w:ilvl w:val="0"/>
          <w:numId w:val="13"/>
        </w:numPr>
        <w:rPr>
          <w:rFonts w:ascii="Arial" w:cs="Arial" w:eastAsia="Arial" w:hAnsi="Arial"/>
          <w:sz w:val="12"/>
          <w:szCs w:val="12"/>
          <w:color w:val="auto"/>
        </w:rPr>
      </w:pPr>
      <w:r>
        <w:rPr>
          <w:rFonts w:ascii="Arial" w:cs="Arial" w:eastAsia="Arial" w:hAnsi="Arial"/>
          <w:sz w:val="12"/>
          <w:szCs w:val="12"/>
          <w:color w:val="auto"/>
        </w:rPr>
        <w:t>Complete information on the verification procedures, the quality assurance program, quality control procedures, parameters and methods and other factors that may materially affect scientific and technical information presented in this Form 20-F relating to the Goldex Mine may be found in the Technical Report on the Estimation of Mineral Resource and Reserves for the Goldex Extension Zone filed with the Canadian securities regulatory authorities on SEDAR on October 27, 2005.</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u w:val="single" w:color="auto"/>
          <w:color w:val="auto"/>
        </w:rPr>
        <w:t>Kittila Mineral Reserves and Mineral Resources</w:t>
      </w:r>
    </w:p>
    <w:p>
      <w:pPr>
        <w:spacing w:after="0" w:line="275"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260" w:type="dxa"/>
            <w:vAlign w:val="bottom"/>
          </w:tcPr>
          <w:p>
            <w:pPr>
              <w:spacing w:after="0"/>
              <w:rPr>
                <w:sz w:val="14"/>
                <w:szCs w:val="14"/>
                <w:color w:val="auto"/>
              </w:rPr>
            </w:pPr>
          </w:p>
        </w:tc>
        <w:tc>
          <w:tcPr>
            <w:tcW w:w="4620" w:type="dxa"/>
            <w:vAlign w:val="bottom"/>
          </w:tcPr>
          <w:p>
            <w:pPr>
              <w:spacing w:after="0"/>
              <w:rPr>
                <w:sz w:val="14"/>
                <w:szCs w:val="14"/>
                <w:color w:val="auto"/>
              </w:rPr>
            </w:pPr>
          </w:p>
        </w:tc>
        <w:tc>
          <w:tcPr>
            <w:tcW w:w="920" w:type="dxa"/>
            <w:vAlign w:val="bottom"/>
            <w:tcBorders>
              <w:bottom w:val="single" w:sz="8" w:color="auto"/>
            </w:tcBorders>
          </w:tcPr>
          <w:p>
            <w:pPr>
              <w:spacing w:after="0"/>
              <w:rPr>
                <w:sz w:val="14"/>
                <w:szCs w:val="14"/>
                <w:color w:val="auto"/>
              </w:rPr>
            </w:pPr>
          </w:p>
        </w:tc>
        <w:tc>
          <w:tcPr>
            <w:tcW w:w="1240" w:type="dxa"/>
            <w:vAlign w:val="bottom"/>
            <w:tcBorders>
              <w:bottom w:val="single" w:sz="8" w:color="auto"/>
            </w:tcBorders>
            <w:gridSpan w:val="3"/>
          </w:tcPr>
          <w:p>
            <w:pPr>
              <w:ind w:left="60"/>
              <w:spacing w:after="0"/>
              <w:rPr>
                <w:sz w:val="20"/>
                <w:szCs w:val="20"/>
                <w:color w:val="auto"/>
              </w:rPr>
            </w:pPr>
            <w:r>
              <w:rPr>
                <w:rFonts w:ascii="Arial" w:cs="Arial" w:eastAsia="Arial" w:hAnsi="Arial"/>
                <w:sz w:val="14"/>
                <w:szCs w:val="14"/>
                <w:b w:val="1"/>
                <w:bCs w:val="1"/>
                <w:color w:val="auto"/>
                <w:w w:val="89"/>
              </w:rPr>
              <w:t>As at December 31,</w:t>
            </w:r>
          </w:p>
        </w:tc>
        <w:tc>
          <w:tcPr>
            <w:tcW w:w="92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r>
      <w:tr>
        <w:trPr>
          <w:trHeight w:val="142"/>
        </w:trPr>
        <w:tc>
          <w:tcPr>
            <w:tcW w:w="2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4620" w:type="dxa"/>
            <w:vAlign w:val="bottom"/>
          </w:tcPr>
          <w:p>
            <w:pPr>
              <w:spacing w:after="0"/>
              <w:rPr>
                <w:sz w:val="12"/>
                <w:szCs w:val="12"/>
                <w:color w:val="auto"/>
              </w:rPr>
            </w:pPr>
          </w:p>
        </w:tc>
        <w:tc>
          <w:tcPr>
            <w:tcW w:w="920" w:type="dxa"/>
            <w:vAlign w:val="bottom"/>
          </w:tcPr>
          <w:p>
            <w:pPr>
              <w:jc w:val="right"/>
              <w:ind w:right="235"/>
              <w:spacing w:after="0" w:line="142" w:lineRule="exact"/>
              <w:rPr>
                <w:sz w:val="20"/>
                <w:szCs w:val="20"/>
                <w:color w:val="auto"/>
              </w:rPr>
            </w:pPr>
            <w:r>
              <w:rPr>
                <w:rFonts w:ascii="Arial" w:cs="Arial" w:eastAsia="Arial" w:hAnsi="Arial"/>
                <w:sz w:val="14"/>
                <w:szCs w:val="14"/>
                <w:b w:val="1"/>
                <w:bCs w:val="1"/>
                <w:color w:val="auto"/>
              </w:rPr>
              <w:t>2009</w:t>
            </w:r>
          </w:p>
        </w:tc>
        <w:tc>
          <w:tcPr>
            <w:tcW w:w="1080" w:type="dxa"/>
            <w:vAlign w:val="bottom"/>
            <w:gridSpan w:val="2"/>
          </w:tcPr>
          <w:p>
            <w:pPr>
              <w:jc w:val="right"/>
              <w:ind w:right="320"/>
              <w:spacing w:after="0" w:line="142" w:lineRule="exact"/>
              <w:rPr>
                <w:sz w:val="20"/>
                <w:szCs w:val="20"/>
                <w:color w:val="auto"/>
              </w:rPr>
            </w:pPr>
            <w:r>
              <w:rPr>
                <w:rFonts w:ascii="Arial" w:cs="Arial" w:eastAsia="Arial" w:hAnsi="Arial"/>
                <w:sz w:val="14"/>
                <w:szCs w:val="14"/>
                <w:b w:val="1"/>
                <w:bCs w:val="1"/>
                <w:color w:val="auto"/>
              </w:rPr>
              <w:t>2008</w:t>
            </w:r>
          </w:p>
        </w:tc>
        <w:tc>
          <w:tcPr>
            <w:tcW w:w="160" w:type="dxa"/>
            <w:vAlign w:val="bottom"/>
          </w:tcPr>
          <w:p>
            <w:pPr>
              <w:spacing w:after="0"/>
              <w:rPr>
                <w:sz w:val="12"/>
                <w:szCs w:val="12"/>
                <w:color w:val="auto"/>
              </w:rPr>
            </w:pPr>
          </w:p>
        </w:tc>
        <w:tc>
          <w:tcPr>
            <w:tcW w:w="920" w:type="dxa"/>
            <w:vAlign w:val="bottom"/>
          </w:tcPr>
          <w:p>
            <w:pPr>
              <w:jc w:val="right"/>
              <w:ind w:right="235"/>
              <w:spacing w:after="0" w:line="142" w:lineRule="exact"/>
              <w:rPr>
                <w:sz w:val="20"/>
                <w:szCs w:val="20"/>
                <w:color w:val="auto"/>
              </w:rPr>
            </w:pPr>
            <w:r>
              <w:rPr>
                <w:rFonts w:ascii="Arial" w:cs="Arial" w:eastAsia="Arial" w:hAnsi="Arial"/>
                <w:sz w:val="14"/>
                <w:szCs w:val="14"/>
                <w:b w:val="1"/>
                <w:bCs w:val="1"/>
                <w:color w:val="auto"/>
              </w:rPr>
              <w:t>2007</w:t>
            </w:r>
          </w:p>
        </w:tc>
        <w:tc>
          <w:tcPr>
            <w:tcW w:w="160" w:type="dxa"/>
            <w:vAlign w:val="bottom"/>
          </w:tcPr>
          <w:p>
            <w:pPr>
              <w:spacing w:after="0"/>
              <w:rPr>
                <w:sz w:val="12"/>
                <w:szCs w:val="12"/>
                <w:color w:val="auto"/>
              </w:rPr>
            </w:pPr>
          </w:p>
        </w:tc>
      </w:tr>
      <w:tr>
        <w:trPr>
          <w:trHeight w:val="210"/>
        </w:trPr>
        <w:tc>
          <w:tcPr>
            <w:tcW w:w="20" w:type="dxa"/>
            <w:vAlign w:val="bottom"/>
          </w:tcPr>
          <w:p>
            <w:pPr>
              <w:spacing w:after="0"/>
              <w:rPr>
                <w:sz w:val="18"/>
                <w:szCs w:val="18"/>
                <w:color w:val="auto"/>
              </w:rPr>
            </w:pPr>
          </w:p>
        </w:tc>
        <w:tc>
          <w:tcPr>
            <w:tcW w:w="588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Gold</w:t>
            </w:r>
          </w:p>
        </w:tc>
        <w:tc>
          <w:tcPr>
            <w:tcW w:w="92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2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2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880" w:type="dxa"/>
            <w:vAlign w:val="bottom"/>
            <w:gridSpan w:val="2"/>
          </w:tcPr>
          <w:p>
            <w:pPr>
              <w:ind w:left="120"/>
              <w:spacing w:after="0"/>
              <w:rPr>
                <w:sz w:val="20"/>
                <w:szCs w:val="20"/>
                <w:color w:val="auto"/>
              </w:rPr>
            </w:pPr>
            <w:r>
              <w:rPr>
                <w:rFonts w:ascii="Arial" w:cs="Arial" w:eastAsia="Arial" w:hAnsi="Arial"/>
                <w:sz w:val="18"/>
                <w:szCs w:val="18"/>
                <w:color w:val="auto"/>
              </w:rPr>
              <w:t>Proven mineral reserves — tonnes</w:t>
            </w:r>
          </w:p>
        </w:tc>
        <w:tc>
          <w:tcPr>
            <w:tcW w:w="920" w:type="dxa"/>
            <w:vAlign w:val="bottom"/>
          </w:tcPr>
          <w:p>
            <w:pPr>
              <w:jc w:val="right"/>
              <w:spacing w:after="0"/>
              <w:rPr>
                <w:sz w:val="20"/>
                <w:szCs w:val="20"/>
                <w:color w:val="auto"/>
              </w:rPr>
            </w:pPr>
            <w:r>
              <w:rPr>
                <w:rFonts w:ascii="Arial" w:cs="Arial" w:eastAsia="Arial" w:hAnsi="Arial"/>
                <w:sz w:val="18"/>
                <w:szCs w:val="18"/>
                <w:color w:val="auto"/>
              </w:rPr>
              <w:t>257,000</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199,000</w:t>
            </w:r>
          </w:p>
        </w:tc>
        <w:tc>
          <w:tcPr>
            <w:tcW w:w="160" w:type="dxa"/>
            <w:vAlign w:val="bottom"/>
          </w:tcPr>
          <w:p>
            <w:pPr>
              <w:spacing w:after="0"/>
              <w:rPr>
                <w:sz w:val="18"/>
                <w:szCs w:val="18"/>
                <w:color w:val="auto"/>
              </w:rPr>
            </w:pPr>
          </w:p>
        </w:tc>
        <w:tc>
          <w:tcPr>
            <w:tcW w:w="108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20" w:type="dxa"/>
            <w:vAlign w:val="bottom"/>
          </w:tcPr>
          <w:p>
            <w:pPr>
              <w:spacing w:after="0"/>
              <w:rPr>
                <w:sz w:val="18"/>
                <w:szCs w:val="18"/>
                <w:color w:val="auto"/>
              </w:rPr>
            </w:pPr>
          </w:p>
        </w:tc>
        <w:tc>
          <w:tcPr>
            <w:tcW w:w="588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Average grade — gold grams per tonne</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3.71</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4.84</w:t>
            </w:r>
          </w:p>
        </w:tc>
        <w:tc>
          <w:tcPr>
            <w:tcW w:w="16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20" w:type="dxa"/>
            <w:vAlign w:val="bottom"/>
          </w:tcPr>
          <w:p>
            <w:pPr>
              <w:spacing w:after="0"/>
              <w:rPr>
                <w:sz w:val="18"/>
                <w:szCs w:val="18"/>
                <w:color w:val="auto"/>
              </w:rPr>
            </w:pPr>
          </w:p>
        </w:tc>
        <w:tc>
          <w:tcPr>
            <w:tcW w:w="5880" w:type="dxa"/>
            <w:vAlign w:val="bottom"/>
            <w:gridSpan w:val="2"/>
          </w:tcPr>
          <w:p>
            <w:pPr>
              <w:ind w:left="120"/>
              <w:spacing w:after="0"/>
              <w:rPr>
                <w:sz w:val="20"/>
                <w:szCs w:val="20"/>
                <w:color w:val="auto"/>
              </w:rPr>
            </w:pPr>
            <w:r>
              <w:rPr>
                <w:rFonts w:ascii="Arial" w:cs="Arial" w:eastAsia="Arial" w:hAnsi="Arial"/>
                <w:sz w:val="18"/>
                <w:szCs w:val="18"/>
                <w:color w:val="auto"/>
              </w:rPr>
              <w:t>Probable mineral reserves — tonnes</w:t>
            </w:r>
          </w:p>
        </w:tc>
        <w:tc>
          <w:tcPr>
            <w:tcW w:w="920" w:type="dxa"/>
            <w:vAlign w:val="bottom"/>
          </w:tcPr>
          <w:p>
            <w:pPr>
              <w:jc w:val="right"/>
              <w:spacing w:after="0"/>
              <w:rPr>
                <w:sz w:val="20"/>
                <w:szCs w:val="20"/>
                <w:color w:val="auto"/>
              </w:rPr>
            </w:pPr>
            <w:r>
              <w:rPr>
                <w:rFonts w:ascii="Arial" w:cs="Arial" w:eastAsia="Arial" w:hAnsi="Arial"/>
                <w:sz w:val="18"/>
                <w:szCs w:val="18"/>
                <w:color w:val="auto"/>
                <w:w w:val="99"/>
              </w:rPr>
              <w:t>25,704,000</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21,171,000</w:t>
            </w:r>
          </w:p>
        </w:tc>
        <w:tc>
          <w:tcPr>
            <w:tcW w:w="16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w w:val="99"/>
              </w:rPr>
              <w:t>18,205,000</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88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Average grade — gold grams per tonne</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4.83</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4.69</w:t>
            </w:r>
          </w:p>
        </w:tc>
        <w:tc>
          <w:tcPr>
            <w:tcW w:w="16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5.12</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880" w:type="dxa"/>
            <w:vAlign w:val="bottom"/>
            <w:gridSpan w:val="2"/>
          </w:tcPr>
          <w:p>
            <w:pPr>
              <w:spacing w:after="0"/>
              <w:rPr>
                <w:sz w:val="20"/>
                <w:szCs w:val="20"/>
                <w:color w:val="auto"/>
              </w:rPr>
            </w:pPr>
            <w:r>
              <w:rPr>
                <w:rFonts w:ascii="Arial" w:cs="Arial" w:eastAsia="Arial" w:hAnsi="Arial"/>
                <w:sz w:val="18"/>
                <w:szCs w:val="18"/>
                <w:b w:val="1"/>
                <w:bCs w:val="1"/>
                <w:color w:val="auto"/>
              </w:rPr>
              <w:t>Total proven and probable mineral reserves — tonnes</w:t>
            </w:r>
          </w:p>
        </w:tc>
        <w:tc>
          <w:tcPr>
            <w:tcW w:w="920" w:type="dxa"/>
            <w:vAlign w:val="bottom"/>
          </w:tcPr>
          <w:p>
            <w:pPr>
              <w:jc w:val="right"/>
              <w:spacing w:after="0"/>
              <w:rPr>
                <w:sz w:val="20"/>
                <w:szCs w:val="20"/>
                <w:color w:val="auto"/>
              </w:rPr>
            </w:pPr>
            <w:r>
              <w:rPr>
                <w:rFonts w:ascii="Arial" w:cs="Arial" w:eastAsia="Arial" w:hAnsi="Arial"/>
                <w:sz w:val="18"/>
                <w:szCs w:val="18"/>
                <w:b w:val="1"/>
                <w:bCs w:val="1"/>
                <w:color w:val="auto"/>
                <w:w w:val="99"/>
              </w:rPr>
              <w:t>25,961,000</w:t>
            </w:r>
          </w:p>
        </w:tc>
        <w:tc>
          <w:tcPr>
            <w:tcW w:w="1080" w:type="dxa"/>
            <w:vAlign w:val="bottom"/>
            <w:gridSpan w:val="2"/>
          </w:tcPr>
          <w:p>
            <w:pPr>
              <w:jc w:val="right"/>
              <w:spacing w:after="0"/>
              <w:rPr>
                <w:sz w:val="20"/>
                <w:szCs w:val="20"/>
                <w:color w:val="auto"/>
              </w:rPr>
            </w:pPr>
            <w:r>
              <w:rPr>
                <w:rFonts w:ascii="Arial" w:cs="Arial" w:eastAsia="Arial" w:hAnsi="Arial"/>
                <w:sz w:val="18"/>
                <w:szCs w:val="18"/>
                <w:b w:val="1"/>
                <w:bCs w:val="1"/>
                <w:color w:val="auto"/>
              </w:rPr>
              <w:t>21,370,000</w:t>
            </w:r>
          </w:p>
        </w:tc>
        <w:tc>
          <w:tcPr>
            <w:tcW w:w="16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b w:val="1"/>
                <w:bCs w:val="1"/>
                <w:color w:val="auto"/>
                <w:w w:val="99"/>
              </w:rPr>
              <w:t>18,205,000</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88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Average grade — gold grams per tonne</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4.82</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rPr>
              <w:t>4.69</w:t>
            </w:r>
          </w:p>
        </w:tc>
        <w:tc>
          <w:tcPr>
            <w:tcW w:w="16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5.12</w:t>
            </w:r>
          </w:p>
        </w:tc>
        <w:tc>
          <w:tcPr>
            <w:tcW w:w="160" w:type="dxa"/>
            <w:vAlign w:val="bottom"/>
            <w:shd w:val="clear" w:color="auto" w:fill="CCEEFF"/>
          </w:tcPr>
          <w:p>
            <w:pPr>
              <w:spacing w:after="0"/>
              <w:rPr>
                <w:sz w:val="18"/>
                <w:szCs w:val="18"/>
                <w:color w:val="auto"/>
              </w:rPr>
            </w:pPr>
          </w:p>
        </w:tc>
      </w:tr>
      <w:tr>
        <w:trPr>
          <w:trHeight w:val="228"/>
        </w:trPr>
        <w:tc>
          <w:tcPr>
            <w:tcW w:w="20" w:type="dxa"/>
            <w:vAlign w:val="bottom"/>
          </w:tcPr>
          <w:p>
            <w:pPr>
              <w:spacing w:after="0"/>
              <w:rPr>
                <w:sz w:val="19"/>
                <w:szCs w:val="19"/>
                <w:color w:val="auto"/>
              </w:rPr>
            </w:pPr>
          </w:p>
        </w:tc>
        <w:tc>
          <w:tcPr>
            <w:tcW w:w="5880" w:type="dxa"/>
            <w:vAlign w:val="bottom"/>
            <w:gridSpan w:val="2"/>
          </w:tcPr>
          <w:p>
            <w:pPr>
              <w:spacing w:after="0"/>
              <w:rPr>
                <w:sz w:val="20"/>
                <w:szCs w:val="20"/>
                <w:color w:val="auto"/>
              </w:rPr>
            </w:pPr>
            <w:r>
              <w:rPr>
                <w:rFonts w:ascii="Arial" w:cs="Arial" w:eastAsia="Arial" w:hAnsi="Arial"/>
                <w:sz w:val="18"/>
                <w:szCs w:val="18"/>
                <w:b w:val="1"/>
                <w:bCs w:val="1"/>
                <w:color w:val="auto"/>
              </w:rPr>
              <w:t>Total contained gold ounces</w:t>
            </w:r>
          </w:p>
        </w:tc>
        <w:tc>
          <w:tcPr>
            <w:tcW w:w="920" w:type="dxa"/>
            <w:vAlign w:val="bottom"/>
          </w:tcPr>
          <w:p>
            <w:pPr>
              <w:jc w:val="right"/>
              <w:spacing w:after="0"/>
              <w:rPr>
                <w:sz w:val="20"/>
                <w:szCs w:val="20"/>
                <w:color w:val="auto"/>
              </w:rPr>
            </w:pPr>
            <w:r>
              <w:rPr>
                <w:rFonts w:ascii="Arial" w:cs="Arial" w:eastAsia="Arial" w:hAnsi="Arial"/>
                <w:sz w:val="18"/>
                <w:szCs w:val="18"/>
                <w:b w:val="1"/>
                <w:bCs w:val="1"/>
                <w:color w:val="auto"/>
              </w:rPr>
              <w:t>4,025,000</w:t>
            </w:r>
          </w:p>
        </w:tc>
        <w:tc>
          <w:tcPr>
            <w:tcW w:w="1080" w:type="dxa"/>
            <w:vAlign w:val="bottom"/>
            <w:gridSpan w:val="2"/>
          </w:tcPr>
          <w:p>
            <w:pPr>
              <w:jc w:val="right"/>
              <w:spacing w:after="0"/>
              <w:rPr>
                <w:sz w:val="20"/>
                <w:szCs w:val="20"/>
                <w:color w:val="auto"/>
              </w:rPr>
            </w:pPr>
            <w:r>
              <w:rPr>
                <w:rFonts w:ascii="Arial" w:cs="Arial" w:eastAsia="Arial" w:hAnsi="Arial"/>
                <w:sz w:val="18"/>
                <w:szCs w:val="18"/>
                <w:b w:val="1"/>
                <w:bCs w:val="1"/>
                <w:color w:val="auto"/>
              </w:rPr>
              <w:t>3,225,000</w:t>
            </w:r>
          </w:p>
        </w:tc>
        <w:tc>
          <w:tcPr>
            <w:tcW w:w="160" w:type="dxa"/>
            <w:vAlign w:val="bottom"/>
          </w:tcPr>
          <w:p>
            <w:pPr>
              <w:spacing w:after="0"/>
              <w:rPr>
                <w:sz w:val="19"/>
                <w:szCs w:val="19"/>
                <w:color w:val="auto"/>
              </w:rPr>
            </w:pPr>
          </w:p>
        </w:tc>
        <w:tc>
          <w:tcPr>
            <w:tcW w:w="920" w:type="dxa"/>
            <w:vAlign w:val="bottom"/>
          </w:tcPr>
          <w:p>
            <w:pPr>
              <w:jc w:val="right"/>
              <w:spacing w:after="0"/>
              <w:rPr>
                <w:sz w:val="20"/>
                <w:szCs w:val="20"/>
                <w:color w:val="auto"/>
              </w:rPr>
            </w:pPr>
            <w:r>
              <w:rPr>
                <w:rFonts w:ascii="Arial" w:cs="Arial" w:eastAsia="Arial" w:hAnsi="Arial"/>
                <w:sz w:val="18"/>
                <w:szCs w:val="18"/>
                <w:b w:val="1"/>
                <w:bCs w:val="1"/>
                <w:color w:val="auto"/>
              </w:rPr>
              <w:t>2,996,000</w:t>
            </w:r>
          </w:p>
        </w:tc>
        <w:tc>
          <w:tcPr>
            <w:tcW w:w="160" w:type="dxa"/>
            <w:vAlign w:val="bottom"/>
          </w:tcPr>
          <w:p>
            <w:pPr>
              <w:spacing w:after="0"/>
              <w:rPr>
                <w:sz w:val="19"/>
                <w:szCs w:val="19"/>
                <w:color w:val="auto"/>
              </w:rPr>
            </w:pPr>
          </w:p>
        </w:tc>
      </w:tr>
      <w:tr>
        <w:trPr>
          <w:trHeight w:val="96"/>
        </w:trPr>
        <w:tc>
          <w:tcPr>
            <w:tcW w:w="20" w:type="dxa"/>
            <w:vAlign w:val="bottom"/>
            <w:tcBorders>
              <w:bottom w:val="single" w:sz="8" w:color="auto"/>
            </w:tcBorders>
          </w:tcPr>
          <w:p>
            <w:pPr>
              <w:spacing w:after="0"/>
              <w:rPr>
                <w:sz w:val="8"/>
                <w:szCs w:val="8"/>
                <w:color w:val="auto"/>
              </w:rPr>
            </w:pPr>
          </w:p>
        </w:tc>
        <w:tc>
          <w:tcPr>
            <w:tcW w:w="1260" w:type="dxa"/>
            <w:vAlign w:val="bottom"/>
            <w:tcBorders>
              <w:bottom w:val="single" w:sz="8" w:color="auto"/>
            </w:tcBorders>
          </w:tcPr>
          <w:p>
            <w:pPr>
              <w:spacing w:after="0"/>
              <w:rPr>
                <w:sz w:val="8"/>
                <w:szCs w:val="8"/>
                <w:color w:val="auto"/>
              </w:rPr>
            </w:pPr>
          </w:p>
        </w:tc>
        <w:tc>
          <w:tcPr>
            <w:tcW w:w="4620" w:type="dxa"/>
            <w:vAlign w:val="bottom"/>
          </w:tcPr>
          <w:p>
            <w:pPr>
              <w:spacing w:after="0"/>
              <w:rPr>
                <w:sz w:val="8"/>
                <w:szCs w:val="8"/>
                <w:color w:val="auto"/>
              </w:rPr>
            </w:pPr>
          </w:p>
        </w:tc>
        <w:tc>
          <w:tcPr>
            <w:tcW w:w="920" w:type="dxa"/>
            <w:vAlign w:val="bottom"/>
          </w:tcPr>
          <w:p>
            <w:pPr>
              <w:spacing w:after="0"/>
              <w:rPr>
                <w:sz w:val="8"/>
                <w:szCs w:val="8"/>
                <w:color w:val="auto"/>
              </w:rPr>
            </w:pPr>
          </w:p>
        </w:tc>
        <w:tc>
          <w:tcPr>
            <w:tcW w:w="160" w:type="dxa"/>
            <w:vAlign w:val="bottom"/>
          </w:tcPr>
          <w:p>
            <w:pPr>
              <w:spacing w:after="0"/>
              <w:rPr>
                <w:sz w:val="8"/>
                <w:szCs w:val="8"/>
                <w:color w:val="auto"/>
              </w:rPr>
            </w:pPr>
          </w:p>
        </w:tc>
        <w:tc>
          <w:tcPr>
            <w:tcW w:w="920" w:type="dxa"/>
            <w:vAlign w:val="bottom"/>
          </w:tcPr>
          <w:p>
            <w:pPr>
              <w:spacing w:after="0"/>
              <w:rPr>
                <w:sz w:val="8"/>
                <w:szCs w:val="8"/>
                <w:color w:val="auto"/>
              </w:rPr>
            </w:pPr>
          </w:p>
        </w:tc>
        <w:tc>
          <w:tcPr>
            <w:tcW w:w="160" w:type="dxa"/>
            <w:vAlign w:val="bottom"/>
          </w:tcPr>
          <w:p>
            <w:pPr>
              <w:spacing w:after="0"/>
              <w:rPr>
                <w:sz w:val="8"/>
                <w:szCs w:val="8"/>
                <w:color w:val="auto"/>
              </w:rPr>
            </w:pPr>
          </w:p>
        </w:tc>
        <w:tc>
          <w:tcPr>
            <w:tcW w:w="920" w:type="dxa"/>
            <w:vAlign w:val="bottom"/>
          </w:tcPr>
          <w:p>
            <w:pPr>
              <w:spacing w:after="0"/>
              <w:rPr>
                <w:sz w:val="8"/>
                <w:szCs w:val="8"/>
                <w:color w:val="auto"/>
              </w:rPr>
            </w:pPr>
          </w:p>
        </w:tc>
        <w:tc>
          <w:tcPr>
            <w:tcW w:w="160" w:type="dxa"/>
            <w:vAlign w:val="bottom"/>
          </w:tcPr>
          <w:p>
            <w:pPr>
              <w:spacing w:after="0"/>
              <w:rPr>
                <w:sz w:val="8"/>
                <w:szCs w:val="8"/>
                <w:color w:val="auto"/>
              </w:rPr>
            </w:pPr>
          </w:p>
        </w:tc>
      </w:tr>
    </w:tbl>
    <w:p>
      <w:pPr>
        <w:spacing w:after="0" w:line="205" w:lineRule="exact"/>
        <w:rPr>
          <w:sz w:val="20"/>
          <w:szCs w:val="20"/>
          <w:color w:val="auto"/>
        </w:rPr>
      </w:pPr>
    </w:p>
    <w:p>
      <w:pPr>
        <w:ind w:left="1140"/>
        <w:spacing w:after="0"/>
        <w:rPr>
          <w:sz w:val="20"/>
          <w:szCs w:val="20"/>
          <w:color w:val="auto"/>
        </w:rPr>
      </w:pPr>
      <w:r>
        <w:rPr>
          <w:rFonts w:ascii="Arial" w:cs="Arial" w:eastAsia="Arial" w:hAnsi="Arial"/>
          <w:sz w:val="14"/>
          <w:szCs w:val="14"/>
          <w:color w:val="auto"/>
        </w:rPr>
        <w:t>Notes:</w:t>
      </w:r>
    </w:p>
    <w:p>
      <w:pPr>
        <w:spacing w:after="0" w:line="190" w:lineRule="exact"/>
        <w:rPr>
          <w:sz w:val="20"/>
          <w:szCs w:val="20"/>
          <w:color w:val="auto"/>
        </w:rPr>
      </w:pPr>
    </w:p>
    <w:p>
      <w:pPr>
        <w:jc w:val="both"/>
        <w:ind w:left="1680" w:hanging="531"/>
        <w:spacing w:after="0" w:line="278" w:lineRule="auto"/>
        <w:tabs>
          <w:tab w:leader="none" w:pos="1680" w:val="left"/>
        </w:tabs>
        <w:numPr>
          <w:ilvl w:val="0"/>
          <w:numId w:val="14"/>
        </w:numPr>
        <w:rPr>
          <w:rFonts w:ascii="Arial" w:cs="Arial" w:eastAsia="Arial" w:hAnsi="Arial"/>
          <w:sz w:val="12"/>
          <w:szCs w:val="12"/>
          <w:color w:val="auto"/>
        </w:rPr>
      </w:pPr>
      <w:r>
        <w:rPr>
          <w:rFonts w:ascii="Arial" w:cs="Arial" w:eastAsia="Arial" w:hAnsi="Arial"/>
          <w:sz w:val="12"/>
          <w:szCs w:val="12"/>
          <w:color w:val="auto"/>
        </w:rPr>
        <w:t>The 2009 proven and probable mineral reserve and mineral resource estimates were calculated using a metallurgical gold recovery of 89.3%. Gold cut-off grades used were 1.0 gram per tonne for open pit reserves and between 2.8 grams per tonne and 3.1 grams per tonne, depending on the deposit, for underground reserves. The open pit operating cost is estimated to be €33.28 per tonne, while the underground operating cost is estimated to vary between €47.64 per tonne and €52.63 per tonne, depending on the deposit. The Company estimates that a 10% change in the gold price would result in an approximate 11% change in mineral reserves.</w:t>
      </w:r>
    </w:p>
    <w:p>
      <w:pPr>
        <w:spacing w:after="0" w:line="17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05" w:name="page106"/>
    <w:bookmarkEnd w:id="105"/>
    <w:p>
      <w:pPr>
        <w:ind w:left="1680" w:hanging="531"/>
        <w:spacing w:after="0" w:line="239" w:lineRule="auto"/>
        <w:tabs>
          <w:tab w:leader="none" w:pos="1680" w:val="left"/>
        </w:tabs>
        <w:numPr>
          <w:ilvl w:val="0"/>
          <w:numId w:val="15"/>
        </w:numPr>
        <w:rPr>
          <w:rFonts w:ascii="Arial" w:cs="Arial" w:eastAsia="Arial" w:hAnsi="Arial"/>
          <w:sz w:val="14"/>
          <w:szCs w:val="14"/>
          <w:color w:val="auto"/>
        </w:rPr>
      </w:pPr>
      <w:r>
        <w:rPr>
          <w:rFonts w:ascii="Arial" w:cs="Arial" w:eastAsia="Arial" w:hAnsi="Arial"/>
          <w:sz w:val="14"/>
          <w:szCs w:val="14"/>
          <w:color w:val="auto"/>
        </w:rPr>
        <w:t>In addition to the mineral reserves set out above, at December 31, 2009, the Kittila Mine contained indicated mineral resources of 20.5 million tonnes grading 2.19 grams of gold per tonne and inferred mineral resources of 5.3 million tonnes grading 3.42 grams of gold per tonne.</w:t>
      </w:r>
    </w:p>
    <w:p>
      <w:pPr>
        <w:spacing w:after="0" w:line="111" w:lineRule="exact"/>
        <w:rPr>
          <w:rFonts w:ascii="Arial" w:cs="Arial" w:eastAsia="Arial" w:hAnsi="Arial"/>
          <w:sz w:val="14"/>
          <w:szCs w:val="14"/>
          <w:color w:val="auto"/>
        </w:rPr>
      </w:pPr>
    </w:p>
    <w:p>
      <w:pPr>
        <w:ind w:left="1680" w:hanging="531"/>
        <w:spacing w:after="0" w:line="239" w:lineRule="auto"/>
        <w:tabs>
          <w:tab w:leader="none" w:pos="1680" w:val="left"/>
        </w:tabs>
        <w:numPr>
          <w:ilvl w:val="0"/>
          <w:numId w:val="15"/>
        </w:numPr>
        <w:rPr>
          <w:rFonts w:ascii="Arial" w:cs="Arial" w:eastAsia="Arial" w:hAnsi="Arial"/>
          <w:sz w:val="14"/>
          <w:szCs w:val="14"/>
          <w:color w:val="auto"/>
        </w:rPr>
      </w:pPr>
      <w:r>
        <w:rPr>
          <w:rFonts w:ascii="Arial" w:cs="Arial" w:eastAsia="Arial" w:hAnsi="Arial"/>
          <w:sz w:val="14"/>
          <w:szCs w:val="14"/>
          <w:color w:val="auto"/>
        </w:rPr>
        <w:t>The breakdown of proven and probable mineral reserves between planned open pit operations and underground operations at the Kittila Mine (with tonnage and contained ounces rounded to the nearest thousand) is:</w:t>
      </w:r>
    </w:p>
    <w:p>
      <w:pPr>
        <w:spacing w:after="0" w:line="178" w:lineRule="exact"/>
        <w:rPr>
          <w:sz w:val="20"/>
          <w:szCs w:val="20"/>
          <w:color w:val="auto"/>
        </w:rPr>
      </w:pPr>
    </w:p>
    <w:tbl>
      <w:tblPr>
        <w:tblLayout w:type="fixed"/>
        <w:tblInd w:w="2300" w:type="dxa"/>
        <w:tblCellMar>
          <w:top w:w="0" w:type="dxa"/>
          <w:left w:w="0" w:type="dxa"/>
          <w:bottom w:w="0" w:type="dxa"/>
          <w:right w:w="0" w:type="dxa"/>
        </w:tblCellMar>
      </w:tblPr>
      <w:tr>
        <w:trPr>
          <w:trHeight w:val="161"/>
        </w:trPr>
        <w:tc>
          <w:tcPr>
            <w:tcW w:w="20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214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20" w:type="dxa"/>
            <w:vAlign w:val="bottom"/>
          </w:tcPr>
          <w:p>
            <w:pPr>
              <w:jc w:val="right"/>
              <w:ind w:right="212"/>
              <w:spacing w:after="0"/>
              <w:rPr>
                <w:sz w:val="20"/>
                <w:szCs w:val="20"/>
                <w:color w:val="auto"/>
              </w:rPr>
            </w:pPr>
            <w:r>
              <w:rPr>
                <w:rFonts w:ascii="Arial" w:cs="Arial" w:eastAsia="Arial" w:hAnsi="Arial"/>
                <w:sz w:val="14"/>
                <w:szCs w:val="14"/>
                <w:b w:val="1"/>
                <w:bCs w:val="1"/>
                <w:color w:val="auto"/>
              </w:rPr>
              <w:t>Gold</w:t>
            </w:r>
          </w:p>
        </w:tc>
        <w:tc>
          <w:tcPr>
            <w:tcW w:w="160" w:type="dxa"/>
            <w:vAlign w:val="bottom"/>
          </w:tcPr>
          <w:p>
            <w:pPr>
              <w:spacing w:after="0"/>
              <w:rPr>
                <w:sz w:val="14"/>
                <w:szCs w:val="14"/>
                <w:color w:val="auto"/>
              </w:rPr>
            </w:pPr>
          </w:p>
        </w:tc>
        <w:tc>
          <w:tcPr>
            <w:tcW w:w="900" w:type="dxa"/>
            <w:vAlign w:val="bottom"/>
            <w:gridSpan w:val="2"/>
          </w:tcPr>
          <w:p>
            <w:pPr>
              <w:ind w:left="60"/>
              <w:spacing w:after="0"/>
              <w:rPr>
                <w:sz w:val="20"/>
                <w:szCs w:val="20"/>
                <w:color w:val="auto"/>
              </w:rPr>
            </w:pPr>
            <w:r>
              <w:rPr>
                <w:rFonts w:ascii="Arial" w:cs="Arial" w:eastAsia="Arial" w:hAnsi="Arial"/>
                <w:sz w:val="14"/>
                <w:szCs w:val="14"/>
                <w:b w:val="1"/>
                <w:bCs w:val="1"/>
                <w:color w:val="auto"/>
              </w:rPr>
              <w:t>Contained</w:t>
            </w:r>
          </w:p>
        </w:tc>
      </w:tr>
      <w:tr>
        <w:trPr>
          <w:trHeight w:val="161"/>
        </w:trPr>
        <w:tc>
          <w:tcPr>
            <w:tcW w:w="200" w:type="dxa"/>
            <w:vAlign w:val="bottom"/>
          </w:tcPr>
          <w:p>
            <w:pPr>
              <w:spacing w:after="0"/>
              <w:rPr>
                <w:sz w:val="14"/>
                <w:szCs w:val="14"/>
                <w:color w:val="auto"/>
              </w:rPr>
            </w:pPr>
          </w:p>
        </w:tc>
        <w:tc>
          <w:tcPr>
            <w:tcW w:w="56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w w:val="88"/>
              </w:rPr>
              <w:t>Category</w:t>
            </w:r>
          </w:p>
        </w:tc>
        <w:tc>
          <w:tcPr>
            <w:tcW w:w="2140" w:type="dxa"/>
            <w:vAlign w:val="bottom"/>
          </w:tcPr>
          <w:p>
            <w:pPr>
              <w:spacing w:after="0"/>
              <w:rPr>
                <w:sz w:val="14"/>
                <w:szCs w:val="14"/>
                <w:color w:val="auto"/>
              </w:rPr>
            </w:pPr>
          </w:p>
        </w:tc>
        <w:tc>
          <w:tcPr>
            <w:tcW w:w="98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1"/>
              </w:rPr>
              <w:t>Mining Method</w:t>
            </w:r>
          </w:p>
        </w:tc>
        <w:tc>
          <w:tcPr>
            <w:tcW w:w="160" w:type="dxa"/>
            <w:vAlign w:val="bottom"/>
          </w:tcPr>
          <w:p>
            <w:pPr>
              <w:spacing w:after="0"/>
              <w:rPr>
                <w:sz w:val="14"/>
                <w:szCs w:val="14"/>
                <w:color w:val="auto"/>
              </w:rPr>
            </w:pPr>
          </w:p>
        </w:tc>
        <w:tc>
          <w:tcPr>
            <w:tcW w:w="760" w:type="dxa"/>
            <w:vAlign w:val="bottom"/>
            <w:tcBorders>
              <w:bottom w:val="single" w:sz="8" w:color="auto"/>
            </w:tcBorders>
          </w:tcPr>
          <w:p>
            <w:pPr>
              <w:jc w:val="right"/>
              <w:ind w:right="112"/>
              <w:spacing w:after="0"/>
              <w:rPr>
                <w:sz w:val="20"/>
                <w:szCs w:val="20"/>
                <w:color w:val="auto"/>
              </w:rPr>
            </w:pPr>
            <w:r>
              <w:rPr>
                <w:rFonts w:ascii="Arial" w:cs="Arial" w:eastAsia="Arial" w:hAnsi="Arial"/>
                <w:sz w:val="14"/>
                <w:szCs w:val="14"/>
                <w:b w:val="1"/>
                <w:bCs w:val="1"/>
                <w:color w:val="auto"/>
              </w:rPr>
              <w:t>Tonnes</w:t>
            </w:r>
          </w:p>
        </w:tc>
        <w:tc>
          <w:tcPr>
            <w:tcW w:w="160" w:type="dxa"/>
            <w:vAlign w:val="bottom"/>
          </w:tcPr>
          <w:p>
            <w:pPr>
              <w:spacing w:after="0"/>
              <w:rPr>
                <w:sz w:val="14"/>
                <w:szCs w:val="14"/>
                <w:color w:val="auto"/>
              </w:rPr>
            </w:pPr>
          </w:p>
        </w:tc>
        <w:tc>
          <w:tcPr>
            <w:tcW w:w="820" w:type="dxa"/>
            <w:vAlign w:val="bottom"/>
            <w:tcBorders>
              <w:bottom w:val="single" w:sz="8" w:color="auto"/>
            </w:tcBorders>
          </w:tcPr>
          <w:p>
            <w:pPr>
              <w:jc w:val="right"/>
              <w:ind w:right="32"/>
              <w:spacing w:after="0"/>
              <w:rPr>
                <w:sz w:val="20"/>
                <w:szCs w:val="20"/>
                <w:color w:val="auto"/>
              </w:rPr>
            </w:pPr>
            <w:r>
              <w:rPr>
                <w:rFonts w:ascii="Arial" w:cs="Arial" w:eastAsia="Arial" w:hAnsi="Arial"/>
                <w:sz w:val="14"/>
                <w:szCs w:val="14"/>
                <w:b w:val="1"/>
                <w:bCs w:val="1"/>
                <w:color w:val="auto"/>
                <w:w w:val="98"/>
              </w:rPr>
              <w:t>Grade (g/t)</w:t>
            </w:r>
          </w:p>
        </w:tc>
        <w:tc>
          <w:tcPr>
            <w:tcW w:w="160" w:type="dxa"/>
            <w:vAlign w:val="bottom"/>
          </w:tcPr>
          <w:p>
            <w:pPr>
              <w:spacing w:after="0"/>
              <w:rPr>
                <w:sz w:val="14"/>
                <w:szCs w:val="14"/>
                <w:color w:val="auto"/>
              </w:rPr>
            </w:pPr>
          </w:p>
        </w:tc>
        <w:tc>
          <w:tcPr>
            <w:tcW w:w="740" w:type="dxa"/>
            <w:vAlign w:val="bottom"/>
            <w:tcBorders>
              <w:bottom w:val="single" w:sz="8" w:color="auto"/>
            </w:tcBorders>
          </w:tcPr>
          <w:p>
            <w:pPr>
              <w:jc w:val="right"/>
              <w:ind w:right="32"/>
              <w:spacing w:after="0"/>
              <w:rPr>
                <w:sz w:val="20"/>
                <w:szCs w:val="20"/>
                <w:color w:val="auto"/>
              </w:rPr>
            </w:pPr>
            <w:r>
              <w:rPr>
                <w:rFonts w:ascii="Arial" w:cs="Arial" w:eastAsia="Arial" w:hAnsi="Arial"/>
                <w:sz w:val="14"/>
                <w:szCs w:val="14"/>
                <w:b w:val="1"/>
                <w:bCs w:val="1"/>
                <w:color w:val="auto"/>
              </w:rPr>
              <w:t>Gold (oz)</w:t>
            </w:r>
          </w:p>
        </w:tc>
        <w:tc>
          <w:tcPr>
            <w:tcW w:w="160" w:type="dxa"/>
            <w:vAlign w:val="bottom"/>
          </w:tcPr>
          <w:p>
            <w:pPr>
              <w:spacing w:after="0"/>
              <w:rPr>
                <w:sz w:val="14"/>
                <w:szCs w:val="14"/>
                <w:color w:val="auto"/>
              </w:rPr>
            </w:pPr>
          </w:p>
        </w:tc>
      </w:tr>
      <w:tr>
        <w:trPr>
          <w:trHeight w:val="142"/>
        </w:trPr>
        <w:tc>
          <w:tcPr>
            <w:tcW w:w="200" w:type="dxa"/>
            <w:vAlign w:val="bottom"/>
            <w:shd w:val="clear" w:color="auto" w:fill="CCEEFF"/>
          </w:tcPr>
          <w:p>
            <w:pPr>
              <w:spacing w:after="0"/>
              <w:rPr>
                <w:sz w:val="12"/>
                <w:szCs w:val="12"/>
                <w:color w:val="auto"/>
              </w:rPr>
            </w:pPr>
          </w:p>
        </w:tc>
        <w:tc>
          <w:tcPr>
            <w:tcW w:w="2700" w:type="dxa"/>
            <w:vAlign w:val="bottom"/>
            <w:gridSpan w:val="2"/>
            <w:shd w:val="clear" w:color="auto" w:fill="CCEEFF"/>
          </w:tcPr>
          <w:p>
            <w:pPr>
              <w:spacing w:after="0" w:line="142" w:lineRule="exact"/>
              <w:rPr>
                <w:sz w:val="20"/>
                <w:szCs w:val="20"/>
                <w:color w:val="auto"/>
              </w:rPr>
            </w:pPr>
            <w:r>
              <w:rPr>
                <w:rFonts w:ascii="Arial" w:cs="Arial" w:eastAsia="Arial" w:hAnsi="Arial"/>
                <w:sz w:val="14"/>
                <w:szCs w:val="14"/>
                <w:color w:val="auto"/>
              </w:rPr>
              <w:t>Proven mineral reserve</w:t>
            </w:r>
          </w:p>
        </w:tc>
        <w:tc>
          <w:tcPr>
            <w:tcW w:w="980" w:type="dxa"/>
            <w:vAlign w:val="bottom"/>
            <w:shd w:val="clear" w:color="auto" w:fill="CCEEFF"/>
          </w:tcPr>
          <w:p>
            <w:pPr>
              <w:jc w:val="center"/>
              <w:spacing w:after="0" w:line="142" w:lineRule="exact"/>
              <w:rPr>
                <w:sz w:val="20"/>
                <w:szCs w:val="20"/>
                <w:color w:val="auto"/>
              </w:rPr>
            </w:pPr>
            <w:r>
              <w:rPr>
                <w:rFonts w:ascii="Arial" w:cs="Arial" w:eastAsia="Arial" w:hAnsi="Arial"/>
                <w:sz w:val="14"/>
                <w:szCs w:val="14"/>
                <w:color w:val="auto"/>
                <w:w w:val="86"/>
              </w:rPr>
              <w:t>Open pit</w:t>
            </w:r>
          </w:p>
        </w:tc>
        <w:tc>
          <w:tcPr>
            <w:tcW w:w="92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255,000</w:t>
            </w:r>
          </w:p>
        </w:tc>
        <w:tc>
          <w:tcPr>
            <w:tcW w:w="98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3.71</w:t>
            </w:r>
          </w:p>
        </w:tc>
        <w:tc>
          <w:tcPr>
            <w:tcW w:w="1060" w:type="dxa"/>
            <w:vAlign w:val="bottom"/>
            <w:gridSpan w:val="3"/>
            <w:shd w:val="clear" w:color="auto" w:fill="CCEEFF"/>
          </w:tcPr>
          <w:p>
            <w:pPr>
              <w:jc w:val="right"/>
              <w:ind w:right="160"/>
              <w:spacing w:after="0" w:line="142" w:lineRule="exact"/>
              <w:rPr>
                <w:sz w:val="20"/>
                <w:szCs w:val="20"/>
                <w:color w:val="auto"/>
              </w:rPr>
            </w:pPr>
            <w:r>
              <w:rPr>
                <w:rFonts w:ascii="Arial" w:cs="Arial" w:eastAsia="Arial" w:hAnsi="Arial"/>
                <w:sz w:val="14"/>
                <w:szCs w:val="14"/>
                <w:color w:val="auto"/>
              </w:rPr>
              <w:t>30,000</w:t>
            </w:r>
          </w:p>
        </w:tc>
      </w:tr>
      <w:tr>
        <w:trPr>
          <w:trHeight w:val="149"/>
        </w:trPr>
        <w:tc>
          <w:tcPr>
            <w:tcW w:w="200" w:type="dxa"/>
            <w:vAlign w:val="bottom"/>
          </w:tcPr>
          <w:p>
            <w:pPr>
              <w:spacing w:after="0"/>
              <w:rPr>
                <w:sz w:val="12"/>
                <w:szCs w:val="12"/>
                <w:color w:val="auto"/>
              </w:rPr>
            </w:pPr>
          </w:p>
        </w:tc>
        <w:tc>
          <w:tcPr>
            <w:tcW w:w="2700" w:type="dxa"/>
            <w:vAlign w:val="bottom"/>
            <w:gridSpan w:val="2"/>
          </w:tcPr>
          <w:p>
            <w:pPr>
              <w:spacing w:after="0" w:line="149" w:lineRule="exact"/>
              <w:rPr>
                <w:sz w:val="20"/>
                <w:szCs w:val="20"/>
                <w:color w:val="auto"/>
              </w:rPr>
            </w:pPr>
            <w:r>
              <w:rPr>
                <w:rFonts w:ascii="Arial" w:cs="Arial" w:eastAsia="Arial" w:hAnsi="Arial"/>
                <w:sz w:val="14"/>
                <w:szCs w:val="14"/>
                <w:color w:val="auto"/>
              </w:rPr>
              <w:t>Proven mineral reserve</w:t>
            </w:r>
          </w:p>
        </w:tc>
        <w:tc>
          <w:tcPr>
            <w:tcW w:w="980" w:type="dxa"/>
            <w:vAlign w:val="bottom"/>
          </w:tcPr>
          <w:p>
            <w:pPr>
              <w:jc w:val="center"/>
              <w:spacing w:after="0" w:line="149" w:lineRule="exact"/>
              <w:rPr>
                <w:sz w:val="20"/>
                <w:szCs w:val="20"/>
                <w:color w:val="auto"/>
              </w:rPr>
            </w:pPr>
            <w:r>
              <w:rPr>
                <w:rFonts w:ascii="Arial" w:cs="Arial" w:eastAsia="Arial" w:hAnsi="Arial"/>
                <w:sz w:val="14"/>
                <w:szCs w:val="14"/>
                <w:color w:val="auto"/>
                <w:w w:val="88"/>
              </w:rPr>
              <w:t>Underground</w:t>
            </w:r>
          </w:p>
        </w:tc>
        <w:tc>
          <w:tcPr>
            <w:tcW w:w="9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1,000</w:t>
            </w:r>
          </w:p>
        </w:tc>
        <w:tc>
          <w:tcPr>
            <w:tcW w:w="9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3.81</w:t>
            </w:r>
          </w:p>
        </w:tc>
        <w:tc>
          <w:tcPr>
            <w:tcW w:w="1060" w:type="dxa"/>
            <w:vAlign w:val="bottom"/>
            <w:gridSpan w:val="3"/>
          </w:tcPr>
          <w:p>
            <w:pPr>
              <w:jc w:val="right"/>
              <w:ind w:right="160"/>
              <w:spacing w:after="0" w:line="149" w:lineRule="exact"/>
              <w:rPr>
                <w:sz w:val="20"/>
                <w:szCs w:val="20"/>
                <w:color w:val="auto"/>
              </w:rPr>
            </w:pPr>
            <w:r>
              <w:rPr>
                <w:rFonts w:ascii="Arial" w:cs="Arial" w:eastAsia="Arial" w:hAnsi="Arial"/>
                <w:sz w:val="14"/>
                <w:szCs w:val="14"/>
                <w:color w:val="auto"/>
              </w:rPr>
              <w:t>0</w:t>
            </w:r>
          </w:p>
        </w:tc>
      </w:tr>
      <w:tr>
        <w:trPr>
          <w:trHeight w:val="149"/>
        </w:trPr>
        <w:tc>
          <w:tcPr>
            <w:tcW w:w="200" w:type="dxa"/>
            <w:vAlign w:val="bottom"/>
            <w:shd w:val="clear" w:color="auto" w:fill="CCEEFF"/>
          </w:tcPr>
          <w:p>
            <w:pPr>
              <w:spacing w:after="0"/>
              <w:rPr>
                <w:sz w:val="12"/>
                <w:szCs w:val="12"/>
                <w:color w:val="auto"/>
              </w:rPr>
            </w:pPr>
          </w:p>
        </w:tc>
        <w:tc>
          <w:tcPr>
            <w:tcW w:w="27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Total proven mineral reserve</w:t>
            </w:r>
          </w:p>
        </w:tc>
        <w:tc>
          <w:tcPr>
            <w:tcW w:w="98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b w:val="1"/>
                <w:bCs w:val="1"/>
                <w:color w:val="auto"/>
              </w:rPr>
              <w:t>257,000</w:t>
            </w:r>
          </w:p>
        </w:tc>
        <w:tc>
          <w:tcPr>
            <w:tcW w:w="9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b w:val="1"/>
                <w:bCs w:val="1"/>
                <w:color w:val="auto"/>
              </w:rPr>
              <w:t>3.71</w:t>
            </w:r>
          </w:p>
        </w:tc>
        <w:tc>
          <w:tcPr>
            <w:tcW w:w="1060" w:type="dxa"/>
            <w:vAlign w:val="bottom"/>
            <w:gridSpan w:val="3"/>
            <w:shd w:val="clear" w:color="auto" w:fill="CCEEFF"/>
          </w:tcPr>
          <w:p>
            <w:pPr>
              <w:jc w:val="right"/>
              <w:ind w:right="160"/>
              <w:spacing w:after="0" w:line="149" w:lineRule="exact"/>
              <w:rPr>
                <w:sz w:val="20"/>
                <w:szCs w:val="20"/>
                <w:color w:val="auto"/>
              </w:rPr>
            </w:pPr>
            <w:r>
              <w:rPr>
                <w:rFonts w:ascii="Arial" w:cs="Arial" w:eastAsia="Arial" w:hAnsi="Arial"/>
                <w:sz w:val="14"/>
                <w:szCs w:val="14"/>
                <w:b w:val="1"/>
                <w:bCs w:val="1"/>
                <w:color w:val="auto"/>
              </w:rPr>
              <w:t>31,000</w:t>
            </w:r>
          </w:p>
        </w:tc>
      </w:tr>
      <w:tr>
        <w:trPr>
          <w:trHeight w:val="149"/>
        </w:trPr>
        <w:tc>
          <w:tcPr>
            <w:tcW w:w="200" w:type="dxa"/>
            <w:vAlign w:val="bottom"/>
          </w:tcPr>
          <w:p>
            <w:pPr>
              <w:spacing w:after="0"/>
              <w:rPr>
                <w:sz w:val="12"/>
                <w:szCs w:val="12"/>
                <w:color w:val="auto"/>
              </w:rPr>
            </w:pPr>
          </w:p>
        </w:tc>
        <w:tc>
          <w:tcPr>
            <w:tcW w:w="2700" w:type="dxa"/>
            <w:vAlign w:val="bottom"/>
            <w:gridSpan w:val="2"/>
          </w:tcPr>
          <w:p>
            <w:pPr>
              <w:spacing w:after="0" w:line="149" w:lineRule="exact"/>
              <w:rPr>
                <w:sz w:val="20"/>
                <w:szCs w:val="20"/>
                <w:color w:val="auto"/>
              </w:rPr>
            </w:pPr>
            <w:r>
              <w:rPr>
                <w:rFonts w:ascii="Arial" w:cs="Arial" w:eastAsia="Arial" w:hAnsi="Arial"/>
                <w:sz w:val="14"/>
                <w:szCs w:val="14"/>
                <w:color w:val="auto"/>
              </w:rPr>
              <w:t>Probable mineral reserve</w:t>
            </w:r>
          </w:p>
        </w:tc>
        <w:tc>
          <w:tcPr>
            <w:tcW w:w="980" w:type="dxa"/>
            <w:vAlign w:val="bottom"/>
          </w:tcPr>
          <w:p>
            <w:pPr>
              <w:jc w:val="center"/>
              <w:spacing w:after="0" w:line="149" w:lineRule="exact"/>
              <w:rPr>
                <w:sz w:val="20"/>
                <w:szCs w:val="20"/>
                <w:color w:val="auto"/>
              </w:rPr>
            </w:pPr>
            <w:r>
              <w:rPr>
                <w:rFonts w:ascii="Arial" w:cs="Arial" w:eastAsia="Arial" w:hAnsi="Arial"/>
                <w:sz w:val="14"/>
                <w:szCs w:val="14"/>
                <w:color w:val="auto"/>
                <w:w w:val="86"/>
              </w:rPr>
              <w:t>Open pit</w:t>
            </w:r>
          </w:p>
        </w:tc>
        <w:tc>
          <w:tcPr>
            <w:tcW w:w="9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3,053,000</w:t>
            </w:r>
          </w:p>
        </w:tc>
        <w:tc>
          <w:tcPr>
            <w:tcW w:w="9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5.05</w:t>
            </w:r>
          </w:p>
        </w:tc>
        <w:tc>
          <w:tcPr>
            <w:tcW w:w="1060" w:type="dxa"/>
            <w:vAlign w:val="bottom"/>
            <w:gridSpan w:val="3"/>
          </w:tcPr>
          <w:p>
            <w:pPr>
              <w:jc w:val="right"/>
              <w:ind w:right="160"/>
              <w:spacing w:after="0" w:line="149" w:lineRule="exact"/>
              <w:rPr>
                <w:sz w:val="20"/>
                <w:szCs w:val="20"/>
                <w:color w:val="auto"/>
              </w:rPr>
            </w:pPr>
            <w:r>
              <w:rPr>
                <w:rFonts w:ascii="Arial" w:cs="Arial" w:eastAsia="Arial" w:hAnsi="Arial"/>
                <w:sz w:val="14"/>
                <w:szCs w:val="14"/>
                <w:color w:val="auto"/>
              </w:rPr>
              <w:t>496,000</w:t>
            </w:r>
          </w:p>
        </w:tc>
      </w:tr>
      <w:tr>
        <w:trPr>
          <w:trHeight w:val="149"/>
        </w:trPr>
        <w:tc>
          <w:tcPr>
            <w:tcW w:w="200" w:type="dxa"/>
            <w:vAlign w:val="bottom"/>
            <w:shd w:val="clear" w:color="auto" w:fill="CCEEFF"/>
          </w:tcPr>
          <w:p>
            <w:pPr>
              <w:spacing w:after="0"/>
              <w:rPr>
                <w:sz w:val="12"/>
                <w:szCs w:val="12"/>
                <w:color w:val="auto"/>
              </w:rPr>
            </w:pPr>
          </w:p>
        </w:tc>
        <w:tc>
          <w:tcPr>
            <w:tcW w:w="27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Probable mineral reserve</w:t>
            </w:r>
          </w:p>
        </w:tc>
        <w:tc>
          <w:tcPr>
            <w:tcW w:w="980" w:type="dxa"/>
            <w:vAlign w:val="bottom"/>
            <w:shd w:val="clear" w:color="auto" w:fill="CCEEFF"/>
          </w:tcPr>
          <w:p>
            <w:pPr>
              <w:jc w:val="center"/>
              <w:spacing w:after="0" w:line="149" w:lineRule="exact"/>
              <w:rPr>
                <w:sz w:val="20"/>
                <w:szCs w:val="20"/>
                <w:color w:val="auto"/>
              </w:rPr>
            </w:pPr>
            <w:r>
              <w:rPr>
                <w:rFonts w:ascii="Arial" w:cs="Arial" w:eastAsia="Arial" w:hAnsi="Arial"/>
                <w:sz w:val="14"/>
                <w:szCs w:val="14"/>
                <w:color w:val="auto"/>
                <w:w w:val="88"/>
              </w:rPr>
              <w:t>Underground</w:t>
            </w:r>
          </w:p>
        </w:tc>
        <w:tc>
          <w:tcPr>
            <w:tcW w:w="9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22,651,000</w:t>
            </w:r>
          </w:p>
        </w:tc>
        <w:tc>
          <w:tcPr>
            <w:tcW w:w="9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4.80</w:t>
            </w:r>
          </w:p>
        </w:tc>
        <w:tc>
          <w:tcPr>
            <w:tcW w:w="1060" w:type="dxa"/>
            <w:vAlign w:val="bottom"/>
            <w:gridSpan w:val="3"/>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3,499,000</w:t>
            </w:r>
          </w:p>
        </w:tc>
      </w:tr>
      <w:tr>
        <w:trPr>
          <w:trHeight w:val="174"/>
        </w:trPr>
        <w:tc>
          <w:tcPr>
            <w:tcW w:w="200" w:type="dxa"/>
            <w:vAlign w:val="bottom"/>
          </w:tcPr>
          <w:p>
            <w:pPr>
              <w:spacing w:after="0"/>
              <w:rPr>
                <w:sz w:val="15"/>
                <w:szCs w:val="15"/>
                <w:color w:val="auto"/>
              </w:rPr>
            </w:pPr>
          </w:p>
        </w:tc>
        <w:tc>
          <w:tcPr>
            <w:tcW w:w="2700" w:type="dxa"/>
            <w:vAlign w:val="bottom"/>
            <w:gridSpan w:val="2"/>
          </w:tcPr>
          <w:p>
            <w:pPr>
              <w:spacing w:after="0"/>
              <w:rPr>
                <w:sz w:val="20"/>
                <w:szCs w:val="20"/>
                <w:color w:val="auto"/>
              </w:rPr>
            </w:pPr>
            <w:r>
              <w:rPr>
                <w:rFonts w:ascii="Arial" w:cs="Arial" w:eastAsia="Arial" w:hAnsi="Arial"/>
                <w:sz w:val="14"/>
                <w:szCs w:val="14"/>
                <w:b w:val="1"/>
                <w:bCs w:val="1"/>
                <w:color w:val="auto"/>
              </w:rPr>
              <w:t>Total probable mineral reserve</w:t>
            </w:r>
          </w:p>
        </w:tc>
        <w:tc>
          <w:tcPr>
            <w:tcW w:w="980" w:type="dxa"/>
            <w:vAlign w:val="bottom"/>
          </w:tcPr>
          <w:p>
            <w:pPr>
              <w:spacing w:after="0"/>
              <w:rPr>
                <w:sz w:val="15"/>
                <w:szCs w:val="15"/>
                <w:color w:val="auto"/>
              </w:rPr>
            </w:pPr>
          </w:p>
        </w:tc>
        <w:tc>
          <w:tcPr>
            <w:tcW w:w="920" w:type="dxa"/>
            <w:vAlign w:val="bottom"/>
            <w:gridSpan w:val="2"/>
          </w:tcPr>
          <w:p>
            <w:pPr>
              <w:jc w:val="right"/>
              <w:spacing w:after="0"/>
              <w:rPr>
                <w:sz w:val="20"/>
                <w:szCs w:val="20"/>
                <w:color w:val="auto"/>
              </w:rPr>
            </w:pPr>
            <w:r>
              <w:rPr>
                <w:rFonts w:ascii="Arial" w:cs="Arial" w:eastAsia="Arial" w:hAnsi="Arial"/>
                <w:sz w:val="14"/>
                <w:szCs w:val="14"/>
                <w:b w:val="1"/>
                <w:bCs w:val="1"/>
                <w:color w:val="auto"/>
              </w:rPr>
              <w:t>25,704,000</w:t>
            </w:r>
          </w:p>
        </w:tc>
        <w:tc>
          <w:tcPr>
            <w:tcW w:w="980" w:type="dxa"/>
            <w:vAlign w:val="bottom"/>
            <w:gridSpan w:val="2"/>
          </w:tcPr>
          <w:p>
            <w:pPr>
              <w:jc w:val="right"/>
              <w:spacing w:after="0"/>
              <w:rPr>
                <w:sz w:val="20"/>
                <w:szCs w:val="20"/>
                <w:color w:val="auto"/>
              </w:rPr>
            </w:pPr>
            <w:r>
              <w:rPr>
                <w:rFonts w:ascii="Arial" w:cs="Arial" w:eastAsia="Arial" w:hAnsi="Arial"/>
                <w:sz w:val="14"/>
                <w:szCs w:val="14"/>
                <w:b w:val="1"/>
                <w:bCs w:val="1"/>
                <w:color w:val="auto"/>
              </w:rPr>
              <w:t>4.83</w:t>
            </w:r>
          </w:p>
        </w:tc>
        <w:tc>
          <w:tcPr>
            <w:tcW w:w="1060" w:type="dxa"/>
            <w:vAlign w:val="bottom"/>
            <w:gridSpan w:val="3"/>
          </w:tcPr>
          <w:p>
            <w:pPr>
              <w:jc w:val="right"/>
              <w:ind w:right="160"/>
              <w:spacing w:after="0"/>
              <w:rPr>
                <w:sz w:val="20"/>
                <w:szCs w:val="20"/>
                <w:color w:val="auto"/>
              </w:rPr>
            </w:pPr>
            <w:r>
              <w:rPr>
                <w:rFonts w:ascii="Arial" w:cs="Arial" w:eastAsia="Arial" w:hAnsi="Arial"/>
                <w:sz w:val="14"/>
                <w:szCs w:val="14"/>
                <w:b w:val="1"/>
                <w:bCs w:val="1"/>
                <w:color w:val="auto"/>
              </w:rPr>
              <w:t>3,994,000</w:t>
            </w:r>
          </w:p>
        </w:tc>
      </w:tr>
    </w:tbl>
    <w:p>
      <w:pPr>
        <w:spacing w:after="0" w:line="166" w:lineRule="exact"/>
        <w:rPr>
          <w:sz w:val="20"/>
          <w:szCs w:val="20"/>
          <w:color w:val="auto"/>
        </w:rPr>
      </w:pPr>
    </w:p>
    <w:p>
      <w:pPr>
        <w:jc w:val="both"/>
        <w:ind w:left="1680" w:hanging="531"/>
        <w:spacing w:after="0" w:line="233" w:lineRule="auto"/>
        <w:tabs>
          <w:tab w:leader="none" w:pos="1680" w:val="left"/>
        </w:tabs>
        <w:numPr>
          <w:ilvl w:val="0"/>
          <w:numId w:val="16"/>
        </w:numPr>
        <w:rPr>
          <w:rFonts w:ascii="Arial" w:cs="Arial" w:eastAsia="Arial" w:hAnsi="Arial"/>
          <w:sz w:val="14"/>
          <w:szCs w:val="14"/>
          <w:color w:val="auto"/>
        </w:rPr>
      </w:pPr>
      <w:r>
        <w:rPr>
          <w:rFonts w:ascii="Arial" w:cs="Arial" w:eastAsia="Arial" w:hAnsi="Arial"/>
          <w:sz w:val="14"/>
          <w:szCs w:val="14"/>
          <w:color w:val="auto"/>
        </w:rPr>
        <w:t>The following table shows the reconciliation of mineral reserves (in nearest thousand tonnes) at the Kittila Mine by category at December 31, 2009 with those at December 31, 2008. Revision means additional mineral reserves converted from mineral resources or other categories of mineral reserves and mineral reserves added from exploration activities during 2009.</w:t>
      </w:r>
    </w:p>
    <w:p>
      <w:pPr>
        <w:spacing w:after="0" w:line="191" w:lineRule="exact"/>
        <w:rPr>
          <w:sz w:val="20"/>
          <w:szCs w:val="20"/>
          <w:color w:val="auto"/>
        </w:rPr>
      </w:pPr>
    </w:p>
    <w:tbl>
      <w:tblPr>
        <w:tblLayout w:type="fixed"/>
        <w:tblInd w:w="2300" w:type="dxa"/>
        <w:tblCellMar>
          <w:top w:w="0" w:type="dxa"/>
          <w:left w:w="0" w:type="dxa"/>
          <w:bottom w:w="0" w:type="dxa"/>
          <w:right w:w="0" w:type="dxa"/>
        </w:tblCellMar>
      </w:tblPr>
      <w:tr>
        <w:trPr>
          <w:trHeight w:val="161"/>
        </w:trPr>
        <w:tc>
          <w:tcPr>
            <w:tcW w:w="4600" w:type="dxa"/>
            <w:vAlign w:val="bottom"/>
          </w:tcPr>
          <w:p>
            <w:pPr>
              <w:spacing w:after="0"/>
              <w:rPr>
                <w:sz w:val="14"/>
                <w:szCs w:val="14"/>
                <w:color w:val="auto"/>
              </w:rPr>
            </w:pPr>
          </w:p>
        </w:tc>
        <w:tc>
          <w:tcPr>
            <w:tcW w:w="560" w:type="dxa"/>
            <w:vAlign w:val="bottom"/>
            <w:tcBorders>
              <w:bottom w:val="single" w:sz="8" w:color="auto"/>
            </w:tcBorders>
          </w:tcPr>
          <w:p>
            <w:pPr>
              <w:ind w:left="80"/>
              <w:spacing w:after="0"/>
              <w:rPr>
                <w:sz w:val="20"/>
                <w:szCs w:val="20"/>
                <w:color w:val="auto"/>
              </w:rPr>
            </w:pPr>
            <w:r>
              <w:rPr>
                <w:rFonts w:ascii="Arial" w:cs="Arial" w:eastAsia="Arial" w:hAnsi="Arial"/>
                <w:sz w:val="14"/>
                <w:szCs w:val="14"/>
                <w:b w:val="1"/>
                <w:bCs w:val="1"/>
                <w:color w:val="auto"/>
                <w:w w:val="96"/>
              </w:rPr>
              <w:t>Proven</w:t>
            </w:r>
          </w:p>
        </w:tc>
        <w:tc>
          <w:tcPr>
            <w:tcW w:w="160" w:type="dxa"/>
            <w:vAlign w:val="bottom"/>
          </w:tcPr>
          <w:p>
            <w:pPr>
              <w:spacing w:after="0"/>
              <w:rPr>
                <w:sz w:val="14"/>
                <w:szCs w:val="14"/>
                <w:color w:val="auto"/>
              </w:rPr>
            </w:pPr>
          </w:p>
        </w:tc>
        <w:tc>
          <w:tcPr>
            <w:tcW w:w="680" w:type="dxa"/>
            <w:vAlign w:val="bottom"/>
            <w:tcBorders>
              <w:bottom w:val="single" w:sz="8" w:color="auto"/>
            </w:tcBorders>
          </w:tcPr>
          <w:p>
            <w:pPr>
              <w:jc w:val="right"/>
              <w:ind w:right="12"/>
              <w:spacing w:after="0"/>
              <w:rPr>
                <w:sz w:val="20"/>
                <w:szCs w:val="20"/>
                <w:color w:val="auto"/>
              </w:rPr>
            </w:pPr>
            <w:r>
              <w:rPr>
                <w:rFonts w:ascii="Arial" w:cs="Arial" w:eastAsia="Arial" w:hAnsi="Arial"/>
                <w:sz w:val="14"/>
                <w:szCs w:val="14"/>
                <w:b w:val="1"/>
                <w:bCs w:val="1"/>
                <w:color w:val="auto"/>
                <w:w w:val="96"/>
              </w:rPr>
              <w:t>Probable</w:t>
            </w:r>
          </w:p>
        </w:tc>
        <w:tc>
          <w:tcPr>
            <w:tcW w:w="160" w:type="dxa"/>
            <w:vAlign w:val="bottom"/>
          </w:tcPr>
          <w:p>
            <w:pPr>
              <w:spacing w:after="0"/>
              <w:rPr>
                <w:sz w:val="14"/>
                <w:szCs w:val="14"/>
                <w:color w:val="auto"/>
              </w:rPr>
            </w:pPr>
          </w:p>
        </w:tc>
        <w:tc>
          <w:tcPr>
            <w:tcW w:w="520" w:type="dxa"/>
            <w:vAlign w:val="bottom"/>
            <w:tcBorders>
              <w:bottom w:val="single" w:sz="8" w:color="auto"/>
            </w:tcBorders>
          </w:tcPr>
          <w:p>
            <w:pPr>
              <w:jc w:val="right"/>
              <w:ind w:right="52"/>
              <w:spacing w:after="0"/>
              <w:rPr>
                <w:sz w:val="20"/>
                <w:szCs w:val="20"/>
                <w:color w:val="auto"/>
              </w:rPr>
            </w:pPr>
            <w:r>
              <w:rPr>
                <w:rFonts w:ascii="Arial" w:cs="Arial" w:eastAsia="Arial" w:hAnsi="Arial"/>
                <w:sz w:val="14"/>
                <w:szCs w:val="14"/>
                <w:b w:val="1"/>
                <w:bCs w:val="1"/>
                <w:color w:val="auto"/>
              </w:rPr>
              <w:t>Total</w:t>
            </w:r>
          </w:p>
        </w:tc>
        <w:tc>
          <w:tcPr>
            <w:tcW w:w="160" w:type="dxa"/>
            <w:vAlign w:val="bottom"/>
          </w:tcPr>
          <w:p>
            <w:pPr>
              <w:spacing w:after="0"/>
              <w:rPr>
                <w:sz w:val="14"/>
                <w:szCs w:val="14"/>
                <w:color w:val="auto"/>
              </w:rPr>
            </w:pPr>
          </w:p>
        </w:tc>
      </w:tr>
      <w:tr>
        <w:trPr>
          <w:trHeight w:val="142"/>
        </w:trPr>
        <w:tc>
          <w:tcPr>
            <w:tcW w:w="4600" w:type="dxa"/>
            <w:vAlign w:val="bottom"/>
            <w:shd w:val="clear" w:color="auto" w:fill="CCEEFF"/>
          </w:tcPr>
          <w:p>
            <w:pPr>
              <w:ind w:left="200"/>
              <w:spacing w:after="0" w:line="142" w:lineRule="exact"/>
              <w:rPr>
                <w:sz w:val="20"/>
                <w:szCs w:val="20"/>
                <w:color w:val="auto"/>
              </w:rPr>
            </w:pPr>
            <w:r>
              <w:rPr>
                <w:rFonts w:ascii="Arial" w:cs="Arial" w:eastAsia="Arial" w:hAnsi="Arial"/>
                <w:sz w:val="14"/>
                <w:szCs w:val="14"/>
                <w:color w:val="auto"/>
              </w:rPr>
              <w:t>December 31, 2008</w:t>
            </w:r>
          </w:p>
        </w:tc>
        <w:tc>
          <w:tcPr>
            <w:tcW w:w="720" w:type="dxa"/>
            <w:vAlign w:val="bottom"/>
            <w:gridSpan w:val="2"/>
            <w:shd w:val="clear" w:color="auto" w:fill="CCEEFF"/>
          </w:tcPr>
          <w:p>
            <w:pPr>
              <w:jc w:val="right"/>
              <w:ind w:right="160"/>
              <w:spacing w:after="0" w:line="142" w:lineRule="exact"/>
              <w:rPr>
                <w:sz w:val="20"/>
                <w:szCs w:val="20"/>
                <w:color w:val="auto"/>
              </w:rPr>
            </w:pPr>
            <w:r>
              <w:rPr>
                <w:rFonts w:ascii="Arial" w:cs="Arial" w:eastAsia="Arial" w:hAnsi="Arial"/>
                <w:sz w:val="14"/>
                <w:szCs w:val="14"/>
                <w:color w:val="auto"/>
              </w:rPr>
              <w:t>199</w:t>
            </w:r>
          </w:p>
        </w:tc>
        <w:tc>
          <w:tcPr>
            <w:tcW w:w="6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21,171</w:t>
            </w:r>
          </w:p>
        </w:tc>
        <w:tc>
          <w:tcPr>
            <w:tcW w:w="840" w:type="dxa"/>
            <w:vAlign w:val="bottom"/>
            <w:gridSpan w:val="3"/>
            <w:shd w:val="clear" w:color="auto" w:fill="CCEEFF"/>
          </w:tcPr>
          <w:p>
            <w:pPr>
              <w:jc w:val="right"/>
              <w:ind w:right="160"/>
              <w:spacing w:after="0" w:line="142" w:lineRule="exact"/>
              <w:rPr>
                <w:sz w:val="20"/>
                <w:szCs w:val="20"/>
                <w:color w:val="auto"/>
              </w:rPr>
            </w:pPr>
            <w:r>
              <w:rPr>
                <w:rFonts w:ascii="Arial" w:cs="Arial" w:eastAsia="Arial" w:hAnsi="Arial"/>
                <w:sz w:val="14"/>
                <w:szCs w:val="14"/>
                <w:color w:val="auto"/>
              </w:rPr>
              <w:t>21,370</w:t>
            </w:r>
          </w:p>
        </w:tc>
      </w:tr>
      <w:tr>
        <w:trPr>
          <w:trHeight w:val="149"/>
        </w:trPr>
        <w:tc>
          <w:tcPr>
            <w:tcW w:w="4600" w:type="dxa"/>
            <w:vAlign w:val="bottom"/>
          </w:tcPr>
          <w:p>
            <w:pPr>
              <w:ind w:left="200"/>
              <w:spacing w:after="0" w:line="149" w:lineRule="exact"/>
              <w:rPr>
                <w:sz w:val="20"/>
                <w:szCs w:val="20"/>
                <w:color w:val="auto"/>
              </w:rPr>
            </w:pPr>
            <w:r>
              <w:rPr>
                <w:rFonts w:ascii="Arial" w:cs="Arial" w:eastAsia="Arial" w:hAnsi="Arial"/>
                <w:sz w:val="14"/>
                <w:szCs w:val="14"/>
                <w:color w:val="auto"/>
              </w:rPr>
              <w:t>Mined in 2009</w:t>
            </w:r>
          </w:p>
        </w:tc>
        <w:tc>
          <w:tcPr>
            <w:tcW w:w="72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563</w:t>
            </w: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0</w:t>
            </w:r>
          </w:p>
        </w:tc>
        <w:tc>
          <w:tcPr>
            <w:tcW w:w="840" w:type="dxa"/>
            <w:vAlign w:val="bottom"/>
            <w:gridSpan w:val="3"/>
          </w:tcPr>
          <w:p>
            <w:pPr>
              <w:jc w:val="right"/>
              <w:ind w:right="160"/>
              <w:spacing w:after="0" w:line="149" w:lineRule="exact"/>
              <w:rPr>
                <w:sz w:val="20"/>
                <w:szCs w:val="20"/>
                <w:color w:val="auto"/>
              </w:rPr>
            </w:pPr>
            <w:r>
              <w:rPr>
                <w:rFonts w:ascii="Arial" w:cs="Arial" w:eastAsia="Arial" w:hAnsi="Arial"/>
                <w:sz w:val="14"/>
                <w:szCs w:val="14"/>
                <w:color w:val="auto"/>
              </w:rPr>
              <w:t>563</w:t>
            </w:r>
          </w:p>
        </w:tc>
      </w:tr>
      <w:tr>
        <w:trPr>
          <w:trHeight w:val="149"/>
        </w:trPr>
        <w:tc>
          <w:tcPr>
            <w:tcW w:w="460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Revision</w:t>
            </w:r>
          </w:p>
        </w:tc>
        <w:tc>
          <w:tcPr>
            <w:tcW w:w="72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621</w:t>
            </w: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4,533</w:t>
            </w:r>
          </w:p>
        </w:tc>
        <w:tc>
          <w:tcPr>
            <w:tcW w:w="840" w:type="dxa"/>
            <w:vAlign w:val="bottom"/>
            <w:gridSpan w:val="3"/>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5,154</w:t>
            </w:r>
          </w:p>
        </w:tc>
      </w:tr>
      <w:tr>
        <w:trPr>
          <w:trHeight w:val="174"/>
        </w:trPr>
        <w:tc>
          <w:tcPr>
            <w:tcW w:w="4600" w:type="dxa"/>
            <w:vAlign w:val="bottom"/>
          </w:tcPr>
          <w:p>
            <w:pPr>
              <w:ind w:left="200"/>
              <w:spacing w:after="0"/>
              <w:rPr>
                <w:sz w:val="20"/>
                <w:szCs w:val="20"/>
                <w:color w:val="auto"/>
              </w:rPr>
            </w:pPr>
            <w:r>
              <w:rPr>
                <w:rFonts w:ascii="Arial" w:cs="Arial" w:eastAsia="Arial" w:hAnsi="Arial"/>
                <w:sz w:val="14"/>
                <w:szCs w:val="14"/>
                <w:b w:val="1"/>
                <w:bCs w:val="1"/>
                <w:color w:val="auto"/>
              </w:rPr>
              <w:t>December 31, 2009</w:t>
            </w:r>
          </w:p>
        </w:tc>
        <w:tc>
          <w:tcPr>
            <w:tcW w:w="720" w:type="dxa"/>
            <w:vAlign w:val="bottom"/>
            <w:gridSpan w:val="2"/>
          </w:tcPr>
          <w:p>
            <w:pPr>
              <w:jc w:val="right"/>
              <w:ind w:right="160"/>
              <w:spacing w:after="0"/>
              <w:rPr>
                <w:sz w:val="20"/>
                <w:szCs w:val="20"/>
                <w:color w:val="auto"/>
              </w:rPr>
            </w:pPr>
            <w:r>
              <w:rPr>
                <w:rFonts w:ascii="Arial" w:cs="Arial" w:eastAsia="Arial" w:hAnsi="Arial"/>
                <w:sz w:val="14"/>
                <w:szCs w:val="14"/>
                <w:b w:val="1"/>
                <w:bCs w:val="1"/>
                <w:color w:val="auto"/>
              </w:rPr>
              <w:t>257</w:t>
            </w:r>
          </w:p>
        </w:tc>
        <w:tc>
          <w:tcPr>
            <w:tcW w:w="680" w:type="dxa"/>
            <w:vAlign w:val="bottom"/>
          </w:tcPr>
          <w:p>
            <w:pPr>
              <w:jc w:val="right"/>
              <w:spacing w:after="0"/>
              <w:rPr>
                <w:sz w:val="20"/>
                <w:szCs w:val="20"/>
                <w:color w:val="auto"/>
              </w:rPr>
            </w:pPr>
            <w:r>
              <w:rPr>
                <w:rFonts w:ascii="Arial" w:cs="Arial" w:eastAsia="Arial" w:hAnsi="Arial"/>
                <w:sz w:val="14"/>
                <w:szCs w:val="14"/>
                <w:b w:val="1"/>
                <w:bCs w:val="1"/>
                <w:color w:val="auto"/>
              </w:rPr>
              <w:t>25,704</w:t>
            </w:r>
          </w:p>
        </w:tc>
        <w:tc>
          <w:tcPr>
            <w:tcW w:w="840" w:type="dxa"/>
            <w:vAlign w:val="bottom"/>
            <w:gridSpan w:val="3"/>
          </w:tcPr>
          <w:p>
            <w:pPr>
              <w:jc w:val="right"/>
              <w:ind w:right="160"/>
              <w:spacing w:after="0"/>
              <w:rPr>
                <w:sz w:val="20"/>
                <w:szCs w:val="20"/>
                <w:color w:val="auto"/>
              </w:rPr>
            </w:pPr>
            <w:r>
              <w:rPr>
                <w:rFonts w:ascii="Arial" w:cs="Arial" w:eastAsia="Arial" w:hAnsi="Arial"/>
                <w:sz w:val="14"/>
                <w:szCs w:val="14"/>
                <w:b w:val="1"/>
                <w:bCs w:val="1"/>
                <w:color w:val="auto"/>
              </w:rPr>
              <w:t>25,961</w:t>
            </w:r>
          </w:p>
        </w:tc>
      </w:tr>
    </w:tbl>
    <w:p>
      <w:pPr>
        <w:spacing w:after="0" w:line="166" w:lineRule="exact"/>
        <w:rPr>
          <w:sz w:val="20"/>
          <w:szCs w:val="20"/>
          <w:color w:val="auto"/>
        </w:rPr>
      </w:pPr>
    </w:p>
    <w:p>
      <w:pPr>
        <w:jc w:val="both"/>
        <w:ind w:left="1680" w:hanging="531"/>
        <w:spacing w:after="0" w:line="230" w:lineRule="auto"/>
        <w:tabs>
          <w:tab w:leader="none" w:pos="1680" w:val="left"/>
        </w:tabs>
        <w:numPr>
          <w:ilvl w:val="0"/>
          <w:numId w:val="17"/>
        </w:numPr>
        <w:rPr>
          <w:rFonts w:ascii="Arial" w:cs="Arial" w:eastAsia="Arial" w:hAnsi="Arial"/>
          <w:sz w:val="14"/>
          <w:szCs w:val="14"/>
          <w:color w:val="auto"/>
        </w:rPr>
      </w:pPr>
      <w:r>
        <w:rPr>
          <w:rFonts w:ascii="Arial" w:cs="Arial" w:eastAsia="Arial" w:hAnsi="Arial"/>
          <w:sz w:val="14"/>
          <w:szCs w:val="14"/>
          <w:color w:val="auto"/>
        </w:rPr>
        <w:t>Complete information on the verification procedures, the quality assurance program, quality control procedures, parameters and methods and other factors that may materially affect scientific and technical information presented in this Form 20-F relating to the Kittila Mine may be found in the Technical Report on the December 31, 2009, Mineral Resource and Mineral Reserve Estimate and the Suuri Extension Project, Kittila Mine, Finland, filed with the Canadian securities regulatory authorities on SEDAR on March 4, 2010.</w:t>
      </w:r>
    </w:p>
    <w:p>
      <w:pPr>
        <w:spacing w:after="0" w:line="19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u w:val="single" w:color="auto"/>
          <w:color w:val="auto"/>
        </w:rPr>
        <w:t>Lapa Mineral Reserves and Mineral Resources</w:t>
      </w:r>
    </w:p>
    <w:p>
      <w:pPr>
        <w:spacing w:after="0" w:line="275"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260" w:type="dxa"/>
            <w:vAlign w:val="bottom"/>
          </w:tcPr>
          <w:p>
            <w:pPr>
              <w:spacing w:after="0"/>
              <w:rPr>
                <w:sz w:val="14"/>
                <w:szCs w:val="14"/>
                <w:color w:val="auto"/>
              </w:rPr>
            </w:pPr>
          </w:p>
        </w:tc>
        <w:tc>
          <w:tcPr>
            <w:tcW w:w="4860" w:type="dxa"/>
            <w:vAlign w:val="bottom"/>
          </w:tcPr>
          <w:p>
            <w:pPr>
              <w:spacing w:after="0"/>
              <w:rPr>
                <w:sz w:val="14"/>
                <w:szCs w:val="14"/>
                <w:color w:val="auto"/>
              </w:rPr>
            </w:pPr>
          </w:p>
        </w:tc>
        <w:tc>
          <w:tcPr>
            <w:tcW w:w="840" w:type="dxa"/>
            <w:vAlign w:val="bottom"/>
            <w:tcBorders>
              <w:bottom w:val="single" w:sz="8" w:color="auto"/>
            </w:tcBorders>
          </w:tcPr>
          <w:p>
            <w:pPr>
              <w:spacing w:after="0"/>
              <w:rPr>
                <w:sz w:val="14"/>
                <w:szCs w:val="14"/>
                <w:color w:val="auto"/>
              </w:rPr>
            </w:pPr>
          </w:p>
        </w:tc>
        <w:tc>
          <w:tcPr>
            <w:tcW w:w="1160" w:type="dxa"/>
            <w:vAlign w:val="bottom"/>
            <w:tcBorders>
              <w:bottom w:val="single" w:sz="8" w:color="auto"/>
            </w:tcBorders>
            <w:gridSpan w:val="3"/>
          </w:tcPr>
          <w:p>
            <w:pPr>
              <w:ind w:left="20"/>
              <w:spacing w:after="0"/>
              <w:rPr>
                <w:sz w:val="20"/>
                <w:szCs w:val="20"/>
                <w:color w:val="auto"/>
              </w:rPr>
            </w:pPr>
            <w:r>
              <w:rPr>
                <w:rFonts w:ascii="Arial" w:cs="Arial" w:eastAsia="Arial" w:hAnsi="Arial"/>
                <w:sz w:val="14"/>
                <w:szCs w:val="14"/>
                <w:b w:val="1"/>
                <w:bCs w:val="1"/>
                <w:color w:val="auto"/>
                <w:w w:val="86"/>
              </w:rPr>
              <w:t>As at December 31,</w:t>
            </w:r>
          </w:p>
        </w:tc>
        <w:tc>
          <w:tcPr>
            <w:tcW w:w="84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r>
      <w:tr>
        <w:trPr>
          <w:trHeight w:val="142"/>
        </w:trPr>
        <w:tc>
          <w:tcPr>
            <w:tcW w:w="2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4860" w:type="dxa"/>
            <w:vAlign w:val="bottom"/>
          </w:tcPr>
          <w:p>
            <w:pPr>
              <w:spacing w:after="0"/>
              <w:rPr>
                <w:sz w:val="12"/>
                <w:szCs w:val="12"/>
                <w:color w:val="auto"/>
              </w:rPr>
            </w:pPr>
          </w:p>
        </w:tc>
        <w:tc>
          <w:tcPr>
            <w:tcW w:w="840" w:type="dxa"/>
            <w:vAlign w:val="bottom"/>
          </w:tcPr>
          <w:p>
            <w:pPr>
              <w:jc w:val="right"/>
              <w:ind w:right="195"/>
              <w:spacing w:after="0" w:line="142" w:lineRule="exact"/>
              <w:rPr>
                <w:sz w:val="20"/>
                <w:szCs w:val="20"/>
                <w:color w:val="auto"/>
              </w:rPr>
            </w:pPr>
            <w:r>
              <w:rPr>
                <w:rFonts w:ascii="Arial" w:cs="Arial" w:eastAsia="Arial" w:hAnsi="Arial"/>
                <w:sz w:val="14"/>
                <w:szCs w:val="14"/>
                <w:b w:val="1"/>
                <w:bCs w:val="1"/>
                <w:color w:val="auto"/>
              </w:rPr>
              <w:t>2009</w:t>
            </w:r>
          </w:p>
        </w:tc>
        <w:tc>
          <w:tcPr>
            <w:tcW w:w="1000" w:type="dxa"/>
            <w:vAlign w:val="bottom"/>
            <w:gridSpan w:val="2"/>
          </w:tcPr>
          <w:p>
            <w:pPr>
              <w:jc w:val="right"/>
              <w:ind w:right="280"/>
              <w:spacing w:after="0" w:line="142" w:lineRule="exact"/>
              <w:rPr>
                <w:sz w:val="20"/>
                <w:szCs w:val="20"/>
                <w:color w:val="auto"/>
              </w:rPr>
            </w:pPr>
            <w:r>
              <w:rPr>
                <w:rFonts w:ascii="Arial" w:cs="Arial" w:eastAsia="Arial" w:hAnsi="Arial"/>
                <w:sz w:val="14"/>
                <w:szCs w:val="14"/>
                <w:b w:val="1"/>
                <w:bCs w:val="1"/>
                <w:color w:val="auto"/>
              </w:rPr>
              <w:t>2008</w:t>
            </w:r>
          </w:p>
        </w:tc>
        <w:tc>
          <w:tcPr>
            <w:tcW w:w="160" w:type="dxa"/>
            <w:vAlign w:val="bottom"/>
          </w:tcPr>
          <w:p>
            <w:pPr>
              <w:spacing w:after="0"/>
              <w:rPr>
                <w:sz w:val="12"/>
                <w:szCs w:val="12"/>
                <w:color w:val="auto"/>
              </w:rPr>
            </w:pPr>
          </w:p>
        </w:tc>
        <w:tc>
          <w:tcPr>
            <w:tcW w:w="840" w:type="dxa"/>
            <w:vAlign w:val="bottom"/>
          </w:tcPr>
          <w:p>
            <w:pPr>
              <w:jc w:val="right"/>
              <w:ind w:right="195"/>
              <w:spacing w:after="0" w:line="142" w:lineRule="exact"/>
              <w:rPr>
                <w:sz w:val="20"/>
                <w:szCs w:val="20"/>
                <w:color w:val="auto"/>
              </w:rPr>
            </w:pPr>
            <w:r>
              <w:rPr>
                <w:rFonts w:ascii="Arial" w:cs="Arial" w:eastAsia="Arial" w:hAnsi="Arial"/>
                <w:sz w:val="14"/>
                <w:szCs w:val="14"/>
                <w:b w:val="1"/>
                <w:bCs w:val="1"/>
                <w:color w:val="auto"/>
              </w:rPr>
              <w:t>2007</w:t>
            </w:r>
          </w:p>
        </w:tc>
        <w:tc>
          <w:tcPr>
            <w:tcW w:w="160" w:type="dxa"/>
            <w:vAlign w:val="bottom"/>
          </w:tcPr>
          <w:p>
            <w:pPr>
              <w:spacing w:after="0"/>
              <w:rPr>
                <w:sz w:val="12"/>
                <w:szCs w:val="12"/>
                <w:color w:val="auto"/>
              </w:rPr>
            </w:pPr>
          </w:p>
        </w:tc>
      </w:tr>
      <w:tr>
        <w:trPr>
          <w:trHeight w:val="210"/>
        </w:trPr>
        <w:tc>
          <w:tcPr>
            <w:tcW w:w="20" w:type="dxa"/>
            <w:vAlign w:val="bottom"/>
          </w:tcPr>
          <w:p>
            <w:pPr>
              <w:spacing w:after="0"/>
              <w:rPr>
                <w:sz w:val="18"/>
                <w:szCs w:val="18"/>
                <w:color w:val="auto"/>
              </w:rPr>
            </w:pPr>
          </w:p>
        </w:tc>
        <w:tc>
          <w:tcPr>
            <w:tcW w:w="612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Gold</w:t>
            </w:r>
          </w:p>
        </w:tc>
        <w:tc>
          <w:tcPr>
            <w:tcW w:w="84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6120" w:type="dxa"/>
            <w:vAlign w:val="bottom"/>
            <w:gridSpan w:val="2"/>
          </w:tcPr>
          <w:p>
            <w:pPr>
              <w:ind w:left="120"/>
              <w:spacing w:after="0"/>
              <w:rPr>
                <w:sz w:val="20"/>
                <w:szCs w:val="20"/>
                <w:color w:val="auto"/>
              </w:rPr>
            </w:pPr>
            <w:r>
              <w:rPr>
                <w:rFonts w:ascii="Arial" w:cs="Arial" w:eastAsia="Arial" w:hAnsi="Arial"/>
                <w:sz w:val="18"/>
                <w:szCs w:val="18"/>
                <w:color w:val="auto"/>
              </w:rPr>
              <w:t>Proven mineral reserves — tonnes</w:t>
            </w:r>
          </w:p>
        </w:tc>
        <w:tc>
          <w:tcPr>
            <w:tcW w:w="840" w:type="dxa"/>
            <w:vAlign w:val="bottom"/>
          </w:tcPr>
          <w:p>
            <w:pPr>
              <w:jc w:val="right"/>
              <w:spacing w:after="0"/>
              <w:rPr>
                <w:sz w:val="20"/>
                <w:szCs w:val="20"/>
                <w:color w:val="auto"/>
              </w:rPr>
            </w:pPr>
            <w:r>
              <w:rPr>
                <w:rFonts w:ascii="Arial" w:cs="Arial" w:eastAsia="Arial" w:hAnsi="Arial"/>
                <w:sz w:val="18"/>
                <w:szCs w:val="18"/>
                <w:color w:val="auto"/>
              </w:rPr>
              <w:t>897,000</w:t>
            </w:r>
          </w:p>
        </w:tc>
        <w:tc>
          <w:tcPr>
            <w:tcW w:w="1000" w:type="dxa"/>
            <w:vAlign w:val="bottom"/>
            <w:gridSpan w:val="2"/>
          </w:tcPr>
          <w:p>
            <w:pPr>
              <w:jc w:val="right"/>
              <w:spacing w:after="0"/>
              <w:rPr>
                <w:sz w:val="20"/>
                <w:szCs w:val="20"/>
                <w:color w:val="auto"/>
              </w:rPr>
            </w:pPr>
            <w:r>
              <w:rPr>
                <w:rFonts w:ascii="Arial" w:cs="Arial" w:eastAsia="Arial" w:hAnsi="Arial"/>
                <w:sz w:val="18"/>
                <w:szCs w:val="18"/>
                <w:color w:val="auto"/>
              </w:rPr>
              <w:t>23,000</w:t>
            </w:r>
          </w:p>
        </w:tc>
        <w:tc>
          <w:tcPr>
            <w:tcW w:w="160" w:type="dxa"/>
            <w:vAlign w:val="bottom"/>
          </w:tcPr>
          <w:p>
            <w:pPr>
              <w:spacing w:after="0"/>
              <w:rPr>
                <w:sz w:val="18"/>
                <w:szCs w:val="18"/>
                <w:color w:val="auto"/>
              </w:rPr>
            </w:pPr>
          </w:p>
        </w:tc>
        <w:tc>
          <w:tcPr>
            <w:tcW w:w="840" w:type="dxa"/>
            <w:vAlign w:val="bottom"/>
          </w:tcPr>
          <w:p>
            <w:pPr>
              <w:jc w:val="right"/>
              <w:spacing w:after="0"/>
              <w:rPr>
                <w:sz w:val="20"/>
                <w:szCs w:val="20"/>
                <w:color w:val="auto"/>
              </w:rPr>
            </w:pPr>
            <w:r>
              <w:rPr>
                <w:rFonts w:ascii="Arial" w:cs="Arial" w:eastAsia="Arial" w:hAnsi="Arial"/>
                <w:sz w:val="18"/>
                <w:szCs w:val="18"/>
                <w:color w:val="auto"/>
              </w:rPr>
              <w:t>2,800</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612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Average grade — gold grams per tonne</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8.33</w:t>
            </w:r>
          </w:p>
        </w:tc>
        <w:tc>
          <w:tcPr>
            <w:tcW w:w="10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7.53</w:t>
            </w:r>
          </w:p>
        </w:tc>
        <w:tc>
          <w:tcPr>
            <w:tcW w:w="160" w:type="dxa"/>
            <w:vAlign w:val="bottom"/>
            <w:shd w:val="clear" w:color="auto" w:fill="CCEEFF"/>
          </w:tcPr>
          <w:p>
            <w:pPr>
              <w:spacing w:after="0"/>
              <w:rPr>
                <w:sz w:val="18"/>
                <w:szCs w:val="18"/>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10.65</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6120" w:type="dxa"/>
            <w:vAlign w:val="bottom"/>
            <w:gridSpan w:val="2"/>
          </w:tcPr>
          <w:p>
            <w:pPr>
              <w:ind w:left="120"/>
              <w:spacing w:after="0"/>
              <w:rPr>
                <w:sz w:val="20"/>
                <w:szCs w:val="20"/>
                <w:color w:val="auto"/>
              </w:rPr>
            </w:pPr>
            <w:r>
              <w:rPr>
                <w:rFonts w:ascii="Arial" w:cs="Arial" w:eastAsia="Arial" w:hAnsi="Arial"/>
                <w:sz w:val="18"/>
                <w:szCs w:val="18"/>
                <w:color w:val="auto"/>
              </w:rPr>
              <w:t>Probable mineral reserves — tonnes</w:t>
            </w:r>
          </w:p>
        </w:tc>
        <w:tc>
          <w:tcPr>
            <w:tcW w:w="840" w:type="dxa"/>
            <w:vAlign w:val="bottom"/>
          </w:tcPr>
          <w:p>
            <w:pPr>
              <w:jc w:val="right"/>
              <w:spacing w:after="0"/>
              <w:rPr>
                <w:sz w:val="20"/>
                <w:szCs w:val="20"/>
                <w:color w:val="auto"/>
              </w:rPr>
            </w:pPr>
            <w:r>
              <w:rPr>
                <w:rFonts w:ascii="Arial" w:cs="Arial" w:eastAsia="Arial" w:hAnsi="Arial"/>
                <w:sz w:val="18"/>
                <w:szCs w:val="18"/>
                <w:color w:val="auto"/>
              </w:rPr>
              <w:t>2,319,000</w:t>
            </w:r>
          </w:p>
        </w:tc>
        <w:tc>
          <w:tcPr>
            <w:tcW w:w="1000" w:type="dxa"/>
            <w:vAlign w:val="bottom"/>
            <w:gridSpan w:val="2"/>
          </w:tcPr>
          <w:p>
            <w:pPr>
              <w:jc w:val="right"/>
              <w:spacing w:after="0"/>
              <w:rPr>
                <w:sz w:val="20"/>
                <w:szCs w:val="20"/>
                <w:color w:val="auto"/>
              </w:rPr>
            </w:pPr>
            <w:r>
              <w:rPr>
                <w:rFonts w:ascii="Arial" w:cs="Arial" w:eastAsia="Arial" w:hAnsi="Arial"/>
                <w:sz w:val="18"/>
                <w:szCs w:val="18"/>
                <w:color w:val="auto"/>
              </w:rPr>
              <w:t>3,730,000</w:t>
            </w:r>
          </w:p>
        </w:tc>
        <w:tc>
          <w:tcPr>
            <w:tcW w:w="160" w:type="dxa"/>
            <w:vAlign w:val="bottom"/>
          </w:tcPr>
          <w:p>
            <w:pPr>
              <w:spacing w:after="0"/>
              <w:rPr>
                <w:sz w:val="18"/>
                <w:szCs w:val="18"/>
                <w:color w:val="auto"/>
              </w:rPr>
            </w:pPr>
          </w:p>
        </w:tc>
        <w:tc>
          <w:tcPr>
            <w:tcW w:w="840" w:type="dxa"/>
            <w:vAlign w:val="bottom"/>
          </w:tcPr>
          <w:p>
            <w:pPr>
              <w:jc w:val="right"/>
              <w:spacing w:after="0"/>
              <w:rPr>
                <w:sz w:val="20"/>
                <w:szCs w:val="20"/>
                <w:color w:val="auto"/>
              </w:rPr>
            </w:pPr>
            <w:r>
              <w:rPr>
                <w:rFonts w:ascii="Arial" w:cs="Arial" w:eastAsia="Arial" w:hAnsi="Arial"/>
                <w:sz w:val="18"/>
                <w:szCs w:val="18"/>
                <w:color w:val="auto"/>
              </w:rPr>
              <w:t>3,755,600</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612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Average grade — gold grams per tonne</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8.09</w:t>
            </w:r>
          </w:p>
        </w:tc>
        <w:tc>
          <w:tcPr>
            <w:tcW w:w="10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8.80</w:t>
            </w:r>
          </w:p>
        </w:tc>
        <w:tc>
          <w:tcPr>
            <w:tcW w:w="160" w:type="dxa"/>
            <w:vAlign w:val="bottom"/>
            <w:shd w:val="clear" w:color="auto" w:fill="CCEEFF"/>
          </w:tcPr>
          <w:p>
            <w:pPr>
              <w:spacing w:after="0"/>
              <w:rPr>
                <w:sz w:val="18"/>
                <w:szCs w:val="18"/>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8.86</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6120" w:type="dxa"/>
            <w:vAlign w:val="bottom"/>
            <w:gridSpan w:val="2"/>
          </w:tcPr>
          <w:p>
            <w:pPr>
              <w:spacing w:after="0"/>
              <w:rPr>
                <w:sz w:val="20"/>
                <w:szCs w:val="20"/>
                <w:color w:val="auto"/>
              </w:rPr>
            </w:pPr>
            <w:r>
              <w:rPr>
                <w:rFonts w:ascii="Arial" w:cs="Arial" w:eastAsia="Arial" w:hAnsi="Arial"/>
                <w:sz w:val="18"/>
                <w:szCs w:val="18"/>
                <w:b w:val="1"/>
                <w:bCs w:val="1"/>
                <w:color w:val="auto"/>
              </w:rPr>
              <w:t>Total proven and probable mineral reserves — tonnes</w:t>
            </w:r>
          </w:p>
        </w:tc>
        <w:tc>
          <w:tcPr>
            <w:tcW w:w="840" w:type="dxa"/>
            <w:vAlign w:val="bottom"/>
          </w:tcPr>
          <w:p>
            <w:pPr>
              <w:jc w:val="right"/>
              <w:spacing w:after="0"/>
              <w:rPr>
                <w:sz w:val="20"/>
                <w:szCs w:val="20"/>
                <w:color w:val="auto"/>
              </w:rPr>
            </w:pPr>
            <w:r>
              <w:rPr>
                <w:rFonts w:ascii="Arial" w:cs="Arial" w:eastAsia="Arial" w:hAnsi="Arial"/>
                <w:sz w:val="18"/>
                <w:szCs w:val="18"/>
                <w:b w:val="1"/>
                <w:bCs w:val="1"/>
                <w:color w:val="auto"/>
              </w:rPr>
              <w:t>3,216,000</w:t>
            </w:r>
          </w:p>
        </w:tc>
        <w:tc>
          <w:tcPr>
            <w:tcW w:w="1000" w:type="dxa"/>
            <w:vAlign w:val="bottom"/>
            <w:gridSpan w:val="2"/>
          </w:tcPr>
          <w:p>
            <w:pPr>
              <w:jc w:val="right"/>
              <w:spacing w:after="0"/>
              <w:rPr>
                <w:sz w:val="20"/>
                <w:szCs w:val="20"/>
                <w:color w:val="auto"/>
              </w:rPr>
            </w:pPr>
            <w:r>
              <w:rPr>
                <w:rFonts w:ascii="Arial" w:cs="Arial" w:eastAsia="Arial" w:hAnsi="Arial"/>
                <w:sz w:val="18"/>
                <w:szCs w:val="18"/>
                <w:b w:val="1"/>
                <w:bCs w:val="1"/>
                <w:color w:val="auto"/>
              </w:rPr>
              <w:t>3,753,000</w:t>
            </w:r>
          </w:p>
        </w:tc>
        <w:tc>
          <w:tcPr>
            <w:tcW w:w="160" w:type="dxa"/>
            <w:vAlign w:val="bottom"/>
          </w:tcPr>
          <w:p>
            <w:pPr>
              <w:spacing w:after="0"/>
              <w:rPr>
                <w:sz w:val="18"/>
                <w:szCs w:val="18"/>
                <w:color w:val="auto"/>
              </w:rPr>
            </w:pPr>
          </w:p>
        </w:tc>
        <w:tc>
          <w:tcPr>
            <w:tcW w:w="840" w:type="dxa"/>
            <w:vAlign w:val="bottom"/>
          </w:tcPr>
          <w:p>
            <w:pPr>
              <w:jc w:val="right"/>
              <w:spacing w:after="0"/>
              <w:rPr>
                <w:sz w:val="20"/>
                <w:szCs w:val="20"/>
                <w:color w:val="auto"/>
              </w:rPr>
            </w:pPr>
            <w:r>
              <w:rPr>
                <w:rFonts w:ascii="Arial" w:cs="Arial" w:eastAsia="Arial" w:hAnsi="Arial"/>
                <w:sz w:val="18"/>
                <w:szCs w:val="18"/>
                <w:b w:val="1"/>
                <w:bCs w:val="1"/>
                <w:color w:val="auto"/>
              </w:rPr>
              <w:t>3,758,000</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612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Average grade — gold grams per tonne</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8.16</w:t>
            </w:r>
          </w:p>
        </w:tc>
        <w:tc>
          <w:tcPr>
            <w:tcW w:w="1000" w:type="dxa"/>
            <w:vAlign w:val="bottom"/>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rPr>
              <w:t>8.79</w:t>
            </w:r>
          </w:p>
        </w:tc>
        <w:tc>
          <w:tcPr>
            <w:tcW w:w="160" w:type="dxa"/>
            <w:vAlign w:val="bottom"/>
            <w:shd w:val="clear" w:color="auto" w:fill="CCEEFF"/>
          </w:tcPr>
          <w:p>
            <w:pPr>
              <w:spacing w:after="0"/>
              <w:rPr>
                <w:sz w:val="18"/>
                <w:szCs w:val="18"/>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8.87</w:t>
            </w:r>
          </w:p>
        </w:tc>
        <w:tc>
          <w:tcPr>
            <w:tcW w:w="160" w:type="dxa"/>
            <w:vAlign w:val="bottom"/>
            <w:shd w:val="clear" w:color="auto" w:fill="CCEEFF"/>
          </w:tcPr>
          <w:p>
            <w:pPr>
              <w:spacing w:after="0"/>
              <w:rPr>
                <w:sz w:val="18"/>
                <w:szCs w:val="18"/>
                <w:color w:val="auto"/>
              </w:rPr>
            </w:pPr>
          </w:p>
        </w:tc>
      </w:tr>
      <w:tr>
        <w:trPr>
          <w:trHeight w:val="228"/>
        </w:trPr>
        <w:tc>
          <w:tcPr>
            <w:tcW w:w="20" w:type="dxa"/>
            <w:vAlign w:val="bottom"/>
          </w:tcPr>
          <w:p>
            <w:pPr>
              <w:spacing w:after="0"/>
              <w:rPr>
                <w:sz w:val="19"/>
                <w:szCs w:val="19"/>
                <w:color w:val="auto"/>
              </w:rPr>
            </w:pPr>
          </w:p>
        </w:tc>
        <w:tc>
          <w:tcPr>
            <w:tcW w:w="6120" w:type="dxa"/>
            <w:vAlign w:val="bottom"/>
            <w:gridSpan w:val="2"/>
          </w:tcPr>
          <w:p>
            <w:pPr>
              <w:spacing w:after="0"/>
              <w:rPr>
                <w:sz w:val="20"/>
                <w:szCs w:val="20"/>
                <w:color w:val="auto"/>
              </w:rPr>
            </w:pPr>
            <w:r>
              <w:rPr>
                <w:rFonts w:ascii="Arial" w:cs="Arial" w:eastAsia="Arial" w:hAnsi="Arial"/>
                <w:sz w:val="18"/>
                <w:szCs w:val="18"/>
                <w:b w:val="1"/>
                <w:bCs w:val="1"/>
                <w:color w:val="auto"/>
              </w:rPr>
              <w:t>Total contained gold ounces</w:t>
            </w:r>
          </w:p>
        </w:tc>
        <w:tc>
          <w:tcPr>
            <w:tcW w:w="840" w:type="dxa"/>
            <w:vAlign w:val="bottom"/>
          </w:tcPr>
          <w:p>
            <w:pPr>
              <w:jc w:val="right"/>
              <w:spacing w:after="0"/>
              <w:rPr>
                <w:sz w:val="20"/>
                <w:szCs w:val="20"/>
                <w:color w:val="auto"/>
              </w:rPr>
            </w:pPr>
            <w:r>
              <w:rPr>
                <w:rFonts w:ascii="Arial" w:cs="Arial" w:eastAsia="Arial" w:hAnsi="Arial"/>
                <w:sz w:val="18"/>
                <w:szCs w:val="18"/>
                <w:b w:val="1"/>
                <w:bCs w:val="1"/>
                <w:color w:val="auto"/>
              </w:rPr>
              <w:t>843,000</w:t>
            </w:r>
          </w:p>
        </w:tc>
        <w:tc>
          <w:tcPr>
            <w:tcW w:w="1000" w:type="dxa"/>
            <w:vAlign w:val="bottom"/>
            <w:gridSpan w:val="2"/>
          </w:tcPr>
          <w:p>
            <w:pPr>
              <w:jc w:val="right"/>
              <w:spacing w:after="0"/>
              <w:rPr>
                <w:sz w:val="20"/>
                <w:szCs w:val="20"/>
                <w:color w:val="auto"/>
              </w:rPr>
            </w:pPr>
            <w:r>
              <w:rPr>
                <w:rFonts w:ascii="Arial" w:cs="Arial" w:eastAsia="Arial" w:hAnsi="Arial"/>
                <w:sz w:val="18"/>
                <w:szCs w:val="18"/>
                <w:b w:val="1"/>
                <w:bCs w:val="1"/>
                <w:color w:val="auto"/>
              </w:rPr>
              <w:t>1,061,000</w:t>
            </w:r>
          </w:p>
        </w:tc>
        <w:tc>
          <w:tcPr>
            <w:tcW w:w="160" w:type="dxa"/>
            <w:vAlign w:val="bottom"/>
          </w:tcPr>
          <w:p>
            <w:pPr>
              <w:spacing w:after="0"/>
              <w:rPr>
                <w:sz w:val="19"/>
                <w:szCs w:val="19"/>
                <w:color w:val="auto"/>
              </w:rPr>
            </w:pPr>
          </w:p>
        </w:tc>
        <w:tc>
          <w:tcPr>
            <w:tcW w:w="840" w:type="dxa"/>
            <w:vAlign w:val="bottom"/>
          </w:tcPr>
          <w:p>
            <w:pPr>
              <w:jc w:val="right"/>
              <w:spacing w:after="0"/>
              <w:rPr>
                <w:sz w:val="20"/>
                <w:szCs w:val="20"/>
                <w:color w:val="auto"/>
              </w:rPr>
            </w:pPr>
            <w:r>
              <w:rPr>
                <w:rFonts w:ascii="Arial" w:cs="Arial" w:eastAsia="Arial" w:hAnsi="Arial"/>
                <w:sz w:val="18"/>
                <w:szCs w:val="18"/>
                <w:b w:val="1"/>
                <w:bCs w:val="1"/>
                <w:color w:val="auto"/>
              </w:rPr>
              <w:t>1,071,000</w:t>
            </w:r>
          </w:p>
        </w:tc>
        <w:tc>
          <w:tcPr>
            <w:tcW w:w="160" w:type="dxa"/>
            <w:vAlign w:val="bottom"/>
          </w:tcPr>
          <w:p>
            <w:pPr>
              <w:spacing w:after="0"/>
              <w:rPr>
                <w:sz w:val="19"/>
                <w:szCs w:val="19"/>
                <w:color w:val="auto"/>
              </w:rPr>
            </w:pPr>
          </w:p>
        </w:tc>
      </w:tr>
      <w:tr>
        <w:trPr>
          <w:trHeight w:val="96"/>
        </w:trPr>
        <w:tc>
          <w:tcPr>
            <w:tcW w:w="20" w:type="dxa"/>
            <w:vAlign w:val="bottom"/>
            <w:tcBorders>
              <w:bottom w:val="single" w:sz="8" w:color="auto"/>
            </w:tcBorders>
          </w:tcPr>
          <w:p>
            <w:pPr>
              <w:spacing w:after="0"/>
              <w:rPr>
                <w:sz w:val="8"/>
                <w:szCs w:val="8"/>
                <w:color w:val="auto"/>
              </w:rPr>
            </w:pPr>
          </w:p>
        </w:tc>
        <w:tc>
          <w:tcPr>
            <w:tcW w:w="1260" w:type="dxa"/>
            <w:vAlign w:val="bottom"/>
            <w:tcBorders>
              <w:bottom w:val="single" w:sz="8" w:color="auto"/>
            </w:tcBorders>
          </w:tcPr>
          <w:p>
            <w:pPr>
              <w:spacing w:after="0"/>
              <w:rPr>
                <w:sz w:val="8"/>
                <w:szCs w:val="8"/>
                <w:color w:val="auto"/>
              </w:rPr>
            </w:pPr>
          </w:p>
        </w:tc>
        <w:tc>
          <w:tcPr>
            <w:tcW w:w="4860" w:type="dxa"/>
            <w:vAlign w:val="bottom"/>
          </w:tcPr>
          <w:p>
            <w:pPr>
              <w:spacing w:after="0"/>
              <w:rPr>
                <w:sz w:val="8"/>
                <w:szCs w:val="8"/>
                <w:color w:val="auto"/>
              </w:rPr>
            </w:pPr>
          </w:p>
        </w:tc>
        <w:tc>
          <w:tcPr>
            <w:tcW w:w="840" w:type="dxa"/>
            <w:vAlign w:val="bottom"/>
          </w:tcPr>
          <w:p>
            <w:pPr>
              <w:spacing w:after="0"/>
              <w:rPr>
                <w:sz w:val="8"/>
                <w:szCs w:val="8"/>
                <w:color w:val="auto"/>
              </w:rPr>
            </w:pPr>
          </w:p>
        </w:tc>
        <w:tc>
          <w:tcPr>
            <w:tcW w:w="160" w:type="dxa"/>
            <w:vAlign w:val="bottom"/>
          </w:tcPr>
          <w:p>
            <w:pPr>
              <w:spacing w:after="0"/>
              <w:rPr>
                <w:sz w:val="8"/>
                <w:szCs w:val="8"/>
                <w:color w:val="auto"/>
              </w:rPr>
            </w:pPr>
          </w:p>
        </w:tc>
        <w:tc>
          <w:tcPr>
            <w:tcW w:w="840" w:type="dxa"/>
            <w:vAlign w:val="bottom"/>
          </w:tcPr>
          <w:p>
            <w:pPr>
              <w:spacing w:after="0"/>
              <w:rPr>
                <w:sz w:val="8"/>
                <w:szCs w:val="8"/>
                <w:color w:val="auto"/>
              </w:rPr>
            </w:pPr>
          </w:p>
        </w:tc>
        <w:tc>
          <w:tcPr>
            <w:tcW w:w="160" w:type="dxa"/>
            <w:vAlign w:val="bottom"/>
          </w:tcPr>
          <w:p>
            <w:pPr>
              <w:spacing w:after="0"/>
              <w:rPr>
                <w:sz w:val="8"/>
                <w:szCs w:val="8"/>
                <w:color w:val="auto"/>
              </w:rPr>
            </w:pPr>
          </w:p>
        </w:tc>
        <w:tc>
          <w:tcPr>
            <w:tcW w:w="840" w:type="dxa"/>
            <w:vAlign w:val="bottom"/>
          </w:tcPr>
          <w:p>
            <w:pPr>
              <w:spacing w:after="0"/>
              <w:rPr>
                <w:sz w:val="8"/>
                <w:szCs w:val="8"/>
                <w:color w:val="auto"/>
              </w:rPr>
            </w:pPr>
          </w:p>
        </w:tc>
        <w:tc>
          <w:tcPr>
            <w:tcW w:w="160" w:type="dxa"/>
            <w:vAlign w:val="bottom"/>
          </w:tcPr>
          <w:p>
            <w:pPr>
              <w:spacing w:after="0"/>
              <w:rPr>
                <w:sz w:val="8"/>
                <w:szCs w:val="8"/>
                <w:color w:val="auto"/>
              </w:rPr>
            </w:pPr>
          </w:p>
        </w:tc>
      </w:tr>
    </w:tbl>
    <w:p>
      <w:pPr>
        <w:spacing w:after="0" w:line="205" w:lineRule="exact"/>
        <w:rPr>
          <w:sz w:val="20"/>
          <w:szCs w:val="20"/>
          <w:color w:val="auto"/>
        </w:rPr>
      </w:pPr>
    </w:p>
    <w:p>
      <w:pPr>
        <w:ind w:left="1140"/>
        <w:spacing w:after="0"/>
        <w:rPr>
          <w:sz w:val="20"/>
          <w:szCs w:val="20"/>
          <w:color w:val="auto"/>
        </w:rPr>
      </w:pPr>
      <w:r>
        <w:rPr>
          <w:rFonts w:ascii="Arial" w:cs="Arial" w:eastAsia="Arial" w:hAnsi="Arial"/>
          <w:sz w:val="14"/>
          <w:szCs w:val="14"/>
          <w:color w:val="auto"/>
        </w:rPr>
        <w:t>Notes:</w:t>
      </w:r>
    </w:p>
    <w:p>
      <w:pPr>
        <w:spacing w:after="0" w:line="190" w:lineRule="exact"/>
        <w:rPr>
          <w:sz w:val="20"/>
          <w:szCs w:val="20"/>
          <w:color w:val="auto"/>
        </w:rPr>
      </w:pPr>
    </w:p>
    <w:p>
      <w:pPr>
        <w:jc w:val="both"/>
        <w:ind w:left="1680" w:hanging="531"/>
        <w:spacing w:after="0" w:line="233" w:lineRule="auto"/>
        <w:tabs>
          <w:tab w:leader="none" w:pos="1680" w:val="left"/>
        </w:tabs>
        <w:numPr>
          <w:ilvl w:val="0"/>
          <w:numId w:val="18"/>
        </w:numPr>
        <w:rPr>
          <w:rFonts w:ascii="Arial" w:cs="Arial" w:eastAsia="Arial" w:hAnsi="Arial"/>
          <w:sz w:val="14"/>
          <w:szCs w:val="14"/>
          <w:color w:val="auto"/>
        </w:rPr>
      </w:pPr>
      <w:r>
        <w:rPr>
          <w:rFonts w:ascii="Arial" w:cs="Arial" w:eastAsia="Arial" w:hAnsi="Arial"/>
          <w:sz w:val="14"/>
          <w:szCs w:val="14"/>
          <w:color w:val="auto"/>
        </w:rPr>
        <w:t>The 2009 mineral reserve and mineral resource estimates were calculated using an assumed metallurgical gold recovery of 80% and a cut-off grade of 4.2 grams of gold per tonne. The operating cost per tonne estimate for the Lapa Mine was C$101.23. The Company estimates that a 10% change in the gold price would result in an approximate 13% change in mineral reserves.</w:t>
      </w:r>
    </w:p>
    <w:p>
      <w:pPr>
        <w:spacing w:after="0" w:line="111" w:lineRule="exact"/>
        <w:rPr>
          <w:rFonts w:ascii="Arial" w:cs="Arial" w:eastAsia="Arial" w:hAnsi="Arial"/>
          <w:sz w:val="14"/>
          <w:szCs w:val="14"/>
          <w:color w:val="auto"/>
        </w:rPr>
      </w:pPr>
    </w:p>
    <w:p>
      <w:pPr>
        <w:ind w:left="1680" w:hanging="531"/>
        <w:spacing w:after="0" w:line="239" w:lineRule="auto"/>
        <w:tabs>
          <w:tab w:leader="none" w:pos="1680" w:val="left"/>
        </w:tabs>
        <w:numPr>
          <w:ilvl w:val="0"/>
          <w:numId w:val="18"/>
        </w:numPr>
        <w:rPr>
          <w:rFonts w:ascii="Arial" w:cs="Arial" w:eastAsia="Arial" w:hAnsi="Arial"/>
          <w:sz w:val="14"/>
          <w:szCs w:val="14"/>
          <w:color w:val="auto"/>
        </w:rPr>
      </w:pPr>
      <w:r>
        <w:rPr>
          <w:rFonts w:ascii="Arial" w:cs="Arial" w:eastAsia="Arial" w:hAnsi="Arial"/>
          <w:sz w:val="14"/>
          <w:szCs w:val="14"/>
          <w:color w:val="auto"/>
        </w:rPr>
        <w:t>In addition to the mineral reserves set out above, at December 31, 2009, the Lapa Mine contained indicated mineral resources of 1.7 million tonnes grading 4.63 grams of gold per tonne and inferred mineral resources of 0.4 million tonnes grading 7.90 grams of gold per tonne.</w:t>
      </w:r>
    </w:p>
    <w:p>
      <w:pPr>
        <w:spacing w:after="0" w:line="19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29" w:right="239" w:bottom="1440" w:gutter="0" w:footer="0" w:header="0"/>
        </w:sectPr>
      </w:pPr>
    </w:p>
    <w:bookmarkStart w:id="106" w:name="page107"/>
    <w:bookmarkEnd w:id="106"/>
    <w:p>
      <w:pPr>
        <w:jc w:val="both"/>
        <w:ind w:left="1680" w:hanging="531"/>
        <w:spacing w:after="0" w:line="233" w:lineRule="auto"/>
        <w:tabs>
          <w:tab w:leader="none" w:pos="1680" w:val="left"/>
        </w:tabs>
        <w:numPr>
          <w:ilvl w:val="0"/>
          <w:numId w:val="19"/>
        </w:numPr>
        <w:rPr>
          <w:rFonts w:ascii="Arial" w:cs="Arial" w:eastAsia="Arial" w:hAnsi="Arial"/>
          <w:sz w:val="14"/>
          <w:szCs w:val="14"/>
          <w:color w:val="auto"/>
        </w:rPr>
      </w:pPr>
      <w:r>
        <w:rPr>
          <w:rFonts w:ascii="Arial" w:cs="Arial" w:eastAsia="Arial" w:hAnsi="Arial"/>
          <w:sz w:val="14"/>
          <w:szCs w:val="14"/>
          <w:color w:val="auto"/>
        </w:rPr>
        <w:t>The following table shows the reconciliation of mineral reserves (in nearest thousand tonnes) at the Lapa Mine by category at December 31, 2009 with those at December 31, 2008. Revision means additional mineral reserves converted from mineral resources or other categories of mineral reserves and mineral reserves added from exploration activities during 2009.</w:t>
      </w:r>
    </w:p>
    <w:p>
      <w:pPr>
        <w:spacing w:after="0" w:line="191" w:lineRule="exact"/>
        <w:rPr>
          <w:sz w:val="20"/>
          <w:szCs w:val="20"/>
          <w:color w:val="auto"/>
        </w:rPr>
      </w:pPr>
    </w:p>
    <w:tbl>
      <w:tblPr>
        <w:tblLayout w:type="fixed"/>
        <w:tblInd w:w="2300" w:type="dxa"/>
        <w:tblCellMar>
          <w:top w:w="0" w:type="dxa"/>
          <w:left w:w="0" w:type="dxa"/>
          <w:bottom w:w="0" w:type="dxa"/>
          <w:right w:w="0" w:type="dxa"/>
        </w:tblCellMar>
      </w:tblPr>
      <w:tr>
        <w:trPr>
          <w:trHeight w:val="161"/>
        </w:trPr>
        <w:tc>
          <w:tcPr>
            <w:tcW w:w="4680" w:type="dxa"/>
            <w:vAlign w:val="bottom"/>
          </w:tcPr>
          <w:p>
            <w:pPr>
              <w:spacing w:after="0"/>
              <w:rPr>
                <w:sz w:val="14"/>
                <w:szCs w:val="14"/>
                <w:color w:val="auto"/>
              </w:rPr>
            </w:pPr>
          </w:p>
        </w:tc>
        <w:tc>
          <w:tcPr>
            <w:tcW w:w="560" w:type="dxa"/>
            <w:vAlign w:val="bottom"/>
            <w:tcBorders>
              <w:bottom w:val="single" w:sz="8" w:color="auto"/>
            </w:tcBorders>
          </w:tcPr>
          <w:p>
            <w:pPr>
              <w:jc w:val="right"/>
              <w:ind w:right="12"/>
              <w:spacing w:after="0"/>
              <w:rPr>
                <w:sz w:val="20"/>
                <w:szCs w:val="20"/>
                <w:color w:val="auto"/>
              </w:rPr>
            </w:pPr>
            <w:r>
              <w:rPr>
                <w:rFonts w:ascii="Arial" w:cs="Arial" w:eastAsia="Arial" w:hAnsi="Arial"/>
                <w:sz w:val="14"/>
                <w:szCs w:val="14"/>
                <w:b w:val="1"/>
                <w:bCs w:val="1"/>
                <w:color w:val="auto"/>
                <w:w w:val="96"/>
              </w:rPr>
              <w:t>Proven</w:t>
            </w:r>
          </w:p>
        </w:tc>
        <w:tc>
          <w:tcPr>
            <w:tcW w:w="160" w:type="dxa"/>
            <w:vAlign w:val="bottom"/>
          </w:tcPr>
          <w:p>
            <w:pPr>
              <w:spacing w:after="0"/>
              <w:rPr>
                <w:sz w:val="14"/>
                <w:szCs w:val="14"/>
                <w:color w:val="auto"/>
              </w:rPr>
            </w:pPr>
          </w:p>
        </w:tc>
        <w:tc>
          <w:tcPr>
            <w:tcW w:w="660" w:type="dxa"/>
            <w:vAlign w:val="bottom"/>
            <w:tcBorders>
              <w:bottom w:val="single" w:sz="8" w:color="auto"/>
            </w:tcBorders>
          </w:tcPr>
          <w:p>
            <w:pPr>
              <w:ind w:left="60"/>
              <w:spacing w:after="0"/>
              <w:rPr>
                <w:sz w:val="20"/>
                <w:szCs w:val="20"/>
                <w:color w:val="auto"/>
              </w:rPr>
            </w:pPr>
            <w:r>
              <w:rPr>
                <w:rFonts w:ascii="Arial" w:cs="Arial" w:eastAsia="Arial" w:hAnsi="Arial"/>
                <w:sz w:val="14"/>
                <w:szCs w:val="14"/>
                <w:b w:val="1"/>
                <w:bCs w:val="1"/>
                <w:color w:val="auto"/>
                <w:w w:val="96"/>
              </w:rPr>
              <w:t>Probable</w:t>
            </w:r>
          </w:p>
        </w:tc>
        <w:tc>
          <w:tcPr>
            <w:tcW w:w="160" w:type="dxa"/>
            <w:vAlign w:val="bottom"/>
          </w:tcPr>
          <w:p>
            <w:pPr>
              <w:spacing w:after="0"/>
              <w:rPr>
                <w:sz w:val="14"/>
                <w:szCs w:val="14"/>
                <w:color w:val="auto"/>
              </w:rPr>
            </w:pPr>
          </w:p>
        </w:tc>
        <w:tc>
          <w:tcPr>
            <w:tcW w:w="460" w:type="dxa"/>
            <w:vAlign w:val="bottom"/>
            <w:tcBorders>
              <w:bottom w:val="single" w:sz="8" w:color="auto"/>
            </w:tcBorders>
          </w:tcPr>
          <w:p>
            <w:pPr>
              <w:jc w:val="right"/>
              <w:ind w:right="12"/>
              <w:spacing w:after="0"/>
              <w:rPr>
                <w:sz w:val="20"/>
                <w:szCs w:val="20"/>
                <w:color w:val="auto"/>
              </w:rPr>
            </w:pPr>
            <w:r>
              <w:rPr>
                <w:rFonts w:ascii="Arial" w:cs="Arial" w:eastAsia="Arial" w:hAnsi="Arial"/>
                <w:sz w:val="14"/>
                <w:szCs w:val="14"/>
                <w:b w:val="1"/>
                <w:bCs w:val="1"/>
                <w:color w:val="auto"/>
              </w:rPr>
              <w:t>Total</w:t>
            </w:r>
          </w:p>
        </w:tc>
        <w:tc>
          <w:tcPr>
            <w:tcW w:w="160" w:type="dxa"/>
            <w:vAlign w:val="bottom"/>
          </w:tcPr>
          <w:p>
            <w:pPr>
              <w:spacing w:after="0"/>
              <w:rPr>
                <w:sz w:val="14"/>
                <w:szCs w:val="14"/>
                <w:color w:val="auto"/>
              </w:rPr>
            </w:pPr>
          </w:p>
        </w:tc>
      </w:tr>
      <w:tr>
        <w:trPr>
          <w:trHeight w:val="142"/>
        </w:trPr>
        <w:tc>
          <w:tcPr>
            <w:tcW w:w="4680" w:type="dxa"/>
            <w:vAlign w:val="bottom"/>
            <w:shd w:val="clear" w:color="auto" w:fill="CCEEFF"/>
          </w:tcPr>
          <w:p>
            <w:pPr>
              <w:ind w:left="200"/>
              <w:spacing w:after="0" w:line="142" w:lineRule="exact"/>
              <w:rPr>
                <w:sz w:val="20"/>
                <w:szCs w:val="20"/>
                <w:color w:val="auto"/>
              </w:rPr>
            </w:pPr>
            <w:r>
              <w:rPr>
                <w:rFonts w:ascii="Arial" w:cs="Arial" w:eastAsia="Arial" w:hAnsi="Arial"/>
                <w:sz w:val="14"/>
                <w:szCs w:val="14"/>
                <w:color w:val="auto"/>
              </w:rPr>
              <w:t>December 31, 2008</w:t>
            </w:r>
          </w:p>
        </w:tc>
        <w:tc>
          <w:tcPr>
            <w:tcW w:w="56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23</w:t>
            </w:r>
          </w:p>
        </w:tc>
        <w:tc>
          <w:tcPr>
            <w:tcW w:w="980" w:type="dxa"/>
            <w:vAlign w:val="bottom"/>
            <w:gridSpan w:val="3"/>
            <w:shd w:val="clear" w:color="auto" w:fill="CCEEFF"/>
          </w:tcPr>
          <w:p>
            <w:pPr>
              <w:jc w:val="right"/>
              <w:ind w:right="160"/>
              <w:spacing w:after="0" w:line="142" w:lineRule="exact"/>
              <w:rPr>
                <w:sz w:val="20"/>
                <w:szCs w:val="20"/>
                <w:color w:val="auto"/>
              </w:rPr>
            </w:pPr>
            <w:r>
              <w:rPr>
                <w:rFonts w:ascii="Arial" w:cs="Arial" w:eastAsia="Arial" w:hAnsi="Arial"/>
                <w:sz w:val="14"/>
                <w:szCs w:val="14"/>
                <w:color w:val="auto"/>
              </w:rPr>
              <w:t>3,730</w:t>
            </w:r>
          </w:p>
        </w:tc>
        <w:tc>
          <w:tcPr>
            <w:tcW w:w="620" w:type="dxa"/>
            <w:vAlign w:val="bottom"/>
            <w:gridSpan w:val="2"/>
            <w:shd w:val="clear" w:color="auto" w:fill="CCEEFF"/>
          </w:tcPr>
          <w:p>
            <w:pPr>
              <w:jc w:val="right"/>
              <w:ind w:right="160"/>
              <w:spacing w:after="0" w:line="142" w:lineRule="exact"/>
              <w:rPr>
                <w:sz w:val="20"/>
                <w:szCs w:val="20"/>
                <w:color w:val="auto"/>
              </w:rPr>
            </w:pPr>
            <w:r>
              <w:rPr>
                <w:rFonts w:ascii="Arial" w:cs="Arial" w:eastAsia="Arial" w:hAnsi="Arial"/>
                <w:sz w:val="14"/>
                <w:szCs w:val="14"/>
                <w:color w:val="auto"/>
              </w:rPr>
              <w:t>3,753</w:t>
            </w:r>
          </w:p>
        </w:tc>
      </w:tr>
      <w:tr>
        <w:trPr>
          <w:trHeight w:val="149"/>
        </w:trPr>
        <w:tc>
          <w:tcPr>
            <w:tcW w:w="4680" w:type="dxa"/>
            <w:vAlign w:val="bottom"/>
          </w:tcPr>
          <w:p>
            <w:pPr>
              <w:ind w:left="200"/>
              <w:spacing w:after="0" w:line="149" w:lineRule="exact"/>
              <w:rPr>
                <w:sz w:val="20"/>
                <w:szCs w:val="20"/>
                <w:color w:val="auto"/>
              </w:rPr>
            </w:pPr>
            <w:r>
              <w:rPr>
                <w:rFonts w:ascii="Arial" w:cs="Arial" w:eastAsia="Arial" w:hAnsi="Arial"/>
                <w:sz w:val="14"/>
                <w:szCs w:val="14"/>
                <w:color w:val="auto"/>
              </w:rPr>
              <w:t>Mined in 2009</w:t>
            </w: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299</w:t>
            </w:r>
          </w:p>
        </w:tc>
        <w:tc>
          <w:tcPr>
            <w:tcW w:w="980" w:type="dxa"/>
            <w:vAlign w:val="bottom"/>
            <w:gridSpan w:val="3"/>
          </w:tcPr>
          <w:p>
            <w:pPr>
              <w:jc w:val="right"/>
              <w:ind w:right="160"/>
              <w:spacing w:after="0" w:line="149" w:lineRule="exact"/>
              <w:rPr>
                <w:sz w:val="20"/>
                <w:szCs w:val="20"/>
                <w:color w:val="auto"/>
              </w:rPr>
            </w:pPr>
            <w:r>
              <w:rPr>
                <w:rFonts w:ascii="Arial" w:cs="Arial" w:eastAsia="Arial" w:hAnsi="Arial"/>
                <w:sz w:val="14"/>
                <w:szCs w:val="14"/>
                <w:color w:val="auto"/>
              </w:rPr>
              <w:t>0</w:t>
            </w:r>
          </w:p>
        </w:tc>
        <w:tc>
          <w:tcPr>
            <w:tcW w:w="62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299</w:t>
            </w:r>
          </w:p>
        </w:tc>
      </w:tr>
      <w:tr>
        <w:trPr>
          <w:trHeight w:val="149"/>
        </w:trPr>
        <w:tc>
          <w:tcPr>
            <w:tcW w:w="468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Revision</w:t>
            </w: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1,173</w:t>
            </w:r>
          </w:p>
        </w:tc>
        <w:tc>
          <w:tcPr>
            <w:tcW w:w="980" w:type="dxa"/>
            <w:vAlign w:val="bottom"/>
            <w:gridSpan w:val="3"/>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(1,411)</w:t>
            </w:r>
          </w:p>
        </w:tc>
        <w:tc>
          <w:tcPr>
            <w:tcW w:w="6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(238)</w:t>
            </w:r>
          </w:p>
        </w:tc>
      </w:tr>
      <w:tr>
        <w:trPr>
          <w:trHeight w:val="174"/>
        </w:trPr>
        <w:tc>
          <w:tcPr>
            <w:tcW w:w="4680" w:type="dxa"/>
            <w:vAlign w:val="bottom"/>
          </w:tcPr>
          <w:p>
            <w:pPr>
              <w:ind w:left="200"/>
              <w:spacing w:after="0"/>
              <w:rPr>
                <w:sz w:val="20"/>
                <w:szCs w:val="20"/>
                <w:color w:val="auto"/>
              </w:rPr>
            </w:pPr>
            <w:r>
              <w:rPr>
                <w:rFonts w:ascii="Arial" w:cs="Arial" w:eastAsia="Arial" w:hAnsi="Arial"/>
                <w:sz w:val="14"/>
                <w:szCs w:val="14"/>
                <w:b w:val="1"/>
                <w:bCs w:val="1"/>
                <w:color w:val="auto"/>
              </w:rPr>
              <w:t>December 31, 2009</w:t>
            </w:r>
          </w:p>
        </w:tc>
        <w:tc>
          <w:tcPr>
            <w:tcW w:w="560" w:type="dxa"/>
            <w:vAlign w:val="bottom"/>
          </w:tcPr>
          <w:p>
            <w:pPr>
              <w:jc w:val="right"/>
              <w:spacing w:after="0"/>
              <w:rPr>
                <w:sz w:val="20"/>
                <w:szCs w:val="20"/>
                <w:color w:val="auto"/>
              </w:rPr>
            </w:pPr>
            <w:r>
              <w:rPr>
                <w:rFonts w:ascii="Arial" w:cs="Arial" w:eastAsia="Arial" w:hAnsi="Arial"/>
                <w:sz w:val="14"/>
                <w:szCs w:val="14"/>
                <w:b w:val="1"/>
                <w:bCs w:val="1"/>
                <w:color w:val="auto"/>
              </w:rPr>
              <w:t>897</w:t>
            </w:r>
          </w:p>
        </w:tc>
        <w:tc>
          <w:tcPr>
            <w:tcW w:w="980" w:type="dxa"/>
            <w:vAlign w:val="bottom"/>
            <w:gridSpan w:val="3"/>
          </w:tcPr>
          <w:p>
            <w:pPr>
              <w:jc w:val="right"/>
              <w:ind w:right="160"/>
              <w:spacing w:after="0"/>
              <w:rPr>
                <w:sz w:val="20"/>
                <w:szCs w:val="20"/>
                <w:color w:val="auto"/>
              </w:rPr>
            </w:pPr>
            <w:r>
              <w:rPr>
                <w:rFonts w:ascii="Arial" w:cs="Arial" w:eastAsia="Arial" w:hAnsi="Arial"/>
                <w:sz w:val="14"/>
                <w:szCs w:val="14"/>
                <w:b w:val="1"/>
                <w:bCs w:val="1"/>
                <w:color w:val="auto"/>
              </w:rPr>
              <w:t>2,319</w:t>
            </w:r>
          </w:p>
        </w:tc>
        <w:tc>
          <w:tcPr>
            <w:tcW w:w="620" w:type="dxa"/>
            <w:vAlign w:val="bottom"/>
            <w:gridSpan w:val="2"/>
          </w:tcPr>
          <w:p>
            <w:pPr>
              <w:jc w:val="right"/>
              <w:ind w:right="160"/>
              <w:spacing w:after="0"/>
              <w:rPr>
                <w:sz w:val="20"/>
                <w:szCs w:val="20"/>
                <w:color w:val="auto"/>
              </w:rPr>
            </w:pPr>
            <w:r>
              <w:rPr>
                <w:rFonts w:ascii="Arial" w:cs="Arial" w:eastAsia="Arial" w:hAnsi="Arial"/>
                <w:sz w:val="14"/>
                <w:szCs w:val="14"/>
                <w:b w:val="1"/>
                <w:bCs w:val="1"/>
                <w:color w:val="auto"/>
              </w:rPr>
              <w:t>3,216</w:t>
            </w:r>
          </w:p>
        </w:tc>
      </w:tr>
    </w:tbl>
    <w:p>
      <w:pPr>
        <w:spacing w:after="0" w:line="166" w:lineRule="exact"/>
        <w:rPr>
          <w:sz w:val="20"/>
          <w:szCs w:val="20"/>
          <w:color w:val="auto"/>
        </w:rPr>
      </w:pPr>
    </w:p>
    <w:p>
      <w:pPr>
        <w:jc w:val="both"/>
        <w:ind w:left="1680" w:hanging="531"/>
        <w:spacing w:after="0" w:line="233" w:lineRule="auto"/>
        <w:tabs>
          <w:tab w:leader="none" w:pos="1680" w:val="left"/>
        </w:tabs>
        <w:numPr>
          <w:ilvl w:val="0"/>
          <w:numId w:val="20"/>
        </w:numPr>
        <w:rPr>
          <w:rFonts w:ascii="Arial" w:cs="Arial" w:eastAsia="Arial" w:hAnsi="Arial"/>
          <w:sz w:val="14"/>
          <w:szCs w:val="14"/>
          <w:color w:val="auto"/>
        </w:rPr>
      </w:pPr>
      <w:r>
        <w:rPr>
          <w:rFonts w:ascii="Arial" w:cs="Arial" w:eastAsia="Arial" w:hAnsi="Arial"/>
          <w:sz w:val="14"/>
          <w:szCs w:val="14"/>
          <w:color w:val="auto"/>
        </w:rPr>
        <w:t>Complete information on the verification procedures, the quality assurance program, quality control procedures, parameters and methods and other factors that may materially affect scientific and technical information presented in this Form 20-F relating to the Lapa Mine may be found in the Technical Report on the Lapa Gold Project, Cadillac Township, Quebec, Canada filed with Canadian securities regulatory authorities on SEDAR on June 8, 2006.</w:t>
      </w:r>
    </w:p>
    <w:p>
      <w:pPr>
        <w:spacing w:after="0" w:line="19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u w:val="single" w:color="auto"/>
          <w:color w:val="auto"/>
        </w:rPr>
        <w:t>Pinos Altos Mineral Reserves and Mineral Resources</w:t>
      </w:r>
    </w:p>
    <w:p>
      <w:pPr>
        <w:spacing w:after="0" w:line="275"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260" w:type="dxa"/>
            <w:vAlign w:val="bottom"/>
          </w:tcPr>
          <w:p>
            <w:pPr>
              <w:spacing w:after="0"/>
              <w:rPr>
                <w:sz w:val="14"/>
                <w:szCs w:val="14"/>
                <w:color w:val="auto"/>
              </w:rPr>
            </w:pPr>
          </w:p>
        </w:tc>
        <w:tc>
          <w:tcPr>
            <w:tcW w:w="4520" w:type="dxa"/>
            <w:vAlign w:val="bottom"/>
          </w:tcPr>
          <w:p>
            <w:pPr>
              <w:spacing w:after="0"/>
              <w:rPr>
                <w:sz w:val="14"/>
                <w:szCs w:val="14"/>
                <w:color w:val="auto"/>
              </w:rPr>
            </w:pPr>
          </w:p>
        </w:tc>
        <w:tc>
          <w:tcPr>
            <w:tcW w:w="920" w:type="dxa"/>
            <w:vAlign w:val="bottom"/>
            <w:tcBorders>
              <w:bottom w:val="single" w:sz="8" w:color="auto"/>
            </w:tcBorders>
          </w:tcPr>
          <w:p>
            <w:pPr>
              <w:spacing w:after="0"/>
              <w:rPr>
                <w:sz w:val="14"/>
                <w:szCs w:val="14"/>
                <w:color w:val="auto"/>
              </w:rPr>
            </w:pPr>
          </w:p>
        </w:tc>
        <w:tc>
          <w:tcPr>
            <w:tcW w:w="1340" w:type="dxa"/>
            <w:vAlign w:val="bottom"/>
            <w:tcBorders>
              <w:bottom w:val="single" w:sz="8" w:color="auto"/>
            </w:tcBorders>
            <w:gridSpan w:val="3"/>
          </w:tcPr>
          <w:p>
            <w:pPr>
              <w:ind w:left="120"/>
              <w:spacing w:after="0"/>
              <w:rPr>
                <w:sz w:val="20"/>
                <w:szCs w:val="20"/>
                <w:color w:val="auto"/>
              </w:rPr>
            </w:pPr>
            <w:r>
              <w:rPr>
                <w:rFonts w:ascii="Arial" w:cs="Arial" w:eastAsia="Arial" w:hAnsi="Arial"/>
                <w:sz w:val="14"/>
                <w:szCs w:val="14"/>
                <w:b w:val="1"/>
                <w:bCs w:val="1"/>
                <w:color w:val="auto"/>
                <w:w w:val="92"/>
              </w:rPr>
              <w:t>As at December 31,</w:t>
            </w:r>
          </w:p>
        </w:tc>
        <w:tc>
          <w:tcPr>
            <w:tcW w:w="92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r>
      <w:tr>
        <w:trPr>
          <w:trHeight w:val="142"/>
        </w:trPr>
        <w:tc>
          <w:tcPr>
            <w:tcW w:w="2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4520" w:type="dxa"/>
            <w:vAlign w:val="bottom"/>
          </w:tcPr>
          <w:p>
            <w:pPr>
              <w:spacing w:after="0"/>
              <w:rPr>
                <w:sz w:val="12"/>
                <w:szCs w:val="12"/>
                <w:color w:val="auto"/>
              </w:rPr>
            </w:pPr>
          </w:p>
        </w:tc>
        <w:tc>
          <w:tcPr>
            <w:tcW w:w="920" w:type="dxa"/>
            <w:vAlign w:val="bottom"/>
            <w:tcBorders>
              <w:bottom w:val="single" w:sz="8" w:color="auto"/>
            </w:tcBorders>
          </w:tcPr>
          <w:p>
            <w:pPr>
              <w:jc w:val="right"/>
              <w:ind w:right="234"/>
              <w:spacing w:after="0" w:line="142" w:lineRule="exact"/>
              <w:rPr>
                <w:sz w:val="20"/>
                <w:szCs w:val="20"/>
                <w:color w:val="auto"/>
              </w:rPr>
            </w:pPr>
            <w:r>
              <w:rPr>
                <w:rFonts w:ascii="Arial" w:cs="Arial" w:eastAsia="Arial" w:hAnsi="Arial"/>
                <w:sz w:val="14"/>
                <w:szCs w:val="14"/>
                <w:b w:val="1"/>
                <w:bCs w:val="1"/>
                <w:color w:val="auto"/>
              </w:rPr>
              <w:t>2009</w:t>
            </w:r>
          </w:p>
        </w:tc>
        <w:tc>
          <w:tcPr>
            <w:tcW w:w="180" w:type="dxa"/>
            <w:vAlign w:val="bottom"/>
          </w:tcPr>
          <w:p>
            <w:pPr>
              <w:spacing w:after="0"/>
              <w:rPr>
                <w:sz w:val="12"/>
                <w:szCs w:val="12"/>
                <w:color w:val="auto"/>
              </w:rPr>
            </w:pPr>
          </w:p>
        </w:tc>
        <w:tc>
          <w:tcPr>
            <w:tcW w:w="1000" w:type="dxa"/>
            <w:vAlign w:val="bottom"/>
            <w:tcBorders>
              <w:bottom w:val="single" w:sz="8" w:color="auto"/>
            </w:tcBorders>
          </w:tcPr>
          <w:p>
            <w:pPr>
              <w:jc w:val="right"/>
              <w:ind w:right="312"/>
              <w:spacing w:after="0" w:line="142" w:lineRule="exact"/>
              <w:rPr>
                <w:sz w:val="20"/>
                <w:szCs w:val="20"/>
                <w:color w:val="auto"/>
              </w:rPr>
            </w:pPr>
            <w:r>
              <w:rPr>
                <w:rFonts w:ascii="Arial" w:cs="Arial" w:eastAsia="Arial" w:hAnsi="Arial"/>
                <w:sz w:val="14"/>
                <w:szCs w:val="14"/>
                <w:b w:val="1"/>
                <w:bCs w:val="1"/>
                <w:color w:val="auto"/>
              </w:rPr>
              <w:t>2008</w:t>
            </w:r>
          </w:p>
        </w:tc>
        <w:tc>
          <w:tcPr>
            <w:tcW w:w="160" w:type="dxa"/>
            <w:vAlign w:val="bottom"/>
          </w:tcPr>
          <w:p>
            <w:pPr>
              <w:spacing w:after="0"/>
              <w:rPr>
                <w:sz w:val="12"/>
                <w:szCs w:val="12"/>
                <w:color w:val="auto"/>
              </w:rPr>
            </w:pPr>
          </w:p>
        </w:tc>
        <w:tc>
          <w:tcPr>
            <w:tcW w:w="920" w:type="dxa"/>
            <w:vAlign w:val="bottom"/>
            <w:tcBorders>
              <w:bottom w:val="single" w:sz="8" w:color="auto"/>
            </w:tcBorders>
          </w:tcPr>
          <w:p>
            <w:pPr>
              <w:jc w:val="right"/>
              <w:ind w:right="234"/>
              <w:spacing w:after="0" w:line="142" w:lineRule="exact"/>
              <w:rPr>
                <w:sz w:val="20"/>
                <w:szCs w:val="20"/>
                <w:color w:val="auto"/>
              </w:rPr>
            </w:pPr>
            <w:r>
              <w:rPr>
                <w:rFonts w:ascii="Arial" w:cs="Arial" w:eastAsia="Arial" w:hAnsi="Arial"/>
                <w:sz w:val="14"/>
                <w:szCs w:val="14"/>
                <w:b w:val="1"/>
                <w:bCs w:val="1"/>
                <w:color w:val="auto"/>
              </w:rPr>
              <w:t>2007</w:t>
            </w:r>
          </w:p>
        </w:tc>
        <w:tc>
          <w:tcPr>
            <w:tcW w:w="160" w:type="dxa"/>
            <w:vAlign w:val="bottom"/>
          </w:tcPr>
          <w:p>
            <w:pPr>
              <w:spacing w:after="0"/>
              <w:rPr>
                <w:sz w:val="12"/>
                <w:szCs w:val="12"/>
                <w:color w:val="auto"/>
              </w:rPr>
            </w:pPr>
          </w:p>
        </w:tc>
      </w:tr>
      <w:tr>
        <w:trPr>
          <w:trHeight w:val="210"/>
        </w:trPr>
        <w:tc>
          <w:tcPr>
            <w:tcW w:w="20" w:type="dxa"/>
            <w:vAlign w:val="bottom"/>
          </w:tcPr>
          <w:p>
            <w:pPr>
              <w:spacing w:after="0"/>
              <w:rPr>
                <w:sz w:val="18"/>
                <w:szCs w:val="18"/>
                <w:color w:val="auto"/>
              </w:rPr>
            </w:pPr>
          </w:p>
        </w:tc>
        <w:tc>
          <w:tcPr>
            <w:tcW w:w="578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Proven mineral reserves — tonnes</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880,000</w:t>
            </w:r>
          </w:p>
        </w:tc>
        <w:tc>
          <w:tcPr>
            <w:tcW w:w="1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97,000</w:t>
            </w:r>
          </w:p>
        </w:tc>
        <w:tc>
          <w:tcPr>
            <w:tcW w:w="16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20" w:type="dxa"/>
            <w:vAlign w:val="bottom"/>
          </w:tcPr>
          <w:p>
            <w:pPr>
              <w:spacing w:after="0"/>
              <w:rPr>
                <w:sz w:val="18"/>
                <w:szCs w:val="18"/>
                <w:color w:val="auto"/>
              </w:rPr>
            </w:pPr>
          </w:p>
        </w:tc>
        <w:tc>
          <w:tcPr>
            <w:tcW w:w="5780" w:type="dxa"/>
            <w:vAlign w:val="bottom"/>
            <w:gridSpan w:val="2"/>
          </w:tcPr>
          <w:p>
            <w:pPr>
              <w:ind w:left="120"/>
              <w:spacing w:after="0"/>
              <w:rPr>
                <w:sz w:val="20"/>
                <w:szCs w:val="20"/>
                <w:color w:val="auto"/>
              </w:rPr>
            </w:pPr>
            <w:r>
              <w:rPr>
                <w:rFonts w:ascii="Arial" w:cs="Arial" w:eastAsia="Arial" w:hAnsi="Arial"/>
                <w:sz w:val="18"/>
                <w:szCs w:val="18"/>
                <w:color w:val="auto"/>
              </w:rPr>
              <w:t>Average gold grade — grams per tonne</w:t>
            </w:r>
          </w:p>
        </w:tc>
        <w:tc>
          <w:tcPr>
            <w:tcW w:w="920" w:type="dxa"/>
            <w:vAlign w:val="bottom"/>
          </w:tcPr>
          <w:p>
            <w:pPr>
              <w:jc w:val="right"/>
              <w:spacing w:after="0"/>
              <w:rPr>
                <w:sz w:val="20"/>
                <w:szCs w:val="20"/>
                <w:color w:val="auto"/>
              </w:rPr>
            </w:pPr>
            <w:r>
              <w:rPr>
                <w:rFonts w:ascii="Arial" w:cs="Arial" w:eastAsia="Arial" w:hAnsi="Arial"/>
                <w:sz w:val="18"/>
                <w:szCs w:val="18"/>
                <w:color w:val="auto"/>
              </w:rPr>
              <w:t>1.51</w:t>
            </w:r>
          </w:p>
        </w:tc>
        <w:tc>
          <w:tcPr>
            <w:tcW w:w="1180" w:type="dxa"/>
            <w:vAlign w:val="bottom"/>
            <w:gridSpan w:val="2"/>
          </w:tcPr>
          <w:p>
            <w:pPr>
              <w:jc w:val="right"/>
              <w:spacing w:after="0"/>
              <w:rPr>
                <w:sz w:val="20"/>
                <w:szCs w:val="20"/>
                <w:color w:val="auto"/>
              </w:rPr>
            </w:pPr>
            <w:r>
              <w:rPr>
                <w:rFonts w:ascii="Arial" w:cs="Arial" w:eastAsia="Arial" w:hAnsi="Arial"/>
                <w:sz w:val="18"/>
                <w:szCs w:val="18"/>
                <w:color w:val="auto"/>
              </w:rPr>
              <w:t>1.35</w:t>
            </w:r>
          </w:p>
        </w:tc>
        <w:tc>
          <w:tcPr>
            <w:tcW w:w="160" w:type="dxa"/>
            <w:vAlign w:val="bottom"/>
          </w:tcPr>
          <w:p>
            <w:pPr>
              <w:spacing w:after="0"/>
              <w:rPr>
                <w:sz w:val="18"/>
                <w:szCs w:val="18"/>
                <w:color w:val="auto"/>
              </w:rPr>
            </w:pPr>
          </w:p>
        </w:tc>
        <w:tc>
          <w:tcPr>
            <w:tcW w:w="108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20" w:type="dxa"/>
            <w:vAlign w:val="bottom"/>
          </w:tcPr>
          <w:p>
            <w:pPr>
              <w:spacing w:after="0"/>
              <w:rPr>
                <w:sz w:val="18"/>
                <w:szCs w:val="18"/>
                <w:color w:val="auto"/>
              </w:rPr>
            </w:pPr>
          </w:p>
        </w:tc>
        <w:tc>
          <w:tcPr>
            <w:tcW w:w="578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Average silver grade — grams per tonne</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26.53</w:t>
            </w:r>
          </w:p>
        </w:tc>
        <w:tc>
          <w:tcPr>
            <w:tcW w:w="1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19,308</w:t>
            </w:r>
          </w:p>
        </w:tc>
        <w:tc>
          <w:tcPr>
            <w:tcW w:w="16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20" w:type="dxa"/>
            <w:vAlign w:val="bottom"/>
          </w:tcPr>
          <w:p>
            <w:pPr>
              <w:spacing w:after="0"/>
              <w:rPr>
                <w:sz w:val="18"/>
                <w:szCs w:val="18"/>
                <w:color w:val="auto"/>
              </w:rPr>
            </w:pPr>
          </w:p>
        </w:tc>
        <w:tc>
          <w:tcPr>
            <w:tcW w:w="5780" w:type="dxa"/>
            <w:vAlign w:val="bottom"/>
            <w:gridSpan w:val="2"/>
          </w:tcPr>
          <w:p>
            <w:pPr>
              <w:ind w:left="120"/>
              <w:spacing w:after="0"/>
              <w:rPr>
                <w:sz w:val="20"/>
                <w:szCs w:val="20"/>
                <w:color w:val="auto"/>
              </w:rPr>
            </w:pPr>
            <w:r>
              <w:rPr>
                <w:rFonts w:ascii="Arial" w:cs="Arial" w:eastAsia="Arial" w:hAnsi="Arial"/>
                <w:sz w:val="18"/>
                <w:szCs w:val="18"/>
                <w:color w:val="auto"/>
              </w:rPr>
              <w:t>Probable mineral reserves — tonnes</w:t>
            </w:r>
          </w:p>
        </w:tc>
        <w:tc>
          <w:tcPr>
            <w:tcW w:w="920" w:type="dxa"/>
            <w:vAlign w:val="bottom"/>
          </w:tcPr>
          <w:p>
            <w:pPr>
              <w:jc w:val="right"/>
              <w:spacing w:after="0"/>
              <w:rPr>
                <w:sz w:val="20"/>
                <w:szCs w:val="20"/>
                <w:color w:val="auto"/>
              </w:rPr>
            </w:pPr>
            <w:r>
              <w:rPr>
                <w:rFonts w:ascii="Arial" w:cs="Arial" w:eastAsia="Arial" w:hAnsi="Arial"/>
                <w:sz w:val="18"/>
                <w:szCs w:val="18"/>
                <w:color w:val="auto"/>
                <w:w w:val="99"/>
              </w:rPr>
              <w:t>41,080,000</w:t>
            </w:r>
          </w:p>
        </w:tc>
        <w:tc>
          <w:tcPr>
            <w:tcW w:w="1180" w:type="dxa"/>
            <w:vAlign w:val="bottom"/>
            <w:gridSpan w:val="2"/>
          </w:tcPr>
          <w:p>
            <w:pPr>
              <w:jc w:val="right"/>
              <w:spacing w:after="0"/>
              <w:rPr>
                <w:sz w:val="20"/>
                <w:szCs w:val="20"/>
                <w:color w:val="auto"/>
              </w:rPr>
            </w:pPr>
            <w:r>
              <w:rPr>
                <w:rFonts w:ascii="Arial" w:cs="Arial" w:eastAsia="Arial" w:hAnsi="Arial"/>
                <w:sz w:val="18"/>
                <w:szCs w:val="18"/>
                <w:color w:val="auto"/>
              </w:rPr>
              <w:t>41,669,000</w:t>
            </w:r>
          </w:p>
        </w:tc>
        <w:tc>
          <w:tcPr>
            <w:tcW w:w="16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w w:val="99"/>
              </w:rPr>
              <w:t>24,657,000</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78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Average gold grade — grams per tonne</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2.54</w:t>
            </w:r>
          </w:p>
        </w:tc>
        <w:tc>
          <w:tcPr>
            <w:tcW w:w="1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2.68</w:t>
            </w:r>
          </w:p>
        </w:tc>
        <w:tc>
          <w:tcPr>
            <w:tcW w:w="16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3.21</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780" w:type="dxa"/>
            <w:vAlign w:val="bottom"/>
            <w:gridSpan w:val="2"/>
          </w:tcPr>
          <w:p>
            <w:pPr>
              <w:ind w:left="120"/>
              <w:spacing w:after="0"/>
              <w:rPr>
                <w:sz w:val="20"/>
                <w:szCs w:val="20"/>
                <w:color w:val="auto"/>
              </w:rPr>
            </w:pPr>
            <w:r>
              <w:rPr>
                <w:rFonts w:ascii="Arial" w:cs="Arial" w:eastAsia="Arial" w:hAnsi="Arial"/>
                <w:sz w:val="18"/>
                <w:szCs w:val="18"/>
                <w:color w:val="auto"/>
              </w:rPr>
              <w:t>Average silver grade — grams per tonne</w:t>
            </w:r>
          </w:p>
        </w:tc>
        <w:tc>
          <w:tcPr>
            <w:tcW w:w="920" w:type="dxa"/>
            <w:vAlign w:val="bottom"/>
          </w:tcPr>
          <w:p>
            <w:pPr>
              <w:jc w:val="right"/>
              <w:spacing w:after="0"/>
              <w:rPr>
                <w:sz w:val="20"/>
                <w:szCs w:val="20"/>
                <w:color w:val="auto"/>
              </w:rPr>
            </w:pPr>
            <w:r>
              <w:rPr>
                <w:rFonts w:ascii="Arial" w:cs="Arial" w:eastAsia="Arial" w:hAnsi="Arial"/>
                <w:sz w:val="18"/>
                <w:szCs w:val="18"/>
                <w:color w:val="auto"/>
              </w:rPr>
              <w:t>70.31</w:t>
            </w:r>
          </w:p>
        </w:tc>
        <w:tc>
          <w:tcPr>
            <w:tcW w:w="1180" w:type="dxa"/>
            <w:vAlign w:val="bottom"/>
            <w:gridSpan w:val="2"/>
          </w:tcPr>
          <w:p>
            <w:pPr>
              <w:jc w:val="right"/>
              <w:spacing w:after="0"/>
              <w:rPr>
                <w:sz w:val="20"/>
                <w:szCs w:val="20"/>
                <w:color w:val="auto"/>
              </w:rPr>
            </w:pPr>
            <w:r>
              <w:rPr>
                <w:rFonts w:ascii="Arial" w:cs="Arial" w:eastAsia="Arial" w:hAnsi="Arial"/>
                <w:sz w:val="18"/>
                <w:szCs w:val="18"/>
                <w:color w:val="auto"/>
              </w:rPr>
              <w:t>74.61</w:t>
            </w:r>
          </w:p>
        </w:tc>
        <w:tc>
          <w:tcPr>
            <w:tcW w:w="16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92.21</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78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 proven and probable mineral reserves — tonnes</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99"/>
              </w:rPr>
              <w:t>41,960,000</w:t>
            </w:r>
          </w:p>
        </w:tc>
        <w:tc>
          <w:tcPr>
            <w:tcW w:w="1180" w:type="dxa"/>
            <w:vAlign w:val="bottom"/>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rPr>
              <w:t>41,766,000</w:t>
            </w:r>
          </w:p>
        </w:tc>
        <w:tc>
          <w:tcPr>
            <w:tcW w:w="16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99"/>
              </w:rPr>
              <w:t>24,700,000</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780" w:type="dxa"/>
            <w:vAlign w:val="bottom"/>
            <w:gridSpan w:val="2"/>
          </w:tcPr>
          <w:p>
            <w:pPr>
              <w:spacing w:after="0"/>
              <w:rPr>
                <w:sz w:val="20"/>
                <w:szCs w:val="20"/>
                <w:color w:val="auto"/>
              </w:rPr>
            </w:pPr>
            <w:r>
              <w:rPr>
                <w:rFonts w:ascii="Arial" w:cs="Arial" w:eastAsia="Arial" w:hAnsi="Arial"/>
                <w:sz w:val="18"/>
                <w:szCs w:val="18"/>
                <w:b w:val="1"/>
                <w:bCs w:val="1"/>
                <w:color w:val="auto"/>
              </w:rPr>
              <w:t>Average gold grade — grams per tonne</w:t>
            </w:r>
          </w:p>
        </w:tc>
        <w:tc>
          <w:tcPr>
            <w:tcW w:w="920" w:type="dxa"/>
            <w:vAlign w:val="bottom"/>
          </w:tcPr>
          <w:p>
            <w:pPr>
              <w:jc w:val="right"/>
              <w:spacing w:after="0"/>
              <w:rPr>
                <w:sz w:val="20"/>
                <w:szCs w:val="20"/>
                <w:color w:val="auto"/>
              </w:rPr>
            </w:pPr>
            <w:r>
              <w:rPr>
                <w:rFonts w:ascii="Arial" w:cs="Arial" w:eastAsia="Arial" w:hAnsi="Arial"/>
                <w:sz w:val="18"/>
                <w:szCs w:val="18"/>
                <w:b w:val="1"/>
                <w:bCs w:val="1"/>
                <w:color w:val="auto"/>
              </w:rPr>
              <w:t>2.52</w:t>
            </w:r>
          </w:p>
        </w:tc>
        <w:tc>
          <w:tcPr>
            <w:tcW w:w="1180" w:type="dxa"/>
            <w:vAlign w:val="bottom"/>
            <w:gridSpan w:val="2"/>
          </w:tcPr>
          <w:p>
            <w:pPr>
              <w:jc w:val="right"/>
              <w:spacing w:after="0"/>
              <w:rPr>
                <w:sz w:val="20"/>
                <w:szCs w:val="20"/>
                <w:color w:val="auto"/>
              </w:rPr>
            </w:pPr>
            <w:r>
              <w:rPr>
                <w:rFonts w:ascii="Arial" w:cs="Arial" w:eastAsia="Arial" w:hAnsi="Arial"/>
                <w:sz w:val="18"/>
                <w:szCs w:val="18"/>
                <w:b w:val="1"/>
                <w:bCs w:val="1"/>
                <w:color w:val="auto"/>
              </w:rPr>
              <w:t>2.68</w:t>
            </w:r>
          </w:p>
        </w:tc>
        <w:tc>
          <w:tcPr>
            <w:tcW w:w="16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b w:val="1"/>
                <w:bCs w:val="1"/>
                <w:color w:val="auto"/>
              </w:rPr>
              <w:t>3.21</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78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Average silver grade — grams per tonne</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69.39</w:t>
            </w:r>
          </w:p>
        </w:tc>
        <w:tc>
          <w:tcPr>
            <w:tcW w:w="1180" w:type="dxa"/>
            <w:vAlign w:val="bottom"/>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rPr>
              <w:t>74.48</w:t>
            </w:r>
          </w:p>
        </w:tc>
        <w:tc>
          <w:tcPr>
            <w:tcW w:w="16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92.21</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780" w:type="dxa"/>
            <w:vAlign w:val="bottom"/>
            <w:gridSpan w:val="2"/>
          </w:tcPr>
          <w:p>
            <w:pPr>
              <w:spacing w:after="0"/>
              <w:rPr>
                <w:sz w:val="20"/>
                <w:szCs w:val="20"/>
                <w:color w:val="auto"/>
              </w:rPr>
            </w:pPr>
            <w:r>
              <w:rPr>
                <w:rFonts w:ascii="Arial" w:cs="Arial" w:eastAsia="Arial" w:hAnsi="Arial"/>
                <w:sz w:val="18"/>
                <w:szCs w:val="18"/>
                <w:b w:val="1"/>
                <w:bCs w:val="1"/>
                <w:color w:val="auto"/>
              </w:rPr>
              <w:t>Total contained gold ounces</w:t>
            </w:r>
          </w:p>
        </w:tc>
        <w:tc>
          <w:tcPr>
            <w:tcW w:w="920" w:type="dxa"/>
            <w:vAlign w:val="bottom"/>
          </w:tcPr>
          <w:p>
            <w:pPr>
              <w:jc w:val="right"/>
              <w:spacing w:after="0"/>
              <w:rPr>
                <w:sz w:val="20"/>
                <w:szCs w:val="20"/>
                <w:color w:val="auto"/>
              </w:rPr>
            </w:pPr>
            <w:r>
              <w:rPr>
                <w:rFonts w:ascii="Arial" w:cs="Arial" w:eastAsia="Arial" w:hAnsi="Arial"/>
                <w:sz w:val="18"/>
                <w:szCs w:val="18"/>
                <w:b w:val="1"/>
                <w:bCs w:val="1"/>
                <w:color w:val="auto"/>
              </w:rPr>
              <w:t>3,396,000</w:t>
            </w:r>
          </w:p>
        </w:tc>
        <w:tc>
          <w:tcPr>
            <w:tcW w:w="1180" w:type="dxa"/>
            <w:vAlign w:val="bottom"/>
            <w:gridSpan w:val="2"/>
          </w:tcPr>
          <w:p>
            <w:pPr>
              <w:jc w:val="right"/>
              <w:spacing w:after="0"/>
              <w:rPr>
                <w:sz w:val="20"/>
                <w:szCs w:val="20"/>
                <w:color w:val="auto"/>
              </w:rPr>
            </w:pPr>
            <w:r>
              <w:rPr>
                <w:rFonts w:ascii="Arial" w:cs="Arial" w:eastAsia="Arial" w:hAnsi="Arial"/>
                <w:sz w:val="18"/>
                <w:szCs w:val="18"/>
                <w:b w:val="1"/>
                <w:bCs w:val="1"/>
                <w:color w:val="auto"/>
              </w:rPr>
              <w:t>3,593,000</w:t>
            </w:r>
          </w:p>
        </w:tc>
        <w:tc>
          <w:tcPr>
            <w:tcW w:w="16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b w:val="1"/>
                <w:bCs w:val="1"/>
                <w:color w:val="auto"/>
              </w:rPr>
              <w:t>2,547,000</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78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 contained silver ounces</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99"/>
              </w:rPr>
              <w:t>93,613,000</w:t>
            </w:r>
          </w:p>
        </w:tc>
        <w:tc>
          <w:tcPr>
            <w:tcW w:w="1180" w:type="dxa"/>
            <w:vAlign w:val="bottom"/>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rPr>
              <w:t>100,010,000</w:t>
            </w:r>
          </w:p>
        </w:tc>
        <w:tc>
          <w:tcPr>
            <w:tcW w:w="16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99"/>
              </w:rPr>
              <w:t>73,100,000</w:t>
            </w:r>
          </w:p>
        </w:tc>
        <w:tc>
          <w:tcPr>
            <w:tcW w:w="160" w:type="dxa"/>
            <w:vAlign w:val="bottom"/>
            <w:shd w:val="clear" w:color="auto" w:fill="CCEEFF"/>
          </w:tcPr>
          <w:p>
            <w:pPr>
              <w:spacing w:after="0"/>
              <w:rPr>
                <w:sz w:val="18"/>
                <w:szCs w:val="18"/>
                <w:color w:val="auto"/>
              </w:rPr>
            </w:pPr>
          </w:p>
        </w:tc>
      </w:tr>
      <w:tr>
        <w:trPr>
          <w:trHeight w:val="108"/>
        </w:trPr>
        <w:tc>
          <w:tcPr>
            <w:tcW w:w="20" w:type="dxa"/>
            <w:vAlign w:val="bottom"/>
          </w:tcPr>
          <w:p>
            <w:pPr>
              <w:spacing w:after="0"/>
              <w:rPr>
                <w:sz w:val="9"/>
                <w:szCs w:val="9"/>
                <w:color w:val="auto"/>
              </w:rPr>
            </w:pPr>
          </w:p>
        </w:tc>
        <w:tc>
          <w:tcPr>
            <w:tcW w:w="1260" w:type="dxa"/>
            <w:vAlign w:val="bottom"/>
            <w:tcBorders>
              <w:bottom w:val="single" w:sz="8" w:color="auto"/>
            </w:tcBorders>
          </w:tcPr>
          <w:p>
            <w:pPr>
              <w:spacing w:after="0"/>
              <w:rPr>
                <w:sz w:val="9"/>
                <w:szCs w:val="9"/>
                <w:color w:val="auto"/>
              </w:rPr>
            </w:pPr>
          </w:p>
        </w:tc>
        <w:tc>
          <w:tcPr>
            <w:tcW w:w="4520" w:type="dxa"/>
            <w:vAlign w:val="bottom"/>
          </w:tcPr>
          <w:p>
            <w:pPr>
              <w:spacing w:after="0"/>
              <w:rPr>
                <w:sz w:val="9"/>
                <w:szCs w:val="9"/>
                <w:color w:val="auto"/>
              </w:rPr>
            </w:pPr>
          </w:p>
        </w:tc>
        <w:tc>
          <w:tcPr>
            <w:tcW w:w="920" w:type="dxa"/>
            <w:vAlign w:val="bottom"/>
          </w:tcPr>
          <w:p>
            <w:pPr>
              <w:spacing w:after="0"/>
              <w:rPr>
                <w:sz w:val="9"/>
                <w:szCs w:val="9"/>
                <w:color w:val="auto"/>
              </w:rPr>
            </w:pPr>
          </w:p>
        </w:tc>
        <w:tc>
          <w:tcPr>
            <w:tcW w:w="180" w:type="dxa"/>
            <w:vAlign w:val="bottom"/>
          </w:tcPr>
          <w:p>
            <w:pPr>
              <w:spacing w:after="0"/>
              <w:rPr>
                <w:sz w:val="9"/>
                <w:szCs w:val="9"/>
                <w:color w:val="auto"/>
              </w:rPr>
            </w:pPr>
          </w:p>
        </w:tc>
        <w:tc>
          <w:tcPr>
            <w:tcW w:w="1000" w:type="dxa"/>
            <w:vAlign w:val="bottom"/>
          </w:tcPr>
          <w:p>
            <w:pPr>
              <w:spacing w:after="0"/>
              <w:rPr>
                <w:sz w:val="9"/>
                <w:szCs w:val="9"/>
                <w:color w:val="auto"/>
              </w:rPr>
            </w:pPr>
          </w:p>
        </w:tc>
        <w:tc>
          <w:tcPr>
            <w:tcW w:w="160" w:type="dxa"/>
            <w:vAlign w:val="bottom"/>
          </w:tcPr>
          <w:p>
            <w:pPr>
              <w:spacing w:after="0"/>
              <w:rPr>
                <w:sz w:val="9"/>
                <w:szCs w:val="9"/>
                <w:color w:val="auto"/>
              </w:rPr>
            </w:pPr>
          </w:p>
        </w:tc>
        <w:tc>
          <w:tcPr>
            <w:tcW w:w="920" w:type="dxa"/>
            <w:vAlign w:val="bottom"/>
          </w:tcPr>
          <w:p>
            <w:pPr>
              <w:spacing w:after="0"/>
              <w:rPr>
                <w:sz w:val="9"/>
                <w:szCs w:val="9"/>
                <w:color w:val="auto"/>
              </w:rPr>
            </w:pPr>
          </w:p>
        </w:tc>
        <w:tc>
          <w:tcPr>
            <w:tcW w:w="160" w:type="dxa"/>
            <w:vAlign w:val="bottom"/>
          </w:tcPr>
          <w:p>
            <w:pPr>
              <w:spacing w:after="0"/>
              <w:rPr>
                <w:sz w:val="9"/>
                <w:szCs w:val="9"/>
                <w:color w:val="auto"/>
              </w:rPr>
            </w:pPr>
          </w:p>
        </w:tc>
      </w:tr>
    </w:tbl>
    <w:p>
      <w:pPr>
        <w:spacing w:after="0" w:line="205" w:lineRule="exact"/>
        <w:rPr>
          <w:sz w:val="20"/>
          <w:szCs w:val="20"/>
          <w:color w:val="auto"/>
        </w:rPr>
      </w:pPr>
    </w:p>
    <w:p>
      <w:pPr>
        <w:ind w:left="1140"/>
        <w:spacing w:after="0"/>
        <w:rPr>
          <w:sz w:val="20"/>
          <w:szCs w:val="20"/>
          <w:color w:val="auto"/>
        </w:rPr>
      </w:pPr>
      <w:r>
        <w:rPr>
          <w:rFonts w:ascii="Arial" w:cs="Arial" w:eastAsia="Arial" w:hAnsi="Arial"/>
          <w:sz w:val="14"/>
          <w:szCs w:val="14"/>
          <w:color w:val="auto"/>
        </w:rPr>
        <w:t>Notes:</w:t>
      </w:r>
    </w:p>
    <w:p>
      <w:pPr>
        <w:spacing w:after="0" w:line="190" w:lineRule="exact"/>
        <w:rPr>
          <w:sz w:val="20"/>
          <w:szCs w:val="20"/>
          <w:color w:val="auto"/>
        </w:rPr>
      </w:pPr>
    </w:p>
    <w:p>
      <w:pPr>
        <w:jc w:val="both"/>
        <w:ind w:left="1680" w:hanging="531"/>
        <w:spacing w:after="0" w:line="278" w:lineRule="auto"/>
        <w:tabs>
          <w:tab w:leader="none" w:pos="1680" w:val="left"/>
        </w:tabs>
        <w:numPr>
          <w:ilvl w:val="0"/>
          <w:numId w:val="21"/>
        </w:numPr>
        <w:rPr>
          <w:rFonts w:ascii="Arial" w:cs="Arial" w:eastAsia="Arial" w:hAnsi="Arial"/>
          <w:sz w:val="12"/>
          <w:szCs w:val="12"/>
          <w:color w:val="auto"/>
        </w:rPr>
      </w:pPr>
      <w:r>
        <w:rPr>
          <w:rFonts w:ascii="Arial" w:cs="Arial" w:eastAsia="Arial" w:hAnsi="Arial"/>
          <w:sz w:val="12"/>
          <w:szCs w:val="12"/>
          <w:color w:val="auto"/>
        </w:rPr>
        <w:t>The 2009 proven and probable mineral reserve estimate is based on a net smelter return cut-off value of the open pit ore between $7.45 per tonne and $20.43 per tonne, depending on the deposit, and a net smelter return cut-off value of the underground ore of $46.13 per tonne. The metallurgical gold recovery used in the reserve estimate varied between 59% and 96.5%, depending on the deposit. The metallurgical silver recovery used in the reserve estimate varied between 11% and 52.0%, depending on the deposit. The Company estimates that a 10% change in the gold price would result in an approximate 2% change in mineral reserves.</w:t>
      </w:r>
    </w:p>
    <w:p>
      <w:pPr>
        <w:spacing w:after="0" w:line="89" w:lineRule="exact"/>
        <w:rPr>
          <w:rFonts w:ascii="Arial" w:cs="Arial" w:eastAsia="Arial" w:hAnsi="Arial"/>
          <w:sz w:val="12"/>
          <w:szCs w:val="12"/>
          <w:color w:val="auto"/>
        </w:rPr>
      </w:pPr>
    </w:p>
    <w:p>
      <w:pPr>
        <w:ind w:left="1680" w:right="20" w:hanging="531"/>
        <w:spacing w:after="0" w:line="318" w:lineRule="auto"/>
        <w:tabs>
          <w:tab w:leader="none" w:pos="1680" w:val="left"/>
        </w:tabs>
        <w:numPr>
          <w:ilvl w:val="0"/>
          <w:numId w:val="21"/>
        </w:numPr>
        <w:rPr>
          <w:rFonts w:ascii="Arial" w:cs="Arial" w:eastAsia="Arial" w:hAnsi="Arial"/>
          <w:sz w:val="12"/>
          <w:szCs w:val="12"/>
          <w:color w:val="auto"/>
        </w:rPr>
      </w:pPr>
      <w:r>
        <w:rPr>
          <w:rFonts w:ascii="Arial" w:cs="Arial" w:eastAsia="Arial" w:hAnsi="Arial"/>
          <w:sz w:val="12"/>
          <w:szCs w:val="12"/>
          <w:color w:val="auto"/>
        </w:rPr>
        <w:t>In addition to the mineral reserves set out above, at December 31, 2009, the Pinos Altos Mine contained indicated mineral resources of 15.7 million tonnes grading 0.91 grams of gold per tonne and 26.84 grams of silver per tonne and inferred mineral resources of 15.7 million tonnes grading 1.38 grams of gold per tonne and 22.53 grams of silver per tonne.</w:t>
      </w:r>
    </w:p>
    <w:p>
      <w:pPr>
        <w:spacing w:after="0" w:line="66" w:lineRule="exact"/>
        <w:rPr>
          <w:rFonts w:ascii="Arial" w:cs="Arial" w:eastAsia="Arial" w:hAnsi="Arial"/>
          <w:sz w:val="12"/>
          <w:szCs w:val="12"/>
          <w:color w:val="auto"/>
        </w:rPr>
      </w:pPr>
    </w:p>
    <w:p>
      <w:pPr>
        <w:jc w:val="both"/>
        <w:ind w:left="1680" w:hanging="531"/>
        <w:spacing w:after="0" w:line="278" w:lineRule="auto"/>
        <w:tabs>
          <w:tab w:leader="none" w:pos="1680" w:val="left"/>
        </w:tabs>
        <w:numPr>
          <w:ilvl w:val="0"/>
          <w:numId w:val="21"/>
        </w:numPr>
        <w:rPr>
          <w:rFonts w:ascii="Arial" w:cs="Arial" w:eastAsia="Arial" w:hAnsi="Arial"/>
          <w:sz w:val="12"/>
          <w:szCs w:val="12"/>
          <w:color w:val="auto"/>
        </w:rPr>
      </w:pPr>
      <w:r>
        <w:rPr>
          <w:rFonts w:ascii="Arial" w:cs="Arial" w:eastAsia="Arial" w:hAnsi="Arial"/>
          <w:sz w:val="12"/>
          <w:szCs w:val="12"/>
          <w:color w:val="auto"/>
        </w:rPr>
        <w:t>The proven and probable mineral reserves of the Pinos Altos Mine set forth in the table above include probable mineral reserves from the Creston Mascota deposit of 6.7 million tonnes grading 1.67 grams of gold per tonne and 16.94 grams of silver per tonne. The indicated mineral resource at the Pinos Altos Mine also includes indicated mineral resources from the Creston Mascota deposit of 5.7 million tonnes grading 0.76 grams of gold per tonne and 7.6 grams of silver per tonne. The inferred mineral resource at the Pinos Altos Mine also includes inferred mineral resources from the Creston Mascota deposit of 1.4 million tonnes grading 0.97 grams of gold per tonne and 9.56 grams of silver per tonne.</w:t>
      </w:r>
    </w:p>
    <w:p>
      <w:pPr>
        <w:spacing w:after="0" w:line="89" w:lineRule="exact"/>
        <w:rPr>
          <w:rFonts w:ascii="Arial" w:cs="Arial" w:eastAsia="Arial" w:hAnsi="Arial"/>
          <w:sz w:val="12"/>
          <w:szCs w:val="12"/>
          <w:color w:val="auto"/>
        </w:rPr>
      </w:pPr>
    </w:p>
    <w:p>
      <w:pPr>
        <w:ind w:left="1680" w:hanging="531"/>
        <w:spacing w:after="0" w:line="239" w:lineRule="auto"/>
        <w:tabs>
          <w:tab w:leader="none" w:pos="1680" w:val="left"/>
        </w:tabs>
        <w:numPr>
          <w:ilvl w:val="0"/>
          <w:numId w:val="21"/>
        </w:numPr>
        <w:rPr>
          <w:rFonts w:ascii="Arial" w:cs="Arial" w:eastAsia="Arial" w:hAnsi="Arial"/>
          <w:sz w:val="14"/>
          <w:szCs w:val="14"/>
          <w:color w:val="auto"/>
        </w:rPr>
      </w:pPr>
      <w:r>
        <w:rPr>
          <w:rFonts w:ascii="Arial" w:cs="Arial" w:eastAsia="Arial" w:hAnsi="Arial"/>
          <w:sz w:val="14"/>
          <w:szCs w:val="14"/>
          <w:color w:val="auto"/>
        </w:rPr>
        <w:t>The breakdown of mineral reserves between planned open pit operations and underground operations at the Pinos Altos Mine (with tonnage and contained ounces rounded to the nearest thousand) is:</w:t>
      </w:r>
    </w:p>
    <w:p>
      <w:pPr>
        <w:spacing w:after="0" w:line="178" w:lineRule="exact"/>
        <w:rPr>
          <w:sz w:val="20"/>
          <w:szCs w:val="20"/>
          <w:color w:val="auto"/>
        </w:rPr>
      </w:pPr>
    </w:p>
    <w:tbl>
      <w:tblPr>
        <w:tblLayout w:type="fixed"/>
        <w:tblInd w:w="2300" w:type="dxa"/>
        <w:tblCellMar>
          <w:top w:w="0" w:type="dxa"/>
          <w:left w:w="0" w:type="dxa"/>
          <w:bottom w:w="0" w:type="dxa"/>
          <w:right w:w="0" w:type="dxa"/>
        </w:tblCellMar>
      </w:tblPr>
      <w:tr>
        <w:trPr>
          <w:trHeight w:val="161"/>
        </w:trPr>
        <w:tc>
          <w:tcPr>
            <w:tcW w:w="20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2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6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7"/>
              </w:rPr>
              <w:t>Gold</w:t>
            </w:r>
          </w:p>
        </w:tc>
        <w:tc>
          <w:tcPr>
            <w:tcW w:w="66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9"/>
              </w:rPr>
              <w:t>Silver</w:t>
            </w:r>
          </w:p>
        </w:tc>
        <w:tc>
          <w:tcPr>
            <w:tcW w:w="7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160" w:type="dxa"/>
            <w:vAlign w:val="bottom"/>
          </w:tcPr>
          <w:p>
            <w:pPr>
              <w:spacing w:after="0"/>
              <w:rPr>
                <w:sz w:val="14"/>
                <w:szCs w:val="14"/>
                <w:color w:val="auto"/>
              </w:rPr>
            </w:pPr>
          </w:p>
        </w:tc>
      </w:tr>
      <w:tr>
        <w:trPr>
          <w:trHeight w:val="149"/>
        </w:trPr>
        <w:tc>
          <w:tcPr>
            <w:tcW w:w="2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2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6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8"/>
              </w:rPr>
              <w:t>Grade</w:t>
            </w:r>
          </w:p>
        </w:tc>
        <w:tc>
          <w:tcPr>
            <w:tcW w:w="66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8"/>
              </w:rPr>
              <w:t>Grade</w:t>
            </w:r>
          </w:p>
        </w:tc>
        <w:tc>
          <w:tcPr>
            <w:tcW w:w="900" w:type="dxa"/>
            <w:vAlign w:val="bottom"/>
            <w:gridSpan w:val="2"/>
          </w:tcPr>
          <w:p>
            <w:pPr>
              <w:ind w:left="60"/>
              <w:spacing w:after="0" w:line="149" w:lineRule="exact"/>
              <w:rPr>
                <w:sz w:val="20"/>
                <w:szCs w:val="20"/>
                <w:color w:val="auto"/>
              </w:rPr>
            </w:pPr>
            <w:r>
              <w:rPr>
                <w:rFonts w:ascii="Arial" w:cs="Arial" w:eastAsia="Arial" w:hAnsi="Arial"/>
                <w:sz w:val="14"/>
                <w:szCs w:val="14"/>
                <w:b w:val="1"/>
                <w:bCs w:val="1"/>
                <w:color w:val="auto"/>
              </w:rPr>
              <w:t>Contained</w:t>
            </w:r>
          </w:p>
        </w:tc>
        <w:tc>
          <w:tcPr>
            <w:tcW w:w="920" w:type="dxa"/>
            <w:vAlign w:val="bottom"/>
            <w:gridSpan w:val="2"/>
          </w:tcPr>
          <w:p>
            <w:pPr>
              <w:jc w:val="right"/>
              <w:ind w:right="240"/>
              <w:spacing w:after="0" w:line="149" w:lineRule="exact"/>
              <w:rPr>
                <w:sz w:val="20"/>
                <w:szCs w:val="20"/>
                <w:color w:val="auto"/>
              </w:rPr>
            </w:pPr>
            <w:r>
              <w:rPr>
                <w:rFonts w:ascii="Arial" w:cs="Arial" w:eastAsia="Arial" w:hAnsi="Arial"/>
                <w:sz w:val="14"/>
                <w:szCs w:val="14"/>
                <w:b w:val="1"/>
                <w:bCs w:val="1"/>
                <w:color w:val="auto"/>
                <w:w w:val="96"/>
              </w:rPr>
              <w:t>Contained</w:t>
            </w:r>
          </w:p>
        </w:tc>
      </w:tr>
      <w:tr>
        <w:trPr>
          <w:trHeight w:val="161"/>
        </w:trPr>
        <w:tc>
          <w:tcPr>
            <w:tcW w:w="200" w:type="dxa"/>
            <w:vAlign w:val="bottom"/>
          </w:tcPr>
          <w:p>
            <w:pPr>
              <w:spacing w:after="0"/>
              <w:rPr>
                <w:sz w:val="14"/>
                <w:szCs w:val="14"/>
                <w:color w:val="auto"/>
              </w:rPr>
            </w:pPr>
          </w:p>
        </w:tc>
        <w:tc>
          <w:tcPr>
            <w:tcW w:w="56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w w:val="88"/>
              </w:rPr>
              <w:t>Category</w:t>
            </w:r>
          </w:p>
        </w:tc>
        <w:tc>
          <w:tcPr>
            <w:tcW w:w="640" w:type="dxa"/>
            <w:vAlign w:val="bottom"/>
          </w:tcPr>
          <w:p>
            <w:pPr>
              <w:spacing w:after="0"/>
              <w:rPr>
                <w:sz w:val="14"/>
                <w:szCs w:val="14"/>
                <w:color w:val="auto"/>
              </w:rPr>
            </w:pPr>
          </w:p>
        </w:tc>
        <w:tc>
          <w:tcPr>
            <w:tcW w:w="122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1"/>
              </w:rPr>
              <w:t>Mining Method</w:t>
            </w:r>
          </w:p>
        </w:tc>
        <w:tc>
          <w:tcPr>
            <w:tcW w:w="160" w:type="dxa"/>
            <w:vAlign w:val="bottom"/>
          </w:tcPr>
          <w:p>
            <w:pPr>
              <w:spacing w:after="0"/>
              <w:rPr>
                <w:sz w:val="14"/>
                <w:szCs w:val="14"/>
                <w:color w:val="auto"/>
              </w:rPr>
            </w:pPr>
          </w:p>
        </w:tc>
        <w:tc>
          <w:tcPr>
            <w:tcW w:w="740" w:type="dxa"/>
            <w:vAlign w:val="bottom"/>
            <w:tcBorders>
              <w:bottom w:val="single" w:sz="8" w:color="auto"/>
            </w:tcBorders>
          </w:tcPr>
          <w:p>
            <w:pPr>
              <w:ind w:left="160"/>
              <w:spacing w:after="0"/>
              <w:rPr>
                <w:sz w:val="20"/>
                <w:szCs w:val="20"/>
                <w:color w:val="auto"/>
              </w:rPr>
            </w:pPr>
            <w:r>
              <w:rPr>
                <w:rFonts w:ascii="Arial" w:cs="Arial" w:eastAsia="Arial" w:hAnsi="Arial"/>
                <w:sz w:val="14"/>
                <w:szCs w:val="14"/>
                <w:b w:val="1"/>
                <w:bCs w:val="1"/>
                <w:color w:val="auto"/>
              </w:rPr>
              <w:t>Tonnes</w:t>
            </w:r>
          </w:p>
        </w:tc>
        <w:tc>
          <w:tcPr>
            <w:tcW w:w="180" w:type="dxa"/>
            <w:vAlign w:val="bottom"/>
          </w:tcPr>
          <w:p>
            <w:pPr>
              <w:spacing w:after="0"/>
              <w:rPr>
                <w:sz w:val="14"/>
                <w:szCs w:val="14"/>
                <w:color w:val="auto"/>
              </w:rPr>
            </w:pPr>
          </w:p>
        </w:tc>
        <w:tc>
          <w:tcPr>
            <w:tcW w:w="50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0"/>
              </w:rPr>
              <w:t>(g/t)</w:t>
            </w:r>
          </w:p>
        </w:tc>
        <w:tc>
          <w:tcPr>
            <w:tcW w:w="160" w:type="dxa"/>
            <w:vAlign w:val="bottom"/>
          </w:tcPr>
          <w:p>
            <w:pPr>
              <w:spacing w:after="0"/>
              <w:rPr>
                <w:sz w:val="14"/>
                <w:szCs w:val="14"/>
                <w:color w:val="auto"/>
              </w:rPr>
            </w:pPr>
          </w:p>
        </w:tc>
        <w:tc>
          <w:tcPr>
            <w:tcW w:w="50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0"/>
              </w:rPr>
              <w:t>(g/t)</w:t>
            </w:r>
          </w:p>
        </w:tc>
        <w:tc>
          <w:tcPr>
            <w:tcW w:w="160" w:type="dxa"/>
            <w:vAlign w:val="bottom"/>
          </w:tcPr>
          <w:p>
            <w:pPr>
              <w:spacing w:after="0"/>
              <w:rPr>
                <w:sz w:val="14"/>
                <w:szCs w:val="14"/>
                <w:color w:val="auto"/>
              </w:rPr>
            </w:pPr>
          </w:p>
        </w:tc>
        <w:tc>
          <w:tcPr>
            <w:tcW w:w="740" w:type="dxa"/>
            <w:vAlign w:val="bottom"/>
            <w:tcBorders>
              <w:bottom w:val="single" w:sz="8" w:color="auto"/>
            </w:tcBorders>
          </w:tcPr>
          <w:p>
            <w:pPr>
              <w:jc w:val="right"/>
              <w:ind w:right="32"/>
              <w:spacing w:after="0"/>
              <w:rPr>
                <w:sz w:val="20"/>
                <w:szCs w:val="20"/>
                <w:color w:val="auto"/>
              </w:rPr>
            </w:pPr>
            <w:r>
              <w:rPr>
                <w:rFonts w:ascii="Arial" w:cs="Arial" w:eastAsia="Arial" w:hAnsi="Arial"/>
                <w:sz w:val="14"/>
                <w:szCs w:val="14"/>
                <w:b w:val="1"/>
                <w:bCs w:val="1"/>
                <w:color w:val="auto"/>
              </w:rPr>
              <w:t>Gold (oz)</w:t>
            </w:r>
          </w:p>
        </w:tc>
        <w:tc>
          <w:tcPr>
            <w:tcW w:w="160" w:type="dxa"/>
            <w:vAlign w:val="bottom"/>
          </w:tcPr>
          <w:p>
            <w:pPr>
              <w:spacing w:after="0"/>
              <w:rPr>
                <w:sz w:val="14"/>
                <w:szCs w:val="14"/>
                <w:color w:val="auto"/>
              </w:rPr>
            </w:pPr>
          </w:p>
        </w:tc>
        <w:tc>
          <w:tcPr>
            <w:tcW w:w="760" w:type="dxa"/>
            <w:vAlign w:val="bottom"/>
            <w:tcBorders>
              <w:bottom w:val="single" w:sz="8" w:color="auto"/>
            </w:tcBorders>
          </w:tcPr>
          <w:p>
            <w:pPr>
              <w:jc w:val="right"/>
              <w:ind w:right="12"/>
              <w:spacing w:after="0"/>
              <w:rPr>
                <w:sz w:val="20"/>
                <w:szCs w:val="20"/>
                <w:color w:val="auto"/>
              </w:rPr>
            </w:pPr>
            <w:r>
              <w:rPr>
                <w:rFonts w:ascii="Arial" w:cs="Arial" w:eastAsia="Arial" w:hAnsi="Arial"/>
                <w:sz w:val="14"/>
                <w:szCs w:val="14"/>
                <w:b w:val="1"/>
                <w:bCs w:val="1"/>
                <w:color w:val="auto"/>
                <w:w w:val="98"/>
              </w:rPr>
              <w:t>Silver (oz)</w:t>
            </w:r>
          </w:p>
        </w:tc>
        <w:tc>
          <w:tcPr>
            <w:tcW w:w="160" w:type="dxa"/>
            <w:vAlign w:val="bottom"/>
          </w:tcPr>
          <w:p>
            <w:pPr>
              <w:spacing w:after="0"/>
              <w:rPr>
                <w:sz w:val="14"/>
                <w:szCs w:val="14"/>
                <w:color w:val="auto"/>
              </w:rPr>
            </w:pPr>
          </w:p>
        </w:tc>
      </w:tr>
      <w:tr>
        <w:trPr>
          <w:trHeight w:val="131"/>
        </w:trPr>
        <w:tc>
          <w:tcPr>
            <w:tcW w:w="200" w:type="dxa"/>
            <w:vAlign w:val="bottom"/>
            <w:shd w:val="clear" w:color="auto" w:fill="CCEEFF"/>
          </w:tcPr>
          <w:p>
            <w:pPr>
              <w:spacing w:after="0"/>
              <w:rPr>
                <w:sz w:val="11"/>
                <w:szCs w:val="11"/>
                <w:color w:val="auto"/>
              </w:rPr>
            </w:pPr>
          </w:p>
        </w:tc>
        <w:tc>
          <w:tcPr>
            <w:tcW w:w="1200" w:type="dxa"/>
            <w:vAlign w:val="bottom"/>
            <w:gridSpan w:val="2"/>
            <w:shd w:val="clear" w:color="auto" w:fill="CCEEFF"/>
          </w:tcPr>
          <w:p>
            <w:pPr>
              <w:spacing w:after="0" w:line="131" w:lineRule="exact"/>
              <w:rPr>
                <w:sz w:val="20"/>
                <w:szCs w:val="20"/>
                <w:color w:val="auto"/>
              </w:rPr>
            </w:pPr>
            <w:r>
              <w:rPr>
                <w:rFonts w:ascii="Arial" w:cs="Arial" w:eastAsia="Arial" w:hAnsi="Arial"/>
                <w:sz w:val="14"/>
                <w:szCs w:val="14"/>
                <w:color w:val="auto"/>
              </w:rPr>
              <w:t>Proven mineral</w:t>
            </w:r>
          </w:p>
        </w:tc>
        <w:tc>
          <w:tcPr>
            <w:tcW w:w="12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7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r>
      <w:tr>
        <w:trPr>
          <w:trHeight w:val="159"/>
        </w:trPr>
        <w:tc>
          <w:tcPr>
            <w:tcW w:w="200" w:type="dxa"/>
            <w:vAlign w:val="bottom"/>
            <w:shd w:val="clear" w:color="auto" w:fill="CCEEFF"/>
          </w:tcPr>
          <w:p>
            <w:pPr>
              <w:spacing w:after="0"/>
              <w:rPr>
                <w:sz w:val="13"/>
                <w:szCs w:val="13"/>
                <w:color w:val="auto"/>
              </w:rPr>
            </w:pPr>
          </w:p>
        </w:tc>
        <w:tc>
          <w:tcPr>
            <w:tcW w:w="1200" w:type="dxa"/>
            <w:vAlign w:val="bottom"/>
            <w:gridSpan w:val="2"/>
            <w:shd w:val="clear" w:color="auto" w:fill="CCEEFF"/>
          </w:tcPr>
          <w:p>
            <w:pPr>
              <w:ind w:left="160"/>
              <w:spacing w:after="0" w:line="159" w:lineRule="exact"/>
              <w:rPr>
                <w:sz w:val="20"/>
                <w:szCs w:val="20"/>
                <w:color w:val="auto"/>
              </w:rPr>
            </w:pPr>
            <w:r>
              <w:rPr>
                <w:rFonts w:ascii="Arial" w:cs="Arial" w:eastAsia="Arial" w:hAnsi="Arial"/>
                <w:sz w:val="14"/>
                <w:szCs w:val="14"/>
                <w:color w:val="auto"/>
              </w:rPr>
              <w:t>reserve</w:t>
            </w:r>
          </w:p>
        </w:tc>
        <w:tc>
          <w:tcPr>
            <w:tcW w:w="1220" w:type="dxa"/>
            <w:vAlign w:val="bottom"/>
            <w:shd w:val="clear" w:color="auto" w:fill="CCEEFF"/>
          </w:tcPr>
          <w:p>
            <w:pPr>
              <w:jc w:val="center"/>
              <w:spacing w:after="0" w:line="159" w:lineRule="exact"/>
              <w:rPr>
                <w:sz w:val="20"/>
                <w:szCs w:val="20"/>
                <w:color w:val="auto"/>
              </w:rPr>
            </w:pPr>
            <w:r>
              <w:rPr>
                <w:rFonts w:ascii="Arial" w:cs="Arial" w:eastAsia="Arial" w:hAnsi="Arial"/>
                <w:sz w:val="14"/>
                <w:szCs w:val="14"/>
                <w:color w:val="auto"/>
                <w:w w:val="88"/>
              </w:rPr>
              <w:t>Open pit stock pile</w:t>
            </w:r>
          </w:p>
        </w:tc>
        <w:tc>
          <w:tcPr>
            <w:tcW w:w="1080" w:type="dxa"/>
            <w:vAlign w:val="bottom"/>
            <w:gridSpan w:val="3"/>
            <w:shd w:val="clear" w:color="auto" w:fill="CCEEFF"/>
          </w:tcPr>
          <w:p>
            <w:pPr>
              <w:jc w:val="right"/>
              <w:ind w:right="180"/>
              <w:spacing w:after="0" w:line="159" w:lineRule="exact"/>
              <w:rPr>
                <w:sz w:val="20"/>
                <w:szCs w:val="20"/>
                <w:color w:val="auto"/>
              </w:rPr>
            </w:pPr>
            <w:r>
              <w:rPr>
                <w:rFonts w:ascii="Arial" w:cs="Arial" w:eastAsia="Arial" w:hAnsi="Arial"/>
                <w:sz w:val="14"/>
                <w:szCs w:val="14"/>
                <w:color w:val="auto"/>
              </w:rPr>
              <w:t>880,000</w:t>
            </w:r>
          </w:p>
        </w:tc>
        <w:tc>
          <w:tcPr>
            <w:tcW w:w="66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1.51</w:t>
            </w:r>
          </w:p>
        </w:tc>
        <w:tc>
          <w:tcPr>
            <w:tcW w:w="66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26.35</w:t>
            </w:r>
          </w:p>
        </w:tc>
        <w:tc>
          <w:tcPr>
            <w:tcW w:w="90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43,000</w:t>
            </w:r>
          </w:p>
        </w:tc>
        <w:tc>
          <w:tcPr>
            <w:tcW w:w="92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745,000</w:t>
            </w:r>
          </w:p>
        </w:tc>
      </w:tr>
      <w:tr>
        <w:trPr>
          <w:trHeight w:val="138"/>
        </w:trPr>
        <w:tc>
          <w:tcPr>
            <w:tcW w:w="200" w:type="dxa"/>
            <w:vAlign w:val="bottom"/>
          </w:tcPr>
          <w:p>
            <w:pPr>
              <w:spacing w:after="0"/>
              <w:rPr>
                <w:sz w:val="11"/>
                <w:szCs w:val="11"/>
                <w:color w:val="auto"/>
              </w:rPr>
            </w:pPr>
          </w:p>
        </w:tc>
        <w:tc>
          <w:tcPr>
            <w:tcW w:w="1200" w:type="dxa"/>
            <w:vAlign w:val="bottom"/>
            <w:gridSpan w:val="2"/>
          </w:tcPr>
          <w:p>
            <w:pPr>
              <w:spacing w:after="0" w:line="138" w:lineRule="exact"/>
              <w:rPr>
                <w:sz w:val="20"/>
                <w:szCs w:val="20"/>
                <w:color w:val="auto"/>
              </w:rPr>
            </w:pPr>
            <w:r>
              <w:rPr>
                <w:rFonts w:ascii="Arial" w:cs="Arial" w:eastAsia="Arial" w:hAnsi="Arial"/>
                <w:sz w:val="14"/>
                <w:szCs w:val="14"/>
                <w:color w:val="auto"/>
              </w:rPr>
              <w:t>Probable mineral</w:t>
            </w:r>
          </w:p>
        </w:tc>
        <w:tc>
          <w:tcPr>
            <w:tcW w:w="12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60" w:type="dxa"/>
            <w:vAlign w:val="bottom"/>
          </w:tcPr>
          <w:p>
            <w:pPr>
              <w:spacing w:after="0"/>
              <w:rPr>
                <w:sz w:val="11"/>
                <w:szCs w:val="11"/>
                <w:color w:val="auto"/>
              </w:rPr>
            </w:pPr>
          </w:p>
        </w:tc>
      </w:tr>
      <w:tr>
        <w:trPr>
          <w:trHeight w:val="159"/>
        </w:trPr>
        <w:tc>
          <w:tcPr>
            <w:tcW w:w="200" w:type="dxa"/>
            <w:vAlign w:val="bottom"/>
          </w:tcPr>
          <w:p>
            <w:pPr>
              <w:spacing w:after="0"/>
              <w:rPr>
                <w:sz w:val="13"/>
                <w:szCs w:val="13"/>
                <w:color w:val="auto"/>
              </w:rPr>
            </w:pPr>
          </w:p>
        </w:tc>
        <w:tc>
          <w:tcPr>
            <w:tcW w:w="1200" w:type="dxa"/>
            <w:vAlign w:val="bottom"/>
            <w:gridSpan w:val="2"/>
          </w:tcPr>
          <w:p>
            <w:pPr>
              <w:ind w:left="160"/>
              <w:spacing w:after="0" w:line="159" w:lineRule="exact"/>
              <w:rPr>
                <w:sz w:val="20"/>
                <w:szCs w:val="20"/>
                <w:color w:val="auto"/>
              </w:rPr>
            </w:pPr>
            <w:r>
              <w:rPr>
                <w:rFonts w:ascii="Arial" w:cs="Arial" w:eastAsia="Arial" w:hAnsi="Arial"/>
                <w:sz w:val="14"/>
                <w:szCs w:val="14"/>
                <w:color w:val="auto"/>
              </w:rPr>
              <w:t>reserve</w:t>
            </w:r>
          </w:p>
        </w:tc>
        <w:tc>
          <w:tcPr>
            <w:tcW w:w="1220" w:type="dxa"/>
            <w:vAlign w:val="bottom"/>
          </w:tcPr>
          <w:p>
            <w:pPr>
              <w:jc w:val="center"/>
              <w:spacing w:after="0" w:line="159" w:lineRule="exact"/>
              <w:rPr>
                <w:sz w:val="20"/>
                <w:szCs w:val="20"/>
                <w:color w:val="auto"/>
              </w:rPr>
            </w:pPr>
            <w:r>
              <w:rPr>
                <w:rFonts w:ascii="Arial" w:cs="Arial" w:eastAsia="Arial" w:hAnsi="Arial"/>
                <w:sz w:val="14"/>
                <w:szCs w:val="14"/>
                <w:color w:val="auto"/>
                <w:w w:val="86"/>
              </w:rPr>
              <w:t>Open pit</w:t>
            </w:r>
          </w:p>
        </w:tc>
        <w:tc>
          <w:tcPr>
            <w:tcW w:w="1080" w:type="dxa"/>
            <w:vAlign w:val="bottom"/>
            <w:gridSpan w:val="3"/>
          </w:tcPr>
          <w:p>
            <w:pPr>
              <w:jc w:val="right"/>
              <w:ind w:right="180"/>
              <w:spacing w:after="0" w:line="159" w:lineRule="exact"/>
              <w:rPr>
                <w:sz w:val="20"/>
                <w:szCs w:val="20"/>
                <w:color w:val="auto"/>
              </w:rPr>
            </w:pPr>
            <w:r>
              <w:rPr>
                <w:rFonts w:ascii="Arial" w:cs="Arial" w:eastAsia="Arial" w:hAnsi="Arial"/>
                <w:sz w:val="14"/>
                <w:szCs w:val="14"/>
                <w:color w:val="auto"/>
              </w:rPr>
              <w:t>18,101,000</w:t>
            </w:r>
          </w:p>
        </w:tc>
        <w:tc>
          <w:tcPr>
            <w:tcW w:w="66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2.05</w:t>
            </w:r>
          </w:p>
        </w:tc>
        <w:tc>
          <w:tcPr>
            <w:tcW w:w="66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49.30</w:t>
            </w:r>
          </w:p>
        </w:tc>
        <w:tc>
          <w:tcPr>
            <w:tcW w:w="90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1,195,000</w:t>
            </w:r>
          </w:p>
        </w:tc>
        <w:tc>
          <w:tcPr>
            <w:tcW w:w="92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28,690,000</w:t>
            </w:r>
          </w:p>
        </w:tc>
      </w:tr>
      <w:tr>
        <w:trPr>
          <w:trHeight w:val="138"/>
        </w:trPr>
        <w:tc>
          <w:tcPr>
            <w:tcW w:w="200" w:type="dxa"/>
            <w:vAlign w:val="bottom"/>
            <w:shd w:val="clear" w:color="auto" w:fill="CCEEFF"/>
          </w:tcPr>
          <w:p>
            <w:pPr>
              <w:spacing w:after="0"/>
              <w:rPr>
                <w:sz w:val="11"/>
                <w:szCs w:val="11"/>
                <w:color w:val="auto"/>
              </w:rPr>
            </w:pPr>
          </w:p>
        </w:tc>
        <w:tc>
          <w:tcPr>
            <w:tcW w:w="1200" w:type="dxa"/>
            <w:vAlign w:val="bottom"/>
            <w:gridSpan w:val="2"/>
            <w:shd w:val="clear" w:color="auto" w:fill="CCEEFF"/>
          </w:tcPr>
          <w:p>
            <w:pPr>
              <w:spacing w:after="0" w:line="138" w:lineRule="exact"/>
              <w:rPr>
                <w:sz w:val="20"/>
                <w:szCs w:val="20"/>
                <w:color w:val="auto"/>
              </w:rPr>
            </w:pPr>
            <w:r>
              <w:rPr>
                <w:rFonts w:ascii="Arial" w:cs="Arial" w:eastAsia="Arial" w:hAnsi="Arial"/>
                <w:sz w:val="14"/>
                <w:szCs w:val="14"/>
                <w:color w:val="auto"/>
              </w:rPr>
              <w:t>Probable mineral</w:t>
            </w:r>
          </w:p>
        </w:tc>
        <w:tc>
          <w:tcPr>
            <w:tcW w:w="12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7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r>
      <w:tr>
        <w:trPr>
          <w:trHeight w:val="159"/>
        </w:trPr>
        <w:tc>
          <w:tcPr>
            <w:tcW w:w="200" w:type="dxa"/>
            <w:vAlign w:val="bottom"/>
            <w:shd w:val="clear" w:color="auto" w:fill="CCEEFF"/>
          </w:tcPr>
          <w:p>
            <w:pPr>
              <w:spacing w:after="0"/>
              <w:rPr>
                <w:sz w:val="13"/>
                <w:szCs w:val="13"/>
                <w:color w:val="auto"/>
              </w:rPr>
            </w:pPr>
          </w:p>
        </w:tc>
        <w:tc>
          <w:tcPr>
            <w:tcW w:w="1200" w:type="dxa"/>
            <w:vAlign w:val="bottom"/>
            <w:gridSpan w:val="2"/>
            <w:shd w:val="clear" w:color="auto" w:fill="CCEEFF"/>
          </w:tcPr>
          <w:p>
            <w:pPr>
              <w:ind w:left="160"/>
              <w:spacing w:after="0" w:line="159" w:lineRule="exact"/>
              <w:rPr>
                <w:sz w:val="20"/>
                <w:szCs w:val="20"/>
                <w:color w:val="auto"/>
              </w:rPr>
            </w:pPr>
            <w:r>
              <w:rPr>
                <w:rFonts w:ascii="Arial" w:cs="Arial" w:eastAsia="Arial" w:hAnsi="Arial"/>
                <w:sz w:val="14"/>
                <w:szCs w:val="14"/>
                <w:color w:val="auto"/>
              </w:rPr>
              <w:t>reserve</w:t>
            </w:r>
          </w:p>
        </w:tc>
        <w:tc>
          <w:tcPr>
            <w:tcW w:w="1220" w:type="dxa"/>
            <w:vAlign w:val="bottom"/>
            <w:shd w:val="clear" w:color="auto" w:fill="CCEEFF"/>
          </w:tcPr>
          <w:p>
            <w:pPr>
              <w:jc w:val="center"/>
              <w:spacing w:after="0" w:line="159" w:lineRule="exact"/>
              <w:rPr>
                <w:sz w:val="20"/>
                <w:szCs w:val="20"/>
                <w:color w:val="auto"/>
              </w:rPr>
            </w:pPr>
            <w:r>
              <w:rPr>
                <w:rFonts w:ascii="Arial" w:cs="Arial" w:eastAsia="Arial" w:hAnsi="Arial"/>
                <w:sz w:val="14"/>
                <w:szCs w:val="14"/>
                <w:color w:val="auto"/>
                <w:w w:val="85"/>
              </w:rPr>
              <w:t>Underground</w:t>
            </w:r>
          </w:p>
        </w:tc>
        <w:tc>
          <w:tcPr>
            <w:tcW w:w="1080" w:type="dxa"/>
            <w:vAlign w:val="bottom"/>
            <w:gridSpan w:val="3"/>
            <w:shd w:val="clear" w:color="auto" w:fill="CCEEFF"/>
          </w:tcPr>
          <w:p>
            <w:pPr>
              <w:jc w:val="right"/>
              <w:ind w:right="180"/>
              <w:spacing w:after="0" w:line="159" w:lineRule="exact"/>
              <w:rPr>
                <w:sz w:val="20"/>
                <w:szCs w:val="20"/>
                <w:color w:val="auto"/>
              </w:rPr>
            </w:pPr>
            <w:r>
              <w:rPr>
                <w:rFonts w:ascii="Arial" w:cs="Arial" w:eastAsia="Arial" w:hAnsi="Arial"/>
                <w:sz w:val="14"/>
                <w:szCs w:val="14"/>
                <w:color w:val="auto"/>
              </w:rPr>
              <w:t>22,979,000</w:t>
            </w:r>
          </w:p>
        </w:tc>
        <w:tc>
          <w:tcPr>
            <w:tcW w:w="66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2.92</w:t>
            </w:r>
          </w:p>
        </w:tc>
        <w:tc>
          <w:tcPr>
            <w:tcW w:w="66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86.87</w:t>
            </w:r>
          </w:p>
        </w:tc>
        <w:tc>
          <w:tcPr>
            <w:tcW w:w="90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2,158,000</w:t>
            </w:r>
          </w:p>
        </w:tc>
        <w:tc>
          <w:tcPr>
            <w:tcW w:w="92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64,177,000</w:t>
            </w:r>
          </w:p>
        </w:tc>
      </w:tr>
      <w:tr>
        <w:trPr>
          <w:trHeight w:val="136"/>
        </w:trPr>
        <w:tc>
          <w:tcPr>
            <w:tcW w:w="200" w:type="dxa"/>
            <w:vAlign w:val="bottom"/>
          </w:tcPr>
          <w:p>
            <w:pPr>
              <w:spacing w:after="0"/>
              <w:rPr>
                <w:sz w:val="11"/>
                <w:szCs w:val="11"/>
                <w:color w:val="auto"/>
              </w:rPr>
            </w:pPr>
          </w:p>
        </w:tc>
        <w:tc>
          <w:tcPr>
            <w:tcW w:w="1200" w:type="dxa"/>
            <w:vAlign w:val="bottom"/>
            <w:gridSpan w:val="2"/>
          </w:tcPr>
          <w:p>
            <w:pPr>
              <w:spacing w:after="0" w:line="136" w:lineRule="exact"/>
              <w:rPr>
                <w:sz w:val="20"/>
                <w:szCs w:val="20"/>
                <w:color w:val="auto"/>
              </w:rPr>
            </w:pPr>
            <w:r>
              <w:rPr>
                <w:rFonts w:ascii="Arial" w:cs="Arial" w:eastAsia="Arial" w:hAnsi="Arial"/>
                <w:sz w:val="14"/>
                <w:szCs w:val="14"/>
                <w:b w:val="1"/>
                <w:bCs w:val="1"/>
                <w:color w:val="auto"/>
              </w:rPr>
              <w:t>Total probable</w:t>
            </w:r>
          </w:p>
        </w:tc>
        <w:tc>
          <w:tcPr>
            <w:tcW w:w="12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160" w:type="dxa"/>
            <w:vAlign w:val="bottom"/>
          </w:tcPr>
          <w:p>
            <w:pPr>
              <w:spacing w:after="0"/>
              <w:rPr>
                <w:sz w:val="11"/>
                <w:szCs w:val="11"/>
                <w:color w:val="auto"/>
              </w:rPr>
            </w:pPr>
          </w:p>
        </w:tc>
      </w:tr>
      <w:tr>
        <w:trPr>
          <w:trHeight w:val="149"/>
        </w:trPr>
        <w:tc>
          <w:tcPr>
            <w:tcW w:w="200" w:type="dxa"/>
            <w:vAlign w:val="bottom"/>
          </w:tcPr>
          <w:p>
            <w:pPr>
              <w:spacing w:after="0"/>
              <w:rPr>
                <w:sz w:val="12"/>
                <w:szCs w:val="12"/>
                <w:color w:val="auto"/>
              </w:rPr>
            </w:pPr>
          </w:p>
        </w:tc>
        <w:tc>
          <w:tcPr>
            <w:tcW w:w="1200" w:type="dxa"/>
            <w:vAlign w:val="bottom"/>
            <w:gridSpan w:val="2"/>
          </w:tcPr>
          <w:p>
            <w:pPr>
              <w:ind w:left="160"/>
              <w:spacing w:after="0" w:line="149" w:lineRule="exact"/>
              <w:rPr>
                <w:sz w:val="20"/>
                <w:szCs w:val="20"/>
                <w:color w:val="auto"/>
              </w:rPr>
            </w:pPr>
            <w:r>
              <w:rPr>
                <w:rFonts w:ascii="Arial" w:cs="Arial" w:eastAsia="Arial" w:hAnsi="Arial"/>
                <w:sz w:val="14"/>
                <w:szCs w:val="14"/>
                <w:b w:val="1"/>
                <w:bCs w:val="1"/>
                <w:color w:val="auto"/>
              </w:rPr>
              <w:t>mineral</w:t>
            </w:r>
          </w:p>
        </w:tc>
        <w:tc>
          <w:tcPr>
            <w:tcW w:w="12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60" w:type="dxa"/>
            <w:vAlign w:val="bottom"/>
          </w:tcPr>
          <w:p>
            <w:pPr>
              <w:spacing w:after="0"/>
              <w:rPr>
                <w:sz w:val="12"/>
                <w:szCs w:val="12"/>
                <w:color w:val="auto"/>
              </w:rPr>
            </w:pPr>
          </w:p>
        </w:tc>
      </w:tr>
      <w:tr>
        <w:trPr>
          <w:trHeight w:val="174"/>
        </w:trPr>
        <w:tc>
          <w:tcPr>
            <w:tcW w:w="200" w:type="dxa"/>
            <w:vAlign w:val="bottom"/>
          </w:tcPr>
          <w:p>
            <w:pPr>
              <w:spacing w:after="0"/>
              <w:rPr>
                <w:sz w:val="15"/>
                <w:szCs w:val="15"/>
                <w:color w:val="auto"/>
              </w:rPr>
            </w:pPr>
          </w:p>
        </w:tc>
        <w:tc>
          <w:tcPr>
            <w:tcW w:w="1200" w:type="dxa"/>
            <w:vAlign w:val="bottom"/>
            <w:gridSpan w:val="2"/>
          </w:tcPr>
          <w:p>
            <w:pPr>
              <w:ind w:left="160"/>
              <w:spacing w:after="0"/>
              <w:rPr>
                <w:sz w:val="20"/>
                <w:szCs w:val="20"/>
                <w:color w:val="auto"/>
              </w:rPr>
            </w:pPr>
            <w:r>
              <w:rPr>
                <w:rFonts w:ascii="Arial" w:cs="Arial" w:eastAsia="Arial" w:hAnsi="Arial"/>
                <w:sz w:val="14"/>
                <w:szCs w:val="14"/>
                <w:b w:val="1"/>
                <w:bCs w:val="1"/>
                <w:color w:val="auto"/>
              </w:rPr>
              <w:t>reserve</w:t>
            </w:r>
          </w:p>
        </w:tc>
        <w:tc>
          <w:tcPr>
            <w:tcW w:w="1220" w:type="dxa"/>
            <w:vAlign w:val="bottom"/>
          </w:tcPr>
          <w:p>
            <w:pPr>
              <w:spacing w:after="0"/>
              <w:rPr>
                <w:sz w:val="15"/>
                <w:szCs w:val="15"/>
                <w:color w:val="auto"/>
              </w:rPr>
            </w:pPr>
          </w:p>
        </w:tc>
        <w:tc>
          <w:tcPr>
            <w:tcW w:w="1080" w:type="dxa"/>
            <w:vAlign w:val="bottom"/>
            <w:gridSpan w:val="3"/>
          </w:tcPr>
          <w:p>
            <w:pPr>
              <w:jc w:val="right"/>
              <w:ind w:right="180"/>
              <w:spacing w:after="0"/>
              <w:rPr>
                <w:sz w:val="20"/>
                <w:szCs w:val="20"/>
                <w:color w:val="auto"/>
              </w:rPr>
            </w:pPr>
            <w:r>
              <w:rPr>
                <w:rFonts w:ascii="Arial" w:cs="Arial" w:eastAsia="Arial" w:hAnsi="Arial"/>
                <w:sz w:val="14"/>
                <w:szCs w:val="14"/>
                <w:b w:val="1"/>
                <w:bCs w:val="1"/>
                <w:color w:val="auto"/>
              </w:rPr>
              <w:t>41,080,000</w:t>
            </w:r>
          </w:p>
        </w:tc>
        <w:tc>
          <w:tcPr>
            <w:tcW w:w="660" w:type="dxa"/>
            <w:vAlign w:val="bottom"/>
            <w:gridSpan w:val="2"/>
          </w:tcPr>
          <w:p>
            <w:pPr>
              <w:jc w:val="right"/>
              <w:ind w:right="160"/>
              <w:spacing w:after="0"/>
              <w:rPr>
                <w:sz w:val="20"/>
                <w:szCs w:val="20"/>
                <w:color w:val="auto"/>
              </w:rPr>
            </w:pPr>
            <w:r>
              <w:rPr>
                <w:rFonts w:ascii="Arial" w:cs="Arial" w:eastAsia="Arial" w:hAnsi="Arial"/>
                <w:sz w:val="14"/>
                <w:szCs w:val="14"/>
                <w:b w:val="1"/>
                <w:bCs w:val="1"/>
                <w:color w:val="auto"/>
              </w:rPr>
              <w:t>2.54</w:t>
            </w:r>
          </w:p>
        </w:tc>
        <w:tc>
          <w:tcPr>
            <w:tcW w:w="660" w:type="dxa"/>
            <w:vAlign w:val="bottom"/>
            <w:gridSpan w:val="2"/>
          </w:tcPr>
          <w:p>
            <w:pPr>
              <w:jc w:val="right"/>
              <w:ind w:right="160"/>
              <w:spacing w:after="0"/>
              <w:rPr>
                <w:sz w:val="20"/>
                <w:szCs w:val="20"/>
                <w:color w:val="auto"/>
              </w:rPr>
            </w:pPr>
            <w:r>
              <w:rPr>
                <w:rFonts w:ascii="Arial" w:cs="Arial" w:eastAsia="Arial" w:hAnsi="Arial"/>
                <w:sz w:val="14"/>
                <w:szCs w:val="14"/>
                <w:b w:val="1"/>
                <w:bCs w:val="1"/>
                <w:color w:val="auto"/>
              </w:rPr>
              <w:t>70.31</w:t>
            </w:r>
          </w:p>
        </w:tc>
        <w:tc>
          <w:tcPr>
            <w:tcW w:w="900" w:type="dxa"/>
            <w:vAlign w:val="bottom"/>
            <w:gridSpan w:val="2"/>
          </w:tcPr>
          <w:p>
            <w:pPr>
              <w:jc w:val="right"/>
              <w:ind w:right="160"/>
              <w:spacing w:after="0"/>
              <w:rPr>
                <w:sz w:val="20"/>
                <w:szCs w:val="20"/>
                <w:color w:val="auto"/>
              </w:rPr>
            </w:pPr>
            <w:r>
              <w:rPr>
                <w:rFonts w:ascii="Arial" w:cs="Arial" w:eastAsia="Arial" w:hAnsi="Arial"/>
                <w:sz w:val="14"/>
                <w:szCs w:val="14"/>
                <w:b w:val="1"/>
                <w:bCs w:val="1"/>
                <w:color w:val="auto"/>
              </w:rPr>
              <w:t>3,353,000</w:t>
            </w:r>
          </w:p>
        </w:tc>
        <w:tc>
          <w:tcPr>
            <w:tcW w:w="920" w:type="dxa"/>
            <w:vAlign w:val="bottom"/>
            <w:gridSpan w:val="2"/>
          </w:tcPr>
          <w:p>
            <w:pPr>
              <w:jc w:val="right"/>
              <w:ind w:right="160"/>
              <w:spacing w:after="0"/>
              <w:rPr>
                <w:sz w:val="20"/>
                <w:szCs w:val="20"/>
                <w:color w:val="auto"/>
              </w:rPr>
            </w:pPr>
            <w:r>
              <w:rPr>
                <w:rFonts w:ascii="Arial" w:cs="Arial" w:eastAsia="Arial" w:hAnsi="Arial"/>
                <w:sz w:val="14"/>
                <w:szCs w:val="14"/>
                <w:b w:val="1"/>
                <w:bCs w:val="1"/>
                <w:color w:val="auto"/>
              </w:rPr>
              <w:t>92,867,000</w:t>
            </w:r>
          </w:p>
        </w:tc>
      </w:tr>
    </w:tbl>
    <w:p>
      <w:pPr>
        <w:spacing w:after="0" w:line="19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29" w:right="239" w:bottom="1440" w:gutter="0" w:footer="0" w:header="0"/>
        </w:sectPr>
      </w:pPr>
    </w:p>
    <w:bookmarkStart w:id="107" w:name="page108"/>
    <w:bookmarkEnd w:id="107"/>
    <w:p>
      <w:pPr>
        <w:jc w:val="both"/>
        <w:ind w:left="1680" w:hanging="531"/>
        <w:spacing w:after="0" w:line="233" w:lineRule="auto"/>
        <w:tabs>
          <w:tab w:leader="none" w:pos="1680" w:val="left"/>
        </w:tabs>
        <w:numPr>
          <w:ilvl w:val="0"/>
          <w:numId w:val="22"/>
        </w:numPr>
        <w:rPr>
          <w:rFonts w:ascii="Arial" w:cs="Arial" w:eastAsia="Arial" w:hAnsi="Arial"/>
          <w:sz w:val="14"/>
          <w:szCs w:val="14"/>
          <w:color w:val="auto"/>
        </w:rPr>
      </w:pPr>
      <w:r>
        <w:rPr>
          <w:rFonts w:ascii="Arial" w:cs="Arial" w:eastAsia="Arial" w:hAnsi="Arial"/>
          <w:sz w:val="14"/>
          <w:szCs w:val="14"/>
          <w:color w:val="auto"/>
        </w:rPr>
        <w:t>The following table shows the reconciliation of mineral reserves (in nearest thousand tonnes) at the Pinos Altos Mine by category at December 31, 2009 with those at December 31, 2008. Revision means additional mineral reserves converted from mineral resources or other categories of mineral reserves and mineral reserves added from exploration activities during 2009.</w:t>
      </w:r>
    </w:p>
    <w:p>
      <w:pPr>
        <w:spacing w:after="0" w:line="191" w:lineRule="exact"/>
        <w:rPr>
          <w:sz w:val="20"/>
          <w:szCs w:val="20"/>
          <w:color w:val="auto"/>
        </w:rPr>
      </w:pPr>
    </w:p>
    <w:tbl>
      <w:tblPr>
        <w:tblLayout w:type="fixed"/>
        <w:tblInd w:w="2300" w:type="dxa"/>
        <w:tblCellMar>
          <w:top w:w="0" w:type="dxa"/>
          <w:left w:w="0" w:type="dxa"/>
          <w:bottom w:w="0" w:type="dxa"/>
          <w:right w:w="0" w:type="dxa"/>
        </w:tblCellMar>
      </w:tblPr>
      <w:tr>
        <w:trPr>
          <w:trHeight w:val="161"/>
        </w:trPr>
        <w:tc>
          <w:tcPr>
            <w:tcW w:w="4600" w:type="dxa"/>
            <w:vAlign w:val="bottom"/>
          </w:tcPr>
          <w:p>
            <w:pPr>
              <w:spacing w:after="0"/>
              <w:rPr>
                <w:sz w:val="14"/>
                <w:szCs w:val="14"/>
                <w:color w:val="auto"/>
              </w:rPr>
            </w:pPr>
          </w:p>
        </w:tc>
        <w:tc>
          <w:tcPr>
            <w:tcW w:w="560" w:type="dxa"/>
            <w:vAlign w:val="bottom"/>
            <w:tcBorders>
              <w:bottom w:val="single" w:sz="8" w:color="auto"/>
            </w:tcBorders>
          </w:tcPr>
          <w:p>
            <w:pPr>
              <w:ind w:left="80"/>
              <w:spacing w:after="0"/>
              <w:rPr>
                <w:sz w:val="20"/>
                <w:szCs w:val="20"/>
                <w:color w:val="auto"/>
              </w:rPr>
            </w:pPr>
            <w:r>
              <w:rPr>
                <w:rFonts w:ascii="Arial" w:cs="Arial" w:eastAsia="Arial" w:hAnsi="Arial"/>
                <w:sz w:val="14"/>
                <w:szCs w:val="14"/>
                <w:b w:val="1"/>
                <w:bCs w:val="1"/>
                <w:color w:val="auto"/>
                <w:w w:val="96"/>
              </w:rPr>
              <w:t>Proven</w:t>
            </w:r>
          </w:p>
        </w:tc>
        <w:tc>
          <w:tcPr>
            <w:tcW w:w="160" w:type="dxa"/>
            <w:vAlign w:val="bottom"/>
          </w:tcPr>
          <w:p>
            <w:pPr>
              <w:spacing w:after="0"/>
              <w:rPr>
                <w:sz w:val="14"/>
                <w:szCs w:val="14"/>
                <w:color w:val="auto"/>
              </w:rPr>
            </w:pPr>
          </w:p>
        </w:tc>
        <w:tc>
          <w:tcPr>
            <w:tcW w:w="680" w:type="dxa"/>
            <w:vAlign w:val="bottom"/>
            <w:tcBorders>
              <w:bottom w:val="single" w:sz="8" w:color="auto"/>
            </w:tcBorders>
          </w:tcPr>
          <w:p>
            <w:pPr>
              <w:jc w:val="right"/>
              <w:ind w:right="12"/>
              <w:spacing w:after="0"/>
              <w:rPr>
                <w:sz w:val="20"/>
                <w:szCs w:val="20"/>
                <w:color w:val="auto"/>
              </w:rPr>
            </w:pPr>
            <w:r>
              <w:rPr>
                <w:rFonts w:ascii="Arial" w:cs="Arial" w:eastAsia="Arial" w:hAnsi="Arial"/>
                <w:sz w:val="14"/>
                <w:szCs w:val="14"/>
                <w:b w:val="1"/>
                <w:bCs w:val="1"/>
                <w:color w:val="auto"/>
                <w:w w:val="96"/>
              </w:rPr>
              <w:t>Probable</w:t>
            </w:r>
          </w:p>
        </w:tc>
        <w:tc>
          <w:tcPr>
            <w:tcW w:w="160" w:type="dxa"/>
            <w:vAlign w:val="bottom"/>
          </w:tcPr>
          <w:p>
            <w:pPr>
              <w:spacing w:after="0"/>
              <w:rPr>
                <w:sz w:val="14"/>
                <w:szCs w:val="14"/>
                <w:color w:val="auto"/>
              </w:rPr>
            </w:pPr>
          </w:p>
        </w:tc>
        <w:tc>
          <w:tcPr>
            <w:tcW w:w="520" w:type="dxa"/>
            <w:vAlign w:val="bottom"/>
            <w:tcBorders>
              <w:bottom w:val="single" w:sz="8" w:color="auto"/>
            </w:tcBorders>
          </w:tcPr>
          <w:p>
            <w:pPr>
              <w:jc w:val="right"/>
              <w:ind w:right="52"/>
              <w:spacing w:after="0"/>
              <w:rPr>
                <w:sz w:val="20"/>
                <w:szCs w:val="20"/>
                <w:color w:val="auto"/>
              </w:rPr>
            </w:pPr>
            <w:r>
              <w:rPr>
                <w:rFonts w:ascii="Arial" w:cs="Arial" w:eastAsia="Arial" w:hAnsi="Arial"/>
                <w:sz w:val="14"/>
                <w:szCs w:val="14"/>
                <w:b w:val="1"/>
                <w:bCs w:val="1"/>
                <w:color w:val="auto"/>
              </w:rPr>
              <w:t>Total</w:t>
            </w:r>
          </w:p>
        </w:tc>
        <w:tc>
          <w:tcPr>
            <w:tcW w:w="160" w:type="dxa"/>
            <w:vAlign w:val="bottom"/>
          </w:tcPr>
          <w:p>
            <w:pPr>
              <w:spacing w:after="0"/>
              <w:rPr>
                <w:sz w:val="14"/>
                <w:szCs w:val="14"/>
                <w:color w:val="auto"/>
              </w:rPr>
            </w:pPr>
          </w:p>
        </w:tc>
      </w:tr>
      <w:tr>
        <w:trPr>
          <w:trHeight w:val="142"/>
        </w:trPr>
        <w:tc>
          <w:tcPr>
            <w:tcW w:w="4600" w:type="dxa"/>
            <w:vAlign w:val="bottom"/>
            <w:shd w:val="clear" w:color="auto" w:fill="CCEEFF"/>
          </w:tcPr>
          <w:p>
            <w:pPr>
              <w:ind w:left="200"/>
              <w:spacing w:after="0" w:line="142" w:lineRule="exact"/>
              <w:rPr>
                <w:sz w:val="20"/>
                <w:szCs w:val="20"/>
                <w:color w:val="auto"/>
              </w:rPr>
            </w:pPr>
            <w:r>
              <w:rPr>
                <w:rFonts w:ascii="Arial" w:cs="Arial" w:eastAsia="Arial" w:hAnsi="Arial"/>
                <w:sz w:val="14"/>
                <w:szCs w:val="14"/>
                <w:color w:val="auto"/>
              </w:rPr>
              <w:t>December 31, 2008</w:t>
            </w:r>
          </w:p>
        </w:tc>
        <w:tc>
          <w:tcPr>
            <w:tcW w:w="720" w:type="dxa"/>
            <w:vAlign w:val="bottom"/>
            <w:gridSpan w:val="2"/>
            <w:shd w:val="clear" w:color="auto" w:fill="CCEEFF"/>
          </w:tcPr>
          <w:p>
            <w:pPr>
              <w:jc w:val="right"/>
              <w:ind w:right="160"/>
              <w:spacing w:after="0" w:line="142" w:lineRule="exact"/>
              <w:rPr>
                <w:sz w:val="20"/>
                <w:szCs w:val="20"/>
                <w:color w:val="auto"/>
              </w:rPr>
            </w:pPr>
            <w:r>
              <w:rPr>
                <w:rFonts w:ascii="Arial" w:cs="Arial" w:eastAsia="Arial" w:hAnsi="Arial"/>
                <w:sz w:val="14"/>
                <w:szCs w:val="14"/>
                <w:color w:val="auto"/>
              </w:rPr>
              <w:t>97</w:t>
            </w:r>
          </w:p>
        </w:tc>
        <w:tc>
          <w:tcPr>
            <w:tcW w:w="6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41,669</w:t>
            </w:r>
          </w:p>
        </w:tc>
        <w:tc>
          <w:tcPr>
            <w:tcW w:w="16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60"/>
              <w:spacing w:after="0" w:line="142" w:lineRule="exact"/>
              <w:rPr>
                <w:sz w:val="20"/>
                <w:szCs w:val="20"/>
                <w:color w:val="auto"/>
              </w:rPr>
            </w:pPr>
            <w:r>
              <w:rPr>
                <w:rFonts w:ascii="Arial" w:cs="Arial" w:eastAsia="Arial" w:hAnsi="Arial"/>
                <w:sz w:val="14"/>
                <w:szCs w:val="14"/>
                <w:color w:val="auto"/>
              </w:rPr>
              <w:t>41,766</w:t>
            </w:r>
          </w:p>
        </w:tc>
      </w:tr>
      <w:tr>
        <w:trPr>
          <w:trHeight w:val="149"/>
        </w:trPr>
        <w:tc>
          <w:tcPr>
            <w:tcW w:w="4600" w:type="dxa"/>
            <w:vAlign w:val="bottom"/>
          </w:tcPr>
          <w:p>
            <w:pPr>
              <w:ind w:left="200"/>
              <w:spacing w:after="0" w:line="149" w:lineRule="exact"/>
              <w:rPr>
                <w:sz w:val="20"/>
                <w:szCs w:val="20"/>
                <w:color w:val="auto"/>
              </w:rPr>
            </w:pPr>
            <w:r>
              <w:rPr>
                <w:rFonts w:ascii="Arial" w:cs="Arial" w:eastAsia="Arial" w:hAnsi="Arial"/>
                <w:sz w:val="14"/>
                <w:szCs w:val="14"/>
                <w:color w:val="auto"/>
              </w:rPr>
              <w:t>Mined in 2009</w:t>
            </w:r>
          </w:p>
        </w:tc>
        <w:tc>
          <w:tcPr>
            <w:tcW w:w="72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227</w:t>
            </w: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0</w:t>
            </w:r>
          </w:p>
        </w:tc>
        <w:tc>
          <w:tcPr>
            <w:tcW w:w="160" w:type="dxa"/>
            <w:vAlign w:val="bottom"/>
          </w:tcPr>
          <w:p>
            <w:pPr>
              <w:spacing w:after="0"/>
              <w:rPr>
                <w:sz w:val="12"/>
                <w:szCs w:val="12"/>
                <w:color w:val="auto"/>
              </w:rPr>
            </w:pPr>
          </w:p>
        </w:tc>
        <w:tc>
          <w:tcPr>
            <w:tcW w:w="6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227</w:t>
            </w:r>
          </w:p>
        </w:tc>
      </w:tr>
      <w:tr>
        <w:trPr>
          <w:trHeight w:val="149"/>
        </w:trPr>
        <w:tc>
          <w:tcPr>
            <w:tcW w:w="460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Revision</w:t>
            </w:r>
          </w:p>
        </w:tc>
        <w:tc>
          <w:tcPr>
            <w:tcW w:w="72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1,010</w:t>
            </w:r>
          </w:p>
        </w:tc>
        <w:tc>
          <w:tcPr>
            <w:tcW w:w="8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(588)</w:t>
            </w:r>
          </w:p>
        </w:tc>
        <w:tc>
          <w:tcPr>
            <w:tcW w:w="6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422</w:t>
            </w:r>
          </w:p>
        </w:tc>
      </w:tr>
      <w:tr>
        <w:trPr>
          <w:trHeight w:val="174"/>
        </w:trPr>
        <w:tc>
          <w:tcPr>
            <w:tcW w:w="4600" w:type="dxa"/>
            <w:vAlign w:val="bottom"/>
          </w:tcPr>
          <w:p>
            <w:pPr>
              <w:ind w:left="200"/>
              <w:spacing w:after="0"/>
              <w:rPr>
                <w:sz w:val="20"/>
                <w:szCs w:val="20"/>
                <w:color w:val="auto"/>
              </w:rPr>
            </w:pPr>
            <w:r>
              <w:rPr>
                <w:rFonts w:ascii="Arial" w:cs="Arial" w:eastAsia="Arial" w:hAnsi="Arial"/>
                <w:sz w:val="14"/>
                <w:szCs w:val="14"/>
                <w:b w:val="1"/>
                <w:bCs w:val="1"/>
                <w:color w:val="auto"/>
              </w:rPr>
              <w:t>December 31, 2009</w:t>
            </w:r>
          </w:p>
        </w:tc>
        <w:tc>
          <w:tcPr>
            <w:tcW w:w="720" w:type="dxa"/>
            <w:vAlign w:val="bottom"/>
            <w:gridSpan w:val="2"/>
          </w:tcPr>
          <w:p>
            <w:pPr>
              <w:jc w:val="right"/>
              <w:ind w:right="160"/>
              <w:spacing w:after="0"/>
              <w:rPr>
                <w:sz w:val="20"/>
                <w:szCs w:val="20"/>
                <w:color w:val="auto"/>
              </w:rPr>
            </w:pPr>
            <w:r>
              <w:rPr>
                <w:rFonts w:ascii="Arial" w:cs="Arial" w:eastAsia="Arial" w:hAnsi="Arial"/>
                <w:sz w:val="14"/>
                <w:szCs w:val="14"/>
                <w:b w:val="1"/>
                <w:bCs w:val="1"/>
                <w:color w:val="auto"/>
              </w:rPr>
              <w:t>880</w:t>
            </w:r>
          </w:p>
        </w:tc>
        <w:tc>
          <w:tcPr>
            <w:tcW w:w="680" w:type="dxa"/>
            <w:vAlign w:val="bottom"/>
          </w:tcPr>
          <w:p>
            <w:pPr>
              <w:jc w:val="right"/>
              <w:spacing w:after="0"/>
              <w:rPr>
                <w:sz w:val="20"/>
                <w:szCs w:val="20"/>
                <w:color w:val="auto"/>
              </w:rPr>
            </w:pPr>
            <w:r>
              <w:rPr>
                <w:rFonts w:ascii="Arial" w:cs="Arial" w:eastAsia="Arial" w:hAnsi="Arial"/>
                <w:sz w:val="14"/>
                <w:szCs w:val="14"/>
                <w:b w:val="1"/>
                <w:bCs w:val="1"/>
                <w:color w:val="auto"/>
              </w:rPr>
              <w:t>41,080</w:t>
            </w:r>
          </w:p>
        </w:tc>
        <w:tc>
          <w:tcPr>
            <w:tcW w:w="160" w:type="dxa"/>
            <w:vAlign w:val="bottom"/>
          </w:tcPr>
          <w:p>
            <w:pPr>
              <w:spacing w:after="0"/>
              <w:rPr>
                <w:sz w:val="15"/>
                <w:szCs w:val="15"/>
                <w:color w:val="auto"/>
              </w:rPr>
            </w:pPr>
          </w:p>
        </w:tc>
        <w:tc>
          <w:tcPr>
            <w:tcW w:w="680" w:type="dxa"/>
            <w:vAlign w:val="bottom"/>
            <w:gridSpan w:val="2"/>
          </w:tcPr>
          <w:p>
            <w:pPr>
              <w:jc w:val="right"/>
              <w:ind w:right="160"/>
              <w:spacing w:after="0"/>
              <w:rPr>
                <w:sz w:val="20"/>
                <w:szCs w:val="20"/>
                <w:color w:val="auto"/>
              </w:rPr>
            </w:pPr>
            <w:r>
              <w:rPr>
                <w:rFonts w:ascii="Arial" w:cs="Arial" w:eastAsia="Arial" w:hAnsi="Arial"/>
                <w:sz w:val="14"/>
                <w:szCs w:val="14"/>
                <w:b w:val="1"/>
                <w:bCs w:val="1"/>
                <w:color w:val="auto"/>
              </w:rPr>
              <w:t>41,960</w:t>
            </w:r>
          </w:p>
        </w:tc>
      </w:tr>
    </w:tbl>
    <w:p>
      <w:pPr>
        <w:spacing w:after="0" w:line="166" w:lineRule="exact"/>
        <w:rPr>
          <w:sz w:val="20"/>
          <w:szCs w:val="20"/>
          <w:color w:val="auto"/>
        </w:rPr>
      </w:pPr>
    </w:p>
    <w:p>
      <w:pPr>
        <w:jc w:val="both"/>
        <w:ind w:left="1680" w:hanging="531"/>
        <w:spacing w:after="0" w:line="230" w:lineRule="auto"/>
        <w:tabs>
          <w:tab w:leader="none" w:pos="1680" w:val="left"/>
        </w:tabs>
        <w:numPr>
          <w:ilvl w:val="0"/>
          <w:numId w:val="23"/>
        </w:numPr>
        <w:rPr>
          <w:rFonts w:ascii="Arial" w:cs="Arial" w:eastAsia="Arial" w:hAnsi="Arial"/>
          <w:sz w:val="14"/>
          <w:szCs w:val="14"/>
          <w:color w:val="auto"/>
        </w:rPr>
      </w:pPr>
      <w:r>
        <w:rPr>
          <w:rFonts w:ascii="Arial" w:cs="Arial" w:eastAsia="Arial" w:hAnsi="Arial"/>
          <w:sz w:val="14"/>
          <w:szCs w:val="14"/>
          <w:color w:val="auto"/>
        </w:rPr>
        <w:t>Complete information on the verification procedures, the quality assurance program, quality control procedures, parameters and methods and other factors that may materially affect scientific and technical information presented in this Form 20-F relating to the Pinos Altos Mine may be found in the Pinos Altos Gold-Silver Mining Project, Chihuahua State, Mexico, Technical Report on the Mineral Resources and Reserves as of December 31, 2008 filed with the Canadian securities regulatory authorities on SEDAR on March 25, 2009.</w:t>
      </w:r>
    </w:p>
    <w:p>
      <w:pPr>
        <w:spacing w:after="0" w:line="19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u w:val="single" w:color="auto"/>
          <w:color w:val="auto"/>
        </w:rPr>
        <w:t>Meadowbank Mineral Reserves and Mineral Resources</w:t>
      </w:r>
    </w:p>
    <w:p>
      <w:pPr>
        <w:spacing w:after="0" w:line="275"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260" w:type="dxa"/>
            <w:vAlign w:val="bottom"/>
          </w:tcPr>
          <w:p>
            <w:pPr>
              <w:spacing w:after="0"/>
              <w:rPr>
                <w:sz w:val="14"/>
                <w:szCs w:val="14"/>
                <w:color w:val="auto"/>
              </w:rPr>
            </w:pPr>
          </w:p>
        </w:tc>
        <w:tc>
          <w:tcPr>
            <w:tcW w:w="4620" w:type="dxa"/>
            <w:vAlign w:val="bottom"/>
          </w:tcPr>
          <w:p>
            <w:pPr>
              <w:spacing w:after="0"/>
              <w:rPr>
                <w:sz w:val="14"/>
                <w:szCs w:val="14"/>
                <w:color w:val="auto"/>
              </w:rPr>
            </w:pPr>
          </w:p>
        </w:tc>
        <w:tc>
          <w:tcPr>
            <w:tcW w:w="920" w:type="dxa"/>
            <w:vAlign w:val="bottom"/>
            <w:tcBorders>
              <w:bottom w:val="single" w:sz="8" w:color="auto"/>
            </w:tcBorders>
          </w:tcPr>
          <w:p>
            <w:pPr>
              <w:spacing w:after="0"/>
              <w:rPr>
                <w:sz w:val="14"/>
                <w:szCs w:val="14"/>
                <w:color w:val="auto"/>
              </w:rPr>
            </w:pPr>
          </w:p>
        </w:tc>
        <w:tc>
          <w:tcPr>
            <w:tcW w:w="1240" w:type="dxa"/>
            <w:vAlign w:val="bottom"/>
            <w:tcBorders>
              <w:bottom w:val="single" w:sz="8" w:color="auto"/>
            </w:tcBorders>
            <w:gridSpan w:val="3"/>
          </w:tcPr>
          <w:p>
            <w:pPr>
              <w:ind w:left="60"/>
              <w:spacing w:after="0"/>
              <w:rPr>
                <w:sz w:val="20"/>
                <w:szCs w:val="20"/>
                <w:color w:val="auto"/>
              </w:rPr>
            </w:pPr>
            <w:r>
              <w:rPr>
                <w:rFonts w:ascii="Arial" w:cs="Arial" w:eastAsia="Arial" w:hAnsi="Arial"/>
                <w:sz w:val="14"/>
                <w:szCs w:val="14"/>
                <w:b w:val="1"/>
                <w:bCs w:val="1"/>
                <w:color w:val="auto"/>
                <w:w w:val="89"/>
              </w:rPr>
              <w:t>As at December 31,</w:t>
            </w:r>
          </w:p>
        </w:tc>
        <w:tc>
          <w:tcPr>
            <w:tcW w:w="92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r>
      <w:tr>
        <w:trPr>
          <w:trHeight w:val="142"/>
        </w:trPr>
        <w:tc>
          <w:tcPr>
            <w:tcW w:w="2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4620" w:type="dxa"/>
            <w:vAlign w:val="bottom"/>
          </w:tcPr>
          <w:p>
            <w:pPr>
              <w:spacing w:after="0"/>
              <w:rPr>
                <w:sz w:val="12"/>
                <w:szCs w:val="12"/>
                <w:color w:val="auto"/>
              </w:rPr>
            </w:pPr>
          </w:p>
        </w:tc>
        <w:tc>
          <w:tcPr>
            <w:tcW w:w="920" w:type="dxa"/>
            <w:vAlign w:val="bottom"/>
          </w:tcPr>
          <w:p>
            <w:pPr>
              <w:jc w:val="right"/>
              <w:ind w:right="235"/>
              <w:spacing w:after="0" w:line="142" w:lineRule="exact"/>
              <w:rPr>
                <w:sz w:val="20"/>
                <w:szCs w:val="20"/>
                <w:color w:val="auto"/>
              </w:rPr>
            </w:pPr>
            <w:r>
              <w:rPr>
                <w:rFonts w:ascii="Arial" w:cs="Arial" w:eastAsia="Arial" w:hAnsi="Arial"/>
                <w:sz w:val="14"/>
                <w:szCs w:val="14"/>
                <w:b w:val="1"/>
                <w:bCs w:val="1"/>
                <w:color w:val="auto"/>
              </w:rPr>
              <w:t>2009</w:t>
            </w:r>
          </w:p>
        </w:tc>
        <w:tc>
          <w:tcPr>
            <w:tcW w:w="1080" w:type="dxa"/>
            <w:vAlign w:val="bottom"/>
            <w:gridSpan w:val="2"/>
          </w:tcPr>
          <w:p>
            <w:pPr>
              <w:jc w:val="right"/>
              <w:ind w:right="232"/>
              <w:spacing w:after="0" w:line="142" w:lineRule="exact"/>
              <w:rPr>
                <w:sz w:val="20"/>
                <w:szCs w:val="20"/>
                <w:color w:val="auto"/>
              </w:rPr>
            </w:pPr>
            <w:r>
              <w:rPr>
                <w:rFonts w:ascii="Arial" w:cs="Arial" w:eastAsia="Arial" w:hAnsi="Arial"/>
                <w:sz w:val="14"/>
                <w:szCs w:val="14"/>
                <w:b w:val="1"/>
                <w:bCs w:val="1"/>
                <w:color w:val="auto"/>
              </w:rPr>
              <w:t>2008</w:t>
            </w:r>
          </w:p>
        </w:tc>
        <w:tc>
          <w:tcPr>
            <w:tcW w:w="160" w:type="dxa"/>
            <w:vAlign w:val="bottom"/>
          </w:tcPr>
          <w:p>
            <w:pPr>
              <w:spacing w:after="0"/>
              <w:rPr>
                <w:sz w:val="12"/>
                <w:szCs w:val="12"/>
                <w:color w:val="auto"/>
              </w:rPr>
            </w:pPr>
          </w:p>
        </w:tc>
        <w:tc>
          <w:tcPr>
            <w:tcW w:w="920" w:type="dxa"/>
            <w:vAlign w:val="bottom"/>
          </w:tcPr>
          <w:p>
            <w:pPr>
              <w:jc w:val="right"/>
              <w:ind w:right="235"/>
              <w:spacing w:after="0" w:line="142" w:lineRule="exact"/>
              <w:rPr>
                <w:sz w:val="20"/>
                <w:szCs w:val="20"/>
                <w:color w:val="auto"/>
              </w:rPr>
            </w:pPr>
            <w:r>
              <w:rPr>
                <w:rFonts w:ascii="Arial" w:cs="Arial" w:eastAsia="Arial" w:hAnsi="Arial"/>
                <w:sz w:val="14"/>
                <w:szCs w:val="14"/>
                <w:b w:val="1"/>
                <w:bCs w:val="1"/>
                <w:color w:val="auto"/>
              </w:rPr>
              <w:t>2007</w:t>
            </w:r>
          </w:p>
        </w:tc>
        <w:tc>
          <w:tcPr>
            <w:tcW w:w="160" w:type="dxa"/>
            <w:vAlign w:val="bottom"/>
          </w:tcPr>
          <w:p>
            <w:pPr>
              <w:spacing w:after="0"/>
              <w:rPr>
                <w:sz w:val="12"/>
                <w:szCs w:val="12"/>
                <w:color w:val="auto"/>
              </w:rPr>
            </w:pPr>
          </w:p>
        </w:tc>
      </w:tr>
      <w:tr>
        <w:trPr>
          <w:trHeight w:val="210"/>
        </w:trPr>
        <w:tc>
          <w:tcPr>
            <w:tcW w:w="20" w:type="dxa"/>
            <w:vAlign w:val="bottom"/>
          </w:tcPr>
          <w:p>
            <w:pPr>
              <w:spacing w:after="0"/>
              <w:rPr>
                <w:sz w:val="18"/>
                <w:szCs w:val="18"/>
                <w:color w:val="auto"/>
              </w:rPr>
            </w:pPr>
          </w:p>
        </w:tc>
        <w:tc>
          <w:tcPr>
            <w:tcW w:w="588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Gold</w:t>
            </w:r>
          </w:p>
        </w:tc>
        <w:tc>
          <w:tcPr>
            <w:tcW w:w="92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2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2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880" w:type="dxa"/>
            <w:vAlign w:val="bottom"/>
            <w:gridSpan w:val="2"/>
          </w:tcPr>
          <w:p>
            <w:pPr>
              <w:ind w:left="120"/>
              <w:spacing w:after="0"/>
              <w:rPr>
                <w:sz w:val="20"/>
                <w:szCs w:val="20"/>
                <w:color w:val="auto"/>
              </w:rPr>
            </w:pPr>
            <w:r>
              <w:rPr>
                <w:rFonts w:ascii="Arial" w:cs="Arial" w:eastAsia="Arial" w:hAnsi="Arial"/>
                <w:sz w:val="18"/>
                <w:szCs w:val="18"/>
                <w:color w:val="auto"/>
              </w:rPr>
              <w:t>Proven mineral reserves — tonnes</w:t>
            </w:r>
          </w:p>
        </w:tc>
        <w:tc>
          <w:tcPr>
            <w:tcW w:w="920" w:type="dxa"/>
            <w:vAlign w:val="bottom"/>
          </w:tcPr>
          <w:p>
            <w:pPr>
              <w:jc w:val="right"/>
              <w:spacing w:after="0"/>
              <w:rPr>
                <w:sz w:val="20"/>
                <w:szCs w:val="20"/>
                <w:color w:val="auto"/>
              </w:rPr>
            </w:pPr>
            <w:r>
              <w:rPr>
                <w:rFonts w:ascii="Arial" w:cs="Arial" w:eastAsia="Arial" w:hAnsi="Arial"/>
                <w:sz w:val="18"/>
                <w:szCs w:val="18"/>
                <w:color w:val="auto"/>
              </w:rPr>
              <w:t>600,000</w:t>
            </w:r>
          </w:p>
        </w:tc>
        <w:tc>
          <w:tcPr>
            <w:tcW w:w="160" w:type="dxa"/>
            <w:vAlign w:val="bottom"/>
          </w:tcPr>
          <w:p>
            <w:pPr>
              <w:spacing w:after="0"/>
              <w:rPr>
                <w:sz w:val="18"/>
                <w:szCs w:val="18"/>
                <w:color w:val="auto"/>
              </w:rPr>
            </w:pPr>
          </w:p>
        </w:tc>
        <w:tc>
          <w:tcPr>
            <w:tcW w:w="108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08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20" w:type="dxa"/>
            <w:vAlign w:val="bottom"/>
          </w:tcPr>
          <w:p>
            <w:pPr>
              <w:spacing w:after="0"/>
              <w:rPr>
                <w:sz w:val="18"/>
                <w:szCs w:val="18"/>
                <w:color w:val="auto"/>
              </w:rPr>
            </w:pPr>
          </w:p>
        </w:tc>
        <w:tc>
          <w:tcPr>
            <w:tcW w:w="588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Average grade — gold grams per tonne</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4.57</w:t>
            </w:r>
          </w:p>
        </w:tc>
        <w:tc>
          <w:tcPr>
            <w:tcW w:w="16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0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20" w:type="dxa"/>
            <w:vAlign w:val="bottom"/>
          </w:tcPr>
          <w:p>
            <w:pPr>
              <w:spacing w:after="0"/>
              <w:rPr>
                <w:sz w:val="18"/>
                <w:szCs w:val="18"/>
                <w:color w:val="auto"/>
              </w:rPr>
            </w:pPr>
          </w:p>
        </w:tc>
        <w:tc>
          <w:tcPr>
            <w:tcW w:w="5880" w:type="dxa"/>
            <w:vAlign w:val="bottom"/>
            <w:gridSpan w:val="2"/>
          </w:tcPr>
          <w:p>
            <w:pPr>
              <w:ind w:left="120"/>
              <w:spacing w:after="0"/>
              <w:rPr>
                <w:sz w:val="20"/>
                <w:szCs w:val="20"/>
                <w:color w:val="auto"/>
              </w:rPr>
            </w:pPr>
            <w:r>
              <w:rPr>
                <w:rFonts w:ascii="Arial" w:cs="Arial" w:eastAsia="Arial" w:hAnsi="Arial"/>
                <w:sz w:val="18"/>
                <w:szCs w:val="18"/>
                <w:color w:val="auto"/>
              </w:rPr>
              <w:t>Probable mineral reserves — tonnes</w:t>
            </w:r>
          </w:p>
        </w:tc>
        <w:tc>
          <w:tcPr>
            <w:tcW w:w="920" w:type="dxa"/>
            <w:vAlign w:val="bottom"/>
          </w:tcPr>
          <w:p>
            <w:pPr>
              <w:jc w:val="right"/>
              <w:spacing w:after="0"/>
              <w:rPr>
                <w:sz w:val="20"/>
                <w:szCs w:val="20"/>
                <w:color w:val="auto"/>
              </w:rPr>
            </w:pPr>
            <w:r>
              <w:rPr>
                <w:rFonts w:ascii="Arial" w:cs="Arial" w:eastAsia="Arial" w:hAnsi="Arial"/>
                <w:sz w:val="18"/>
                <w:szCs w:val="18"/>
                <w:color w:val="auto"/>
                <w:w w:val="99"/>
              </w:rPr>
              <w:t>31,600,000</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32,773,000</w:t>
            </w:r>
          </w:p>
        </w:tc>
        <w:tc>
          <w:tcPr>
            <w:tcW w:w="16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w w:val="99"/>
              </w:rPr>
              <w:t>29,261,000</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88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Average grade — gold grams per tonne</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3.51</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3.45</w:t>
            </w:r>
          </w:p>
        </w:tc>
        <w:tc>
          <w:tcPr>
            <w:tcW w:w="16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3.67</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880" w:type="dxa"/>
            <w:vAlign w:val="bottom"/>
            <w:gridSpan w:val="2"/>
          </w:tcPr>
          <w:p>
            <w:pPr>
              <w:spacing w:after="0"/>
              <w:rPr>
                <w:sz w:val="20"/>
                <w:szCs w:val="20"/>
                <w:color w:val="auto"/>
              </w:rPr>
            </w:pPr>
            <w:r>
              <w:rPr>
                <w:rFonts w:ascii="Arial" w:cs="Arial" w:eastAsia="Arial" w:hAnsi="Arial"/>
                <w:sz w:val="18"/>
                <w:szCs w:val="18"/>
                <w:b w:val="1"/>
                <w:bCs w:val="1"/>
                <w:color w:val="auto"/>
              </w:rPr>
              <w:t>Total proven and probable mineral reserves — tonnes</w:t>
            </w:r>
          </w:p>
        </w:tc>
        <w:tc>
          <w:tcPr>
            <w:tcW w:w="920" w:type="dxa"/>
            <w:vAlign w:val="bottom"/>
          </w:tcPr>
          <w:p>
            <w:pPr>
              <w:jc w:val="right"/>
              <w:spacing w:after="0"/>
              <w:rPr>
                <w:sz w:val="20"/>
                <w:szCs w:val="20"/>
                <w:color w:val="auto"/>
              </w:rPr>
            </w:pPr>
            <w:r>
              <w:rPr>
                <w:rFonts w:ascii="Arial" w:cs="Arial" w:eastAsia="Arial" w:hAnsi="Arial"/>
                <w:sz w:val="18"/>
                <w:szCs w:val="18"/>
                <w:color w:val="auto"/>
                <w:w w:val="99"/>
              </w:rPr>
              <w:t>32,200,000</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32,773,000</w:t>
            </w:r>
          </w:p>
        </w:tc>
        <w:tc>
          <w:tcPr>
            <w:tcW w:w="16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w w:val="99"/>
              </w:rPr>
              <w:t>29,261,000</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588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Average grade — gold grams per tonne</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3.53</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rPr>
              <w:t>3.45</w:t>
            </w:r>
          </w:p>
        </w:tc>
        <w:tc>
          <w:tcPr>
            <w:tcW w:w="16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3.67</w:t>
            </w:r>
          </w:p>
        </w:tc>
        <w:tc>
          <w:tcPr>
            <w:tcW w:w="160" w:type="dxa"/>
            <w:vAlign w:val="bottom"/>
            <w:shd w:val="clear" w:color="auto" w:fill="CCEEFF"/>
          </w:tcPr>
          <w:p>
            <w:pPr>
              <w:spacing w:after="0"/>
              <w:rPr>
                <w:sz w:val="18"/>
                <w:szCs w:val="18"/>
                <w:color w:val="auto"/>
              </w:rPr>
            </w:pPr>
          </w:p>
        </w:tc>
      </w:tr>
      <w:tr>
        <w:trPr>
          <w:trHeight w:val="228"/>
        </w:trPr>
        <w:tc>
          <w:tcPr>
            <w:tcW w:w="20" w:type="dxa"/>
            <w:vAlign w:val="bottom"/>
          </w:tcPr>
          <w:p>
            <w:pPr>
              <w:spacing w:after="0"/>
              <w:rPr>
                <w:sz w:val="19"/>
                <w:szCs w:val="19"/>
                <w:color w:val="auto"/>
              </w:rPr>
            </w:pPr>
          </w:p>
        </w:tc>
        <w:tc>
          <w:tcPr>
            <w:tcW w:w="5880" w:type="dxa"/>
            <w:vAlign w:val="bottom"/>
            <w:gridSpan w:val="2"/>
          </w:tcPr>
          <w:p>
            <w:pPr>
              <w:spacing w:after="0"/>
              <w:rPr>
                <w:sz w:val="20"/>
                <w:szCs w:val="20"/>
                <w:color w:val="auto"/>
              </w:rPr>
            </w:pPr>
            <w:r>
              <w:rPr>
                <w:rFonts w:ascii="Arial" w:cs="Arial" w:eastAsia="Arial" w:hAnsi="Arial"/>
                <w:sz w:val="18"/>
                <w:szCs w:val="18"/>
                <w:b w:val="1"/>
                <w:bCs w:val="1"/>
                <w:color w:val="auto"/>
              </w:rPr>
              <w:t>Total contained gold ounces</w:t>
            </w:r>
          </w:p>
        </w:tc>
        <w:tc>
          <w:tcPr>
            <w:tcW w:w="920" w:type="dxa"/>
            <w:vAlign w:val="bottom"/>
          </w:tcPr>
          <w:p>
            <w:pPr>
              <w:jc w:val="right"/>
              <w:spacing w:after="0"/>
              <w:rPr>
                <w:sz w:val="20"/>
                <w:szCs w:val="20"/>
                <w:color w:val="auto"/>
              </w:rPr>
            </w:pPr>
            <w:r>
              <w:rPr>
                <w:rFonts w:ascii="Arial" w:cs="Arial" w:eastAsia="Arial" w:hAnsi="Arial"/>
                <w:sz w:val="18"/>
                <w:szCs w:val="18"/>
                <w:b w:val="1"/>
                <w:bCs w:val="1"/>
                <w:color w:val="auto"/>
              </w:rPr>
              <w:t>3,655,000</w:t>
            </w:r>
          </w:p>
        </w:tc>
        <w:tc>
          <w:tcPr>
            <w:tcW w:w="1080" w:type="dxa"/>
            <w:vAlign w:val="bottom"/>
            <w:gridSpan w:val="2"/>
          </w:tcPr>
          <w:p>
            <w:pPr>
              <w:jc w:val="right"/>
              <w:spacing w:after="0"/>
              <w:rPr>
                <w:sz w:val="20"/>
                <w:szCs w:val="20"/>
                <w:color w:val="auto"/>
              </w:rPr>
            </w:pPr>
            <w:r>
              <w:rPr>
                <w:rFonts w:ascii="Arial" w:cs="Arial" w:eastAsia="Arial" w:hAnsi="Arial"/>
                <w:sz w:val="18"/>
                <w:szCs w:val="18"/>
                <w:b w:val="1"/>
                <w:bCs w:val="1"/>
                <w:color w:val="auto"/>
              </w:rPr>
              <w:t>3,638,000</w:t>
            </w:r>
          </w:p>
        </w:tc>
        <w:tc>
          <w:tcPr>
            <w:tcW w:w="160" w:type="dxa"/>
            <w:vAlign w:val="bottom"/>
          </w:tcPr>
          <w:p>
            <w:pPr>
              <w:spacing w:after="0"/>
              <w:rPr>
                <w:sz w:val="19"/>
                <w:szCs w:val="19"/>
                <w:color w:val="auto"/>
              </w:rPr>
            </w:pPr>
          </w:p>
        </w:tc>
        <w:tc>
          <w:tcPr>
            <w:tcW w:w="920" w:type="dxa"/>
            <w:vAlign w:val="bottom"/>
          </w:tcPr>
          <w:p>
            <w:pPr>
              <w:jc w:val="right"/>
              <w:spacing w:after="0"/>
              <w:rPr>
                <w:sz w:val="20"/>
                <w:szCs w:val="20"/>
                <w:color w:val="auto"/>
              </w:rPr>
            </w:pPr>
            <w:r>
              <w:rPr>
                <w:rFonts w:ascii="Arial" w:cs="Arial" w:eastAsia="Arial" w:hAnsi="Arial"/>
                <w:sz w:val="18"/>
                <w:szCs w:val="18"/>
                <w:b w:val="1"/>
                <w:bCs w:val="1"/>
                <w:color w:val="auto"/>
              </w:rPr>
              <w:t>3,453,000</w:t>
            </w:r>
          </w:p>
        </w:tc>
        <w:tc>
          <w:tcPr>
            <w:tcW w:w="160" w:type="dxa"/>
            <w:vAlign w:val="bottom"/>
          </w:tcPr>
          <w:p>
            <w:pPr>
              <w:spacing w:after="0"/>
              <w:rPr>
                <w:sz w:val="19"/>
                <w:szCs w:val="19"/>
                <w:color w:val="auto"/>
              </w:rPr>
            </w:pPr>
          </w:p>
        </w:tc>
      </w:tr>
      <w:tr>
        <w:trPr>
          <w:trHeight w:val="96"/>
        </w:trPr>
        <w:tc>
          <w:tcPr>
            <w:tcW w:w="20" w:type="dxa"/>
            <w:vAlign w:val="bottom"/>
            <w:tcBorders>
              <w:bottom w:val="single" w:sz="8" w:color="auto"/>
            </w:tcBorders>
          </w:tcPr>
          <w:p>
            <w:pPr>
              <w:spacing w:after="0"/>
              <w:rPr>
                <w:sz w:val="8"/>
                <w:szCs w:val="8"/>
                <w:color w:val="auto"/>
              </w:rPr>
            </w:pPr>
          </w:p>
        </w:tc>
        <w:tc>
          <w:tcPr>
            <w:tcW w:w="1260" w:type="dxa"/>
            <w:vAlign w:val="bottom"/>
            <w:tcBorders>
              <w:bottom w:val="single" w:sz="8" w:color="auto"/>
            </w:tcBorders>
          </w:tcPr>
          <w:p>
            <w:pPr>
              <w:spacing w:after="0"/>
              <w:rPr>
                <w:sz w:val="8"/>
                <w:szCs w:val="8"/>
                <w:color w:val="auto"/>
              </w:rPr>
            </w:pPr>
          </w:p>
        </w:tc>
        <w:tc>
          <w:tcPr>
            <w:tcW w:w="4620" w:type="dxa"/>
            <w:vAlign w:val="bottom"/>
          </w:tcPr>
          <w:p>
            <w:pPr>
              <w:spacing w:after="0"/>
              <w:rPr>
                <w:sz w:val="8"/>
                <w:szCs w:val="8"/>
                <w:color w:val="auto"/>
              </w:rPr>
            </w:pPr>
          </w:p>
        </w:tc>
        <w:tc>
          <w:tcPr>
            <w:tcW w:w="920" w:type="dxa"/>
            <w:vAlign w:val="bottom"/>
          </w:tcPr>
          <w:p>
            <w:pPr>
              <w:spacing w:after="0"/>
              <w:rPr>
                <w:sz w:val="8"/>
                <w:szCs w:val="8"/>
                <w:color w:val="auto"/>
              </w:rPr>
            </w:pPr>
          </w:p>
        </w:tc>
        <w:tc>
          <w:tcPr>
            <w:tcW w:w="160" w:type="dxa"/>
            <w:vAlign w:val="bottom"/>
          </w:tcPr>
          <w:p>
            <w:pPr>
              <w:spacing w:after="0"/>
              <w:rPr>
                <w:sz w:val="8"/>
                <w:szCs w:val="8"/>
                <w:color w:val="auto"/>
              </w:rPr>
            </w:pPr>
          </w:p>
        </w:tc>
        <w:tc>
          <w:tcPr>
            <w:tcW w:w="920" w:type="dxa"/>
            <w:vAlign w:val="bottom"/>
          </w:tcPr>
          <w:p>
            <w:pPr>
              <w:spacing w:after="0"/>
              <w:rPr>
                <w:sz w:val="8"/>
                <w:szCs w:val="8"/>
                <w:color w:val="auto"/>
              </w:rPr>
            </w:pPr>
          </w:p>
        </w:tc>
        <w:tc>
          <w:tcPr>
            <w:tcW w:w="160" w:type="dxa"/>
            <w:vAlign w:val="bottom"/>
          </w:tcPr>
          <w:p>
            <w:pPr>
              <w:spacing w:after="0"/>
              <w:rPr>
                <w:sz w:val="8"/>
                <w:szCs w:val="8"/>
                <w:color w:val="auto"/>
              </w:rPr>
            </w:pPr>
          </w:p>
        </w:tc>
        <w:tc>
          <w:tcPr>
            <w:tcW w:w="920" w:type="dxa"/>
            <w:vAlign w:val="bottom"/>
          </w:tcPr>
          <w:p>
            <w:pPr>
              <w:spacing w:after="0"/>
              <w:rPr>
                <w:sz w:val="8"/>
                <w:szCs w:val="8"/>
                <w:color w:val="auto"/>
              </w:rPr>
            </w:pPr>
          </w:p>
        </w:tc>
        <w:tc>
          <w:tcPr>
            <w:tcW w:w="160" w:type="dxa"/>
            <w:vAlign w:val="bottom"/>
          </w:tcPr>
          <w:p>
            <w:pPr>
              <w:spacing w:after="0"/>
              <w:rPr>
                <w:sz w:val="8"/>
                <w:szCs w:val="8"/>
                <w:color w:val="auto"/>
              </w:rPr>
            </w:pPr>
          </w:p>
        </w:tc>
      </w:tr>
    </w:tbl>
    <w:p>
      <w:pPr>
        <w:spacing w:after="0" w:line="205" w:lineRule="exact"/>
        <w:rPr>
          <w:sz w:val="20"/>
          <w:szCs w:val="20"/>
          <w:color w:val="auto"/>
        </w:rPr>
      </w:pPr>
    </w:p>
    <w:p>
      <w:pPr>
        <w:ind w:left="1140"/>
        <w:spacing w:after="0"/>
        <w:rPr>
          <w:sz w:val="20"/>
          <w:szCs w:val="20"/>
          <w:color w:val="auto"/>
        </w:rPr>
      </w:pPr>
      <w:r>
        <w:rPr>
          <w:rFonts w:ascii="Arial" w:cs="Arial" w:eastAsia="Arial" w:hAnsi="Arial"/>
          <w:sz w:val="14"/>
          <w:szCs w:val="14"/>
          <w:color w:val="auto"/>
        </w:rPr>
        <w:t>Notes:</w:t>
      </w:r>
    </w:p>
    <w:p>
      <w:pPr>
        <w:spacing w:after="0" w:line="190" w:lineRule="exact"/>
        <w:rPr>
          <w:sz w:val="20"/>
          <w:szCs w:val="20"/>
          <w:color w:val="auto"/>
        </w:rPr>
      </w:pPr>
    </w:p>
    <w:p>
      <w:pPr>
        <w:jc w:val="both"/>
        <w:ind w:left="1680" w:hanging="531"/>
        <w:spacing w:after="0" w:line="230" w:lineRule="auto"/>
        <w:tabs>
          <w:tab w:leader="none" w:pos="1680" w:val="left"/>
        </w:tabs>
        <w:numPr>
          <w:ilvl w:val="0"/>
          <w:numId w:val="24"/>
        </w:numPr>
        <w:rPr>
          <w:rFonts w:ascii="Arial" w:cs="Arial" w:eastAsia="Arial" w:hAnsi="Arial"/>
          <w:sz w:val="14"/>
          <w:szCs w:val="14"/>
          <w:color w:val="auto"/>
        </w:rPr>
      </w:pPr>
      <w:r>
        <w:rPr>
          <w:rFonts w:ascii="Arial" w:cs="Arial" w:eastAsia="Arial" w:hAnsi="Arial"/>
          <w:sz w:val="14"/>
          <w:szCs w:val="14"/>
          <w:color w:val="auto"/>
        </w:rPr>
        <w:t>The 2009 mineral reserve and mineral resource estimates were calculated using a metallurgical gold recovery of 93.4%. The cut-off grade used to determine the open pit reserves varied from 1.35 grams of gold per tonne to 1.37 grams of gold per tonne, depending on the deposit. The estimated operating cost used for the 2009 mineral reserve estimate varied between C$40.23 per tonne and C$40.69 per tonne, depending on the deposit. The Company estimates that a 10% change in the gold price would result in an approximate 2% change in mineral reserves.</w:t>
      </w:r>
    </w:p>
    <w:p>
      <w:pPr>
        <w:spacing w:after="0" w:line="112" w:lineRule="exact"/>
        <w:rPr>
          <w:rFonts w:ascii="Arial" w:cs="Arial" w:eastAsia="Arial" w:hAnsi="Arial"/>
          <w:sz w:val="14"/>
          <w:szCs w:val="14"/>
          <w:color w:val="auto"/>
        </w:rPr>
      </w:pPr>
    </w:p>
    <w:p>
      <w:pPr>
        <w:ind w:left="1680" w:right="20" w:hanging="531"/>
        <w:spacing w:after="0" w:line="239" w:lineRule="auto"/>
        <w:tabs>
          <w:tab w:leader="none" w:pos="1680" w:val="left"/>
        </w:tabs>
        <w:numPr>
          <w:ilvl w:val="0"/>
          <w:numId w:val="24"/>
        </w:numPr>
        <w:rPr>
          <w:rFonts w:ascii="Arial" w:cs="Arial" w:eastAsia="Arial" w:hAnsi="Arial"/>
          <w:sz w:val="14"/>
          <w:szCs w:val="14"/>
          <w:color w:val="auto"/>
        </w:rPr>
      </w:pPr>
      <w:r>
        <w:rPr>
          <w:rFonts w:ascii="Arial" w:cs="Arial" w:eastAsia="Arial" w:hAnsi="Arial"/>
          <w:sz w:val="14"/>
          <w:szCs w:val="14"/>
          <w:color w:val="auto"/>
        </w:rPr>
        <w:t>In addition to the mineral reserves set out above, at December 31, 2009, the Meadowbank Mine contained indicated mineral resources of 42.4 million tonnes grading 2.43 grams of gold per tonne and inferred mineral resources of 9.2 million tonnes of ore grading 2.54 grams of gold per tonne.</w:t>
      </w:r>
    </w:p>
    <w:p>
      <w:pPr>
        <w:spacing w:after="0" w:line="111" w:lineRule="exact"/>
        <w:rPr>
          <w:rFonts w:ascii="Arial" w:cs="Arial" w:eastAsia="Arial" w:hAnsi="Arial"/>
          <w:sz w:val="14"/>
          <w:szCs w:val="14"/>
          <w:color w:val="auto"/>
        </w:rPr>
      </w:pPr>
    </w:p>
    <w:p>
      <w:pPr>
        <w:jc w:val="both"/>
        <w:ind w:left="1680" w:hanging="531"/>
        <w:spacing w:after="0" w:line="230" w:lineRule="auto"/>
        <w:tabs>
          <w:tab w:leader="none" w:pos="1680" w:val="left"/>
        </w:tabs>
        <w:numPr>
          <w:ilvl w:val="0"/>
          <w:numId w:val="24"/>
        </w:numPr>
        <w:rPr>
          <w:rFonts w:ascii="Arial" w:cs="Arial" w:eastAsia="Arial" w:hAnsi="Arial"/>
          <w:sz w:val="14"/>
          <w:szCs w:val="14"/>
          <w:color w:val="auto"/>
        </w:rPr>
      </w:pPr>
      <w:r>
        <w:rPr>
          <w:rFonts w:ascii="Arial" w:cs="Arial" w:eastAsia="Arial" w:hAnsi="Arial"/>
          <w:sz w:val="14"/>
          <w:szCs w:val="14"/>
          <w:color w:val="auto"/>
        </w:rPr>
        <w:t>Complete information on the verification procedures, the quality assurance program, quality control procedures, parameters and methods and other factors that may materially affect scientific and technical information presented in this Form 20-F relating to the Meadowbank Mine may be found in the Technical Report on the Mineral Resources and Mineral Reserves Dated September 30, 2008, Meadowbank Gold Project, Nunavut, Canada filed with the Canadian securities regulatory authorities on SEDAR on December 15, 2008.</w:t>
      </w:r>
    </w:p>
    <w:p>
      <w:pPr>
        <w:spacing w:after="0" w:line="19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u w:val="single" w:color="auto"/>
          <w:color w:val="auto"/>
        </w:rPr>
        <w:t>Risk Mitigation</w:t>
      </w:r>
    </w:p>
    <w:p>
      <w:pPr>
        <w:spacing w:after="0" w:line="225" w:lineRule="exact"/>
        <w:rPr>
          <w:sz w:val="20"/>
          <w:szCs w:val="20"/>
          <w:color w:val="auto"/>
        </w:rPr>
      </w:pPr>
    </w:p>
    <w:p>
      <w:pPr>
        <w:jc w:val="both"/>
        <w:ind w:firstLine="424"/>
        <w:spacing w:after="0" w:line="291" w:lineRule="auto"/>
        <w:rPr>
          <w:sz w:val="20"/>
          <w:szCs w:val="20"/>
          <w:color w:val="auto"/>
        </w:rPr>
      </w:pPr>
      <w:r>
        <w:rPr>
          <w:rFonts w:ascii="Arial" w:cs="Arial" w:eastAsia="Arial" w:hAnsi="Arial"/>
          <w:sz w:val="16"/>
          <w:szCs w:val="16"/>
          <w:color w:val="auto"/>
        </w:rPr>
        <w:t>The Company mitigates the likelihood and potential severity of the various risks it encounters in its day-to-day operations through the application of high standards in the planning, construction and operation of mining facilities. In addition, emphasis is placed on hiring and retaining competent personnel and developing their skills through training in safety and loss control. The Company's operating and technical personnel have a solid track record of developing and operating precious metal mines and several of the Company's mines have been recognized for excellence in this regard with various safety and development awards. Nevertheless, the Company and its employees continue with a focused effort to improve workplace safety and the Company has placed additional emphasis on safety procedure training for both mining and supervisory employees.</w:t>
      </w:r>
    </w:p>
    <w:p>
      <w:pPr>
        <w:spacing w:after="0" w:line="174" w:lineRule="exact"/>
        <w:rPr>
          <w:sz w:val="20"/>
          <w:szCs w:val="20"/>
          <w:color w:val="auto"/>
        </w:rPr>
      </w:pPr>
    </w:p>
    <w:p>
      <w:pPr>
        <w:jc w:val="both"/>
        <w:ind w:firstLine="475"/>
        <w:spacing w:after="0" w:line="306" w:lineRule="auto"/>
        <w:rPr>
          <w:sz w:val="20"/>
          <w:szCs w:val="20"/>
          <w:color w:val="auto"/>
        </w:rPr>
      </w:pPr>
      <w:r>
        <w:rPr>
          <w:rFonts w:ascii="Arial" w:cs="Arial" w:eastAsia="Arial" w:hAnsi="Arial"/>
          <w:sz w:val="16"/>
          <w:szCs w:val="16"/>
          <w:color w:val="auto"/>
        </w:rPr>
        <w:t>The Company also mitigates some of the Company's normal business risk through the purchase of insurance coverage. An Insurable Risk Management Policy, approved by the Board, governs the purchase of insurance coverage and only permits the purchase of coverage from insurance companies of the highest credit quality. For a more complete list of the risk factors affecting the Company, please see "Item 3 Key Information — Risk Factors".</w:t>
      </w:r>
    </w:p>
    <w:p>
      <w:pPr>
        <w:spacing w:after="0" w:line="16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29" w:right="239" w:bottom="1440" w:gutter="0" w:footer="0" w:header="0"/>
        </w:sectPr>
      </w:pPr>
    </w:p>
    <w:bookmarkStart w:id="108" w:name="page109"/>
    <w:bookmarkEnd w:id="108"/>
    <w:p>
      <w:pPr>
        <w:spacing w:after="0"/>
        <w:rPr>
          <w:sz w:val="20"/>
          <w:szCs w:val="20"/>
          <w:color w:val="auto"/>
        </w:rPr>
      </w:pPr>
      <w:r>
        <w:rPr>
          <w:rFonts w:ascii="Arial" w:cs="Arial" w:eastAsia="Arial" w:hAnsi="Arial"/>
          <w:sz w:val="15"/>
          <w:szCs w:val="15"/>
          <w:b w:val="1"/>
          <w:bCs w:val="1"/>
          <w:i w:val="1"/>
          <w:iCs w:val="1"/>
          <w:u w:val="single" w:color="auto"/>
          <w:color w:val="auto"/>
        </w:rPr>
        <w:t>Glossary of Selected Mining Terms</w:t>
      </w:r>
    </w:p>
    <w:p>
      <w:pPr>
        <w:spacing w:after="0" w:line="200" w:lineRule="exact"/>
        <w:rPr>
          <w:sz w:val="20"/>
          <w:szCs w:val="20"/>
          <w:color w:val="auto"/>
        </w:rPr>
      </w:pPr>
    </w:p>
    <w:p>
      <w:pPr>
        <w:spacing w:after="0" w:line="29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"alteration"</w:t>
      </w:r>
    </w:p>
    <w:p>
      <w:pPr>
        <w:spacing w:after="0" w:line="200" w:lineRule="exact"/>
        <w:rPr>
          <w:sz w:val="20"/>
          <w:szCs w:val="20"/>
          <w:color w:val="auto"/>
        </w:rPr>
      </w:pPr>
    </w:p>
    <w:p>
      <w:pPr>
        <w:spacing w:after="0" w:line="2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"anastomosing"</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"andesite"</w:t>
      </w:r>
    </w:p>
    <w:p>
      <w:pPr>
        <w:spacing w:after="0" w:line="200" w:lineRule="exact"/>
        <w:rPr>
          <w:sz w:val="20"/>
          <w:szCs w:val="20"/>
          <w:color w:val="auto"/>
        </w:rPr>
      </w:pPr>
    </w:p>
    <w:p>
      <w:pPr>
        <w:spacing w:after="0" w:line="2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"assay"</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"basin"</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"bedrock"</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"breccia"</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"brittle"</w:t>
      </w:r>
    </w:p>
    <w:p>
      <w:pPr>
        <w:spacing w:after="0" w:line="200" w:lineRule="exact"/>
        <w:rPr>
          <w:sz w:val="20"/>
          <w:szCs w:val="20"/>
          <w:color w:val="auto"/>
        </w:rPr>
      </w:pPr>
    </w:p>
    <w:p>
      <w:pPr>
        <w:spacing w:after="0" w:line="2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"bulk mining"</w:t>
      </w:r>
    </w:p>
    <w:p>
      <w:pPr>
        <w:spacing w:after="0" w:line="200" w:lineRule="exact"/>
        <w:rPr>
          <w:sz w:val="20"/>
          <w:szCs w:val="20"/>
          <w:color w:val="auto"/>
        </w:rPr>
      </w:pPr>
    </w:p>
    <w:p>
      <w:pPr>
        <w:spacing w:after="0" w:line="2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"byproduct metal"</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"carbon-in-leach process"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"carbon-in-pulp (CIP) circuit"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"clast"</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"concentrate"</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"conglomerate"</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"contact zone"</w:t>
      </w:r>
    </w:p>
    <w:p>
      <w:pPr>
        <w:spacing w:after="0" w:line="252"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"counter-current decantation"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ind w:right="480"/>
        <w:spacing w:after="0" w:line="268" w:lineRule="auto"/>
        <w:rPr>
          <w:sz w:val="20"/>
          <w:szCs w:val="20"/>
          <w:color w:val="auto"/>
        </w:rPr>
      </w:pPr>
      <w:r>
        <w:rPr>
          <w:rFonts w:ascii="Arial" w:cs="Arial" w:eastAsia="Arial" w:hAnsi="Arial"/>
          <w:sz w:val="18"/>
          <w:szCs w:val="18"/>
          <w:color w:val="auto"/>
        </w:rPr>
        <w:t>Any physical or chemical change in a rock or mineral subsequent to formation. Milder and more localized than metamorphism.</w:t>
      </w:r>
    </w:p>
    <w:p>
      <w:pPr>
        <w:spacing w:after="0" w:line="213" w:lineRule="exact"/>
        <w:rPr>
          <w:sz w:val="20"/>
          <w:szCs w:val="20"/>
          <w:color w:val="auto"/>
        </w:rPr>
      </w:pPr>
    </w:p>
    <w:p>
      <w:pPr>
        <w:spacing w:after="0"/>
        <w:rPr>
          <w:sz w:val="20"/>
          <w:szCs w:val="20"/>
          <w:color w:val="auto"/>
        </w:rPr>
      </w:pPr>
      <w:r>
        <w:rPr>
          <w:rFonts w:ascii="Arial" w:cs="Arial" w:eastAsia="Arial" w:hAnsi="Arial"/>
          <w:sz w:val="18"/>
          <w:szCs w:val="18"/>
          <w:color w:val="auto"/>
        </w:rPr>
        <w:t>A network of branching and rejoining fault or vein surfaces or surface traces.</w:t>
      </w:r>
    </w:p>
    <w:p>
      <w:pPr>
        <w:spacing w:after="0" w:line="252" w:lineRule="exact"/>
        <w:rPr>
          <w:sz w:val="20"/>
          <w:szCs w:val="20"/>
          <w:color w:val="auto"/>
        </w:rPr>
      </w:pPr>
    </w:p>
    <w:p>
      <w:pPr>
        <w:ind w:right="420"/>
        <w:spacing w:after="0" w:line="268" w:lineRule="auto"/>
        <w:rPr>
          <w:sz w:val="20"/>
          <w:szCs w:val="20"/>
          <w:color w:val="auto"/>
        </w:rPr>
      </w:pPr>
      <w:r>
        <w:rPr>
          <w:rFonts w:ascii="Arial" w:cs="Arial" w:eastAsia="Arial" w:hAnsi="Arial"/>
          <w:sz w:val="18"/>
          <w:szCs w:val="18"/>
          <w:color w:val="auto"/>
        </w:rPr>
        <w:t>A dark-coloured igneous, calc-alkaline volcanic rock, of intermediate composition (containing between 52-63% silica).</w:t>
      </w:r>
    </w:p>
    <w:p>
      <w:pPr>
        <w:spacing w:after="0" w:line="213" w:lineRule="exact"/>
        <w:rPr>
          <w:sz w:val="20"/>
          <w:szCs w:val="20"/>
          <w:color w:val="auto"/>
        </w:rPr>
      </w:pPr>
    </w:p>
    <w:p>
      <w:pPr>
        <w:spacing w:after="0"/>
        <w:rPr>
          <w:sz w:val="20"/>
          <w:szCs w:val="20"/>
          <w:color w:val="auto"/>
        </w:rPr>
      </w:pPr>
      <w:r>
        <w:rPr>
          <w:rFonts w:ascii="Arial" w:cs="Arial" w:eastAsia="Arial" w:hAnsi="Arial"/>
          <w:sz w:val="18"/>
          <w:szCs w:val="18"/>
          <w:color w:val="auto"/>
        </w:rPr>
        <w:t>An analysis to determine the presence, absence or concentration of one or more chemical components.</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color w:val="auto"/>
        </w:rPr>
        <w:t>An area in which sediments accumulate.</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color w:val="auto"/>
        </w:rPr>
        <w:t>The solid rock underlying surface deposits.</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color w:val="auto"/>
        </w:rPr>
        <w:t>Said of rock formations consisting mostly of angular fragments hosted by a fine-grained matrix.</w:t>
      </w:r>
    </w:p>
    <w:p>
      <w:pPr>
        <w:spacing w:after="0" w:line="252" w:lineRule="exact"/>
        <w:rPr>
          <w:sz w:val="20"/>
          <w:szCs w:val="20"/>
          <w:color w:val="auto"/>
        </w:rPr>
      </w:pPr>
    </w:p>
    <w:p>
      <w:pPr>
        <w:ind w:right="560"/>
        <w:spacing w:after="0" w:line="332" w:lineRule="auto"/>
        <w:rPr>
          <w:sz w:val="20"/>
          <w:szCs w:val="20"/>
          <w:color w:val="auto"/>
        </w:rPr>
      </w:pPr>
      <w:r>
        <w:rPr>
          <w:rFonts w:ascii="Arial" w:cs="Arial" w:eastAsia="Arial" w:hAnsi="Arial"/>
          <w:sz w:val="16"/>
          <w:szCs w:val="16"/>
          <w:color w:val="auto"/>
        </w:rPr>
        <w:t>Of minerals, proneness to fracture under low stress. A quality affecting behaviour during comminution of ore, whereby one species fractures more readily than others in the material being crushed.</w:t>
      </w:r>
    </w:p>
    <w:p>
      <w:pPr>
        <w:spacing w:after="0" w:line="166" w:lineRule="exact"/>
        <w:rPr>
          <w:sz w:val="20"/>
          <w:szCs w:val="20"/>
          <w:color w:val="auto"/>
        </w:rPr>
      </w:pPr>
    </w:p>
    <w:p>
      <w:pPr>
        <w:spacing w:after="0" w:line="268" w:lineRule="auto"/>
        <w:rPr>
          <w:sz w:val="20"/>
          <w:szCs w:val="20"/>
          <w:color w:val="auto"/>
        </w:rPr>
      </w:pPr>
      <w:r>
        <w:rPr>
          <w:rFonts w:ascii="Arial" w:cs="Arial" w:eastAsia="Arial" w:hAnsi="Arial"/>
          <w:sz w:val="18"/>
          <w:szCs w:val="18"/>
          <w:color w:val="auto"/>
        </w:rPr>
        <w:t>A mining method in which large quantities of low-grade ore are mined without an attempt to segregate the high-grade portions.</w:t>
      </w:r>
    </w:p>
    <w:p>
      <w:pPr>
        <w:spacing w:after="0" w:line="213" w:lineRule="exact"/>
        <w:rPr>
          <w:sz w:val="20"/>
          <w:szCs w:val="20"/>
          <w:color w:val="auto"/>
        </w:rPr>
      </w:pPr>
    </w:p>
    <w:p>
      <w:pPr>
        <w:spacing w:after="0"/>
        <w:rPr>
          <w:sz w:val="20"/>
          <w:szCs w:val="20"/>
          <w:color w:val="auto"/>
        </w:rPr>
      </w:pPr>
      <w:r>
        <w:rPr>
          <w:rFonts w:ascii="Arial" w:cs="Arial" w:eastAsia="Arial" w:hAnsi="Arial"/>
          <w:sz w:val="18"/>
          <w:szCs w:val="18"/>
          <w:color w:val="auto"/>
        </w:rPr>
        <w:t>A secondary or additional metal recovered from the processing of rock.</w:t>
      </w:r>
    </w:p>
    <w:p>
      <w:pPr>
        <w:spacing w:after="0" w:line="252" w:lineRule="exact"/>
        <w:rPr>
          <w:sz w:val="20"/>
          <w:szCs w:val="20"/>
          <w:color w:val="auto"/>
        </w:rPr>
      </w:pPr>
    </w:p>
    <w:p>
      <w:pPr>
        <w:ind w:right="20"/>
        <w:spacing w:after="0" w:line="256" w:lineRule="auto"/>
        <w:rPr>
          <w:sz w:val="20"/>
          <w:szCs w:val="20"/>
          <w:color w:val="auto"/>
        </w:rPr>
      </w:pPr>
      <w:r>
        <w:rPr>
          <w:rFonts w:ascii="Arial" w:cs="Arial" w:eastAsia="Arial" w:hAnsi="Arial"/>
          <w:sz w:val="18"/>
          <w:szCs w:val="18"/>
          <w:color w:val="auto"/>
        </w:rPr>
        <w:t>A process step in which granular activated carbon particles much larger than the ground ore particles are introduced into the ore pulp. Cyanide leaching and precious metal adsorption onto the activated carbon occur simultaneously. The loaded activated carbon is mechanically screened to separate it from the barren ore pulp and processed to remove the precious metals and prepare it for reuse.</w:t>
      </w:r>
    </w:p>
    <w:p>
      <w:pPr>
        <w:spacing w:after="0" w:line="224" w:lineRule="exact"/>
        <w:rPr>
          <w:sz w:val="20"/>
          <w:szCs w:val="20"/>
          <w:color w:val="auto"/>
        </w:rPr>
      </w:pPr>
    </w:p>
    <w:p>
      <w:pPr>
        <w:ind w:right="180"/>
        <w:spacing w:after="0" w:line="298" w:lineRule="auto"/>
        <w:rPr>
          <w:sz w:val="20"/>
          <w:szCs w:val="20"/>
          <w:color w:val="auto"/>
        </w:rPr>
      </w:pPr>
      <w:r>
        <w:rPr>
          <w:rFonts w:ascii="Arial" w:cs="Arial" w:eastAsia="Arial" w:hAnsi="Arial"/>
          <w:sz w:val="16"/>
          <w:szCs w:val="16"/>
          <w:color w:val="auto"/>
        </w:rPr>
        <w:t>A process by which soluble gold within a finely ground slurry is recovered by adsorption onto coarser activated carbon. A CIP circuit comprises a series of tanks through which leached slurry flows. Gold is captured onto captive activated carbon that will periodically be moved counter-currently from tank to tank. Head tank carbon is extracted periodically to further recover adsorbed gold before being returned to the circuit tails tank.</w:t>
      </w:r>
    </w:p>
    <w:p>
      <w:pPr>
        <w:spacing w:after="0" w:line="194" w:lineRule="exact"/>
        <w:rPr>
          <w:sz w:val="20"/>
          <w:szCs w:val="20"/>
          <w:color w:val="auto"/>
        </w:rPr>
      </w:pPr>
    </w:p>
    <w:p>
      <w:pPr>
        <w:spacing w:after="0"/>
        <w:rPr>
          <w:sz w:val="20"/>
          <w:szCs w:val="20"/>
          <w:color w:val="auto"/>
        </w:rPr>
      </w:pPr>
      <w:r>
        <w:rPr>
          <w:rFonts w:ascii="Arial" w:cs="Arial" w:eastAsia="Arial" w:hAnsi="Arial"/>
          <w:sz w:val="16"/>
          <w:szCs w:val="16"/>
          <w:color w:val="auto"/>
        </w:rPr>
        <w:t>A fragment of mineral, rock or organic structure that has been moved individually from its place of origin.</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color w:val="auto"/>
        </w:rPr>
        <w:t>The clean product recovered in froth flotation.</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color w:val="auto"/>
        </w:rPr>
        <w:t>A sedimentary rock consisting of rounded, water-worn pebbles or boulders cemented into a solid mass.</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color w:val="auto"/>
        </w:rPr>
        <w:t>A zone where two rock types meet. May be characterized by alteration, metamorphism or deformation.</w:t>
      </w:r>
    </w:p>
    <w:p>
      <w:pPr>
        <w:spacing w:after="0" w:line="252" w:lineRule="exact"/>
        <w:rPr>
          <w:sz w:val="20"/>
          <w:szCs w:val="20"/>
          <w:color w:val="auto"/>
        </w:rPr>
      </w:pPr>
    </w:p>
    <w:p>
      <w:pPr>
        <w:ind w:right="160"/>
        <w:spacing w:after="0" w:line="259" w:lineRule="auto"/>
        <w:rPr>
          <w:sz w:val="20"/>
          <w:szCs w:val="20"/>
          <w:color w:val="auto"/>
        </w:rPr>
      </w:pPr>
      <w:r>
        <w:rPr>
          <w:rFonts w:ascii="Arial" w:cs="Arial" w:eastAsia="Arial" w:hAnsi="Arial"/>
          <w:sz w:val="18"/>
          <w:szCs w:val="18"/>
          <w:color w:val="auto"/>
        </w:rPr>
        <w:t>Clarifying wash water and concentrating tailings by use of several thickeners in series. The water flows in the opposite direction from the solids. The final products are slurry that is removed as fluid mud, and clear water that is reused in the circuit.</w:t>
      </w:r>
    </w:p>
    <w:p>
      <w:pPr>
        <w:spacing w:after="0" w:line="194" w:lineRule="exact"/>
        <w:rPr>
          <w:sz w:val="20"/>
          <w:szCs w:val="20"/>
          <w:color w:val="auto"/>
        </w:rPr>
      </w:pPr>
    </w:p>
    <w:p>
      <w:pPr>
        <w:ind w:left="2500"/>
        <w:spacing w:after="0"/>
        <w:rPr>
          <w:sz w:val="20"/>
          <w:szCs w:val="20"/>
          <w:color w:val="auto"/>
        </w:rPr>
      </w:pPr>
      <w:r>
        <w:rPr>
          <w:rFonts w:ascii="Arial" w:cs="Arial" w:eastAsia="Arial" w:hAnsi="Arial"/>
          <w:sz w:val="18"/>
          <w:szCs w:val="18"/>
          <w:color w:val="auto"/>
        </w:rPr>
        <w:t>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-1977390</wp:posOffset>
            </wp:positionH>
            <wp:positionV relativeFrom="paragraph">
              <wp:posOffset>146050</wp:posOffset>
            </wp:positionV>
            <wp:extent cx="7250430" cy="2159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2">
            <w:col w:w="2540" w:space="580"/>
            <w:col w:w="8280"/>
          </w:cols>
          <w:pgMar w:left="240" w:top="131" w:right="259" w:bottom="1440" w:gutter="0" w:footer="0" w:header="0"/>
        </w:sectPr>
      </w:pPr>
    </w:p>
    <w:bookmarkStart w:id="109" w:name="page110"/>
    <w:bookmarkEnd w:id="109"/>
    <w:tbl>
      <w:tblPr>
        <w:tblLayout w:type="fixed"/>
        <w:tblInd w:w="0" w:type="dxa"/>
        <w:tblCellMar>
          <w:top w:w="0" w:type="dxa"/>
          <w:left w:w="0" w:type="dxa"/>
          <w:bottom w:w="0" w:type="dxa"/>
          <w:right w:w="0" w:type="dxa"/>
        </w:tblCellMar>
      </w:tblPr>
      <w:tr>
        <w:trPr>
          <w:trHeight w:val="228"/>
        </w:trPr>
        <w:tc>
          <w:tcPr>
            <w:tcW w:w="2220" w:type="dxa"/>
            <w:vAlign w:val="bottom"/>
          </w:tcPr>
          <w:p>
            <w:pPr>
              <w:spacing w:after="0"/>
              <w:rPr>
                <w:sz w:val="20"/>
                <w:szCs w:val="20"/>
                <w:color w:val="auto"/>
              </w:rPr>
            </w:pPr>
            <w:r>
              <w:rPr>
                <w:rFonts w:ascii="Arial" w:cs="Arial" w:eastAsia="Arial" w:hAnsi="Arial"/>
                <w:sz w:val="18"/>
                <w:szCs w:val="18"/>
                <w:b w:val="1"/>
                <w:bCs w:val="1"/>
                <w:color w:val="auto"/>
              </w:rPr>
              <w:t>"crosscut"</w:t>
            </w:r>
          </w:p>
        </w:tc>
        <w:tc>
          <w:tcPr>
            <w:tcW w:w="9200" w:type="dxa"/>
            <w:vAlign w:val="bottom"/>
          </w:tcPr>
          <w:p>
            <w:pPr>
              <w:ind w:left="900"/>
              <w:spacing w:after="0"/>
              <w:rPr>
                <w:sz w:val="20"/>
                <w:szCs w:val="20"/>
                <w:color w:val="auto"/>
              </w:rPr>
            </w:pPr>
            <w:r>
              <w:rPr>
                <w:rFonts w:ascii="Arial" w:cs="Arial" w:eastAsia="Arial" w:hAnsi="Arial"/>
                <w:sz w:val="18"/>
                <w:szCs w:val="18"/>
                <w:color w:val="auto"/>
              </w:rPr>
              <w:t>A horizontal opening driven from a shaft at or near right angles to the strike of a vein or other orebody.</w:t>
            </w:r>
          </w:p>
        </w:tc>
      </w:tr>
      <w:tr>
        <w:trPr>
          <w:trHeight w:val="453"/>
        </w:trPr>
        <w:tc>
          <w:tcPr>
            <w:tcW w:w="2220" w:type="dxa"/>
            <w:vAlign w:val="bottom"/>
          </w:tcPr>
          <w:p>
            <w:pPr>
              <w:spacing w:after="0"/>
              <w:rPr>
                <w:sz w:val="20"/>
                <w:szCs w:val="20"/>
                <w:color w:val="auto"/>
              </w:rPr>
            </w:pPr>
            <w:r>
              <w:rPr>
                <w:rFonts w:ascii="Arial" w:cs="Arial" w:eastAsia="Arial" w:hAnsi="Arial"/>
                <w:sz w:val="18"/>
                <w:szCs w:val="18"/>
                <w:b w:val="1"/>
                <w:bCs w:val="1"/>
                <w:color w:val="auto"/>
              </w:rPr>
              <w:t>"cut-off grade"</w:t>
            </w:r>
          </w:p>
        </w:tc>
        <w:tc>
          <w:tcPr>
            <w:tcW w:w="9200" w:type="dxa"/>
            <w:vAlign w:val="bottom"/>
          </w:tcPr>
          <w:p>
            <w:pPr>
              <w:ind w:left="900"/>
              <w:spacing w:after="0"/>
              <w:rPr>
                <w:sz w:val="20"/>
                <w:szCs w:val="20"/>
                <w:color w:val="auto"/>
              </w:rPr>
            </w:pPr>
            <w:r>
              <w:rPr>
                <w:rFonts w:ascii="Arial" w:cs="Arial" w:eastAsia="Arial" w:hAnsi="Arial"/>
                <w:sz w:val="18"/>
                <w:szCs w:val="18"/>
                <w:color w:val="auto"/>
                <w:w w:val="90"/>
              </w:rPr>
              <w:t>(A) In respect of mineral resources, the lowest grade below which the mineralized rock currently cannot reasonably</w:t>
            </w:r>
          </w:p>
        </w:tc>
      </w:tr>
      <w:tr>
        <w:trPr>
          <w:trHeight w:val="222"/>
        </w:trPr>
        <w:tc>
          <w:tcPr>
            <w:tcW w:w="2220" w:type="dxa"/>
            <w:vAlign w:val="bottom"/>
          </w:tcPr>
          <w:p>
            <w:pPr>
              <w:spacing w:after="0"/>
              <w:rPr>
                <w:sz w:val="19"/>
                <w:szCs w:val="19"/>
                <w:color w:val="auto"/>
              </w:rPr>
            </w:pPr>
          </w:p>
        </w:tc>
        <w:tc>
          <w:tcPr>
            <w:tcW w:w="9200" w:type="dxa"/>
            <w:vAlign w:val="bottom"/>
          </w:tcPr>
          <w:p>
            <w:pPr>
              <w:ind w:left="900"/>
              <w:spacing w:after="0"/>
              <w:rPr>
                <w:sz w:val="20"/>
                <w:szCs w:val="20"/>
                <w:color w:val="auto"/>
              </w:rPr>
            </w:pPr>
            <w:r>
              <w:rPr>
                <w:rFonts w:ascii="Arial" w:cs="Arial" w:eastAsia="Arial" w:hAnsi="Arial"/>
                <w:sz w:val="18"/>
                <w:szCs w:val="18"/>
                <w:color w:val="auto"/>
              </w:rPr>
              <w:t>be expected to be economically extracted.</w:t>
            </w:r>
          </w:p>
        </w:tc>
      </w:tr>
      <w:tr>
        <w:trPr>
          <w:trHeight w:val="453"/>
        </w:trPr>
        <w:tc>
          <w:tcPr>
            <w:tcW w:w="2220" w:type="dxa"/>
            <w:vAlign w:val="bottom"/>
          </w:tcPr>
          <w:p>
            <w:pPr>
              <w:spacing w:after="0"/>
              <w:rPr>
                <w:sz w:val="24"/>
                <w:szCs w:val="24"/>
                <w:color w:val="auto"/>
              </w:rPr>
            </w:pPr>
          </w:p>
        </w:tc>
        <w:tc>
          <w:tcPr>
            <w:tcW w:w="9200" w:type="dxa"/>
            <w:vAlign w:val="bottom"/>
          </w:tcPr>
          <w:p>
            <w:pPr>
              <w:ind w:left="900"/>
              <w:spacing w:after="0"/>
              <w:rPr>
                <w:sz w:val="20"/>
                <w:szCs w:val="20"/>
                <w:color w:val="auto"/>
              </w:rPr>
            </w:pPr>
            <w:r>
              <w:rPr>
                <w:rFonts w:ascii="Arial" w:cs="Arial" w:eastAsia="Arial" w:hAnsi="Arial"/>
                <w:sz w:val="18"/>
                <w:szCs w:val="18"/>
                <w:color w:val="auto"/>
                <w:w w:val="99"/>
              </w:rPr>
              <w:t>(B) In respect of mineral reserves, the lowest grade below which the mineralized rock currently cannot be</w:t>
            </w:r>
          </w:p>
        </w:tc>
      </w:tr>
      <w:tr>
        <w:trPr>
          <w:trHeight w:val="222"/>
        </w:trPr>
        <w:tc>
          <w:tcPr>
            <w:tcW w:w="2220" w:type="dxa"/>
            <w:vAlign w:val="bottom"/>
          </w:tcPr>
          <w:p>
            <w:pPr>
              <w:spacing w:after="0"/>
              <w:rPr>
                <w:sz w:val="19"/>
                <w:szCs w:val="19"/>
                <w:color w:val="auto"/>
              </w:rPr>
            </w:pPr>
          </w:p>
        </w:tc>
        <w:tc>
          <w:tcPr>
            <w:tcW w:w="9200" w:type="dxa"/>
            <w:vAlign w:val="bottom"/>
          </w:tcPr>
          <w:p>
            <w:pPr>
              <w:ind w:left="900"/>
              <w:spacing w:after="0"/>
              <w:rPr>
                <w:sz w:val="20"/>
                <w:szCs w:val="20"/>
                <w:color w:val="auto"/>
              </w:rPr>
            </w:pPr>
            <w:r>
              <w:rPr>
                <w:rFonts w:ascii="Arial" w:cs="Arial" w:eastAsia="Arial" w:hAnsi="Arial"/>
                <w:sz w:val="18"/>
                <w:szCs w:val="18"/>
                <w:color w:val="auto"/>
              </w:rPr>
              <w:t>economically extracted as demonstrated by either a preliminary feasibility study or a feasibility study.</w:t>
            </w:r>
          </w:p>
        </w:tc>
      </w:tr>
      <w:tr>
        <w:trPr>
          <w:trHeight w:val="453"/>
        </w:trPr>
        <w:tc>
          <w:tcPr>
            <w:tcW w:w="2220" w:type="dxa"/>
            <w:vAlign w:val="bottom"/>
          </w:tcPr>
          <w:p>
            <w:pPr>
              <w:spacing w:after="0"/>
              <w:rPr>
                <w:sz w:val="24"/>
                <w:szCs w:val="24"/>
                <w:color w:val="auto"/>
              </w:rPr>
            </w:pPr>
          </w:p>
        </w:tc>
        <w:tc>
          <w:tcPr>
            <w:tcW w:w="9200" w:type="dxa"/>
            <w:vAlign w:val="bottom"/>
          </w:tcPr>
          <w:p>
            <w:pPr>
              <w:ind w:left="900"/>
              <w:spacing w:after="0"/>
              <w:rPr>
                <w:sz w:val="20"/>
                <w:szCs w:val="20"/>
                <w:color w:val="auto"/>
              </w:rPr>
            </w:pPr>
            <w:r>
              <w:rPr>
                <w:rFonts w:ascii="Arial" w:cs="Arial" w:eastAsia="Arial" w:hAnsi="Arial"/>
                <w:sz w:val="18"/>
                <w:szCs w:val="18"/>
                <w:color w:val="auto"/>
                <w:w w:val="92"/>
              </w:rPr>
              <w:t>Cut-off grades vary between deposits depending upon the amenability of ore to gold extraction and upon costs of</w:t>
            </w:r>
          </w:p>
        </w:tc>
      </w:tr>
      <w:tr>
        <w:trPr>
          <w:trHeight w:val="222"/>
        </w:trPr>
        <w:tc>
          <w:tcPr>
            <w:tcW w:w="2220" w:type="dxa"/>
            <w:vAlign w:val="bottom"/>
          </w:tcPr>
          <w:p>
            <w:pPr>
              <w:spacing w:after="0"/>
              <w:rPr>
                <w:sz w:val="19"/>
                <w:szCs w:val="19"/>
                <w:color w:val="auto"/>
              </w:rPr>
            </w:pPr>
          </w:p>
        </w:tc>
        <w:tc>
          <w:tcPr>
            <w:tcW w:w="9200" w:type="dxa"/>
            <w:vAlign w:val="bottom"/>
          </w:tcPr>
          <w:p>
            <w:pPr>
              <w:ind w:left="900"/>
              <w:spacing w:after="0"/>
              <w:rPr>
                <w:sz w:val="20"/>
                <w:szCs w:val="20"/>
                <w:color w:val="auto"/>
              </w:rPr>
            </w:pPr>
            <w:r>
              <w:rPr>
                <w:rFonts w:ascii="Arial" w:cs="Arial" w:eastAsia="Arial" w:hAnsi="Arial"/>
                <w:sz w:val="18"/>
                <w:szCs w:val="18"/>
                <w:color w:val="auto"/>
              </w:rPr>
              <w:t>production and metal prices.</w:t>
            </w:r>
          </w:p>
        </w:tc>
      </w:tr>
      <w:tr>
        <w:trPr>
          <w:trHeight w:val="453"/>
        </w:trPr>
        <w:tc>
          <w:tcPr>
            <w:tcW w:w="2220" w:type="dxa"/>
            <w:vAlign w:val="bottom"/>
          </w:tcPr>
          <w:p>
            <w:pPr>
              <w:spacing w:after="0"/>
              <w:rPr>
                <w:sz w:val="20"/>
                <w:szCs w:val="20"/>
                <w:color w:val="auto"/>
              </w:rPr>
            </w:pPr>
            <w:r>
              <w:rPr>
                <w:rFonts w:ascii="Arial" w:cs="Arial" w:eastAsia="Arial" w:hAnsi="Arial"/>
                <w:sz w:val="18"/>
                <w:szCs w:val="18"/>
                <w:b w:val="1"/>
                <w:bCs w:val="1"/>
                <w:color w:val="auto"/>
              </w:rPr>
              <w:t>"deposit"</w:t>
            </w:r>
          </w:p>
        </w:tc>
        <w:tc>
          <w:tcPr>
            <w:tcW w:w="9200" w:type="dxa"/>
            <w:vAlign w:val="bottom"/>
          </w:tcPr>
          <w:p>
            <w:pPr>
              <w:ind w:left="900"/>
              <w:spacing w:after="0"/>
              <w:rPr>
                <w:sz w:val="20"/>
                <w:szCs w:val="20"/>
                <w:color w:val="auto"/>
              </w:rPr>
            </w:pPr>
            <w:r>
              <w:rPr>
                <w:rFonts w:ascii="Arial" w:cs="Arial" w:eastAsia="Arial" w:hAnsi="Arial"/>
                <w:sz w:val="18"/>
                <w:szCs w:val="18"/>
                <w:color w:val="auto"/>
                <w:w w:val="89"/>
              </w:rPr>
              <w:t>A mineralized body that has been physically delineated by sufficient drilling, trenching and/or underground work, and</w:t>
            </w:r>
          </w:p>
        </w:tc>
      </w:tr>
      <w:tr>
        <w:trPr>
          <w:trHeight w:val="216"/>
        </w:trPr>
        <w:tc>
          <w:tcPr>
            <w:tcW w:w="2220" w:type="dxa"/>
            <w:vAlign w:val="bottom"/>
          </w:tcPr>
          <w:p>
            <w:pPr>
              <w:spacing w:after="0"/>
              <w:rPr>
                <w:sz w:val="18"/>
                <w:szCs w:val="18"/>
                <w:color w:val="auto"/>
              </w:rPr>
            </w:pPr>
          </w:p>
        </w:tc>
        <w:tc>
          <w:tcPr>
            <w:tcW w:w="9200" w:type="dxa"/>
            <w:vAlign w:val="bottom"/>
          </w:tcPr>
          <w:p>
            <w:pPr>
              <w:ind w:left="900"/>
              <w:spacing w:after="0"/>
              <w:rPr>
                <w:sz w:val="20"/>
                <w:szCs w:val="20"/>
                <w:color w:val="auto"/>
              </w:rPr>
            </w:pPr>
            <w:r>
              <w:rPr>
                <w:rFonts w:ascii="Arial" w:cs="Arial" w:eastAsia="Arial" w:hAnsi="Arial"/>
                <w:sz w:val="18"/>
                <w:szCs w:val="18"/>
                <w:color w:val="auto"/>
                <w:w w:val="96"/>
              </w:rPr>
              <w:t>found to be of sufficient average grade of metal or metals to warrant further exploration and/or development</w:t>
            </w:r>
          </w:p>
        </w:tc>
      </w:tr>
      <w:tr>
        <w:trPr>
          <w:trHeight w:val="216"/>
        </w:trPr>
        <w:tc>
          <w:tcPr>
            <w:tcW w:w="2220" w:type="dxa"/>
            <w:vAlign w:val="bottom"/>
          </w:tcPr>
          <w:p>
            <w:pPr>
              <w:spacing w:after="0"/>
              <w:rPr>
                <w:sz w:val="18"/>
                <w:szCs w:val="18"/>
                <w:color w:val="auto"/>
              </w:rPr>
            </w:pPr>
          </w:p>
        </w:tc>
        <w:tc>
          <w:tcPr>
            <w:tcW w:w="9200" w:type="dxa"/>
            <w:vAlign w:val="bottom"/>
          </w:tcPr>
          <w:p>
            <w:pPr>
              <w:ind w:left="900"/>
              <w:spacing w:after="0"/>
              <w:rPr>
                <w:sz w:val="20"/>
                <w:szCs w:val="20"/>
                <w:color w:val="auto"/>
              </w:rPr>
            </w:pPr>
            <w:r>
              <w:rPr>
                <w:rFonts w:ascii="Arial" w:cs="Arial" w:eastAsia="Arial" w:hAnsi="Arial"/>
                <w:sz w:val="18"/>
                <w:szCs w:val="18"/>
                <w:color w:val="auto"/>
                <w:w w:val="88"/>
              </w:rPr>
              <w:t>expenditures; such a deposit does not qualify as a commercially mineable orebody or as containing mineral reserves,</w:t>
            </w:r>
          </w:p>
        </w:tc>
      </w:tr>
      <w:tr>
        <w:trPr>
          <w:trHeight w:val="222"/>
        </w:trPr>
        <w:tc>
          <w:tcPr>
            <w:tcW w:w="2220" w:type="dxa"/>
            <w:vAlign w:val="bottom"/>
          </w:tcPr>
          <w:p>
            <w:pPr>
              <w:spacing w:after="0"/>
              <w:rPr>
                <w:sz w:val="19"/>
                <w:szCs w:val="19"/>
                <w:color w:val="auto"/>
              </w:rPr>
            </w:pPr>
          </w:p>
        </w:tc>
        <w:tc>
          <w:tcPr>
            <w:tcW w:w="9200" w:type="dxa"/>
            <w:vAlign w:val="bottom"/>
          </w:tcPr>
          <w:p>
            <w:pPr>
              <w:ind w:left="900"/>
              <w:spacing w:after="0"/>
              <w:rPr>
                <w:sz w:val="20"/>
                <w:szCs w:val="20"/>
                <w:color w:val="auto"/>
              </w:rPr>
            </w:pPr>
            <w:r>
              <w:rPr>
                <w:rFonts w:ascii="Arial" w:cs="Arial" w:eastAsia="Arial" w:hAnsi="Arial"/>
                <w:sz w:val="18"/>
                <w:szCs w:val="18"/>
                <w:color w:val="auto"/>
              </w:rPr>
              <w:t>until final legal, technical and economic factors have been resolved.</w:t>
            </w:r>
          </w:p>
        </w:tc>
      </w:tr>
      <w:tr>
        <w:trPr>
          <w:trHeight w:val="453"/>
        </w:trPr>
        <w:tc>
          <w:tcPr>
            <w:tcW w:w="2220" w:type="dxa"/>
            <w:vAlign w:val="bottom"/>
          </w:tcPr>
          <w:p>
            <w:pPr>
              <w:spacing w:after="0"/>
              <w:rPr>
                <w:sz w:val="20"/>
                <w:szCs w:val="20"/>
                <w:color w:val="auto"/>
              </w:rPr>
            </w:pPr>
            <w:r>
              <w:rPr>
                <w:rFonts w:ascii="Arial" w:cs="Arial" w:eastAsia="Arial" w:hAnsi="Arial"/>
                <w:sz w:val="18"/>
                <w:szCs w:val="18"/>
                <w:b w:val="1"/>
                <w:bCs w:val="1"/>
                <w:color w:val="auto"/>
              </w:rPr>
              <w:t>"development"</w:t>
            </w:r>
          </w:p>
        </w:tc>
        <w:tc>
          <w:tcPr>
            <w:tcW w:w="9200" w:type="dxa"/>
            <w:vAlign w:val="bottom"/>
          </w:tcPr>
          <w:p>
            <w:pPr>
              <w:ind w:left="900"/>
              <w:spacing w:after="0"/>
              <w:rPr>
                <w:sz w:val="20"/>
                <w:szCs w:val="20"/>
                <w:color w:val="auto"/>
              </w:rPr>
            </w:pPr>
            <w:r>
              <w:rPr>
                <w:rFonts w:ascii="Arial" w:cs="Arial" w:eastAsia="Arial" w:hAnsi="Arial"/>
                <w:sz w:val="18"/>
                <w:szCs w:val="18"/>
                <w:color w:val="auto"/>
                <w:w w:val="95"/>
              </w:rPr>
              <w:t>The preparation of a mining property or area so that an orebody can be analyzed and its tonnage and quality</w:t>
            </w:r>
          </w:p>
        </w:tc>
      </w:tr>
      <w:tr>
        <w:trPr>
          <w:trHeight w:val="222"/>
        </w:trPr>
        <w:tc>
          <w:tcPr>
            <w:tcW w:w="2220" w:type="dxa"/>
            <w:vAlign w:val="bottom"/>
          </w:tcPr>
          <w:p>
            <w:pPr>
              <w:spacing w:after="0"/>
              <w:rPr>
                <w:sz w:val="19"/>
                <w:szCs w:val="19"/>
                <w:color w:val="auto"/>
              </w:rPr>
            </w:pPr>
          </w:p>
        </w:tc>
        <w:tc>
          <w:tcPr>
            <w:tcW w:w="9200" w:type="dxa"/>
            <w:vAlign w:val="bottom"/>
          </w:tcPr>
          <w:p>
            <w:pPr>
              <w:ind w:left="900"/>
              <w:spacing w:after="0"/>
              <w:rPr>
                <w:sz w:val="20"/>
                <w:szCs w:val="20"/>
                <w:color w:val="auto"/>
              </w:rPr>
            </w:pPr>
            <w:r>
              <w:rPr>
                <w:rFonts w:ascii="Arial" w:cs="Arial" w:eastAsia="Arial" w:hAnsi="Arial"/>
                <w:sz w:val="18"/>
                <w:szCs w:val="18"/>
                <w:color w:val="auto"/>
              </w:rPr>
              <w:t>estimated. Development is an intermediate stage between exploration and mining.</w:t>
            </w:r>
          </w:p>
        </w:tc>
      </w:tr>
      <w:tr>
        <w:trPr>
          <w:trHeight w:val="453"/>
        </w:trPr>
        <w:tc>
          <w:tcPr>
            <w:tcW w:w="2220" w:type="dxa"/>
            <w:vAlign w:val="bottom"/>
          </w:tcPr>
          <w:p>
            <w:pPr>
              <w:spacing w:after="0"/>
              <w:rPr>
                <w:sz w:val="20"/>
                <w:szCs w:val="20"/>
                <w:color w:val="auto"/>
              </w:rPr>
            </w:pPr>
            <w:r>
              <w:rPr>
                <w:rFonts w:ascii="Arial" w:cs="Arial" w:eastAsia="Arial" w:hAnsi="Arial"/>
                <w:sz w:val="18"/>
                <w:szCs w:val="18"/>
                <w:b w:val="1"/>
                <w:bCs w:val="1"/>
                <w:color w:val="auto"/>
              </w:rPr>
              <w:t>"dilution"</w:t>
            </w:r>
          </w:p>
        </w:tc>
        <w:tc>
          <w:tcPr>
            <w:tcW w:w="9200" w:type="dxa"/>
            <w:vAlign w:val="bottom"/>
          </w:tcPr>
          <w:p>
            <w:pPr>
              <w:ind w:left="900"/>
              <w:spacing w:after="0"/>
              <w:rPr>
                <w:sz w:val="20"/>
                <w:szCs w:val="20"/>
                <w:color w:val="auto"/>
              </w:rPr>
            </w:pPr>
            <w:r>
              <w:rPr>
                <w:rFonts w:ascii="Arial" w:cs="Arial" w:eastAsia="Arial" w:hAnsi="Arial"/>
                <w:sz w:val="18"/>
                <w:szCs w:val="18"/>
                <w:color w:val="auto"/>
                <w:w w:val="91"/>
              </w:rPr>
              <w:t>The effect of waste rock or low-grade ore being included in mined ore, increasing tonnage mined and lowering the</w:t>
            </w:r>
          </w:p>
        </w:tc>
      </w:tr>
      <w:tr>
        <w:trPr>
          <w:trHeight w:val="222"/>
        </w:trPr>
        <w:tc>
          <w:tcPr>
            <w:tcW w:w="2220" w:type="dxa"/>
            <w:vAlign w:val="bottom"/>
          </w:tcPr>
          <w:p>
            <w:pPr>
              <w:spacing w:after="0"/>
              <w:rPr>
                <w:sz w:val="19"/>
                <w:szCs w:val="19"/>
                <w:color w:val="auto"/>
              </w:rPr>
            </w:pPr>
          </w:p>
        </w:tc>
        <w:tc>
          <w:tcPr>
            <w:tcW w:w="9200" w:type="dxa"/>
            <w:vAlign w:val="bottom"/>
          </w:tcPr>
          <w:p>
            <w:pPr>
              <w:ind w:left="900"/>
              <w:spacing w:after="0"/>
              <w:rPr>
                <w:sz w:val="20"/>
                <w:szCs w:val="20"/>
                <w:color w:val="auto"/>
              </w:rPr>
            </w:pPr>
            <w:r>
              <w:rPr>
                <w:rFonts w:ascii="Arial" w:cs="Arial" w:eastAsia="Arial" w:hAnsi="Arial"/>
                <w:sz w:val="18"/>
                <w:szCs w:val="18"/>
                <w:color w:val="auto"/>
              </w:rPr>
              <w:t>overall ore grade.</w:t>
            </w:r>
          </w:p>
        </w:tc>
      </w:tr>
      <w:tr>
        <w:trPr>
          <w:trHeight w:val="459"/>
        </w:trPr>
        <w:tc>
          <w:tcPr>
            <w:tcW w:w="2220" w:type="dxa"/>
            <w:vAlign w:val="bottom"/>
          </w:tcPr>
          <w:p>
            <w:pPr>
              <w:spacing w:after="0"/>
              <w:rPr>
                <w:sz w:val="20"/>
                <w:szCs w:val="20"/>
                <w:color w:val="auto"/>
              </w:rPr>
            </w:pPr>
            <w:r>
              <w:rPr>
                <w:rFonts w:ascii="Arial" w:cs="Arial" w:eastAsia="Arial" w:hAnsi="Arial"/>
                <w:sz w:val="18"/>
                <w:szCs w:val="18"/>
                <w:b w:val="1"/>
                <w:bCs w:val="1"/>
                <w:color w:val="auto"/>
              </w:rPr>
              <w:t>"dip"</w:t>
            </w:r>
          </w:p>
        </w:tc>
        <w:tc>
          <w:tcPr>
            <w:tcW w:w="9200" w:type="dxa"/>
            <w:vAlign w:val="bottom"/>
          </w:tcPr>
          <w:p>
            <w:pPr>
              <w:ind w:left="900"/>
              <w:spacing w:after="0"/>
              <w:rPr>
                <w:sz w:val="20"/>
                <w:szCs w:val="20"/>
                <w:color w:val="auto"/>
              </w:rPr>
            </w:pPr>
            <w:r>
              <w:rPr>
                <w:rFonts w:ascii="Arial" w:cs="Arial" w:eastAsia="Arial" w:hAnsi="Arial"/>
                <w:sz w:val="18"/>
                <w:szCs w:val="18"/>
                <w:color w:val="auto"/>
              </w:rPr>
              <w:t>The angle at which a surface is inclined from the horizontal.</w:t>
            </w:r>
          </w:p>
        </w:tc>
      </w:tr>
      <w:tr>
        <w:trPr>
          <w:trHeight w:val="453"/>
        </w:trPr>
        <w:tc>
          <w:tcPr>
            <w:tcW w:w="2220" w:type="dxa"/>
            <w:vAlign w:val="bottom"/>
          </w:tcPr>
          <w:p>
            <w:pPr>
              <w:spacing w:after="0"/>
              <w:rPr>
                <w:sz w:val="20"/>
                <w:szCs w:val="20"/>
                <w:color w:val="auto"/>
              </w:rPr>
            </w:pPr>
            <w:r>
              <w:rPr>
                <w:rFonts w:ascii="Arial" w:cs="Arial" w:eastAsia="Arial" w:hAnsi="Arial"/>
                <w:sz w:val="18"/>
                <w:szCs w:val="18"/>
                <w:b w:val="1"/>
                <w:bCs w:val="1"/>
                <w:color w:val="auto"/>
              </w:rPr>
              <w:t>"discordant"</w:t>
            </w:r>
          </w:p>
        </w:tc>
        <w:tc>
          <w:tcPr>
            <w:tcW w:w="9200" w:type="dxa"/>
            <w:vAlign w:val="bottom"/>
          </w:tcPr>
          <w:p>
            <w:pPr>
              <w:ind w:left="900"/>
              <w:spacing w:after="0"/>
              <w:rPr>
                <w:sz w:val="20"/>
                <w:szCs w:val="20"/>
                <w:color w:val="auto"/>
              </w:rPr>
            </w:pPr>
            <w:r>
              <w:rPr>
                <w:rFonts w:ascii="Arial" w:cs="Arial" w:eastAsia="Arial" w:hAnsi="Arial"/>
                <w:sz w:val="18"/>
                <w:szCs w:val="18"/>
                <w:color w:val="auto"/>
                <w:w w:val="89"/>
              </w:rPr>
              <w:t>Said of a contact between an igneous intrusion and the country rock that is not parallel to the foliation or the bedding</w:t>
            </w:r>
          </w:p>
        </w:tc>
      </w:tr>
      <w:tr>
        <w:trPr>
          <w:trHeight w:val="222"/>
        </w:trPr>
        <w:tc>
          <w:tcPr>
            <w:tcW w:w="2220" w:type="dxa"/>
            <w:vAlign w:val="bottom"/>
          </w:tcPr>
          <w:p>
            <w:pPr>
              <w:spacing w:after="0"/>
              <w:rPr>
                <w:sz w:val="19"/>
                <w:szCs w:val="19"/>
                <w:color w:val="auto"/>
              </w:rPr>
            </w:pPr>
          </w:p>
        </w:tc>
        <w:tc>
          <w:tcPr>
            <w:tcW w:w="9200" w:type="dxa"/>
            <w:vAlign w:val="bottom"/>
          </w:tcPr>
          <w:p>
            <w:pPr>
              <w:ind w:left="900"/>
              <w:spacing w:after="0"/>
              <w:rPr>
                <w:sz w:val="20"/>
                <w:szCs w:val="20"/>
                <w:color w:val="auto"/>
              </w:rPr>
            </w:pPr>
            <w:r>
              <w:rPr>
                <w:rFonts w:ascii="Arial" w:cs="Arial" w:eastAsia="Arial" w:hAnsi="Arial"/>
                <w:sz w:val="18"/>
                <w:szCs w:val="18"/>
                <w:color w:val="auto"/>
              </w:rPr>
              <w:t>planes of the latter.</w:t>
            </w:r>
          </w:p>
        </w:tc>
      </w:tr>
      <w:tr>
        <w:trPr>
          <w:trHeight w:val="453"/>
        </w:trPr>
        <w:tc>
          <w:tcPr>
            <w:tcW w:w="2220" w:type="dxa"/>
            <w:vAlign w:val="bottom"/>
          </w:tcPr>
          <w:p>
            <w:pPr>
              <w:spacing w:after="0"/>
              <w:rPr>
                <w:sz w:val="20"/>
                <w:szCs w:val="20"/>
                <w:color w:val="auto"/>
              </w:rPr>
            </w:pPr>
            <w:r>
              <w:rPr>
                <w:rFonts w:ascii="Arial" w:cs="Arial" w:eastAsia="Arial" w:hAnsi="Arial"/>
                <w:sz w:val="18"/>
                <w:szCs w:val="18"/>
                <w:b w:val="1"/>
                <w:bCs w:val="1"/>
                <w:color w:val="auto"/>
              </w:rPr>
              <w:t>"disseminated"</w:t>
            </w:r>
          </w:p>
        </w:tc>
        <w:tc>
          <w:tcPr>
            <w:tcW w:w="9200" w:type="dxa"/>
            <w:vAlign w:val="bottom"/>
          </w:tcPr>
          <w:p>
            <w:pPr>
              <w:ind w:left="900"/>
              <w:spacing w:after="0"/>
              <w:rPr>
                <w:sz w:val="20"/>
                <w:szCs w:val="20"/>
                <w:color w:val="auto"/>
              </w:rPr>
            </w:pPr>
            <w:r>
              <w:rPr>
                <w:rFonts w:ascii="Arial" w:cs="Arial" w:eastAsia="Arial" w:hAnsi="Arial"/>
                <w:sz w:val="18"/>
                <w:szCs w:val="18"/>
                <w:color w:val="auto"/>
                <w:w w:val="89"/>
              </w:rPr>
              <w:t>Said of a mineral deposit (especially of metals) in which the desired minerals occur as scattered particles in the rock,</w:t>
            </w:r>
          </w:p>
        </w:tc>
      </w:tr>
      <w:tr>
        <w:trPr>
          <w:trHeight w:val="222"/>
        </w:trPr>
        <w:tc>
          <w:tcPr>
            <w:tcW w:w="2220" w:type="dxa"/>
            <w:vAlign w:val="bottom"/>
          </w:tcPr>
          <w:p>
            <w:pPr>
              <w:spacing w:after="0"/>
              <w:rPr>
                <w:sz w:val="19"/>
                <w:szCs w:val="19"/>
                <w:color w:val="auto"/>
              </w:rPr>
            </w:pPr>
          </w:p>
        </w:tc>
        <w:tc>
          <w:tcPr>
            <w:tcW w:w="9200" w:type="dxa"/>
            <w:vAlign w:val="bottom"/>
          </w:tcPr>
          <w:p>
            <w:pPr>
              <w:ind w:left="900"/>
              <w:spacing w:after="0"/>
              <w:rPr>
                <w:sz w:val="20"/>
                <w:szCs w:val="20"/>
                <w:color w:val="auto"/>
              </w:rPr>
            </w:pPr>
            <w:r>
              <w:rPr>
                <w:rFonts w:ascii="Arial" w:cs="Arial" w:eastAsia="Arial" w:hAnsi="Arial"/>
                <w:sz w:val="18"/>
                <w:szCs w:val="18"/>
                <w:color w:val="auto"/>
              </w:rPr>
              <w:t>but in sufficient quantity to make the deposit an ore. Some disseminated deposits are very large.</w:t>
            </w:r>
          </w:p>
        </w:tc>
      </w:tr>
      <w:tr>
        <w:trPr>
          <w:trHeight w:val="453"/>
        </w:trPr>
        <w:tc>
          <w:tcPr>
            <w:tcW w:w="2220" w:type="dxa"/>
            <w:vAlign w:val="bottom"/>
          </w:tcPr>
          <w:p>
            <w:pPr>
              <w:spacing w:after="0"/>
              <w:rPr>
                <w:sz w:val="20"/>
                <w:szCs w:val="20"/>
                <w:color w:val="auto"/>
              </w:rPr>
            </w:pPr>
            <w:r>
              <w:rPr>
                <w:rFonts w:ascii="Arial" w:cs="Arial" w:eastAsia="Arial" w:hAnsi="Arial"/>
                <w:sz w:val="18"/>
                <w:szCs w:val="18"/>
                <w:b w:val="1"/>
                <w:bCs w:val="1"/>
                <w:color w:val="auto"/>
              </w:rPr>
              <w:t>"drift"</w:t>
            </w:r>
          </w:p>
        </w:tc>
        <w:tc>
          <w:tcPr>
            <w:tcW w:w="9200" w:type="dxa"/>
            <w:vAlign w:val="bottom"/>
          </w:tcPr>
          <w:p>
            <w:pPr>
              <w:ind w:left="900"/>
              <w:spacing w:after="0"/>
              <w:rPr>
                <w:sz w:val="20"/>
                <w:szCs w:val="20"/>
                <w:color w:val="auto"/>
              </w:rPr>
            </w:pPr>
            <w:r>
              <w:rPr>
                <w:rFonts w:ascii="Arial" w:cs="Arial" w:eastAsia="Arial" w:hAnsi="Arial"/>
                <w:sz w:val="18"/>
                <w:szCs w:val="18"/>
                <w:color w:val="auto"/>
                <w:w w:val="89"/>
              </w:rPr>
              <w:t>A horizontal underground opening that follows along the length of a vein or rock formation, as opposed to a crosscut</w:t>
            </w:r>
          </w:p>
        </w:tc>
      </w:tr>
      <w:tr>
        <w:trPr>
          <w:trHeight w:val="222"/>
        </w:trPr>
        <w:tc>
          <w:tcPr>
            <w:tcW w:w="2220" w:type="dxa"/>
            <w:vAlign w:val="bottom"/>
          </w:tcPr>
          <w:p>
            <w:pPr>
              <w:spacing w:after="0"/>
              <w:rPr>
                <w:sz w:val="19"/>
                <w:szCs w:val="19"/>
                <w:color w:val="auto"/>
              </w:rPr>
            </w:pPr>
          </w:p>
        </w:tc>
        <w:tc>
          <w:tcPr>
            <w:tcW w:w="9200" w:type="dxa"/>
            <w:vAlign w:val="bottom"/>
          </w:tcPr>
          <w:p>
            <w:pPr>
              <w:ind w:left="900"/>
              <w:spacing w:after="0"/>
              <w:rPr>
                <w:sz w:val="20"/>
                <w:szCs w:val="20"/>
                <w:color w:val="auto"/>
              </w:rPr>
            </w:pPr>
            <w:r>
              <w:rPr>
                <w:rFonts w:ascii="Arial" w:cs="Arial" w:eastAsia="Arial" w:hAnsi="Arial"/>
                <w:sz w:val="18"/>
                <w:szCs w:val="18"/>
                <w:color w:val="auto"/>
              </w:rPr>
              <w:t>that crosses the rock formation.</w:t>
            </w:r>
          </w:p>
        </w:tc>
      </w:tr>
      <w:tr>
        <w:trPr>
          <w:trHeight w:val="459"/>
        </w:trPr>
        <w:tc>
          <w:tcPr>
            <w:tcW w:w="2220" w:type="dxa"/>
            <w:vAlign w:val="bottom"/>
          </w:tcPr>
          <w:p>
            <w:pPr>
              <w:spacing w:after="0"/>
              <w:rPr>
                <w:sz w:val="20"/>
                <w:szCs w:val="20"/>
                <w:color w:val="auto"/>
              </w:rPr>
            </w:pPr>
            <w:r>
              <w:rPr>
                <w:rFonts w:ascii="Arial" w:cs="Arial" w:eastAsia="Arial" w:hAnsi="Arial"/>
                <w:sz w:val="18"/>
                <w:szCs w:val="18"/>
                <w:b w:val="1"/>
                <w:bCs w:val="1"/>
                <w:color w:val="auto"/>
              </w:rPr>
              <w:t>"ductile"</w:t>
            </w:r>
          </w:p>
        </w:tc>
        <w:tc>
          <w:tcPr>
            <w:tcW w:w="9200" w:type="dxa"/>
            <w:vAlign w:val="bottom"/>
          </w:tcPr>
          <w:p>
            <w:pPr>
              <w:ind w:left="900"/>
              <w:spacing w:after="0"/>
              <w:rPr>
                <w:sz w:val="20"/>
                <w:szCs w:val="20"/>
                <w:color w:val="auto"/>
              </w:rPr>
            </w:pPr>
            <w:r>
              <w:rPr>
                <w:rFonts w:ascii="Arial" w:cs="Arial" w:eastAsia="Arial" w:hAnsi="Arial"/>
                <w:sz w:val="18"/>
                <w:szCs w:val="18"/>
                <w:color w:val="auto"/>
                <w:w w:val="96"/>
              </w:rPr>
              <w:t>Of rock, able to sustain, under a given set of conditions, 5% to 10% deformation before fracturing or faulting.</w:t>
            </w:r>
          </w:p>
        </w:tc>
      </w:tr>
      <w:tr>
        <w:trPr>
          <w:trHeight w:val="453"/>
        </w:trPr>
        <w:tc>
          <w:tcPr>
            <w:tcW w:w="2220" w:type="dxa"/>
            <w:vAlign w:val="bottom"/>
          </w:tcPr>
          <w:p>
            <w:pPr>
              <w:spacing w:after="0"/>
              <w:rPr>
                <w:sz w:val="20"/>
                <w:szCs w:val="20"/>
                <w:color w:val="auto"/>
              </w:rPr>
            </w:pPr>
            <w:r>
              <w:rPr>
                <w:rFonts w:ascii="Arial" w:cs="Arial" w:eastAsia="Arial" w:hAnsi="Arial"/>
                <w:sz w:val="18"/>
                <w:szCs w:val="18"/>
                <w:b w:val="1"/>
                <w:bCs w:val="1"/>
                <w:color w:val="auto"/>
              </w:rPr>
              <w:t>"dyke"</w:t>
            </w:r>
          </w:p>
        </w:tc>
        <w:tc>
          <w:tcPr>
            <w:tcW w:w="9200" w:type="dxa"/>
            <w:vAlign w:val="bottom"/>
          </w:tcPr>
          <w:p>
            <w:pPr>
              <w:ind w:left="900"/>
              <w:spacing w:after="0"/>
              <w:rPr>
                <w:sz w:val="20"/>
                <w:szCs w:val="20"/>
                <w:color w:val="auto"/>
              </w:rPr>
            </w:pPr>
            <w:r>
              <w:rPr>
                <w:rFonts w:ascii="Arial" w:cs="Arial" w:eastAsia="Arial" w:hAnsi="Arial"/>
                <w:sz w:val="18"/>
                <w:szCs w:val="18"/>
                <w:color w:val="auto"/>
                <w:w w:val="95"/>
              </w:rPr>
              <w:t>An earthen embankment, as around a drill sump or tank, or to impound a body of water or mill tailings. Also, a</w:t>
            </w:r>
          </w:p>
        </w:tc>
      </w:tr>
      <w:tr>
        <w:trPr>
          <w:trHeight w:val="222"/>
        </w:trPr>
        <w:tc>
          <w:tcPr>
            <w:tcW w:w="2220" w:type="dxa"/>
            <w:vAlign w:val="bottom"/>
          </w:tcPr>
          <w:p>
            <w:pPr>
              <w:spacing w:after="0"/>
              <w:rPr>
                <w:sz w:val="19"/>
                <w:szCs w:val="19"/>
                <w:color w:val="auto"/>
              </w:rPr>
            </w:pPr>
          </w:p>
        </w:tc>
        <w:tc>
          <w:tcPr>
            <w:tcW w:w="9200" w:type="dxa"/>
            <w:vAlign w:val="bottom"/>
          </w:tcPr>
          <w:p>
            <w:pPr>
              <w:ind w:left="900"/>
              <w:spacing w:after="0"/>
              <w:rPr>
                <w:sz w:val="20"/>
                <w:szCs w:val="20"/>
                <w:color w:val="auto"/>
              </w:rPr>
            </w:pPr>
            <w:r>
              <w:rPr>
                <w:rFonts w:ascii="Arial" w:cs="Arial" w:eastAsia="Arial" w:hAnsi="Arial"/>
                <w:sz w:val="18"/>
                <w:szCs w:val="18"/>
                <w:color w:val="auto"/>
              </w:rPr>
              <w:t>tabular body of igneous rock that cuts across the structure of adjacent rocks.</w:t>
            </w:r>
          </w:p>
        </w:tc>
      </w:tr>
      <w:tr>
        <w:trPr>
          <w:trHeight w:val="453"/>
        </w:trPr>
        <w:tc>
          <w:tcPr>
            <w:tcW w:w="2220" w:type="dxa"/>
            <w:vAlign w:val="bottom"/>
          </w:tcPr>
          <w:p>
            <w:pPr>
              <w:spacing w:after="0"/>
              <w:rPr>
                <w:sz w:val="20"/>
                <w:szCs w:val="20"/>
                <w:color w:val="auto"/>
              </w:rPr>
            </w:pPr>
            <w:r>
              <w:rPr>
                <w:rFonts w:ascii="Arial" w:cs="Arial" w:eastAsia="Arial" w:hAnsi="Arial"/>
                <w:sz w:val="18"/>
                <w:szCs w:val="18"/>
                <w:b w:val="1"/>
                <w:bCs w:val="1"/>
                <w:color w:val="auto"/>
              </w:rPr>
              <w:t>"electrowinning"</w:t>
            </w:r>
          </w:p>
        </w:tc>
        <w:tc>
          <w:tcPr>
            <w:tcW w:w="9200" w:type="dxa"/>
            <w:vAlign w:val="bottom"/>
          </w:tcPr>
          <w:p>
            <w:pPr>
              <w:ind w:left="900"/>
              <w:spacing w:after="0"/>
              <w:rPr>
                <w:sz w:val="20"/>
                <w:szCs w:val="20"/>
                <w:color w:val="auto"/>
              </w:rPr>
            </w:pPr>
            <w:r>
              <w:rPr>
                <w:rFonts w:ascii="Arial" w:cs="Arial" w:eastAsia="Arial" w:hAnsi="Arial"/>
                <w:sz w:val="18"/>
                <w:szCs w:val="18"/>
                <w:color w:val="auto"/>
                <w:w w:val="93"/>
              </w:rPr>
              <w:t>An electrochemical process in which a metal dissolved within an electrolyte is plated onto an electrode. Used to</w:t>
            </w:r>
          </w:p>
        </w:tc>
      </w:tr>
      <w:tr>
        <w:trPr>
          <w:trHeight w:val="222"/>
        </w:trPr>
        <w:tc>
          <w:tcPr>
            <w:tcW w:w="2220" w:type="dxa"/>
            <w:vAlign w:val="bottom"/>
          </w:tcPr>
          <w:p>
            <w:pPr>
              <w:spacing w:after="0"/>
              <w:rPr>
                <w:sz w:val="19"/>
                <w:szCs w:val="19"/>
                <w:color w:val="auto"/>
              </w:rPr>
            </w:pPr>
          </w:p>
        </w:tc>
        <w:tc>
          <w:tcPr>
            <w:tcW w:w="9200" w:type="dxa"/>
            <w:vAlign w:val="bottom"/>
          </w:tcPr>
          <w:p>
            <w:pPr>
              <w:ind w:left="900"/>
              <w:spacing w:after="0"/>
              <w:rPr>
                <w:sz w:val="20"/>
                <w:szCs w:val="20"/>
                <w:color w:val="auto"/>
              </w:rPr>
            </w:pPr>
            <w:r>
              <w:rPr>
                <w:rFonts w:ascii="Arial" w:cs="Arial" w:eastAsia="Arial" w:hAnsi="Arial"/>
                <w:sz w:val="18"/>
                <w:szCs w:val="18"/>
                <w:color w:val="auto"/>
              </w:rPr>
              <w:t>recover metals such as copper and gold from solution in the leaching of concentrates, etc.</w:t>
            </w:r>
          </w:p>
        </w:tc>
      </w:tr>
      <w:tr>
        <w:trPr>
          <w:trHeight w:val="459"/>
        </w:trPr>
        <w:tc>
          <w:tcPr>
            <w:tcW w:w="2220" w:type="dxa"/>
            <w:vAlign w:val="bottom"/>
          </w:tcPr>
          <w:p>
            <w:pPr>
              <w:spacing w:after="0"/>
              <w:rPr>
                <w:sz w:val="20"/>
                <w:szCs w:val="20"/>
                <w:color w:val="auto"/>
              </w:rPr>
            </w:pPr>
            <w:r>
              <w:rPr>
                <w:rFonts w:ascii="Arial" w:cs="Arial" w:eastAsia="Arial" w:hAnsi="Arial"/>
                <w:sz w:val="18"/>
                <w:szCs w:val="18"/>
                <w:b w:val="1"/>
                <w:bCs w:val="1"/>
                <w:color w:val="auto"/>
              </w:rPr>
              <w:t>"envelope"</w:t>
            </w:r>
          </w:p>
        </w:tc>
        <w:tc>
          <w:tcPr>
            <w:tcW w:w="9200" w:type="dxa"/>
            <w:vAlign w:val="bottom"/>
          </w:tcPr>
          <w:p>
            <w:pPr>
              <w:ind w:left="900"/>
              <w:spacing w:after="0"/>
              <w:rPr>
                <w:sz w:val="20"/>
                <w:szCs w:val="20"/>
                <w:color w:val="auto"/>
              </w:rPr>
            </w:pPr>
            <w:r>
              <w:rPr>
                <w:rFonts w:ascii="Arial" w:cs="Arial" w:eastAsia="Arial" w:hAnsi="Arial"/>
                <w:sz w:val="18"/>
                <w:szCs w:val="18"/>
                <w:color w:val="auto"/>
                <w:w w:val="92"/>
              </w:rPr>
              <w:t>1. The outer or covering part of a fold, especially of a folded structure that includes some sort of structural break.</w:t>
            </w:r>
          </w:p>
        </w:tc>
      </w:tr>
      <w:tr>
        <w:trPr>
          <w:trHeight w:val="459"/>
        </w:trPr>
        <w:tc>
          <w:tcPr>
            <w:tcW w:w="2220" w:type="dxa"/>
            <w:vAlign w:val="bottom"/>
          </w:tcPr>
          <w:p>
            <w:pPr>
              <w:spacing w:after="0"/>
              <w:rPr>
                <w:sz w:val="24"/>
                <w:szCs w:val="24"/>
                <w:color w:val="auto"/>
              </w:rPr>
            </w:pPr>
          </w:p>
        </w:tc>
        <w:tc>
          <w:tcPr>
            <w:tcW w:w="9200" w:type="dxa"/>
            <w:vAlign w:val="bottom"/>
          </w:tcPr>
          <w:p>
            <w:pPr>
              <w:ind w:left="900"/>
              <w:spacing w:after="0"/>
              <w:rPr>
                <w:sz w:val="20"/>
                <w:szCs w:val="20"/>
                <w:color w:val="auto"/>
              </w:rPr>
            </w:pPr>
            <w:r>
              <w:rPr>
                <w:rFonts w:ascii="Arial" w:cs="Arial" w:eastAsia="Arial" w:hAnsi="Arial"/>
                <w:sz w:val="18"/>
                <w:szCs w:val="18"/>
                <w:color w:val="auto"/>
              </w:rPr>
              <w:t>2. A metamorphic rock surrounding an igneous intrusion.</w:t>
            </w:r>
          </w:p>
        </w:tc>
      </w:tr>
      <w:tr>
        <w:trPr>
          <w:trHeight w:val="459"/>
        </w:trPr>
        <w:tc>
          <w:tcPr>
            <w:tcW w:w="2220" w:type="dxa"/>
            <w:vAlign w:val="bottom"/>
          </w:tcPr>
          <w:p>
            <w:pPr>
              <w:spacing w:after="0"/>
              <w:rPr>
                <w:sz w:val="24"/>
                <w:szCs w:val="24"/>
                <w:color w:val="auto"/>
              </w:rPr>
            </w:pPr>
          </w:p>
        </w:tc>
        <w:tc>
          <w:tcPr>
            <w:tcW w:w="9200" w:type="dxa"/>
            <w:vAlign w:val="bottom"/>
          </w:tcPr>
          <w:p>
            <w:pPr>
              <w:ind w:left="900"/>
              <w:spacing w:after="0"/>
              <w:rPr>
                <w:sz w:val="20"/>
                <w:szCs w:val="20"/>
                <w:color w:val="auto"/>
              </w:rPr>
            </w:pPr>
            <w:r>
              <w:rPr>
                <w:rFonts w:ascii="Arial" w:cs="Arial" w:eastAsia="Arial" w:hAnsi="Arial"/>
                <w:sz w:val="18"/>
                <w:szCs w:val="18"/>
                <w:color w:val="auto"/>
              </w:rPr>
              <w:t>3. In a mineral, an outer part different in origin from an inner part.</w:t>
            </w:r>
          </w:p>
        </w:tc>
      </w:tr>
      <w:tr>
        <w:trPr>
          <w:trHeight w:val="432"/>
        </w:trPr>
        <w:tc>
          <w:tcPr>
            <w:tcW w:w="2220" w:type="dxa"/>
            <w:vAlign w:val="bottom"/>
          </w:tcPr>
          <w:p>
            <w:pPr>
              <w:spacing w:after="0"/>
              <w:rPr>
                <w:sz w:val="24"/>
                <w:szCs w:val="24"/>
                <w:color w:val="auto"/>
              </w:rPr>
            </w:pPr>
          </w:p>
        </w:tc>
        <w:tc>
          <w:tcPr>
            <w:tcW w:w="9200" w:type="dxa"/>
            <w:vAlign w:val="bottom"/>
          </w:tcPr>
          <w:p>
            <w:pPr>
              <w:ind w:left="3400"/>
              <w:spacing w:after="0"/>
              <w:rPr>
                <w:sz w:val="20"/>
                <w:szCs w:val="20"/>
                <w:color w:val="auto"/>
              </w:rPr>
            </w:pPr>
            <w:r>
              <w:rPr>
                <w:rFonts w:ascii="Arial" w:cs="Arial" w:eastAsia="Arial" w:hAnsi="Arial"/>
                <w:sz w:val="18"/>
                <w:szCs w:val="18"/>
                <w:color w:val="auto"/>
              </w:rPr>
              <w:t>67</w:t>
            </w:r>
          </w:p>
        </w:tc>
      </w:tr>
      <w:tr>
        <w:trPr>
          <w:trHeight w:val="228"/>
        </w:trPr>
        <w:tc>
          <w:tcPr>
            <w:tcW w:w="2220" w:type="dxa"/>
            <w:vAlign w:val="bottom"/>
            <w:tcBorders>
              <w:bottom w:val="single" w:sz="8" w:color="808080"/>
            </w:tcBorders>
          </w:tcPr>
          <w:p>
            <w:pPr>
              <w:spacing w:after="0"/>
              <w:rPr>
                <w:sz w:val="19"/>
                <w:szCs w:val="19"/>
                <w:color w:val="auto"/>
              </w:rPr>
            </w:pPr>
          </w:p>
        </w:tc>
        <w:tc>
          <w:tcPr>
            <w:tcW w:w="920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25" w:right="239" w:bottom="1440" w:gutter="0" w:footer="0" w:header="0"/>
        </w:sectPr>
      </w:pPr>
    </w:p>
    <w:bookmarkStart w:id="110" w:name="page111"/>
    <w:bookmarkEnd w:id="110"/>
    <w:tbl>
      <w:tblPr>
        <w:tblLayout w:type="fixed"/>
        <w:tblInd w:w="0" w:type="dxa"/>
        <w:tblCellMar>
          <w:top w:w="0" w:type="dxa"/>
          <w:left w:w="0" w:type="dxa"/>
          <w:bottom w:w="0" w:type="dxa"/>
          <w:right w:w="0" w:type="dxa"/>
        </w:tblCellMar>
      </w:tblPr>
      <w:tr>
        <w:trPr>
          <w:trHeight w:val="222"/>
        </w:trPr>
        <w:tc>
          <w:tcPr>
            <w:tcW w:w="2500" w:type="dxa"/>
            <w:vAlign w:val="bottom"/>
          </w:tcPr>
          <w:p>
            <w:pPr>
              <w:spacing w:after="0"/>
              <w:rPr>
                <w:sz w:val="20"/>
                <w:szCs w:val="20"/>
                <w:color w:val="auto"/>
              </w:rPr>
            </w:pPr>
            <w:r>
              <w:rPr>
                <w:rFonts w:ascii="Arial" w:cs="Arial" w:eastAsia="Arial" w:hAnsi="Arial"/>
                <w:sz w:val="18"/>
                <w:szCs w:val="18"/>
                <w:b w:val="1"/>
                <w:bCs w:val="1"/>
                <w:color w:val="auto"/>
              </w:rPr>
              <w:t>"epigenetic"</w:t>
            </w:r>
          </w:p>
        </w:tc>
        <w:tc>
          <w:tcPr>
            <w:tcW w:w="8920" w:type="dxa"/>
            <w:vAlign w:val="bottom"/>
          </w:tcPr>
          <w:p>
            <w:pPr>
              <w:ind w:left="620"/>
              <w:spacing w:after="0"/>
              <w:rPr>
                <w:sz w:val="20"/>
                <w:szCs w:val="20"/>
                <w:color w:val="auto"/>
              </w:rPr>
            </w:pPr>
            <w:r>
              <w:rPr>
                <w:rFonts w:ascii="Arial" w:cs="Arial" w:eastAsia="Arial" w:hAnsi="Arial"/>
                <w:sz w:val="18"/>
                <w:szCs w:val="18"/>
                <w:color w:val="auto"/>
                <w:w w:val="89"/>
              </w:rPr>
              <w:t>An orebody formed by hydrothermal fluids and gases that were introduced into the host rocks from elsewhere, filling</w:t>
            </w:r>
          </w:p>
        </w:tc>
      </w:tr>
      <w:tr>
        <w:trPr>
          <w:trHeight w:val="222"/>
        </w:trPr>
        <w:tc>
          <w:tcPr>
            <w:tcW w:w="2500" w:type="dxa"/>
            <w:vAlign w:val="bottom"/>
          </w:tcPr>
          <w:p>
            <w:pPr>
              <w:spacing w:after="0"/>
              <w:rPr>
                <w:sz w:val="19"/>
                <w:szCs w:val="19"/>
                <w:color w:val="auto"/>
              </w:rPr>
            </w:pPr>
          </w:p>
        </w:tc>
        <w:tc>
          <w:tcPr>
            <w:tcW w:w="8920" w:type="dxa"/>
            <w:vAlign w:val="bottom"/>
          </w:tcPr>
          <w:p>
            <w:pPr>
              <w:ind w:left="620"/>
              <w:spacing w:after="0"/>
              <w:rPr>
                <w:sz w:val="20"/>
                <w:szCs w:val="20"/>
                <w:color w:val="auto"/>
              </w:rPr>
            </w:pPr>
            <w:r>
              <w:rPr>
                <w:rFonts w:ascii="Arial" w:cs="Arial" w:eastAsia="Arial" w:hAnsi="Arial"/>
                <w:sz w:val="18"/>
                <w:szCs w:val="18"/>
                <w:color w:val="auto"/>
              </w:rPr>
              <w:t>cavities in the host rock.</w:t>
            </w:r>
          </w:p>
        </w:tc>
      </w:tr>
      <w:tr>
        <w:trPr>
          <w:trHeight w:val="453"/>
        </w:trPr>
        <w:tc>
          <w:tcPr>
            <w:tcW w:w="2500" w:type="dxa"/>
            <w:vAlign w:val="bottom"/>
          </w:tcPr>
          <w:p>
            <w:pPr>
              <w:spacing w:after="0"/>
              <w:rPr>
                <w:sz w:val="20"/>
                <w:szCs w:val="20"/>
                <w:color w:val="auto"/>
              </w:rPr>
            </w:pPr>
            <w:r>
              <w:rPr>
                <w:rFonts w:ascii="Arial" w:cs="Arial" w:eastAsia="Arial" w:hAnsi="Arial"/>
                <w:sz w:val="18"/>
                <w:szCs w:val="18"/>
                <w:b w:val="1"/>
                <w:bCs w:val="1"/>
                <w:color w:val="auto"/>
              </w:rPr>
              <w:t>"epithermal"</w:t>
            </w:r>
          </w:p>
        </w:tc>
        <w:tc>
          <w:tcPr>
            <w:tcW w:w="8920" w:type="dxa"/>
            <w:vAlign w:val="bottom"/>
          </w:tcPr>
          <w:p>
            <w:pPr>
              <w:ind w:left="620"/>
              <w:spacing w:after="0"/>
              <w:rPr>
                <w:sz w:val="20"/>
                <w:szCs w:val="20"/>
                <w:color w:val="auto"/>
              </w:rPr>
            </w:pPr>
            <w:r>
              <w:rPr>
                <w:rFonts w:ascii="Arial" w:cs="Arial" w:eastAsia="Arial" w:hAnsi="Arial"/>
                <w:sz w:val="18"/>
                <w:szCs w:val="18"/>
                <w:color w:val="auto"/>
                <w:w w:val="88"/>
              </w:rPr>
              <w:t>A hydrothermal mineral deposit formed within one kilometre of the Earth's surface and in the temperature range of 50</w:t>
            </w:r>
          </w:p>
        </w:tc>
      </w:tr>
      <w:tr>
        <w:trPr>
          <w:trHeight w:val="222"/>
        </w:trPr>
        <w:tc>
          <w:tcPr>
            <w:tcW w:w="2500" w:type="dxa"/>
            <w:vAlign w:val="bottom"/>
          </w:tcPr>
          <w:p>
            <w:pPr>
              <w:spacing w:after="0"/>
              <w:rPr>
                <w:sz w:val="19"/>
                <w:szCs w:val="19"/>
                <w:color w:val="auto"/>
              </w:rPr>
            </w:pPr>
          </w:p>
        </w:tc>
        <w:tc>
          <w:tcPr>
            <w:tcW w:w="8920" w:type="dxa"/>
            <w:vAlign w:val="bottom"/>
          </w:tcPr>
          <w:p>
            <w:pPr>
              <w:ind w:left="620"/>
              <w:spacing w:after="0"/>
              <w:rPr>
                <w:sz w:val="20"/>
                <w:szCs w:val="20"/>
                <w:color w:val="auto"/>
              </w:rPr>
            </w:pPr>
            <w:r>
              <w:rPr>
                <w:rFonts w:ascii="Arial" w:cs="Arial" w:eastAsia="Arial" w:hAnsi="Arial"/>
                <w:sz w:val="18"/>
                <w:szCs w:val="18"/>
                <w:color w:val="auto"/>
              </w:rPr>
              <w:t>to 200 degrees Celsius, occurring mainly as veins. Also, said of that depositional environment.</w:t>
            </w:r>
          </w:p>
        </w:tc>
      </w:tr>
      <w:tr>
        <w:trPr>
          <w:trHeight w:val="459"/>
        </w:trPr>
        <w:tc>
          <w:tcPr>
            <w:tcW w:w="2500" w:type="dxa"/>
            <w:vAlign w:val="bottom"/>
          </w:tcPr>
          <w:p>
            <w:pPr>
              <w:spacing w:after="0"/>
              <w:rPr>
                <w:sz w:val="20"/>
                <w:szCs w:val="20"/>
                <w:color w:val="auto"/>
              </w:rPr>
            </w:pPr>
            <w:r>
              <w:rPr>
                <w:rFonts w:ascii="Arial" w:cs="Arial" w:eastAsia="Arial" w:hAnsi="Arial"/>
                <w:sz w:val="18"/>
                <w:szCs w:val="18"/>
                <w:b w:val="1"/>
                <w:bCs w:val="1"/>
                <w:color w:val="auto"/>
              </w:rPr>
              <w:t>"extensional-shear vein"</w:t>
            </w:r>
          </w:p>
        </w:tc>
        <w:tc>
          <w:tcPr>
            <w:tcW w:w="8920" w:type="dxa"/>
            <w:vAlign w:val="bottom"/>
          </w:tcPr>
          <w:p>
            <w:pPr>
              <w:ind w:left="620"/>
              <w:spacing w:after="0"/>
              <w:rPr>
                <w:sz w:val="20"/>
                <w:szCs w:val="20"/>
                <w:color w:val="auto"/>
              </w:rPr>
            </w:pPr>
            <w:r>
              <w:rPr>
                <w:rFonts w:ascii="Arial" w:cs="Arial" w:eastAsia="Arial" w:hAnsi="Arial"/>
                <w:sz w:val="18"/>
                <w:szCs w:val="18"/>
                <w:color w:val="auto"/>
              </w:rPr>
              <w:t>A vein put in place in an extension fracture caused by the deformation of a rock.</w:t>
            </w:r>
          </w:p>
        </w:tc>
      </w:tr>
      <w:tr>
        <w:trPr>
          <w:trHeight w:val="453"/>
        </w:trPr>
        <w:tc>
          <w:tcPr>
            <w:tcW w:w="2500" w:type="dxa"/>
            <w:vAlign w:val="bottom"/>
          </w:tcPr>
          <w:p>
            <w:pPr>
              <w:spacing w:after="0"/>
              <w:rPr>
                <w:sz w:val="20"/>
                <w:szCs w:val="20"/>
                <w:color w:val="auto"/>
              </w:rPr>
            </w:pPr>
            <w:r>
              <w:rPr>
                <w:rFonts w:ascii="Arial" w:cs="Arial" w:eastAsia="Arial" w:hAnsi="Arial"/>
                <w:sz w:val="18"/>
                <w:szCs w:val="18"/>
                <w:b w:val="1"/>
                <w:bCs w:val="1"/>
                <w:color w:val="auto"/>
              </w:rPr>
              <w:t>"fault"</w:t>
            </w:r>
          </w:p>
        </w:tc>
        <w:tc>
          <w:tcPr>
            <w:tcW w:w="8920" w:type="dxa"/>
            <w:vAlign w:val="bottom"/>
          </w:tcPr>
          <w:p>
            <w:pPr>
              <w:ind w:left="620"/>
              <w:spacing w:after="0"/>
              <w:rPr>
                <w:sz w:val="20"/>
                <w:szCs w:val="20"/>
                <w:color w:val="auto"/>
              </w:rPr>
            </w:pPr>
            <w:r>
              <w:rPr>
                <w:rFonts w:ascii="Arial" w:cs="Arial" w:eastAsia="Arial" w:hAnsi="Arial"/>
                <w:sz w:val="18"/>
                <w:szCs w:val="18"/>
                <w:color w:val="auto"/>
                <w:w w:val="88"/>
              </w:rPr>
              <w:t>A fracture or a fracture zone in crustal rocks along which there has been displacement of the two sides relative to one</w:t>
            </w:r>
          </w:p>
        </w:tc>
      </w:tr>
      <w:tr>
        <w:trPr>
          <w:trHeight w:val="222"/>
        </w:trPr>
        <w:tc>
          <w:tcPr>
            <w:tcW w:w="2500" w:type="dxa"/>
            <w:vAlign w:val="bottom"/>
          </w:tcPr>
          <w:p>
            <w:pPr>
              <w:spacing w:after="0"/>
              <w:rPr>
                <w:sz w:val="19"/>
                <w:szCs w:val="19"/>
                <w:color w:val="auto"/>
              </w:rPr>
            </w:pPr>
          </w:p>
        </w:tc>
        <w:tc>
          <w:tcPr>
            <w:tcW w:w="8920" w:type="dxa"/>
            <w:vAlign w:val="bottom"/>
          </w:tcPr>
          <w:p>
            <w:pPr>
              <w:ind w:left="620"/>
              <w:spacing w:after="0"/>
              <w:rPr>
                <w:sz w:val="20"/>
                <w:szCs w:val="20"/>
                <w:color w:val="auto"/>
              </w:rPr>
            </w:pPr>
            <w:r>
              <w:rPr>
                <w:rFonts w:ascii="Arial" w:cs="Arial" w:eastAsia="Arial" w:hAnsi="Arial"/>
                <w:sz w:val="18"/>
                <w:szCs w:val="18"/>
                <w:color w:val="auto"/>
              </w:rPr>
              <w:t>another parallel to the fracture. The displacement may be a few inches or many kilometres long.</w:t>
            </w:r>
          </w:p>
        </w:tc>
      </w:tr>
      <w:tr>
        <w:trPr>
          <w:trHeight w:val="453"/>
        </w:trPr>
        <w:tc>
          <w:tcPr>
            <w:tcW w:w="2500" w:type="dxa"/>
            <w:vAlign w:val="bottom"/>
          </w:tcPr>
          <w:p>
            <w:pPr>
              <w:spacing w:after="0"/>
              <w:rPr>
                <w:sz w:val="20"/>
                <w:szCs w:val="20"/>
                <w:color w:val="auto"/>
              </w:rPr>
            </w:pPr>
            <w:r>
              <w:rPr>
                <w:rFonts w:ascii="Arial" w:cs="Arial" w:eastAsia="Arial" w:hAnsi="Arial"/>
                <w:sz w:val="18"/>
                <w:szCs w:val="18"/>
                <w:b w:val="1"/>
                <w:bCs w:val="1"/>
                <w:color w:val="auto"/>
              </w:rPr>
              <w:t>"feasibility study"</w:t>
            </w:r>
          </w:p>
        </w:tc>
        <w:tc>
          <w:tcPr>
            <w:tcW w:w="8920" w:type="dxa"/>
            <w:vAlign w:val="bottom"/>
          </w:tcPr>
          <w:p>
            <w:pPr>
              <w:ind w:left="620"/>
              <w:spacing w:after="0"/>
              <w:rPr>
                <w:sz w:val="20"/>
                <w:szCs w:val="20"/>
                <w:color w:val="auto"/>
              </w:rPr>
            </w:pPr>
            <w:r>
              <w:rPr>
                <w:rFonts w:ascii="Arial" w:cs="Arial" w:eastAsia="Arial" w:hAnsi="Arial"/>
                <w:sz w:val="18"/>
                <w:szCs w:val="18"/>
                <w:color w:val="auto"/>
                <w:w w:val="90"/>
              </w:rPr>
              <w:t>A comprehensive study of a mineral deposit in which all geological, engineering, legal, operating, economic, social,</w:t>
            </w:r>
          </w:p>
        </w:tc>
      </w:tr>
      <w:tr>
        <w:trPr>
          <w:trHeight w:val="216"/>
        </w:trPr>
        <w:tc>
          <w:tcPr>
            <w:tcW w:w="2500" w:type="dxa"/>
            <w:vAlign w:val="bottom"/>
          </w:tcPr>
          <w:p>
            <w:pPr>
              <w:spacing w:after="0"/>
              <w:rPr>
                <w:sz w:val="18"/>
                <w:szCs w:val="18"/>
                <w:color w:val="auto"/>
              </w:rPr>
            </w:pPr>
          </w:p>
        </w:tc>
        <w:tc>
          <w:tcPr>
            <w:tcW w:w="8920" w:type="dxa"/>
            <w:vAlign w:val="bottom"/>
          </w:tcPr>
          <w:p>
            <w:pPr>
              <w:ind w:left="620"/>
              <w:spacing w:after="0"/>
              <w:rPr>
                <w:sz w:val="20"/>
                <w:szCs w:val="20"/>
                <w:color w:val="auto"/>
              </w:rPr>
            </w:pPr>
            <w:r>
              <w:rPr>
                <w:rFonts w:ascii="Arial" w:cs="Arial" w:eastAsia="Arial" w:hAnsi="Arial"/>
                <w:sz w:val="18"/>
                <w:szCs w:val="18"/>
                <w:color w:val="auto"/>
                <w:w w:val="89"/>
              </w:rPr>
              <w:t>environmental and other relevant factors are considered in sufficient detail that it could reasonably serve as the basis</w:t>
            </w:r>
          </w:p>
        </w:tc>
      </w:tr>
      <w:tr>
        <w:trPr>
          <w:trHeight w:val="216"/>
        </w:trPr>
        <w:tc>
          <w:tcPr>
            <w:tcW w:w="2500" w:type="dxa"/>
            <w:vAlign w:val="bottom"/>
          </w:tcPr>
          <w:p>
            <w:pPr>
              <w:spacing w:after="0"/>
              <w:rPr>
                <w:sz w:val="18"/>
                <w:szCs w:val="18"/>
                <w:color w:val="auto"/>
              </w:rPr>
            </w:pPr>
          </w:p>
        </w:tc>
        <w:tc>
          <w:tcPr>
            <w:tcW w:w="8920" w:type="dxa"/>
            <w:vAlign w:val="bottom"/>
          </w:tcPr>
          <w:p>
            <w:pPr>
              <w:ind w:left="620"/>
              <w:spacing w:after="0"/>
              <w:rPr>
                <w:sz w:val="20"/>
                <w:szCs w:val="20"/>
                <w:color w:val="auto"/>
              </w:rPr>
            </w:pPr>
            <w:r>
              <w:rPr>
                <w:rFonts w:ascii="Arial" w:cs="Arial" w:eastAsia="Arial" w:hAnsi="Arial"/>
                <w:sz w:val="18"/>
                <w:szCs w:val="18"/>
                <w:color w:val="auto"/>
                <w:w w:val="94"/>
              </w:rPr>
              <w:t>for a final decision by a financial institution about whether to finance the development of the deposit for mineral</w:t>
            </w:r>
          </w:p>
        </w:tc>
      </w:tr>
      <w:tr>
        <w:trPr>
          <w:trHeight w:val="222"/>
        </w:trPr>
        <w:tc>
          <w:tcPr>
            <w:tcW w:w="2500" w:type="dxa"/>
            <w:vAlign w:val="bottom"/>
          </w:tcPr>
          <w:p>
            <w:pPr>
              <w:spacing w:after="0"/>
              <w:rPr>
                <w:sz w:val="19"/>
                <w:szCs w:val="19"/>
                <w:color w:val="auto"/>
              </w:rPr>
            </w:pPr>
          </w:p>
        </w:tc>
        <w:tc>
          <w:tcPr>
            <w:tcW w:w="8920" w:type="dxa"/>
            <w:vAlign w:val="bottom"/>
          </w:tcPr>
          <w:p>
            <w:pPr>
              <w:ind w:left="620"/>
              <w:spacing w:after="0"/>
              <w:rPr>
                <w:sz w:val="20"/>
                <w:szCs w:val="20"/>
                <w:color w:val="auto"/>
              </w:rPr>
            </w:pPr>
            <w:r>
              <w:rPr>
                <w:rFonts w:ascii="Arial" w:cs="Arial" w:eastAsia="Arial" w:hAnsi="Arial"/>
                <w:sz w:val="18"/>
                <w:szCs w:val="18"/>
                <w:color w:val="auto"/>
              </w:rPr>
              <w:t>production.</w:t>
            </w:r>
          </w:p>
        </w:tc>
      </w:tr>
      <w:tr>
        <w:trPr>
          <w:trHeight w:val="453"/>
        </w:trPr>
        <w:tc>
          <w:tcPr>
            <w:tcW w:w="2500" w:type="dxa"/>
            <w:vAlign w:val="bottom"/>
          </w:tcPr>
          <w:p>
            <w:pPr>
              <w:spacing w:after="0"/>
              <w:rPr>
                <w:sz w:val="24"/>
                <w:szCs w:val="24"/>
                <w:color w:val="auto"/>
              </w:rPr>
            </w:pPr>
          </w:p>
        </w:tc>
        <w:tc>
          <w:tcPr>
            <w:tcW w:w="8920" w:type="dxa"/>
            <w:vAlign w:val="bottom"/>
          </w:tcPr>
          <w:p>
            <w:pPr>
              <w:ind w:left="620"/>
              <w:spacing w:after="0"/>
              <w:rPr>
                <w:sz w:val="20"/>
                <w:szCs w:val="20"/>
                <w:color w:val="auto"/>
              </w:rPr>
            </w:pPr>
            <w:r>
              <w:rPr>
                <w:rFonts w:ascii="Arial" w:cs="Arial" w:eastAsia="Arial" w:hAnsi="Arial"/>
                <w:sz w:val="18"/>
                <w:szCs w:val="18"/>
                <w:color w:val="auto"/>
                <w:w w:val="92"/>
              </w:rPr>
              <w:t>A "</w:t>
            </w:r>
            <w:r>
              <w:rPr>
                <w:rFonts w:ascii="Arial" w:cs="Arial" w:eastAsia="Arial" w:hAnsi="Arial"/>
                <w:sz w:val="18"/>
                <w:szCs w:val="18"/>
                <w:b w:val="1"/>
                <w:bCs w:val="1"/>
                <w:color w:val="auto"/>
                <w:w w:val="92"/>
              </w:rPr>
              <w:t>preliminary feasibility study</w:t>
            </w:r>
            <w:r>
              <w:rPr>
                <w:rFonts w:ascii="Arial" w:cs="Arial" w:eastAsia="Arial" w:hAnsi="Arial"/>
                <w:sz w:val="18"/>
                <w:szCs w:val="18"/>
                <w:color w:val="auto"/>
                <w:w w:val="92"/>
              </w:rPr>
              <w:t>" or "</w:t>
            </w:r>
            <w:r>
              <w:rPr>
                <w:rFonts w:ascii="Arial" w:cs="Arial" w:eastAsia="Arial" w:hAnsi="Arial"/>
                <w:sz w:val="18"/>
                <w:szCs w:val="18"/>
                <w:b w:val="1"/>
                <w:bCs w:val="1"/>
                <w:color w:val="auto"/>
                <w:w w:val="92"/>
              </w:rPr>
              <w:t>pre-feasibility study</w:t>
            </w:r>
            <w:r>
              <w:rPr>
                <w:rFonts w:ascii="Arial" w:cs="Arial" w:eastAsia="Arial" w:hAnsi="Arial"/>
                <w:sz w:val="18"/>
                <w:szCs w:val="18"/>
                <w:color w:val="auto"/>
                <w:w w:val="92"/>
              </w:rPr>
              <w:t>" is a comprehensive study of the viability of a mineral</w:t>
            </w:r>
          </w:p>
        </w:tc>
      </w:tr>
      <w:tr>
        <w:trPr>
          <w:trHeight w:val="216"/>
        </w:trPr>
        <w:tc>
          <w:tcPr>
            <w:tcW w:w="2500" w:type="dxa"/>
            <w:vAlign w:val="bottom"/>
          </w:tcPr>
          <w:p>
            <w:pPr>
              <w:spacing w:after="0"/>
              <w:rPr>
                <w:sz w:val="18"/>
                <w:szCs w:val="18"/>
                <w:color w:val="auto"/>
              </w:rPr>
            </w:pPr>
          </w:p>
        </w:tc>
        <w:tc>
          <w:tcPr>
            <w:tcW w:w="8920" w:type="dxa"/>
            <w:vAlign w:val="bottom"/>
          </w:tcPr>
          <w:p>
            <w:pPr>
              <w:ind w:left="620"/>
              <w:spacing w:after="0"/>
              <w:rPr>
                <w:sz w:val="20"/>
                <w:szCs w:val="20"/>
                <w:color w:val="auto"/>
              </w:rPr>
            </w:pPr>
            <w:r>
              <w:rPr>
                <w:rFonts w:ascii="Arial" w:cs="Arial" w:eastAsia="Arial" w:hAnsi="Arial"/>
                <w:sz w:val="18"/>
                <w:szCs w:val="18"/>
                <w:color w:val="auto"/>
                <w:w w:val="96"/>
              </w:rPr>
              <w:t>project that has advanced to a stage where the mining method (in the case of underground mining) or the pit</w:t>
            </w:r>
          </w:p>
        </w:tc>
      </w:tr>
      <w:tr>
        <w:trPr>
          <w:trHeight w:val="216"/>
        </w:trPr>
        <w:tc>
          <w:tcPr>
            <w:tcW w:w="2500" w:type="dxa"/>
            <w:vAlign w:val="bottom"/>
          </w:tcPr>
          <w:p>
            <w:pPr>
              <w:spacing w:after="0"/>
              <w:rPr>
                <w:sz w:val="18"/>
                <w:szCs w:val="18"/>
                <w:color w:val="auto"/>
              </w:rPr>
            </w:pPr>
          </w:p>
        </w:tc>
        <w:tc>
          <w:tcPr>
            <w:tcW w:w="8920" w:type="dxa"/>
            <w:vAlign w:val="bottom"/>
          </w:tcPr>
          <w:p>
            <w:pPr>
              <w:ind w:left="620"/>
              <w:spacing w:after="0"/>
              <w:rPr>
                <w:sz w:val="20"/>
                <w:szCs w:val="20"/>
                <w:color w:val="auto"/>
              </w:rPr>
            </w:pPr>
            <w:r>
              <w:rPr>
                <w:rFonts w:ascii="Arial" w:cs="Arial" w:eastAsia="Arial" w:hAnsi="Arial"/>
                <w:sz w:val="18"/>
                <w:szCs w:val="18"/>
                <w:color w:val="auto"/>
                <w:w w:val="91"/>
              </w:rPr>
              <w:t>configuration (in the case of an open pit) has been established, and an effective method of mineral processing has</w:t>
            </w:r>
          </w:p>
        </w:tc>
      </w:tr>
      <w:tr>
        <w:trPr>
          <w:trHeight w:val="216"/>
        </w:trPr>
        <w:tc>
          <w:tcPr>
            <w:tcW w:w="2500" w:type="dxa"/>
            <w:vAlign w:val="bottom"/>
          </w:tcPr>
          <w:p>
            <w:pPr>
              <w:spacing w:after="0"/>
              <w:rPr>
                <w:sz w:val="18"/>
                <w:szCs w:val="18"/>
                <w:color w:val="auto"/>
              </w:rPr>
            </w:pPr>
          </w:p>
        </w:tc>
        <w:tc>
          <w:tcPr>
            <w:tcW w:w="8920" w:type="dxa"/>
            <w:vAlign w:val="bottom"/>
          </w:tcPr>
          <w:p>
            <w:pPr>
              <w:ind w:left="620"/>
              <w:spacing w:after="0"/>
              <w:rPr>
                <w:sz w:val="20"/>
                <w:szCs w:val="20"/>
                <w:color w:val="auto"/>
              </w:rPr>
            </w:pPr>
            <w:r>
              <w:rPr>
                <w:rFonts w:ascii="Arial" w:cs="Arial" w:eastAsia="Arial" w:hAnsi="Arial"/>
                <w:sz w:val="18"/>
                <w:szCs w:val="18"/>
                <w:color w:val="auto"/>
                <w:w w:val="90"/>
              </w:rPr>
              <w:t>been determined. It includes a financial analysis based on reasonable assumptions of technical, engineering, legal,</w:t>
            </w:r>
          </w:p>
        </w:tc>
      </w:tr>
      <w:tr>
        <w:trPr>
          <w:trHeight w:val="216"/>
        </w:trPr>
        <w:tc>
          <w:tcPr>
            <w:tcW w:w="2500" w:type="dxa"/>
            <w:vAlign w:val="bottom"/>
          </w:tcPr>
          <w:p>
            <w:pPr>
              <w:spacing w:after="0"/>
              <w:rPr>
                <w:sz w:val="18"/>
                <w:szCs w:val="18"/>
                <w:color w:val="auto"/>
              </w:rPr>
            </w:pPr>
          </w:p>
        </w:tc>
        <w:tc>
          <w:tcPr>
            <w:tcW w:w="8920" w:type="dxa"/>
            <w:vAlign w:val="bottom"/>
          </w:tcPr>
          <w:p>
            <w:pPr>
              <w:ind w:left="620"/>
              <w:spacing w:after="0"/>
              <w:rPr>
                <w:sz w:val="20"/>
                <w:szCs w:val="20"/>
                <w:color w:val="auto"/>
              </w:rPr>
            </w:pPr>
            <w:r>
              <w:rPr>
                <w:rFonts w:ascii="Arial" w:cs="Arial" w:eastAsia="Arial" w:hAnsi="Arial"/>
                <w:sz w:val="18"/>
                <w:szCs w:val="18"/>
                <w:color w:val="auto"/>
                <w:w w:val="90"/>
              </w:rPr>
              <w:t>operating, economic, social and environmental factors and the evaluation of other relevant factors that are sufficient</w:t>
            </w:r>
          </w:p>
        </w:tc>
      </w:tr>
      <w:tr>
        <w:trPr>
          <w:trHeight w:val="216"/>
        </w:trPr>
        <w:tc>
          <w:tcPr>
            <w:tcW w:w="2500" w:type="dxa"/>
            <w:vAlign w:val="bottom"/>
          </w:tcPr>
          <w:p>
            <w:pPr>
              <w:spacing w:after="0"/>
              <w:rPr>
                <w:sz w:val="18"/>
                <w:szCs w:val="18"/>
                <w:color w:val="auto"/>
              </w:rPr>
            </w:pPr>
          </w:p>
        </w:tc>
        <w:tc>
          <w:tcPr>
            <w:tcW w:w="8920" w:type="dxa"/>
            <w:vAlign w:val="bottom"/>
          </w:tcPr>
          <w:p>
            <w:pPr>
              <w:ind w:left="620"/>
              <w:spacing w:after="0"/>
              <w:rPr>
                <w:sz w:val="20"/>
                <w:szCs w:val="20"/>
                <w:color w:val="auto"/>
              </w:rPr>
            </w:pPr>
            <w:r>
              <w:rPr>
                <w:rFonts w:ascii="Arial" w:cs="Arial" w:eastAsia="Arial" w:hAnsi="Arial"/>
                <w:sz w:val="18"/>
                <w:szCs w:val="18"/>
                <w:color w:val="auto"/>
                <w:w w:val="92"/>
              </w:rPr>
              <w:t>for a qualified person, acting reasonably, to determine if all or part of the mineral resource may be classified as a</w:t>
            </w:r>
          </w:p>
        </w:tc>
      </w:tr>
      <w:tr>
        <w:trPr>
          <w:trHeight w:val="222"/>
        </w:trPr>
        <w:tc>
          <w:tcPr>
            <w:tcW w:w="2500" w:type="dxa"/>
            <w:vAlign w:val="bottom"/>
          </w:tcPr>
          <w:p>
            <w:pPr>
              <w:spacing w:after="0"/>
              <w:rPr>
                <w:sz w:val="19"/>
                <w:szCs w:val="19"/>
                <w:color w:val="auto"/>
              </w:rPr>
            </w:pPr>
          </w:p>
        </w:tc>
        <w:tc>
          <w:tcPr>
            <w:tcW w:w="8920" w:type="dxa"/>
            <w:vAlign w:val="bottom"/>
          </w:tcPr>
          <w:p>
            <w:pPr>
              <w:ind w:left="620"/>
              <w:spacing w:after="0"/>
              <w:rPr>
                <w:sz w:val="20"/>
                <w:szCs w:val="20"/>
                <w:color w:val="auto"/>
              </w:rPr>
            </w:pPr>
            <w:r>
              <w:rPr>
                <w:rFonts w:ascii="Arial" w:cs="Arial" w:eastAsia="Arial" w:hAnsi="Arial"/>
                <w:sz w:val="18"/>
                <w:szCs w:val="18"/>
                <w:color w:val="auto"/>
              </w:rPr>
              <w:t>mineral reserve.</w:t>
            </w:r>
          </w:p>
        </w:tc>
      </w:tr>
      <w:tr>
        <w:trPr>
          <w:trHeight w:val="459"/>
        </w:trPr>
        <w:tc>
          <w:tcPr>
            <w:tcW w:w="2500" w:type="dxa"/>
            <w:vAlign w:val="bottom"/>
          </w:tcPr>
          <w:p>
            <w:pPr>
              <w:spacing w:after="0"/>
              <w:rPr>
                <w:sz w:val="20"/>
                <w:szCs w:val="20"/>
                <w:color w:val="auto"/>
              </w:rPr>
            </w:pPr>
            <w:r>
              <w:rPr>
                <w:rFonts w:ascii="Arial" w:cs="Arial" w:eastAsia="Arial" w:hAnsi="Arial"/>
                <w:sz w:val="18"/>
                <w:szCs w:val="18"/>
                <w:b w:val="1"/>
                <w:bCs w:val="1"/>
                <w:color w:val="auto"/>
              </w:rPr>
              <w:t>"float"</w:t>
            </w:r>
          </w:p>
        </w:tc>
        <w:tc>
          <w:tcPr>
            <w:tcW w:w="8920" w:type="dxa"/>
            <w:vAlign w:val="bottom"/>
          </w:tcPr>
          <w:p>
            <w:pPr>
              <w:ind w:left="620"/>
              <w:spacing w:after="0"/>
              <w:rPr>
                <w:sz w:val="20"/>
                <w:szCs w:val="20"/>
                <w:color w:val="auto"/>
              </w:rPr>
            </w:pPr>
            <w:r>
              <w:rPr>
                <w:rFonts w:ascii="Arial" w:cs="Arial" w:eastAsia="Arial" w:hAnsi="Arial"/>
                <w:sz w:val="18"/>
                <w:szCs w:val="18"/>
                <w:color w:val="auto"/>
                <w:w w:val="95"/>
              </w:rPr>
              <w:t>A general term for loose fragments of ore or rock, especially on a hillside below an outcropping ledge or vein.</w:t>
            </w:r>
          </w:p>
        </w:tc>
      </w:tr>
      <w:tr>
        <w:trPr>
          <w:trHeight w:val="453"/>
        </w:trPr>
        <w:tc>
          <w:tcPr>
            <w:tcW w:w="2500" w:type="dxa"/>
            <w:vAlign w:val="bottom"/>
          </w:tcPr>
          <w:p>
            <w:pPr>
              <w:spacing w:after="0"/>
              <w:rPr>
                <w:sz w:val="20"/>
                <w:szCs w:val="20"/>
                <w:color w:val="auto"/>
              </w:rPr>
            </w:pPr>
            <w:r>
              <w:rPr>
                <w:rFonts w:ascii="Arial" w:cs="Arial" w:eastAsia="Arial" w:hAnsi="Arial"/>
                <w:sz w:val="18"/>
                <w:szCs w:val="18"/>
                <w:b w:val="1"/>
                <w:bCs w:val="1"/>
                <w:color w:val="auto"/>
              </w:rPr>
              <w:t>"flotation"</w:t>
            </w:r>
          </w:p>
        </w:tc>
        <w:tc>
          <w:tcPr>
            <w:tcW w:w="8920" w:type="dxa"/>
            <w:vAlign w:val="bottom"/>
          </w:tcPr>
          <w:p>
            <w:pPr>
              <w:ind w:left="620"/>
              <w:spacing w:after="0"/>
              <w:rPr>
                <w:sz w:val="20"/>
                <w:szCs w:val="20"/>
                <w:color w:val="auto"/>
              </w:rPr>
            </w:pPr>
            <w:r>
              <w:rPr>
                <w:rFonts w:ascii="Arial" w:cs="Arial" w:eastAsia="Arial" w:hAnsi="Arial"/>
                <w:sz w:val="18"/>
                <w:szCs w:val="18"/>
                <w:color w:val="auto"/>
                <w:w w:val="88"/>
              </w:rPr>
              <w:t>A process for concentrating minerals based on the selective adhesion of certain minerals to air bubbles in a mixture of</w:t>
            </w:r>
          </w:p>
        </w:tc>
      </w:tr>
      <w:tr>
        <w:trPr>
          <w:trHeight w:val="216"/>
        </w:trPr>
        <w:tc>
          <w:tcPr>
            <w:tcW w:w="2500" w:type="dxa"/>
            <w:vAlign w:val="bottom"/>
          </w:tcPr>
          <w:p>
            <w:pPr>
              <w:spacing w:after="0"/>
              <w:rPr>
                <w:sz w:val="18"/>
                <w:szCs w:val="18"/>
                <w:color w:val="auto"/>
              </w:rPr>
            </w:pPr>
          </w:p>
        </w:tc>
        <w:tc>
          <w:tcPr>
            <w:tcW w:w="8920" w:type="dxa"/>
            <w:vAlign w:val="bottom"/>
          </w:tcPr>
          <w:p>
            <w:pPr>
              <w:ind w:left="620"/>
              <w:spacing w:after="0"/>
              <w:rPr>
                <w:sz w:val="20"/>
                <w:szCs w:val="20"/>
                <w:color w:val="auto"/>
              </w:rPr>
            </w:pPr>
            <w:r>
              <w:rPr>
                <w:rFonts w:ascii="Arial" w:cs="Arial" w:eastAsia="Arial" w:hAnsi="Arial"/>
                <w:sz w:val="18"/>
                <w:szCs w:val="18"/>
                <w:color w:val="auto"/>
                <w:w w:val="90"/>
              </w:rPr>
              <w:t>water and ground ore. When the right chemicals are added to a frothy water bath of ore that has been ground to the</w:t>
            </w:r>
          </w:p>
        </w:tc>
      </w:tr>
      <w:tr>
        <w:trPr>
          <w:trHeight w:val="216"/>
        </w:trPr>
        <w:tc>
          <w:tcPr>
            <w:tcW w:w="2500" w:type="dxa"/>
            <w:vAlign w:val="bottom"/>
          </w:tcPr>
          <w:p>
            <w:pPr>
              <w:spacing w:after="0"/>
              <w:rPr>
                <w:sz w:val="18"/>
                <w:szCs w:val="18"/>
                <w:color w:val="auto"/>
              </w:rPr>
            </w:pPr>
          </w:p>
        </w:tc>
        <w:tc>
          <w:tcPr>
            <w:tcW w:w="8920" w:type="dxa"/>
            <w:vAlign w:val="bottom"/>
          </w:tcPr>
          <w:p>
            <w:pPr>
              <w:ind w:left="620"/>
              <w:spacing w:after="0"/>
              <w:rPr>
                <w:sz w:val="20"/>
                <w:szCs w:val="20"/>
                <w:color w:val="auto"/>
              </w:rPr>
            </w:pPr>
            <w:r>
              <w:rPr>
                <w:rFonts w:ascii="Arial" w:cs="Arial" w:eastAsia="Arial" w:hAnsi="Arial"/>
                <w:sz w:val="18"/>
                <w:szCs w:val="18"/>
                <w:color w:val="auto"/>
                <w:w w:val="94"/>
              </w:rPr>
              <w:t>consistency of talcum powder, the minerals will float to the surface. The metal-rich flotation concentrate is then</w:t>
            </w:r>
          </w:p>
        </w:tc>
      </w:tr>
      <w:tr>
        <w:trPr>
          <w:trHeight w:val="222"/>
        </w:trPr>
        <w:tc>
          <w:tcPr>
            <w:tcW w:w="2500" w:type="dxa"/>
            <w:vAlign w:val="bottom"/>
          </w:tcPr>
          <w:p>
            <w:pPr>
              <w:spacing w:after="0"/>
              <w:rPr>
                <w:sz w:val="19"/>
                <w:szCs w:val="19"/>
                <w:color w:val="auto"/>
              </w:rPr>
            </w:pPr>
          </w:p>
        </w:tc>
        <w:tc>
          <w:tcPr>
            <w:tcW w:w="8920" w:type="dxa"/>
            <w:vAlign w:val="bottom"/>
          </w:tcPr>
          <w:p>
            <w:pPr>
              <w:ind w:left="620"/>
              <w:spacing w:after="0"/>
              <w:rPr>
                <w:sz w:val="20"/>
                <w:szCs w:val="20"/>
                <w:color w:val="auto"/>
              </w:rPr>
            </w:pPr>
            <w:r>
              <w:rPr>
                <w:rFonts w:ascii="Arial" w:cs="Arial" w:eastAsia="Arial" w:hAnsi="Arial"/>
                <w:sz w:val="18"/>
                <w:szCs w:val="18"/>
                <w:color w:val="auto"/>
              </w:rPr>
              <w:t>skimmed off the surface</w:t>
            </w:r>
          </w:p>
        </w:tc>
      </w:tr>
      <w:tr>
        <w:trPr>
          <w:trHeight w:val="453"/>
        </w:trPr>
        <w:tc>
          <w:tcPr>
            <w:tcW w:w="2500" w:type="dxa"/>
            <w:vAlign w:val="bottom"/>
          </w:tcPr>
          <w:p>
            <w:pPr>
              <w:spacing w:after="0"/>
              <w:rPr>
                <w:sz w:val="20"/>
                <w:szCs w:val="20"/>
                <w:color w:val="auto"/>
              </w:rPr>
            </w:pPr>
            <w:r>
              <w:rPr>
                <w:rFonts w:ascii="Arial" w:cs="Arial" w:eastAsia="Arial" w:hAnsi="Arial"/>
                <w:sz w:val="18"/>
                <w:szCs w:val="18"/>
                <w:b w:val="1"/>
                <w:bCs w:val="1"/>
                <w:color w:val="auto"/>
              </w:rPr>
              <w:t>"foliation"</w:t>
            </w:r>
          </w:p>
        </w:tc>
        <w:tc>
          <w:tcPr>
            <w:tcW w:w="8920" w:type="dxa"/>
            <w:vAlign w:val="bottom"/>
          </w:tcPr>
          <w:p>
            <w:pPr>
              <w:ind w:left="620"/>
              <w:spacing w:after="0"/>
              <w:rPr>
                <w:sz w:val="20"/>
                <w:szCs w:val="20"/>
                <w:color w:val="auto"/>
              </w:rPr>
            </w:pPr>
            <w:r>
              <w:rPr>
                <w:rFonts w:ascii="Arial" w:cs="Arial" w:eastAsia="Arial" w:hAnsi="Arial"/>
                <w:sz w:val="18"/>
                <w:szCs w:val="18"/>
                <w:color w:val="auto"/>
                <w:w w:val="91"/>
              </w:rPr>
              <w:t>A general term for a planar arrangement of textural or structural features in any type of rock, especially the planar</w:t>
            </w:r>
          </w:p>
        </w:tc>
      </w:tr>
      <w:tr>
        <w:trPr>
          <w:trHeight w:val="222"/>
        </w:trPr>
        <w:tc>
          <w:tcPr>
            <w:tcW w:w="2500" w:type="dxa"/>
            <w:vAlign w:val="bottom"/>
          </w:tcPr>
          <w:p>
            <w:pPr>
              <w:spacing w:after="0"/>
              <w:rPr>
                <w:sz w:val="19"/>
                <w:szCs w:val="19"/>
                <w:color w:val="auto"/>
              </w:rPr>
            </w:pPr>
          </w:p>
        </w:tc>
        <w:tc>
          <w:tcPr>
            <w:tcW w:w="8920" w:type="dxa"/>
            <w:vAlign w:val="bottom"/>
          </w:tcPr>
          <w:p>
            <w:pPr>
              <w:ind w:left="620"/>
              <w:spacing w:after="0"/>
              <w:rPr>
                <w:sz w:val="20"/>
                <w:szCs w:val="20"/>
                <w:color w:val="auto"/>
              </w:rPr>
            </w:pPr>
            <w:r>
              <w:rPr>
                <w:rFonts w:ascii="Arial" w:cs="Arial" w:eastAsia="Arial" w:hAnsi="Arial"/>
                <w:sz w:val="18"/>
                <w:szCs w:val="18"/>
                <w:color w:val="auto"/>
              </w:rPr>
              <w:t>structure that results from flattening of the constituent grains of a metamorphic rock.</w:t>
            </w:r>
          </w:p>
        </w:tc>
      </w:tr>
      <w:tr>
        <w:trPr>
          <w:trHeight w:val="453"/>
        </w:trPr>
        <w:tc>
          <w:tcPr>
            <w:tcW w:w="2500" w:type="dxa"/>
            <w:vAlign w:val="bottom"/>
          </w:tcPr>
          <w:p>
            <w:pPr>
              <w:spacing w:after="0"/>
              <w:rPr>
                <w:sz w:val="20"/>
                <w:szCs w:val="20"/>
                <w:color w:val="auto"/>
              </w:rPr>
            </w:pPr>
            <w:r>
              <w:rPr>
                <w:rFonts w:ascii="Arial" w:cs="Arial" w:eastAsia="Arial" w:hAnsi="Arial"/>
                <w:sz w:val="18"/>
                <w:szCs w:val="18"/>
                <w:b w:val="1"/>
                <w:bCs w:val="1"/>
                <w:color w:val="auto"/>
              </w:rPr>
              <w:t>"fracture"</w:t>
            </w:r>
          </w:p>
        </w:tc>
        <w:tc>
          <w:tcPr>
            <w:tcW w:w="8920" w:type="dxa"/>
            <w:vAlign w:val="bottom"/>
          </w:tcPr>
          <w:p>
            <w:pPr>
              <w:ind w:left="620"/>
              <w:spacing w:after="0"/>
              <w:rPr>
                <w:sz w:val="20"/>
                <w:szCs w:val="20"/>
                <w:color w:val="auto"/>
              </w:rPr>
            </w:pPr>
            <w:r>
              <w:rPr>
                <w:rFonts w:ascii="Arial" w:cs="Arial" w:eastAsia="Arial" w:hAnsi="Arial"/>
                <w:sz w:val="18"/>
                <w:szCs w:val="18"/>
                <w:color w:val="auto"/>
                <w:w w:val="91"/>
              </w:rPr>
              <w:t>A general term for any break in a rock, whether or not it causes displacement, due to mechanical failure by stress.</w:t>
            </w:r>
          </w:p>
        </w:tc>
      </w:tr>
      <w:tr>
        <w:trPr>
          <w:trHeight w:val="222"/>
        </w:trPr>
        <w:tc>
          <w:tcPr>
            <w:tcW w:w="2500" w:type="dxa"/>
            <w:vAlign w:val="bottom"/>
          </w:tcPr>
          <w:p>
            <w:pPr>
              <w:spacing w:after="0"/>
              <w:rPr>
                <w:sz w:val="19"/>
                <w:szCs w:val="19"/>
                <w:color w:val="auto"/>
              </w:rPr>
            </w:pPr>
          </w:p>
        </w:tc>
        <w:tc>
          <w:tcPr>
            <w:tcW w:w="8920" w:type="dxa"/>
            <w:vAlign w:val="bottom"/>
          </w:tcPr>
          <w:p>
            <w:pPr>
              <w:ind w:left="620"/>
              <w:spacing w:after="0"/>
              <w:rPr>
                <w:sz w:val="20"/>
                <w:szCs w:val="20"/>
                <w:color w:val="auto"/>
              </w:rPr>
            </w:pPr>
            <w:r>
              <w:rPr>
                <w:rFonts w:ascii="Arial" w:cs="Arial" w:eastAsia="Arial" w:hAnsi="Arial"/>
                <w:sz w:val="18"/>
                <w:szCs w:val="18"/>
                <w:color w:val="auto"/>
              </w:rPr>
              <w:t>Fractures include cracks, joints and faults.</w:t>
            </w:r>
          </w:p>
        </w:tc>
      </w:tr>
      <w:tr>
        <w:trPr>
          <w:trHeight w:val="459"/>
        </w:trPr>
        <w:tc>
          <w:tcPr>
            <w:tcW w:w="2500" w:type="dxa"/>
            <w:vAlign w:val="bottom"/>
          </w:tcPr>
          <w:p>
            <w:pPr>
              <w:spacing w:after="0"/>
              <w:rPr>
                <w:sz w:val="20"/>
                <w:szCs w:val="20"/>
                <w:color w:val="auto"/>
              </w:rPr>
            </w:pPr>
            <w:r>
              <w:rPr>
                <w:rFonts w:ascii="Arial" w:cs="Arial" w:eastAsia="Arial" w:hAnsi="Arial"/>
                <w:sz w:val="18"/>
                <w:szCs w:val="18"/>
                <w:b w:val="1"/>
                <w:bCs w:val="1"/>
                <w:color w:val="auto"/>
              </w:rPr>
              <w:t>"free gold"</w:t>
            </w:r>
          </w:p>
        </w:tc>
        <w:tc>
          <w:tcPr>
            <w:tcW w:w="8920" w:type="dxa"/>
            <w:vAlign w:val="bottom"/>
          </w:tcPr>
          <w:p>
            <w:pPr>
              <w:ind w:left="620"/>
              <w:spacing w:after="0"/>
              <w:rPr>
                <w:sz w:val="20"/>
                <w:szCs w:val="20"/>
                <w:color w:val="auto"/>
              </w:rPr>
            </w:pPr>
            <w:r>
              <w:rPr>
                <w:rFonts w:ascii="Arial" w:cs="Arial" w:eastAsia="Arial" w:hAnsi="Arial"/>
                <w:sz w:val="18"/>
                <w:szCs w:val="18"/>
                <w:color w:val="auto"/>
              </w:rPr>
              <w:t>Gold not combined with other substances.</w:t>
            </w:r>
          </w:p>
        </w:tc>
      </w:tr>
      <w:tr>
        <w:trPr>
          <w:trHeight w:val="453"/>
        </w:trPr>
        <w:tc>
          <w:tcPr>
            <w:tcW w:w="2500" w:type="dxa"/>
            <w:vAlign w:val="bottom"/>
          </w:tcPr>
          <w:p>
            <w:pPr>
              <w:spacing w:after="0"/>
              <w:rPr>
                <w:sz w:val="20"/>
                <w:szCs w:val="20"/>
                <w:color w:val="auto"/>
              </w:rPr>
            </w:pPr>
            <w:r>
              <w:rPr>
                <w:rFonts w:ascii="Arial" w:cs="Arial" w:eastAsia="Arial" w:hAnsi="Arial"/>
                <w:sz w:val="18"/>
                <w:szCs w:val="18"/>
                <w:b w:val="1"/>
                <w:bCs w:val="1"/>
                <w:color w:val="auto"/>
              </w:rPr>
              <w:t>"glacial till"</w:t>
            </w:r>
          </w:p>
        </w:tc>
        <w:tc>
          <w:tcPr>
            <w:tcW w:w="8920" w:type="dxa"/>
            <w:vAlign w:val="bottom"/>
          </w:tcPr>
          <w:p>
            <w:pPr>
              <w:ind w:left="620"/>
              <w:spacing w:after="0"/>
              <w:rPr>
                <w:sz w:val="20"/>
                <w:szCs w:val="20"/>
                <w:color w:val="auto"/>
              </w:rPr>
            </w:pPr>
            <w:r>
              <w:rPr>
                <w:rFonts w:ascii="Arial" w:cs="Arial" w:eastAsia="Arial" w:hAnsi="Arial"/>
                <w:sz w:val="18"/>
                <w:szCs w:val="18"/>
                <w:color w:val="auto"/>
                <w:w w:val="90"/>
              </w:rPr>
              <w:t>Dominantly unsorted and unstratified drift, generally unconsolidated, deposited directly by and underneath a glacier</w:t>
            </w:r>
          </w:p>
        </w:tc>
      </w:tr>
      <w:tr>
        <w:trPr>
          <w:trHeight w:val="216"/>
        </w:trPr>
        <w:tc>
          <w:tcPr>
            <w:tcW w:w="2500" w:type="dxa"/>
            <w:vAlign w:val="bottom"/>
          </w:tcPr>
          <w:p>
            <w:pPr>
              <w:spacing w:after="0"/>
              <w:rPr>
                <w:sz w:val="18"/>
                <w:szCs w:val="18"/>
                <w:color w:val="auto"/>
              </w:rPr>
            </w:pPr>
          </w:p>
        </w:tc>
        <w:tc>
          <w:tcPr>
            <w:tcW w:w="8920" w:type="dxa"/>
            <w:vAlign w:val="bottom"/>
          </w:tcPr>
          <w:p>
            <w:pPr>
              <w:ind w:left="620"/>
              <w:spacing w:after="0"/>
              <w:rPr>
                <w:sz w:val="20"/>
                <w:szCs w:val="20"/>
                <w:color w:val="auto"/>
              </w:rPr>
            </w:pPr>
            <w:r>
              <w:rPr>
                <w:rFonts w:ascii="Arial" w:cs="Arial" w:eastAsia="Arial" w:hAnsi="Arial"/>
                <w:sz w:val="18"/>
                <w:szCs w:val="18"/>
                <w:color w:val="auto"/>
                <w:w w:val="89"/>
              </w:rPr>
              <w:t>without subsequent reworking by meltwater, and consisting of a heterogeneous mixture of clay, silt, sand, gravel and</w:t>
            </w:r>
          </w:p>
        </w:tc>
      </w:tr>
      <w:tr>
        <w:trPr>
          <w:trHeight w:val="222"/>
        </w:trPr>
        <w:tc>
          <w:tcPr>
            <w:tcW w:w="2500" w:type="dxa"/>
            <w:vAlign w:val="bottom"/>
          </w:tcPr>
          <w:p>
            <w:pPr>
              <w:spacing w:after="0"/>
              <w:rPr>
                <w:sz w:val="19"/>
                <w:szCs w:val="19"/>
                <w:color w:val="auto"/>
              </w:rPr>
            </w:pPr>
          </w:p>
        </w:tc>
        <w:tc>
          <w:tcPr>
            <w:tcW w:w="8920" w:type="dxa"/>
            <w:vAlign w:val="bottom"/>
          </w:tcPr>
          <w:p>
            <w:pPr>
              <w:ind w:left="620"/>
              <w:spacing w:after="0"/>
              <w:rPr>
                <w:sz w:val="20"/>
                <w:szCs w:val="20"/>
                <w:color w:val="auto"/>
              </w:rPr>
            </w:pPr>
            <w:r>
              <w:rPr>
                <w:rFonts w:ascii="Arial" w:cs="Arial" w:eastAsia="Arial" w:hAnsi="Arial"/>
                <w:sz w:val="18"/>
                <w:szCs w:val="18"/>
                <w:color w:val="auto"/>
              </w:rPr>
              <w:t>boulders ranging widely in size and shape. Also referred to as "till" and ice-laid drift.</w:t>
            </w:r>
          </w:p>
        </w:tc>
      </w:tr>
      <w:tr>
        <w:trPr>
          <w:trHeight w:val="432"/>
        </w:trPr>
        <w:tc>
          <w:tcPr>
            <w:tcW w:w="2500" w:type="dxa"/>
            <w:vAlign w:val="bottom"/>
          </w:tcPr>
          <w:p>
            <w:pPr>
              <w:spacing w:after="0"/>
              <w:rPr>
                <w:sz w:val="24"/>
                <w:szCs w:val="24"/>
                <w:color w:val="auto"/>
              </w:rPr>
            </w:pPr>
          </w:p>
        </w:tc>
        <w:tc>
          <w:tcPr>
            <w:tcW w:w="8920" w:type="dxa"/>
            <w:vAlign w:val="bottom"/>
          </w:tcPr>
          <w:p>
            <w:pPr>
              <w:ind w:left="3120"/>
              <w:spacing w:after="0"/>
              <w:rPr>
                <w:sz w:val="20"/>
                <w:szCs w:val="20"/>
                <w:color w:val="auto"/>
              </w:rPr>
            </w:pPr>
            <w:r>
              <w:rPr>
                <w:rFonts w:ascii="Arial" w:cs="Arial" w:eastAsia="Arial" w:hAnsi="Arial"/>
                <w:sz w:val="18"/>
                <w:szCs w:val="18"/>
                <w:color w:val="auto"/>
              </w:rPr>
              <w:t>68</w:t>
            </w:r>
          </w:p>
        </w:tc>
      </w:tr>
      <w:tr>
        <w:trPr>
          <w:trHeight w:val="228"/>
        </w:trPr>
        <w:tc>
          <w:tcPr>
            <w:tcW w:w="2500" w:type="dxa"/>
            <w:vAlign w:val="bottom"/>
            <w:tcBorders>
              <w:bottom w:val="single" w:sz="8" w:color="808080"/>
            </w:tcBorders>
          </w:tcPr>
          <w:p>
            <w:pPr>
              <w:spacing w:after="0"/>
              <w:rPr>
                <w:sz w:val="19"/>
                <w:szCs w:val="19"/>
                <w:color w:val="auto"/>
              </w:rPr>
            </w:pPr>
          </w:p>
        </w:tc>
        <w:tc>
          <w:tcPr>
            <w:tcW w:w="892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25" w:right="239" w:bottom="1440" w:gutter="0" w:footer="0" w:header="0"/>
        </w:sectPr>
      </w:pPr>
    </w:p>
    <w:bookmarkStart w:id="111" w:name="page112"/>
    <w:bookmarkEnd w:id="111"/>
    <w:tbl>
      <w:tblPr>
        <w:tblLayout w:type="fixed"/>
        <w:tblInd w:w="0" w:type="dxa"/>
        <w:tblCellMar>
          <w:top w:w="0" w:type="dxa"/>
          <w:left w:w="0" w:type="dxa"/>
          <w:bottom w:w="0" w:type="dxa"/>
          <w:right w:w="0" w:type="dxa"/>
        </w:tblCellMar>
      </w:tblPr>
      <w:tr>
        <w:trPr>
          <w:trHeight w:val="228"/>
        </w:trPr>
        <w:tc>
          <w:tcPr>
            <w:tcW w:w="2660" w:type="dxa"/>
            <w:vAlign w:val="bottom"/>
          </w:tcPr>
          <w:p>
            <w:pPr>
              <w:spacing w:after="0"/>
              <w:rPr>
                <w:sz w:val="20"/>
                <w:szCs w:val="20"/>
                <w:color w:val="auto"/>
              </w:rPr>
            </w:pPr>
            <w:r>
              <w:rPr>
                <w:rFonts w:ascii="Arial" w:cs="Arial" w:eastAsia="Arial" w:hAnsi="Arial"/>
                <w:sz w:val="18"/>
                <w:szCs w:val="18"/>
                <w:b w:val="1"/>
                <w:bCs w:val="1"/>
                <w:color w:val="auto"/>
              </w:rPr>
              <w:t>"grade"</w:t>
            </w:r>
          </w:p>
        </w:tc>
        <w:tc>
          <w:tcPr>
            <w:tcW w:w="8760" w:type="dxa"/>
            <w:vAlign w:val="bottom"/>
          </w:tcPr>
          <w:p>
            <w:pPr>
              <w:ind w:left="460"/>
              <w:spacing w:after="0"/>
              <w:rPr>
                <w:sz w:val="20"/>
                <w:szCs w:val="20"/>
                <w:color w:val="auto"/>
              </w:rPr>
            </w:pPr>
            <w:r>
              <w:rPr>
                <w:rFonts w:ascii="Arial" w:cs="Arial" w:eastAsia="Arial" w:hAnsi="Arial"/>
                <w:sz w:val="18"/>
                <w:szCs w:val="18"/>
                <w:color w:val="auto"/>
                <w:w w:val="91"/>
              </w:rPr>
              <w:t>The relative quality of the percentage of metal content in a mineralized body, i.e., grams of gold per tonne of rock.</w:t>
            </w:r>
          </w:p>
        </w:tc>
      </w:tr>
      <w:tr>
        <w:trPr>
          <w:trHeight w:val="459"/>
        </w:trPr>
        <w:tc>
          <w:tcPr>
            <w:tcW w:w="2660" w:type="dxa"/>
            <w:vAlign w:val="bottom"/>
          </w:tcPr>
          <w:p>
            <w:pPr>
              <w:spacing w:after="0"/>
              <w:rPr>
                <w:sz w:val="20"/>
                <w:szCs w:val="20"/>
                <w:color w:val="auto"/>
              </w:rPr>
            </w:pPr>
            <w:r>
              <w:rPr>
                <w:rFonts w:ascii="Arial" w:cs="Arial" w:eastAsia="Arial" w:hAnsi="Arial"/>
                <w:sz w:val="18"/>
                <w:szCs w:val="18"/>
                <w:b w:val="1"/>
                <w:bCs w:val="1"/>
                <w:color w:val="auto"/>
              </w:rPr>
              <w:t>"head grade"</w:t>
            </w:r>
          </w:p>
        </w:tc>
        <w:tc>
          <w:tcPr>
            <w:tcW w:w="8760" w:type="dxa"/>
            <w:vAlign w:val="bottom"/>
          </w:tcPr>
          <w:p>
            <w:pPr>
              <w:ind w:left="460"/>
              <w:spacing w:after="0"/>
              <w:rPr>
                <w:sz w:val="20"/>
                <w:szCs w:val="20"/>
                <w:color w:val="auto"/>
              </w:rPr>
            </w:pPr>
            <w:r>
              <w:rPr>
                <w:rFonts w:ascii="Arial" w:cs="Arial" w:eastAsia="Arial" w:hAnsi="Arial"/>
                <w:sz w:val="18"/>
                <w:szCs w:val="18"/>
                <w:color w:val="auto"/>
              </w:rPr>
              <w:t>The average grade of ore fed into a mill.</w:t>
            </w:r>
          </w:p>
        </w:tc>
      </w:tr>
      <w:tr>
        <w:trPr>
          <w:trHeight w:val="459"/>
        </w:trPr>
        <w:tc>
          <w:tcPr>
            <w:tcW w:w="2660" w:type="dxa"/>
            <w:vAlign w:val="bottom"/>
          </w:tcPr>
          <w:p>
            <w:pPr>
              <w:spacing w:after="0"/>
              <w:rPr>
                <w:sz w:val="20"/>
                <w:szCs w:val="20"/>
                <w:color w:val="auto"/>
              </w:rPr>
            </w:pPr>
            <w:r>
              <w:rPr>
                <w:rFonts w:ascii="Arial" w:cs="Arial" w:eastAsia="Arial" w:hAnsi="Arial"/>
                <w:sz w:val="18"/>
                <w:szCs w:val="18"/>
                <w:b w:val="1"/>
                <w:bCs w:val="1"/>
                <w:color w:val="auto"/>
              </w:rPr>
              <w:t>"hectare"</w:t>
            </w:r>
          </w:p>
        </w:tc>
        <w:tc>
          <w:tcPr>
            <w:tcW w:w="8760" w:type="dxa"/>
            <w:vAlign w:val="bottom"/>
          </w:tcPr>
          <w:p>
            <w:pPr>
              <w:ind w:left="460"/>
              <w:spacing w:after="0"/>
              <w:rPr>
                <w:sz w:val="20"/>
                <w:szCs w:val="20"/>
                <w:color w:val="auto"/>
              </w:rPr>
            </w:pPr>
            <w:r>
              <w:rPr>
                <w:rFonts w:ascii="Arial" w:cs="Arial" w:eastAsia="Arial" w:hAnsi="Arial"/>
                <w:sz w:val="18"/>
                <w:szCs w:val="18"/>
                <w:color w:val="auto"/>
              </w:rPr>
              <w:t>A metric measurement of area. 1 hectare = 10,000 square meters = 2.47 acres.</w:t>
            </w:r>
          </w:p>
        </w:tc>
      </w:tr>
      <w:tr>
        <w:trPr>
          <w:trHeight w:val="453"/>
        </w:trPr>
        <w:tc>
          <w:tcPr>
            <w:tcW w:w="2660" w:type="dxa"/>
            <w:vAlign w:val="bottom"/>
          </w:tcPr>
          <w:p>
            <w:pPr>
              <w:spacing w:after="0"/>
              <w:rPr>
                <w:sz w:val="20"/>
                <w:szCs w:val="20"/>
                <w:color w:val="auto"/>
              </w:rPr>
            </w:pPr>
            <w:r>
              <w:rPr>
                <w:rFonts w:ascii="Arial" w:cs="Arial" w:eastAsia="Arial" w:hAnsi="Arial"/>
                <w:sz w:val="18"/>
                <w:szCs w:val="18"/>
                <w:b w:val="1"/>
                <w:bCs w:val="1"/>
                <w:color w:val="auto"/>
              </w:rPr>
              <w:t>"hornblende phenocryst"</w:t>
            </w:r>
          </w:p>
        </w:tc>
        <w:tc>
          <w:tcPr>
            <w:tcW w:w="8760" w:type="dxa"/>
            <w:vAlign w:val="bottom"/>
          </w:tcPr>
          <w:p>
            <w:pPr>
              <w:ind w:left="460"/>
              <w:spacing w:after="0"/>
              <w:rPr>
                <w:sz w:val="20"/>
                <w:szCs w:val="20"/>
                <w:color w:val="auto"/>
              </w:rPr>
            </w:pPr>
            <w:r>
              <w:rPr>
                <w:rFonts w:ascii="Arial" w:cs="Arial" w:eastAsia="Arial" w:hAnsi="Arial"/>
                <w:sz w:val="18"/>
                <w:szCs w:val="18"/>
                <w:color w:val="auto"/>
                <w:w w:val="88"/>
              </w:rPr>
              <w:t>A large and usually conspicuous crystal of a black to dark green mineral generally opaque called hornblende found in</w:t>
            </w:r>
          </w:p>
        </w:tc>
      </w:tr>
      <w:tr>
        <w:trPr>
          <w:trHeight w:val="222"/>
        </w:trPr>
        <w:tc>
          <w:tcPr>
            <w:tcW w:w="2660" w:type="dxa"/>
            <w:vAlign w:val="bottom"/>
          </w:tcPr>
          <w:p>
            <w:pPr>
              <w:spacing w:after="0"/>
              <w:rPr>
                <w:sz w:val="19"/>
                <w:szCs w:val="19"/>
                <w:color w:val="auto"/>
              </w:rPr>
            </w:pPr>
          </w:p>
        </w:tc>
        <w:tc>
          <w:tcPr>
            <w:tcW w:w="8760" w:type="dxa"/>
            <w:vAlign w:val="bottom"/>
          </w:tcPr>
          <w:p>
            <w:pPr>
              <w:ind w:left="460"/>
              <w:spacing w:after="0"/>
              <w:rPr>
                <w:sz w:val="20"/>
                <w:szCs w:val="20"/>
                <w:color w:val="auto"/>
              </w:rPr>
            </w:pPr>
            <w:r>
              <w:rPr>
                <w:rFonts w:ascii="Arial" w:cs="Arial" w:eastAsia="Arial" w:hAnsi="Arial"/>
                <w:sz w:val="18"/>
                <w:szCs w:val="18"/>
                <w:color w:val="auto"/>
              </w:rPr>
              <w:t>some volcanic and igneous rocks.</w:t>
            </w:r>
          </w:p>
        </w:tc>
      </w:tr>
      <w:tr>
        <w:trPr>
          <w:trHeight w:val="459"/>
        </w:trPr>
        <w:tc>
          <w:tcPr>
            <w:tcW w:w="2660" w:type="dxa"/>
            <w:vAlign w:val="bottom"/>
          </w:tcPr>
          <w:p>
            <w:pPr>
              <w:spacing w:after="0"/>
              <w:rPr>
                <w:sz w:val="20"/>
                <w:szCs w:val="20"/>
                <w:color w:val="auto"/>
              </w:rPr>
            </w:pPr>
            <w:r>
              <w:rPr>
                <w:rFonts w:ascii="Arial" w:cs="Arial" w:eastAsia="Arial" w:hAnsi="Arial"/>
                <w:sz w:val="18"/>
                <w:szCs w:val="18"/>
                <w:b w:val="1"/>
                <w:bCs w:val="1"/>
                <w:color w:val="auto"/>
              </w:rPr>
              <w:t>"horst"</w:t>
            </w:r>
          </w:p>
        </w:tc>
        <w:tc>
          <w:tcPr>
            <w:tcW w:w="8760" w:type="dxa"/>
            <w:vAlign w:val="bottom"/>
          </w:tcPr>
          <w:p>
            <w:pPr>
              <w:ind w:left="460"/>
              <w:spacing w:after="0"/>
              <w:rPr>
                <w:sz w:val="20"/>
                <w:szCs w:val="20"/>
                <w:color w:val="auto"/>
              </w:rPr>
            </w:pPr>
            <w:r>
              <w:rPr>
                <w:rFonts w:ascii="Arial" w:cs="Arial" w:eastAsia="Arial" w:hAnsi="Arial"/>
                <w:sz w:val="18"/>
                <w:szCs w:val="18"/>
                <w:color w:val="auto"/>
              </w:rPr>
              <w:t>An up-faulted block of rock.</w:t>
            </w:r>
          </w:p>
        </w:tc>
      </w:tr>
      <w:tr>
        <w:trPr>
          <w:trHeight w:val="459"/>
        </w:trPr>
        <w:tc>
          <w:tcPr>
            <w:tcW w:w="2660" w:type="dxa"/>
            <w:vAlign w:val="bottom"/>
          </w:tcPr>
          <w:p>
            <w:pPr>
              <w:spacing w:after="0"/>
              <w:rPr>
                <w:sz w:val="20"/>
                <w:szCs w:val="20"/>
                <w:color w:val="auto"/>
              </w:rPr>
            </w:pPr>
            <w:r>
              <w:rPr>
                <w:rFonts w:ascii="Arial" w:cs="Arial" w:eastAsia="Arial" w:hAnsi="Arial"/>
                <w:sz w:val="18"/>
                <w:szCs w:val="18"/>
                <w:b w:val="1"/>
                <w:bCs w:val="1"/>
                <w:color w:val="auto"/>
              </w:rPr>
              <w:t>"hydrothermal alteration"</w:t>
            </w:r>
          </w:p>
        </w:tc>
        <w:tc>
          <w:tcPr>
            <w:tcW w:w="8760" w:type="dxa"/>
            <w:vAlign w:val="bottom"/>
          </w:tcPr>
          <w:p>
            <w:pPr>
              <w:ind w:left="460"/>
              <w:spacing w:after="0"/>
              <w:rPr>
                <w:sz w:val="20"/>
                <w:szCs w:val="20"/>
                <w:color w:val="auto"/>
              </w:rPr>
            </w:pPr>
            <w:r>
              <w:rPr>
                <w:rFonts w:ascii="Arial" w:cs="Arial" w:eastAsia="Arial" w:hAnsi="Arial"/>
                <w:sz w:val="18"/>
                <w:szCs w:val="18"/>
                <w:color w:val="auto"/>
              </w:rPr>
              <w:t>Alteration of rocks or minerals by reaction with hydrothermal fluids.</w:t>
            </w:r>
          </w:p>
        </w:tc>
      </w:tr>
      <w:tr>
        <w:trPr>
          <w:trHeight w:val="453"/>
        </w:trPr>
        <w:tc>
          <w:tcPr>
            <w:tcW w:w="2660" w:type="dxa"/>
            <w:vAlign w:val="bottom"/>
          </w:tcPr>
          <w:p>
            <w:pPr>
              <w:spacing w:after="0"/>
              <w:rPr>
                <w:sz w:val="20"/>
                <w:szCs w:val="20"/>
                <w:color w:val="auto"/>
              </w:rPr>
            </w:pPr>
            <w:r>
              <w:rPr>
                <w:rFonts w:ascii="Arial" w:cs="Arial" w:eastAsia="Arial" w:hAnsi="Arial"/>
                <w:sz w:val="18"/>
                <w:szCs w:val="18"/>
                <w:b w:val="1"/>
                <w:bCs w:val="1"/>
                <w:color w:val="auto"/>
              </w:rPr>
              <w:t>"indicated mineral resource"</w:t>
            </w:r>
          </w:p>
        </w:tc>
        <w:tc>
          <w:tcPr>
            <w:tcW w:w="8760" w:type="dxa"/>
            <w:vAlign w:val="bottom"/>
          </w:tcPr>
          <w:p>
            <w:pPr>
              <w:ind w:left="460"/>
              <w:spacing w:after="0"/>
              <w:rPr>
                <w:sz w:val="20"/>
                <w:szCs w:val="20"/>
                <w:color w:val="auto"/>
              </w:rPr>
            </w:pPr>
            <w:r>
              <w:rPr>
                <w:rFonts w:ascii="Arial" w:cs="Arial" w:eastAsia="Arial" w:hAnsi="Arial"/>
                <w:sz w:val="18"/>
                <w:szCs w:val="18"/>
                <w:color w:val="auto"/>
                <w:w w:val="87"/>
              </w:rPr>
              <w:t>The part of a mineral resource for which quantity, grade or quality, densities, shape and physical characteristics can be</w:t>
            </w:r>
          </w:p>
        </w:tc>
      </w:tr>
      <w:tr>
        <w:trPr>
          <w:trHeight w:val="216"/>
        </w:trPr>
        <w:tc>
          <w:tcPr>
            <w:tcW w:w="2660" w:type="dxa"/>
            <w:vAlign w:val="bottom"/>
          </w:tcPr>
          <w:p>
            <w:pPr>
              <w:spacing w:after="0"/>
              <w:rPr>
                <w:sz w:val="18"/>
                <w:szCs w:val="18"/>
                <w:color w:val="auto"/>
              </w:rPr>
            </w:pPr>
          </w:p>
        </w:tc>
        <w:tc>
          <w:tcPr>
            <w:tcW w:w="8760" w:type="dxa"/>
            <w:vAlign w:val="bottom"/>
          </w:tcPr>
          <w:p>
            <w:pPr>
              <w:ind w:left="460"/>
              <w:spacing w:after="0"/>
              <w:rPr>
                <w:sz w:val="20"/>
                <w:szCs w:val="20"/>
                <w:color w:val="auto"/>
              </w:rPr>
            </w:pPr>
            <w:r>
              <w:rPr>
                <w:rFonts w:ascii="Arial" w:cs="Arial" w:eastAsia="Arial" w:hAnsi="Arial"/>
                <w:sz w:val="18"/>
                <w:szCs w:val="18"/>
                <w:color w:val="auto"/>
                <w:w w:val="96"/>
              </w:rPr>
              <w:t>estimated with a level of confidence sufficient to allow the appropriate application of technical and economic</w:t>
            </w:r>
          </w:p>
        </w:tc>
      </w:tr>
      <w:tr>
        <w:trPr>
          <w:trHeight w:val="216"/>
        </w:trPr>
        <w:tc>
          <w:tcPr>
            <w:tcW w:w="2660" w:type="dxa"/>
            <w:vAlign w:val="bottom"/>
          </w:tcPr>
          <w:p>
            <w:pPr>
              <w:spacing w:after="0"/>
              <w:rPr>
                <w:sz w:val="18"/>
                <w:szCs w:val="18"/>
                <w:color w:val="auto"/>
              </w:rPr>
            </w:pPr>
          </w:p>
        </w:tc>
        <w:tc>
          <w:tcPr>
            <w:tcW w:w="8760" w:type="dxa"/>
            <w:vAlign w:val="bottom"/>
          </w:tcPr>
          <w:p>
            <w:pPr>
              <w:ind w:left="460"/>
              <w:spacing w:after="0"/>
              <w:rPr>
                <w:sz w:val="20"/>
                <w:szCs w:val="20"/>
                <w:color w:val="auto"/>
              </w:rPr>
            </w:pPr>
            <w:r>
              <w:rPr>
                <w:rFonts w:ascii="Arial" w:cs="Arial" w:eastAsia="Arial" w:hAnsi="Arial"/>
                <w:sz w:val="18"/>
                <w:szCs w:val="18"/>
                <w:color w:val="auto"/>
                <w:w w:val="92"/>
              </w:rPr>
              <w:t>parameters and to support mine planning and evaluation of the economic viability of the deposit. The estimate is</w:t>
            </w:r>
          </w:p>
        </w:tc>
      </w:tr>
      <w:tr>
        <w:trPr>
          <w:trHeight w:val="216"/>
        </w:trPr>
        <w:tc>
          <w:tcPr>
            <w:tcW w:w="2660" w:type="dxa"/>
            <w:vAlign w:val="bottom"/>
          </w:tcPr>
          <w:p>
            <w:pPr>
              <w:spacing w:after="0"/>
              <w:rPr>
                <w:sz w:val="18"/>
                <w:szCs w:val="18"/>
                <w:color w:val="auto"/>
              </w:rPr>
            </w:pPr>
          </w:p>
        </w:tc>
        <w:tc>
          <w:tcPr>
            <w:tcW w:w="8760" w:type="dxa"/>
            <w:vAlign w:val="bottom"/>
          </w:tcPr>
          <w:p>
            <w:pPr>
              <w:ind w:left="460"/>
              <w:spacing w:after="0"/>
              <w:rPr>
                <w:sz w:val="20"/>
                <w:szCs w:val="20"/>
                <w:color w:val="auto"/>
              </w:rPr>
            </w:pPr>
            <w:r>
              <w:rPr>
                <w:rFonts w:ascii="Arial" w:cs="Arial" w:eastAsia="Arial" w:hAnsi="Arial"/>
                <w:sz w:val="18"/>
                <w:szCs w:val="18"/>
                <w:color w:val="auto"/>
                <w:w w:val="92"/>
              </w:rPr>
              <w:t>based on detailed and reliable exploration and testing information gathered through appropriate techniques from</w:t>
            </w:r>
          </w:p>
        </w:tc>
      </w:tr>
      <w:tr>
        <w:trPr>
          <w:trHeight w:val="216"/>
        </w:trPr>
        <w:tc>
          <w:tcPr>
            <w:tcW w:w="2660" w:type="dxa"/>
            <w:vAlign w:val="bottom"/>
          </w:tcPr>
          <w:p>
            <w:pPr>
              <w:spacing w:after="0"/>
              <w:rPr>
                <w:sz w:val="18"/>
                <w:szCs w:val="18"/>
                <w:color w:val="auto"/>
              </w:rPr>
            </w:pPr>
          </w:p>
        </w:tc>
        <w:tc>
          <w:tcPr>
            <w:tcW w:w="8760" w:type="dxa"/>
            <w:vAlign w:val="bottom"/>
          </w:tcPr>
          <w:p>
            <w:pPr>
              <w:ind w:left="460"/>
              <w:spacing w:after="0"/>
              <w:rPr>
                <w:sz w:val="20"/>
                <w:szCs w:val="20"/>
                <w:color w:val="auto"/>
              </w:rPr>
            </w:pPr>
            <w:r>
              <w:rPr>
                <w:rFonts w:ascii="Arial" w:cs="Arial" w:eastAsia="Arial" w:hAnsi="Arial"/>
                <w:sz w:val="18"/>
                <w:szCs w:val="18"/>
                <w:color w:val="auto"/>
                <w:w w:val="89"/>
              </w:rPr>
              <w:t>locations such as outcrops, trenches, pits, workings and drill holes that are spaced closely enough for geological and</w:t>
            </w:r>
          </w:p>
        </w:tc>
      </w:tr>
      <w:tr>
        <w:trPr>
          <w:trHeight w:val="216"/>
        </w:trPr>
        <w:tc>
          <w:tcPr>
            <w:tcW w:w="2660" w:type="dxa"/>
            <w:vAlign w:val="bottom"/>
          </w:tcPr>
          <w:p>
            <w:pPr>
              <w:spacing w:after="0"/>
              <w:rPr>
                <w:sz w:val="18"/>
                <w:szCs w:val="18"/>
                <w:color w:val="auto"/>
              </w:rPr>
            </w:pPr>
          </w:p>
        </w:tc>
        <w:tc>
          <w:tcPr>
            <w:tcW w:w="8760" w:type="dxa"/>
            <w:vAlign w:val="bottom"/>
          </w:tcPr>
          <w:p>
            <w:pPr>
              <w:ind w:left="460"/>
              <w:spacing w:after="0"/>
              <w:rPr>
                <w:sz w:val="20"/>
                <w:szCs w:val="20"/>
                <w:color w:val="auto"/>
              </w:rPr>
            </w:pPr>
            <w:r>
              <w:rPr>
                <w:rFonts w:ascii="Arial" w:cs="Arial" w:eastAsia="Arial" w:hAnsi="Arial"/>
                <w:sz w:val="18"/>
                <w:szCs w:val="18"/>
                <w:color w:val="auto"/>
                <w:w w:val="87"/>
              </w:rPr>
              <w:t>grade continuity to be reasonably assumed. Mineral resources that are not mineral reserves do not have demonstrated</w:t>
            </w:r>
          </w:p>
        </w:tc>
      </w:tr>
      <w:tr>
        <w:trPr>
          <w:trHeight w:val="222"/>
        </w:trPr>
        <w:tc>
          <w:tcPr>
            <w:tcW w:w="2660" w:type="dxa"/>
            <w:vAlign w:val="bottom"/>
          </w:tcPr>
          <w:p>
            <w:pPr>
              <w:spacing w:after="0"/>
              <w:rPr>
                <w:sz w:val="19"/>
                <w:szCs w:val="19"/>
                <w:color w:val="auto"/>
              </w:rPr>
            </w:pPr>
          </w:p>
        </w:tc>
        <w:tc>
          <w:tcPr>
            <w:tcW w:w="8760" w:type="dxa"/>
            <w:vAlign w:val="bottom"/>
          </w:tcPr>
          <w:p>
            <w:pPr>
              <w:ind w:left="460"/>
              <w:spacing w:after="0"/>
              <w:rPr>
                <w:sz w:val="20"/>
                <w:szCs w:val="20"/>
                <w:color w:val="auto"/>
              </w:rPr>
            </w:pPr>
            <w:r>
              <w:rPr>
                <w:rFonts w:ascii="Arial" w:cs="Arial" w:eastAsia="Arial" w:hAnsi="Arial"/>
                <w:sz w:val="18"/>
                <w:szCs w:val="18"/>
                <w:color w:val="auto"/>
              </w:rPr>
              <w:t>economic viability.</w:t>
            </w:r>
          </w:p>
        </w:tc>
      </w:tr>
      <w:tr>
        <w:trPr>
          <w:trHeight w:val="447"/>
        </w:trPr>
        <w:tc>
          <w:tcPr>
            <w:tcW w:w="2660" w:type="dxa"/>
            <w:vAlign w:val="bottom"/>
          </w:tcPr>
          <w:p>
            <w:pPr>
              <w:spacing w:after="0"/>
              <w:rPr>
                <w:sz w:val="24"/>
                <w:szCs w:val="24"/>
                <w:color w:val="auto"/>
              </w:rPr>
            </w:pPr>
          </w:p>
        </w:tc>
        <w:tc>
          <w:tcPr>
            <w:tcW w:w="8760" w:type="dxa"/>
            <w:vAlign w:val="bottom"/>
          </w:tcPr>
          <w:p>
            <w:pPr>
              <w:ind w:left="460"/>
              <w:spacing w:after="0"/>
              <w:rPr>
                <w:sz w:val="20"/>
                <w:szCs w:val="20"/>
                <w:color w:val="auto"/>
              </w:rPr>
            </w:pPr>
            <w:r>
              <w:rPr>
                <w:rFonts w:ascii="Arial" w:cs="Arial" w:eastAsia="Arial" w:hAnsi="Arial"/>
                <w:sz w:val="18"/>
                <w:szCs w:val="18"/>
                <w:color w:val="auto"/>
                <w:w w:val="91"/>
              </w:rPr>
              <w:t xml:space="preserve">While this term is recognized and required by Canadian regulations, the SEC does not recognize it. </w:t>
            </w:r>
            <w:r>
              <w:rPr>
                <w:rFonts w:ascii="Arial" w:cs="Arial" w:eastAsia="Arial" w:hAnsi="Arial"/>
                <w:sz w:val="18"/>
                <w:szCs w:val="18"/>
                <w:b w:val="1"/>
                <w:bCs w:val="1"/>
                <w:color w:val="auto"/>
                <w:w w:val="91"/>
              </w:rPr>
              <w:t>Investors are</w:t>
            </w:r>
          </w:p>
        </w:tc>
      </w:tr>
      <w:tr>
        <w:trPr>
          <w:trHeight w:val="216"/>
        </w:trPr>
        <w:tc>
          <w:tcPr>
            <w:tcW w:w="2660" w:type="dxa"/>
            <w:vAlign w:val="bottom"/>
          </w:tcPr>
          <w:p>
            <w:pPr>
              <w:spacing w:after="0"/>
              <w:rPr>
                <w:sz w:val="18"/>
                <w:szCs w:val="18"/>
                <w:color w:val="auto"/>
              </w:rPr>
            </w:pPr>
          </w:p>
        </w:tc>
        <w:tc>
          <w:tcPr>
            <w:tcW w:w="8760" w:type="dxa"/>
            <w:vAlign w:val="bottom"/>
          </w:tcPr>
          <w:p>
            <w:pPr>
              <w:ind w:left="460"/>
              <w:spacing w:after="0"/>
              <w:rPr>
                <w:sz w:val="20"/>
                <w:szCs w:val="20"/>
                <w:color w:val="auto"/>
              </w:rPr>
            </w:pPr>
            <w:r>
              <w:rPr>
                <w:rFonts w:ascii="Arial" w:cs="Arial" w:eastAsia="Arial" w:hAnsi="Arial"/>
                <w:sz w:val="18"/>
                <w:szCs w:val="18"/>
                <w:b w:val="1"/>
                <w:bCs w:val="1"/>
                <w:color w:val="auto"/>
                <w:w w:val="87"/>
              </w:rPr>
              <w:t>cautioned not to assume that any part or all of the mineral deposits in this category will ever be converted into</w:t>
            </w:r>
          </w:p>
        </w:tc>
      </w:tr>
      <w:tr>
        <w:trPr>
          <w:trHeight w:val="228"/>
        </w:trPr>
        <w:tc>
          <w:tcPr>
            <w:tcW w:w="2660" w:type="dxa"/>
            <w:vAlign w:val="bottom"/>
          </w:tcPr>
          <w:p>
            <w:pPr>
              <w:spacing w:after="0"/>
              <w:rPr>
                <w:sz w:val="19"/>
                <w:szCs w:val="19"/>
                <w:color w:val="auto"/>
              </w:rPr>
            </w:pPr>
          </w:p>
        </w:tc>
        <w:tc>
          <w:tcPr>
            <w:tcW w:w="8760" w:type="dxa"/>
            <w:vAlign w:val="bottom"/>
          </w:tcPr>
          <w:p>
            <w:pPr>
              <w:ind w:left="460"/>
              <w:spacing w:after="0"/>
              <w:rPr>
                <w:sz w:val="20"/>
                <w:szCs w:val="20"/>
                <w:color w:val="auto"/>
              </w:rPr>
            </w:pPr>
            <w:r>
              <w:rPr>
                <w:rFonts w:ascii="Arial" w:cs="Arial" w:eastAsia="Arial" w:hAnsi="Arial"/>
                <w:sz w:val="18"/>
                <w:szCs w:val="18"/>
                <w:b w:val="1"/>
                <w:bCs w:val="1"/>
                <w:color w:val="auto"/>
              </w:rPr>
              <w:t>mineral reserves.</w:t>
            </w:r>
          </w:p>
        </w:tc>
      </w:tr>
      <w:tr>
        <w:trPr>
          <w:trHeight w:val="453"/>
        </w:trPr>
        <w:tc>
          <w:tcPr>
            <w:tcW w:w="2660" w:type="dxa"/>
            <w:vAlign w:val="bottom"/>
          </w:tcPr>
          <w:p>
            <w:pPr>
              <w:spacing w:after="0"/>
              <w:rPr>
                <w:sz w:val="20"/>
                <w:szCs w:val="20"/>
                <w:color w:val="auto"/>
              </w:rPr>
            </w:pPr>
            <w:r>
              <w:rPr>
                <w:rFonts w:ascii="Arial" w:cs="Arial" w:eastAsia="Arial" w:hAnsi="Arial"/>
                <w:sz w:val="18"/>
                <w:szCs w:val="18"/>
                <w:b w:val="1"/>
                <w:bCs w:val="1"/>
                <w:color w:val="auto"/>
              </w:rPr>
              <w:t>"inferred mineral resource"</w:t>
            </w:r>
          </w:p>
        </w:tc>
        <w:tc>
          <w:tcPr>
            <w:tcW w:w="8760" w:type="dxa"/>
            <w:vAlign w:val="bottom"/>
          </w:tcPr>
          <w:p>
            <w:pPr>
              <w:ind w:left="460"/>
              <w:spacing w:after="0"/>
              <w:rPr>
                <w:sz w:val="20"/>
                <w:szCs w:val="20"/>
                <w:color w:val="auto"/>
              </w:rPr>
            </w:pPr>
            <w:r>
              <w:rPr>
                <w:rFonts w:ascii="Arial" w:cs="Arial" w:eastAsia="Arial" w:hAnsi="Arial"/>
                <w:sz w:val="18"/>
                <w:szCs w:val="18"/>
                <w:color w:val="auto"/>
                <w:w w:val="91"/>
              </w:rPr>
              <w:t>The part of a mineral resource for which quantity and grade or quality can be estimated on the basis of geological</w:t>
            </w:r>
          </w:p>
        </w:tc>
      </w:tr>
      <w:tr>
        <w:trPr>
          <w:trHeight w:val="216"/>
        </w:trPr>
        <w:tc>
          <w:tcPr>
            <w:tcW w:w="2660" w:type="dxa"/>
            <w:vAlign w:val="bottom"/>
          </w:tcPr>
          <w:p>
            <w:pPr>
              <w:spacing w:after="0"/>
              <w:rPr>
                <w:sz w:val="18"/>
                <w:szCs w:val="18"/>
                <w:color w:val="auto"/>
              </w:rPr>
            </w:pPr>
          </w:p>
        </w:tc>
        <w:tc>
          <w:tcPr>
            <w:tcW w:w="8760" w:type="dxa"/>
            <w:vAlign w:val="bottom"/>
          </w:tcPr>
          <w:p>
            <w:pPr>
              <w:ind w:left="460"/>
              <w:spacing w:after="0"/>
              <w:rPr>
                <w:sz w:val="20"/>
                <w:szCs w:val="20"/>
                <w:color w:val="auto"/>
              </w:rPr>
            </w:pPr>
            <w:r>
              <w:rPr>
                <w:rFonts w:ascii="Arial" w:cs="Arial" w:eastAsia="Arial" w:hAnsi="Arial"/>
                <w:sz w:val="18"/>
                <w:szCs w:val="18"/>
                <w:color w:val="auto"/>
                <w:w w:val="94"/>
              </w:rPr>
              <w:t>evidence and limited sampling and reasonably assumed, but not verified, geological and grade continuity. The</w:t>
            </w:r>
          </w:p>
        </w:tc>
      </w:tr>
      <w:tr>
        <w:trPr>
          <w:trHeight w:val="216"/>
        </w:trPr>
        <w:tc>
          <w:tcPr>
            <w:tcW w:w="2660" w:type="dxa"/>
            <w:vAlign w:val="bottom"/>
          </w:tcPr>
          <w:p>
            <w:pPr>
              <w:spacing w:after="0"/>
              <w:rPr>
                <w:sz w:val="18"/>
                <w:szCs w:val="18"/>
                <w:color w:val="auto"/>
              </w:rPr>
            </w:pPr>
          </w:p>
        </w:tc>
        <w:tc>
          <w:tcPr>
            <w:tcW w:w="8760" w:type="dxa"/>
            <w:vAlign w:val="bottom"/>
          </w:tcPr>
          <w:p>
            <w:pPr>
              <w:ind w:left="460"/>
              <w:spacing w:after="0"/>
              <w:rPr>
                <w:sz w:val="20"/>
                <w:szCs w:val="20"/>
                <w:color w:val="auto"/>
              </w:rPr>
            </w:pPr>
            <w:r>
              <w:rPr>
                <w:rFonts w:ascii="Arial" w:cs="Arial" w:eastAsia="Arial" w:hAnsi="Arial"/>
                <w:sz w:val="18"/>
                <w:szCs w:val="18"/>
                <w:color w:val="auto"/>
                <w:w w:val="87"/>
              </w:rPr>
              <w:t>estimate is based on limited information and sampling gathered through appropriate techniques from locations such as</w:t>
            </w:r>
          </w:p>
        </w:tc>
      </w:tr>
      <w:tr>
        <w:trPr>
          <w:trHeight w:val="222"/>
        </w:trPr>
        <w:tc>
          <w:tcPr>
            <w:tcW w:w="2660" w:type="dxa"/>
            <w:vAlign w:val="bottom"/>
          </w:tcPr>
          <w:p>
            <w:pPr>
              <w:spacing w:after="0"/>
              <w:rPr>
                <w:sz w:val="19"/>
                <w:szCs w:val="19"/>
                <w:color w:val="auto"/>
              </w:rPr>
            </w:pPr>
          </w:p>
        </w:tc>
        <w:tc>
          <w:tcPr>
            <w:tcW w:w="8760" w:type="dxa"/>
            <w:vAlign w:val="bottom"/>
          </w:tcPr>
          <w:p>
            <w:pPr>
              <w:ind w:left="460"/>
              <w:spacing w:after="0"/>
              <w:rPr>
                <w:sz w:val="20"/>
                <w:szCs w:val="20"/>
                <w:color w:val="auto"/>
              </w:rPr>
            </w:pPr>
            <w:r>
              <w:rPr>
                <w:rFonts w:ascii="Arial" w:cs="Arial" w:eastAsia="Arial" w:hAnsi="Arial"/>
                <w:sz w:val="18"/>
                <w:szCs w:val="18"/>
                <w:color w:val="auto"/>
              </w:rPr>
              <w:t>outcrops, trenches, pits, workings and drill holes.</w:t>
            </w:r>
          </w:p>
        </w:tc>
      </w:tr>
      <w:tr>
        <w:trPr>
          <w:trHeight w:val="447"/>
        </w:trPr>
        <w:tc>
          <w:tcPr>
            <w:tcW w:w="2660" w:type="dxa"/>
            <w:vAlign w:val="bottom"/>
          </w:tcPr>
          <w:p>
            <w:pPr>
              <w:spacing w:after="0"/>
              <w:rPr>
                <w:sz w:val="24"/>
                <w:szCs w:val="24"/>
                <w:color w:val="auto"/>
              </w:rPr>
            </w:pPr>
          </w:p>
        </w:tc>
        <w:tc>
          <w:tcPr>
            <w:tcW w:w="8760" w:type="dxa"/>
            <w:vAlign w:val="bottom"/>
          </w:tcPr>
          <w:p>
            <w:pPr>
              <w:ind w:left="460"/>
              <w:spacing w:after="0"/>
              <w:rPr>
                <w:sz w:val="20"/>
                <w:szCs w:val="20"/>
                <w:color w:val="auto"/>
              </w:rPr>
            </w:pPr>
            <w:r>
              <w:rPr>
                <w:rFonts w:ascii="Arial" w:cs="Arial" w:eastAsia="Arial" w:hAnsi="Arial"/>
                <w:sz w:val="18"/>
                <w:szCs w:val="18"/>
                <w:color w:val="auto"/>
                <w:w w:val="91"/>
              </w:rPr>
              <w:t xml:space="preserve">While this term is recognized and required by Canadian regulations, the SEC does not recognize it. </w:t>
            </w:r>
            <w:r>
              <w:rPr>
                <w:rFonts w:ascii="Arial" w:cs="Arial" w:eastAsia="Arial" w:hAnsi="Arial"/>
                <w:sz w:val="18"/>
                <w:szCs w:val="18"/>
                <w:b w:val="1"/>
                <w:bCs w:val="1"/>
                <w:color w:val="auto"/>
                <w:w w:val="91"/>
              </w:rPr>
              <w:t>Investors are</w:t>
            </w:r>
          </w:p>
        </w:tc>
      </w:tr>
      <w:tr>
        <w:trPr>
          <w:trHeight w:val="216"/>
        </w:trPr>
        <w:tc>
          <w:tcPr>
            <w:tcW w:w="2660" w:type="dxa"/>
            <w:vAlign w:val="bottom"/>
          </w:tcPr>
          <w:p>
            <w:pPr>
              <w:spacing w:after="0"/>
              <w:rPr>
                <w:sz w:val="18"/>
                <w:szCs w:val="18"/>
                <w:color w:val="auto"/>
              </w:rPr>
            </w:pPr>
          </w:p>
        </w:tc>
        <w:tc>
          <w:tcPr>
            <w:tcW w:w="8760" w:type="dxa"/>
            <w:vAlign w:val="bottom"/>
          </w:tcPr>
          <w:p>
            <w:pPr>
              <w:ind w:left="460"/>
              <w:spacing w:after="0"/>
              <w:rPr>
                <w:sz w:val="20"/>
                <w:szCs w:val="20"/>
                <w:color w:val="auto"/>
              </w:rPr>
            </w:pPr>
            <w:r>
              <w:rPr>
                <w:rFonts w:ascii="Arial" w:cs="Arial" w:eastAsia="Arial" w:hAnsi="Arial"/>
                <w:sz w:val="18"/>
                <w:szCs w:val="18"/>
                <w:b w:val="1"/>
                <w:bCs w:val="1"/>
                <w:color w:val="auto"/>
                <w:w w:val="87"/>
              </w:rPr>
              <w:t>cautioned not to assume that any part or all of the mineral deposits in this category will ever be converted into</w:t>
            </w:r>
          </w:p>
        </w:tc>
      </w:tr>
      <w:tr>
        <w:trPr>
          <w:trHeight w:val="216"/>
        </w:trPr>
        <w:tc>
          <w:tcPr>
            <w:tcW w:w="2660" w:type="dxa"/>
            <w:vAlign w:val="bottom"/>
          </w:tcPr>
          <w:p>
            <w:pPr>
              <w:spacing w:after="0"/>
              <w:rPr>
                <w:sz w:val="18"/>
                <w:szCs w:val="18"/>
                <w:color w:val="auto"/>
              </w:rPr>
            </w:pPr>
          </w:p>
        </w:tc>
        <w:tc>
          <w:tcPr>
            <w:tcW w:w="8760" w:type="dxa"/>
            <w:vAlign w:val="bottom"/>
          </w:tcPr>
          <w:p>
            <w:pPr>
              <w:ind w:left="460"/>
              <w:spacing w:after="0"/>
              <w:rPr>
                <w:sz w:val="20"/>
                <w:szCs w:val="20"/>
                <w:color w:val="auto"/>
              </w:rPr>
            </w:pPr>
            <w:r>
              <w:rPr>
                <w:rFonts w:ascii="Arial" w:cs="Arial" w:eastAsia="Arial" w:hAnsi="Arial"/>
                <w:sz w:val="18"/>
                <w:szCs w:val="18"/>
                <w:b w:val="1"/>
                <w:bCs w:val="1"/>
                <w:color w:val="auto"/>
                <w:w w:val="92"/>
              </w:rPr>
              <w:t>mineral reserves. Investors are cautioned not to assume that part of or all of an inferred mineral resource</w:t>
            </w:r>
          </w:p>
        </w:tc>
      </w:tr>
      <w:tr>
        <w:trPr>
          <w:trHeight w:val="228"/>
        </w:trPr>
        <w:tc>
          <w:tcPr>
            <w:tcW w:w="2660" w:type="dxa"/>
            <w:vAlign w:val="bottom"/>
          </w:tcPr>
          <w:p>
            <w:pPr>
              <w:spacing w:after="0"/>
              <w:rPr>
                <w:sz w:val="19"/>
                <w:szCs w:val="19"/>
                <w:color w:val="auto"/>
              </w:rPr>
            </w:pPr>
          </w:p>
        </w:tc>
        <w:tc>
          <w:tcPr>
            <w:tcW w:w="8760" w:type="dxa"/>
            <w:vAlign w:val="bottom"/>
          </w:tcPr>
          <w:p>
            <w:pPr>
              <w:ind w:left="460"/>
              <w:spacing w:after="0"/>
              <w:rPr>
                <w:sz w:val="20"/>
                <w:szCs w:val="20"/>
                <w:color w:val="auto"/>
              </w:rPr>
            </w:pPr>
            <w:r>
              <w:rPr>
                <w:rFonts w:ascii="Arial" w:cs="Arial" w:eastAsia="Arial" w:hAnsi="Arial"/>
                <w:sz w:val="18"/>
                <w:szCs w:val="18"/>
                <w:b w:val="1"/>
                <w:bCs w:val="1"/>
                <w:color w:val="auto"/>
              </w:rPr>
              <w:t>exists, or is economically or legally mineable.</w:t>
            </w:r>
          </w:p>
        </w:tc>
      </w:tr>
      <w:tr>
        <w:trPr>
          <w:trHeight w:val="459"/>
        </w:trPr>
        <w:tc>
          <w:tcPr>
            <w:tcW w:w="2660" w:type="dxa"/>
            <w:vAlign w:val="bottom"/>
          </w:tcPr>
          <w:p>
            <w:pPr>
              <w:spacing w:after="0"/>
              <w:rPr>
                <w:sz w:val="20"/>
                <w:szCs w:val="20"/>
                <w:color w:val="auto"/>
              </w:rPr>
            </w:pPr>
            <w:r>
              <w:rPr>
                <w:rFonts w:ascii="Arial" w:cs="Arial" w:eastAsia="Arial" w:hAnsi="Arial"/>
                <w:sz w:val="18"/>
                <w:szCs w:val="18"/>
                <w:b w:val="1"/>
                <w:bCs w:val="1"/>
                <w:color w:val="auto"/>
              </w:rPr>
              <w:t>"infill drilling"</w:t>
            </w:r>
          </w:p>
        </w:tc>
        <w:tc>
          <w:tcPr>
            <w:tcW w:w="8760" w:type="dxa"/>
            <w:vAlign w:val="bottom"/>
          </w:tcPr>
          <w:p>
            <w:pPr>
              <w:ind w:left="460"/>
              <w:spacing w:after="0"/>
              <w:rPr>
                <w:sz w:val="20"/>
                <w:szCs w:val="20"/>
                <w:color w:val="auto"/>
              </w:rPr>
            </w:pPr>
            <w:r>
              <w:rPr>
                <w:rFonts w:ascii="Arial" w:cs="Arial" w:eastAsia="Arial" w:hAnsi="Arial"/>
                <w:sz w:val="18"/>
                <w:szCs w:val="18"/>
                <w:color w:val="auto"/>
              </w:rPr>
              <w:t>Drilling within a defined mineralized area to improve the definition of known mineralization.</w:t>
            </w:r>
          </w:p>
        </w:tc>
      </w:tr>
      <w:tr>
        <w:trPr>
          <w:trHeight w:val="453"/>
        </w:trPr>
        <w:tc>
          <w:tcPr>
            <w:tcW w:w="2660" w:type="dxa"/>
            <w:vAlign w:val="bottom"/>
          </w:tcPr>
          <w:p>
            <w:pPr>
              <w:spacing w:after="0"/>
              <w:rPr>
                <w:sz w:val="20"/>
                <w:szCs w:val="20"/>
                <w:color w:val="auto"/>
              </w:rPr>
            </w:pPr>
            <w:r>
              <w:rPr>
                <w:rFonts w:ascii="Arial" w:cs="Arial" w:eastAsia="Arial" w:hAnsi="Arial"/>
                <w:sz w:val="18"/>
                <w:szCs w:val="18"/>
                <w:b w:val="1"/>
                <w:bCs w:val="1"/>
                <w:color w:val="auto"/>
              </w:rPr>
              <w:t>"intrusive"</w:t>
            </w:r>
          </w:p>
        </w:tc>
        <w:tc>
          <w:tcPr>
            <w:tcW w:w="8760" w:type="dxa"/>
            <w:vAlign w:val="bottom"/>
          </w:tcPr>
          <w:p>
            <w:pPr>
              <w:ind w:left="460"/>
              <w:spacing w:after="0"/>
              <w:rPr>
                <w:sz w:val="20"/>
                <w:szCs w:val="20"/>
                <w:color w:val="auto"/>
              </w:rPr>
            </w:pPr>
            <w:r>
              <w:rPr>
                <w:rFonts w:ascii="Arial" w:cs="Arial" w:eastAsia="Arial" w:hAnsi="Arial"/>
                <w:sz w:val="18"/>
                <w:szCs w:val="18"/>
                <w:color w:val="auto"/>
                <w:w w:val="89"/>
              </w:rPr>
              <w:t>A body of igneous rock formed by the consolidation of magma intruded below surface into other rocks, in contrast to</w:t>
            </w:r>
          </w:p>
        </w:tc>
      </w:tr>
      <w:tr>
        <w:trPr>
          <w:trHeight w:val="222"/>
        </w:trPr>
        <w:tc>
          <w:tcPr>
            <w:tcW w:w="2660" w:type="dxa"/>
            <w:vAlign w:val="bottom"/>
          </w:tcPr>
          <w:p>
            <w:pPr>
              <w:spacing w:after="0"/>
              <w:rPr>
                <w:sz w:val="19"/>
                <w:szCs w:val="19"/>
                <w:color w:val="auto"/>
              </w:rPr>
            </w:pPr>
          </w:p>
        </w:tc>
        <w:tc>
          <w:tcPr>
            <w:tcW w:w="8760" w:type="dxa"/>
            <w:vAlign w:val="bottom"/>
          </w:tcPr>
          <w:p>
            <w:pPr>
              <w:ind w:left="460"/>
              <w:spacing w:after="0"/>
              <w:rPr>
                <w:sz w:val="20"/>
                <w:szCs w:val="20"/>
                <w:color w:val="auto"/>
              </w:rPr>
            </w:pPr>
            <w:r>
              <w:rPr>
                <w:rFonts w:ascii="Arial" w:cs="Arial" w:eastAsia="Arial" w:hAnsi="Arial"/>
                <w:sz w:val="18"/>
                <w:szCs w:val="18"/>
                <w:color w:val="auto"/>
              </w:rPr>
              <w:t>lavas, which are extruded upon the Earth's surface.</w:t>
            </w:r>
          </w:p>
        </w:tc>
      </w:tr>
      <w:tr>
        <w:trPr>
          <w:trHeight w:val="459"/>
        </w:trPr>
        <w:tc>
          <w:tcPr>
            <w:tcW w:w="2660" w:type="dxa"/>
            <w:vAlign w:val="bottom"/>
          </w:tcPr>
          <w:p>
            <w:pPr>
              <w:spacing w:after="0"/>
              <w:rPr>
                <w:sz w:val="20"/>
                <w:szCs w:val="20"/>
                <w:color w:val="auto"/>
              </w:rPr>
            </w:pPr>
            <w:r>
              <w:rPr>
                <w:rFonts w:ascii="Arial" w:cs="Arial" w:eastAsia="Arial" w:hAnsi="Arial"/>
                <w:sz w:val="18"/>
                <w:szCs w:val="18"/>
                <w:b w:val="1"/>
                <w:bCs w:val="1"/>
                <w:color w:val="auto"/>
              </w:rPr>
              <w:t>"kilometre"</w:t>
            </w:r>
          </w:p>
        </w:tc>
        <w:tc>
          <w:tcPr>
            <w:tcW w:w="8760" w:type="dxa"/>
            <w:vAlign w:val="bottom"/>
          </w:tcPr>
          <w:p>
            <w:pPr>
              <w:ind w:left="460"/>
              <w:spacing w:after="0"/>
              <w:rPr>
                <w:sz w:val="20"/>
                <w:szCs w:val="20"/>
                <w:color w:val="auto"/>
              </w:rPr>
            </w:pPr>
            <w:r>
              <w:rPr>
                <w:rFonts w:ascii="Arial" w:cs="Arial" w:eastAsia="Arial" w:hAnsi="Arial"/>
                <w:sz w:val="18"/>
                <w:szCs w:val="18"/>
                <w:color w:val="auto"/>
              </w:rPr>
              <w:t>A metric measurement of distance. 1.0 kilometre = 0.62 miles.</w:t>
            </w:r>
          </w:p>
        </w:tc>
      </w:tr>
      <w:tr>
        <w:trPr>
          <w:trHeight w:val="453"/>
        </w:trPr>
        <w:tc>
          <w:tcPr>
            <w:tcW w:w="2660" w:type="dxa"/>
            <w:vAlign w:val="bottom"/>
          </w:tcPr>
          <w:p>
            <w:pPr>
              <w:spacing w:after="0"/>
              <w:rPr>
                <w:sz w:val="20"/>
                <w:szCs w:val="20"/>
                <w:color w:val="auto"/>
              </w:rPr>
            </w:pPr>
            <w:r>
              <w:rPr>
                <w:rFonts w:ascii="Arial" w:cs="Arial" w:eastAsia="Arial" w:hAnsi="Arial"/>
                <w:sz w:val="18"/>
                <w:szCs w:val="18"/>
                <w:b w:val="1"/>
                <w:bCs w:val="1"/>
                <w:color w:val="auto"/>
              </w:rPr>
              <w:t>"lapilli"</w:t>
            </w:r>
          </w:p>
        </w:tc>
        <w:tc>
          <w:tcPr>
            <w:tcW w:w="8760" w:type="dxa"/>
            <w:vAlign w:val="bottom"/>
          </w:tcPr>
          <w:p>
            <w:pPr>
              <w:ind w:left="460"/>
              <w:spacing w:after="0"/>
              <w:rPr>
                <w:sz w:val="20"/>
                <w:szCs w:val="20"/>
                <w:color w:val="auto"/>
              </w:rPr>
            </w:pPr>
            <w:r>
              <w:rPr>
                <w:rFonts w:ascii="Arial" w:cs="Arial" w:eastAsia="Arial" w:hAnsi="Arial"/>
                <w:sz w:val="18"/>
                <w:szCs w:val="18"/>
                <w:color w:val="auto"/>
                <w:w w:val="90"/>
              </w:rPr>
              <w:t>Pyroclastics that may be essential, accessory or accidental in origin, of a size range that has been variously defined</w:t>
            </w:r>
          </w:p>
        </w:tc>
      </w:tr>
      <w:tr>
        <w:trPr>
          <w:trHeight w:val="216"/>
        </w:trPr>
        <w:tc>
          <w:tcPr>
            <w:tcW w:w="2660" w:type="dxa"/>
            <w:vAlign w:val="bottom"/>
          </w:tcPr>
          <w:p>
            <w:pPr>
              <w:spacing w:after="0"/>
              <w:rPr>
                <w:sz w:val="18"/>
                <w:szCs w:val="18"/>
                <w:color w:val="auto"/>
              </w:rPr>
            </w:pPr>
          </w:p>
        </w:tc>
        <w:tc>
          <w:tcPr>
            <w:tcW w:w="8760" w:type="dxa"/>
            <w:vAlign w:val="bottom"/>
          </w:tcPr>
          <w:p>
            <w:pPr>
              <w:ind w:left="460"/>
              <w:spacing w:after="0"/>
              <w:rPr>
                <w:sz w:val="20"/>
                <w:szCs w:val="20"/>
                <w:color w:val="auto"/>
              </w:rPr>
            </w:pPr>
            <w:r>
              <w:rPr>
                <w:rFonts w:ascii="Arial" w:cs="Arial" w:eastAsia="Arial" w:hAnsi="Arial"/>
                <w:sz w:val="18"/>
                <w:szCs w:val="18"/>
                <w:color w:val="auto"/>
                <w:w w:val="94"/>
              </w:rPr>
              <w:t>within the limits of 2 millimetres and 64 millimetres. The fragments may be either solidified or still viscous when</w:t>
            </w:r>
          </w:p>
        </w:tc>
      </w:tr>
      <w:tr>
        <w:trPr>
          <w:trHeight w:val="216"/>
        </w:trPr>
        <w:tc>
          <w:tcPr>
            <w:tcW w:w="2660" w:type="dxa"/>
            <w:vAlign w:val="bottom"/>
          </w:tcPr>
          <w:p>
            <w:pPr>
              <w:spacing w:after="0"/>
              <w:rPr>
                <w:sz w:val="18"/>
                <w:szCs w:val="18"/>
                <w:color w:val="auto"/>
              </w:rPr>
            </w:pPr>
          </w:p>
        </w:tc>
        <w:tc>
          <w:tcPr>
            <w:tcW w:w="8760" w:type="dxa"/>
            <w:vAlign w:val="bottom"/>
          </w:tcPr>
          <w:p>
            <w:pPr>
              <w:ind w:left="460"/>
              <w:spacing w:after="0"/>
              <w:rPr>
                <w:sz w:val="20"/>
                <w:szCs w:val="20"/>
                <w:color w:val="auto"/>
              </w:rPr>
            </w:pPr>
            <w:r>
              <w:rPr>
                <w:rFonts w:ascii="Arial" w:cs="Arial" w:eastAsia="Arial" w:hAnsi="Arial"/>
                <w:sz w:val="18"/>
                <w:szCs w:val="18"/>
                <w:color w:val="auto"/>
                <w:w w:val="94"/>
              </w:rPr>
              <w:t>they land (though some classifications restrict the term to the former); thus there is no characteristic shape. An</w:t>
            </w:r>
          </w:p>
        </w:tc>
      </w:tr>
      <w:tr>
        <w:trPr>
          <w:trHeight w:val="222"/>
        </w:trPr>
        <w:tc>
          <w:tcPr>
            <w:tcW w:w="2660" w:type="dxa"/>
            <w:vAlign w:val="bottom"/>
          </w:tcPr>
          <w:p>
            <w:pPr>
              <w:spacing w:after="0"/>
              <w:rPr>
                <w:sz w:val="19"/>
                <w:szCs w:val="19"/>
                <w:color w:val="auto"/>
              </w:rPr>
            </w:pPr>
          </w:p>
        </w:tc>
        <w:tc>
          <w:tcPr>
            <w:tcW w:w="8760" w:type="dxa"/>
            <w:vAlign w:val="bottom"/>
          </w:tcPr>
          <w:p>
            <w:pPr>
              <w:ind w:left="460"/>
              <w:spacing w:after="0"/>
              <w:rPr>
                <w:sz w:val="20"/>
                <w:szCs w:val="20"/>
                <w:color w:val="auto"/>
              </w:rPr>
            </w:pPr>
            <w:r>
              <w:rPr>
                <w:rFonts w:ascii="Arial" w:cs="Arial" w:eastAsia="Arial" w:hAnsi="Arial"/>
                <w:sz w:val="18"/>
                <w:szCs w:val="18"/>
                <w:color w:val="auto"/>
              </w:rPr>
              <w:t>individual fragment is called a "lapillus".</w:t>
            </w:r>
          </w:p>
        </w:tc>
      </w:tr>
      <w:tr>
        <w:trPr>
          <w:trHeight w:val="432"/>
        </w:trPr>
        <w:tc>
          <w:tcPr>
            <w:tcW w:w="2660" w:type="dxa"/>
            <w:vAlign w:val="bottom"/>
          </w:tcPr>
          <w:p>
            <w:pPr>
              <w:spacing w:after="0"/>
              <w:rPr>
                <w:sz w:val="24"/>
                <w:szCs w:val="24"/>
                <w:color w:val="auto"/>
              </w:rPr>
            </w:pPr>
          </w:p>
        </w:tc>
        <w:tc>
          <w:tcPr>
            <w:tcW w:w="8760" w:type="dxa"/>
            <w:vAlign w:val="bottom"/>
          </w:tcPr>
          <w:p>
            <w:pPr>
              <w:ind w:left="2960"/>
              <w:spacing w:after="0"/>
              <w:rPr>
                <w:sz w:val="20"/>
                <w:szCs w:val="20"/>
                <w:color w:val="auto"/>
              </w:rPr>
            </w:pPr>
            <w:r>
              <w:rPr>
                <w:rFonts w:ascii="Arial" w:cs="Arial" w:eastAsia="Arial" w:hAnsi="Arial"/>
                <w:sz w:val="18"/>
                <w:szCs w:val="18"/>
                <w:color w:val="auto"/>
              </w:rPr>
              <w:t>69</w:t>
            </w:r>
          </w:p>
        </w:tc>
      </w:tr>
      <w:tr>
        <w:trPr>
          <w:trHeight w:val="228"/>
        </w:trPr>
        <w:tc>
          <w:tcPr>
            <w:tcW w:w="2660" w:type="dxa"/>
            <w:vAlign w:val="bottom"/>
            <w:tcBorders>
              <w:bottom w:val="single" w:sz="8" w:color="808080"/>
            </w:tcBorders>
          </w:tcPr>
          <w:p>
            <w:pPr>
              <w:spacing w:after="0"/>
              <w:rPr>
                <w:sz w:val="19"/>
                <w:szCs w:val="19"/>
                <w:color w:val="auto"/>
              </w:rPr>
            </w:pPr>
          </w:p>
        </w:tc>
        <w:tc>
          <w:tcPr>
            <w:tcW w:w="876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25" w:right="239" w:bottom="1440" w:gutter="0" w:footer="0" w:header="0"/>
        </w:sectPr>
      </w:pPr>
    </w:p>
    <w:bookmarkStart w:id="112" w:name="page113"/>
    <w:bookmarkEnd w:id="112"/>
    <w:tbl>
      <w:tblPr>
        <w:tblLayout w:type="fixed"/>
        <w:tblInd w:w="0" w:type="dxa"/>
        <w:tblCellMar>
          <w:top w:w="0" w:type="dxa"/>
          <w:left w:w="0" w:type="dxa"/>
          <w:bottom w:w="0" w:type="dxa"/>
          <w:right w:w="0" w:type="dxa"/>
        </w:tblCellMar>
      </w:tblPr>
      <w:tr>
        <w:trPr>
          <w:trHeight w:val="222"/>
        </w:trPr>
        <w:tc>
          <w:tcPr>
            <w:tcW w:w="2680" w:type="dxa"/>
            <w:vAlign w:val="bottom"/>
          </w:tcPr>
          <w:p>
            <w:pPr>
              <w:spacing w:after="0"/>
              <w:rPr>
                <w:sz w:val="20"/>
                <w:szCs w:val="20"/>
                <w:color w:val="auto"/>
              </w:rPr>
            </w:pPr>
            <w:r>
              <w:rPr>
                <w:rFonts w:ascii="Arial" w:cs="Arial" w:eastAsia="Arial" w:hAnsi="Arial"/>
                <w:sz w:val="18"/>
                <w:szCs w:val="18"/>
                <w:b w:val="1"/>
                <w:bCs w:val="1"/>
                <w:color w:val="auto"/>
              </w:rPr>
              <w:t>"lens"</w:t>
            </w:r>
          </w:p>
        </w:tc>
        <w:tc>
          <w:tcPr>
            <w:tcW w:w="8740" w:type="dxa"/>
            <w:vAlign w:val="bottom"/>
          </w:tcPr>
          <w:p>
            <w:pPr>
              <w:ind w:left="440"/>
              <w:spacing w:after="0"/>
              <w:rPr>
                <w:sz w:val="20"/>
                <w:szCs w:val="20"/>
                <w:color w:val="auto"/>
              </w:rPr>
            </w:pPr>
            <w:r>
              <w:rPr>
                <w:rFonts w:ascii="Arial" w:cs="Arial" w:eastAsia="Arial" w:hAnsi="Arial"/>
                <w:sz w:val="18"/>
                <w:szCs w:val="18"/>
                <w:color w:val="auto"/>
                <w:w w:val="88"/>
              </w:rPr>
              <w:t>Generally used to describe a body of ore that is thick in the middle and tapers towards the ends, resembling a convex</w:t>
            </w:r>
          </w:p>
        </w:tc>
      </w:tr>
      <w:tr>
        <w:trPr>
          <w:trHeight w:val="222"/>
        </w:trPr>
        <w:tc>
          <w:tcPr>
            <w:tcW w:w="2680" w:type="dxa"/>
            <w:vAlign w:val="bottom"/>
          </w:tcPr>
          <w:p>
            <w:pPr>
              <w:spacing w:after="0"/>
              <w:rPr>
                <w:sz w:val="19"/>
                <w:szCs w:val="19"/>
                <w:color w:val="auto"/>
              </w:rPr>
            </w:pPr>
          </w:p>
        </w:tc>
        <w:tc>
          <w:tcPr>
            <w:tcW w:w="8740" w:type="dxa"/>
            <w:vAlign w:val="bottom"/>
          </w:tcPr>
          <w:p>
            <w:pPr>
              <w:ind w:left="440"/>
              <w:spacing w:after="0"/>
              <w:rPr>
                <w:sz w:val="20"/>
                <w:szCs w:val="20"/>
                <w:color w:val="auto"/>
              </w:rPr>
            </w:pPr>
            <w:r>
              <w:rPr>
                <w:rFonts w:ascii="Arial" w:cs="Arial" w:eastAsia="Arial" w:hAnsi="Arial"/>
                <w:sz w:val="18"/>
                <w:szCs w:val="18"/>
                <w:color w:val="auto"/>
              </w:rPr>
              <w:t>lens.</w:t>
            </w:r>
          </w:p>
        </w:tc>
      </w:tr>
      <w:tr>
        <w:trPr>
          <w:trHeight w:val="459"/>
        </w:trPr>
        <w:tc>
          <w:tcPr>
            <w:tcW w:w="2680" w:type="dxa"/>
            <w:vAlign w:val="bottom"/>
          </w:tcPr>
          <w:p>
            <w:pPr>
              <w:spacing w:after="0"/>
              <w:rPr>
                <w:sz w:val="20"/>
                <w:szCs w:val="20"/>
                <w:color w:val="auto"/>
              </w:rPr>
            </w:pPr>
            <w:r>
              <w:rPr>
                <w:rFonts w:ascii="Arial" w:cs="Arial" w:eastAsia="Arial" w:hAnsi="Arial"/>
                <w:sz w:val="18"/>
                <w:szCs w:val="18"/>
                <w:b w:val="1"/>
                <w:bCs w:val="1"/>
                <w:color w:val="auto"/>
              </w:rPr>
              <w:t>"lithologic units"</w:t>
            </w:r>
          </w:p>
        </w:tc>
        <w:tc>
          <w:tcPr>
            <w:tcW w:w="8740" w:type="dxa"/>
            <w:vAlign w:val="bottom"/>
          </w:tcPr>
          <w:p>
            <w:pPr>
              <w:ind w:left="440"/>
              <w:spacing w:after="0"/>
              <w:rPr>
                <w:sz w:val="20"/>
                <w:szCs w:val="20"/>
                <w:color w:val="auto"/>
              </w:rPr>
            </w:pPr>
            <w:r>
              <w:rPr>
                <w:rFonts w:ascii="Arial" w:cs="Arial" w:eastAsia="Arial" w:hAnsi="Arial"/>
                <w:sz w:val="18"/>
                <w:szCs w:val="18"/>
                <w:color w:val="auto"/>
              </w:rPr>
              <w:t>Geological groups.</w:t>
            </w:r>
          </w:p>
        </w:tc>
      </w:tr>
      <w:tr>
        <w:trPr>
          <w:trHeight w:val="453"/>
        </w:trPr>
        <w:tc>
          <w:tcPr>
            <w:tcW w:w="2680" w:type="dxa"/>
            <w:vAlign w:val="bottom"/>
          </w:tcPr>
          <w:p>
            <w:pPr>
              <w:spacing w:after="0"/>
              <w:rPr>
                <w:sz w:val="20"/>
                <w:szCs w:val="20"/>
                <w:color w:val="auto"/>
              </w:rPr>
            </w:pPr>
            <w:r>
              <w:rPr>
                <w:rFonts w:ascii="Arial" w:cs="Arial" w:eastAsia="Arial" w:hAnsi="Arial"/>
                <w:sz w:val="18"/>
                <w:szCs w:val="18"/>
                <w:b w:val="1"/>
                <w:bCs w:val="1"/>
                <w:color w:val="auto"/>
              </w:rPr>
              <w:t>"longitudinal retreat"</w:t>
            </w:r>
          </w:p>
        </w:tc>
        <w:tc>
          <w:tcPr>
            <w:tcW w:w="8740" w:type="dxa"/>
            <w:vAlign w:val="bottom"/>
          </w:tcPr>
          <w:p>
            <w:pPr>
              <w:ind w:left="440"/>
              <w:spacing w:after="0"/>
              <w:rPr>
                <w:sz w:val="20"/>
                <w:szCs w:val="20"/>
                <w:color w:val="auto"/>
              </w:rPr>
            </w:pPr>
            <w:r>
              <w:rPr>
                <w:rFonts w:ascii="Arial" w:cs="Arial" w:eastAsia="Arial" w:hAnsi="Arial"/>
                <w:sz w:val="18"/>
                <w:szCs w:val="18"/>
                <w:color w:val="auto"/>
                <w:w w:val="91"/>
              </w:rPr>
              <w:t>An underground mining method where the ore is excavated in horizontal slices along the orebody and the stoping</w:t>
            </w:r>
          </w:p>
        </w:tc>
      </w:tr>
      <w:tr>
        <w:trPr>
          <w:trHeight w:val="222"/>
        </w:trPr>
        <w:tc>
          <w:tcPr>
            <w:tcW w:w="2680" w:type="dxa"/>
            <w:vAlign w:val="bottom"/>
          </w:tcPr>
          <w:p>
            <w:pPr>
              <w:spacing w:after="0"/>
              <w:rPr>
                <w:sz w:val="19"/>
                <w:szCs w:val="19"/>
                <w:color w:val="auto"/>
              </w:rPr>
            </w:pPr>
          </w:p>
        </w:tc>
        <w:tc>
          <w:tcPr>
            <w:tcW w:w="8740" w:type="dxa"/>
            <w:vAlign w:val="bottom"/>
          </w:tcPr>
          <w:p>
            <w:pPr>
              <w:ind w:left="440"/>
              <w:spacing w:after="0"/>
              <w:rPr>
                <w:sz w:val="20"/>
                <w:szCs w:val="20"/>
                <w:color w:val="auto"/>
              </w:rPr>
            </w:pPr>
            <w:r>
              <w:rPr>
                <w:rFonts w:ascii="Arial" w:cs="Arial" w:eastAsia="Arial" w:hAnsi="Arial"/>
                <w:sz w:val="18"/>
                <w:szCs w:val="18"/>
                <w:color w:val="auto"/>
              </w:rPr>
              <w:t>starts below and advances upwards. The ore is recovered underneath in the stope.</w:t>
            </w:r>
          </w:p>
        </w:tc>
      </w:tr>
      <w:tr>
        <w:trPr>
          <w:trHeight w:val="459"/>
        </w:trPr>
        <w:tc>
          <w:tcPr>
            <w:tcW w:w="2680" w:type="dxa"/>
            <w:vAlign w:val="bottom"/>
          </w:tcPr>
          <w:p>
            <w:pPr>
              <w:spacing w:after="0"/>
              <w:rPr>
                <w:sz w:val="20"/>
                <w:szCs w:val="20"/>
                <w:color w:val="auto"/>
              </w:rPr>
            </w:pPr>
            <w:r>
              <w:rPr>
                <w:rFonts w:ascii="Arial" w:cs="Arial" w:eastAsia="Arial" w:hAnsi="Arial"/>
                <w:sz w:val="18"/>
                <w:szCs w:val="18"/>
                <w:b w:val="1"/>
                <w:bCs w:val="1"/>
                <w:color w:val="auto"/>
              </w:rPr>
              <w:t>"matrix"</w:t>
            </w:r>
          </w:p>
        </w:tc>
        <w:tc>
          <w:tcPr>
            <w:tcW w:w="8740" w:type="dxa"/>
            <w:vAlign w:val="bottom"/>
          </w:tcPr>
          <w:p>
            <w:pPr>
              <w:ind w:left="440"/>
              <w:spacing w:after="0"/>
              <w:rPr>
                <w:sz w:val="20"/>
                <w:szCs w:val="20"/>
                <w:color w:val="auto"/>
              </w:rPr>
            </w:pPr>
            <w:r>
              <w:rPr>
                <w:rFonts w:ascii="Arial" w:cs="Arial" w:eastAsia="Arial" w:hAnsi="Arial"/>
                <w:sz w:val="18"/>
                <w:szCs w:val="18"/>
                <w:color w:val="auto"/>
              </w:rPr>
              <w:t>The non-valuable minerals in an ore, i.e., gangue.</w:t>
            </w:r>
          </w:p>
        </w:tc>
      </w:tr>
      <w:tr>
        <w:trPr>
          <w:trHeight w:val="453"/>
        </w:trPr>
        <w:tc>
          <w:tcPr>
            <w:tcW w:w="2680" w:type="dxa"/>
            <w:vAlign w:val="bottom"/>
          </w:tcPr>
          <w:p>
            <w:pPr>
              <w:spacing w:after="0"/>
              <w:rPr>
                <w:sz w:val="20"/>
                <w:szCs w:val="20"/>
                <w:color w:val="auto"/>
              </w:rPr>
            </w:pPr>
            <w:r>
              <w:rPr>
                <w:rFonts w:ascii="Arial" w:cs="Arial" w:eastAsia="Arial" w:hAnsi="Arial"/>
                <w:sz w:val="18"/>
                <w:szCs w:val="18"/>
                <w:b w:val="1"/>
                <w:bCs w:val="1"/>
                <w:color w:val="auto"/>
              </w:rPr>
              <w:t>"measured mineral resource"</w:t>
            </w:r>
          </w:p>
        </w:tc>
        <w:tc>
          <w:tcPr>
            <w:tcW w:w="8740" w:type="dxa"/>
            <w:vAlign w:val="bottom"/>
          </w:tcPr>
          <w:p>
            <w:pPr>
              <w:ind w:left="440"/>
              <w:spacing w:after="0"/>
              <w:rPr>
                <w:sz w:val="20"/>
                <w:szCs w:val="20"/>
                <w:color w:val="auto"/>
              </w:rPr>
            </w:pPr>
            <w:r>
              <w:rPr>
                <w:rFonts w:ascii="Arial" w:cs="Arial" w:eastAsia="Arial" w:hAnsi="Arial"/>
                <w:sz w:val="18"/>
                <w:szCs w:val="18"/>
                <w:color w:val="auto"/>
                <w:w w:val="88"/>
              </w:rPr>
              <w:t>The part of a mineral resource for which quantity, grade or quality, densities, shape and physical characteristics are so</w:t>
            </w:r>
          </w:p>
        </w:tc>
      </w:tr>
      <w:tr>
        <w:trPr>
          <w:trHeight w:val="216"/>
        </w:trPr>
        <w:tc>
          <w:tcPr>
            <w:tcW w:w="2680" w:type="dxa"/>
            <w:vAlign w:val="bottom"/>
          </w:tcPr>
          <w:p>
            <w:pPr>
              <w:spacing w:after="0"/>
              <w:rPr>
                <w:sz w:val="18"/>
                <w:szCs w:val="18"/>
                <w:color w:val="auto"/>
              </w:rPr>
            </w:pPr>
          </w:p>
        </w:tc>
        <w:tc>
          <w:tcPr>
            <w:tcW w:w="8740" w:type="dxa"/>
            <w:vAlign w:val="bottom"/>
          </w:tcPr>
          <w:p>
            <w:pPr>
              <w:ind w:left="440"/>
              <w:spacing w:after="0"/>
              <w:rPr>
                <w:sz w:val="20"/>
                <w:szCs w:val="20"/>
                <w:color w:val="auto"/>
              </w:rPr>
            </w:pPr>
            <w:r>
              <w:rPr>
                <w:rFonts w:ascii="Arial" w:cs="Arial" w:eastAsia="Arial" w:hAnsi="Arial"/>
                <w:sz w:val="18"/>
                <w:szCs w:val="18"/>
                <w:color w:val="auto"/>
                <w:w w:val="89"/>
              </w:rPr>
              <w:t>well established that they can be estimated with confidence sufficient to allow the appropriate application of technical</w:t>
            </w:r>
          </w:p>
        </w:tc>
      </w:tr>
      <w:tr>
        <w:trPr>
          <w:trHeight w:val="216"/>
        </w:trPr>
        <w:tc>
          <w:tcPr>
            <w:tcW w:w="2680" w:type="dxa"/>
            <w:vAlign w:val="bottom"/>
          </w:tcPr>
          <w:p>
            <w:pPr>
              <w:spacing w:after="0"/>
              <w:rPr>
                <w:sz w:val="18"/>
                <w:szCs w:val="18"/>
                <w:color w:val="auto"/>
              </w:rPr>
            </w:pPr>
          </w:p>
        </w:tc>
        <w:tc>
          <w:tcPr>
            <w:tcW w:w="8740" w:type="dxa"/>
            <w:vAlign w:val="bottom"/>
          </w:tcPr>
          <w:p>
            <w:pPr>
              <w:ind w:left="440"/>
              <w:spacing w:after="0"/>
              <w:rPr>
                <w:sz w:val="20"/>
                <w:szCs w:val="20"/>
                <w:color w:val="auto"/>
              </w:rPr>
            </w:pPr>
            <w:r>
              <w:rPr>
                <w:rFonts w:ascii="Arial" w:cs="Arial" w:eastAsia="Arial" w:hAnsi="Arial"/>
                <w:sz w:val="18"/>
                <w:szCs w:val="18"/>
                <w:color w:val="auto"/>
                <w:w w:val="90"/>
              </w:rPr>
              <w:t>and economic parameters and to support mine planning and evaluation of the economic viability of the deposit. The</w:t>
            </w:r>
          </w:p>
        </w:tc>
      </w:tr>
      <w:tr>
        <w:trPr>
          <w:trHeight w:val="216"/>
        </w:trPr>
        <w:tc>
          <w:tcPr>
            <w:tcW w:w="2680" w:type="dxa"/>
            <w:vAlign w:val="bottom"/>
          </w:tcPr>
          <w:p>
            <w:pPr>
              <w:spacing w:after="0"/>
              <w:rPr>
                <w:sz w:val="18"/>
                <w:szCs w:val="18"/>
                <w:color w:val="auto"/>
              </w:rPr>
            </w:pPr>
          </w:p>
        </w:tc>
        <w:tc>
          <w:tcPr>
            <w:tcW w:w="8740" w:type="dxa"/>
            <w:vAlign w:val="bottom"/>
          </w:tcPr>
          <w:p>
            <w:pPr>
              <w:ind w:left="440"/>
              <w:spacing w:after="0"/>
              <w:rPr>
                <w:sz w:val="20"/>
                <w:szCs w:val="20"/>
                <w:color w:val="auto"/>
              </w:rPr>
            </w:pPr>
            <w:r>
              <w:rPr>
                <w:rFonts w:ascii="Arial" w:cs="Arial" w:eastAsia="Arial" w:hAnsi="Arial"/>
                <w:sz w:val="18"/>
                <w:szCs w:val="18"/>
                <w:color w:val="auto"/>
                <w:w w:val="88"/>
              </w:rPr>
              <w:t>estimate is based on detailed and reliable exploration, sampling and testing information gathered through appropriate</w:t>
            </w:r>
          </w:p>
        </w:tc>
      </w:tr>
      <w:tr>
        <w:trPr>
          <w:trHeight w:val="216"/>
        </w:trPr>
        <w:tc>
          <w:tcPr>
            <w:tcW w:w="2680" w:type="dxa"/>
            <w:vAlign w:val="bottom"/>
          </w:tcPr>
          <w:p>
            <w:pPr>
              <w:spacing w:after="0"/>
              <w:rPr>
                <w:sz w:val="18"/>
                <w:szCs w:val="18"/>
                <w:color w:val="auto"/>
              </w:rPr>
            </w:pPr>
          </w:p>
        </w:tc>
        <w:tc>
          <w:tcPr>
            <w:tcW w:w="8740" w:type="dxa"/>
            <w:vAlign w:val="bottom"/>
          </w:tcPr>
          <w:p>
            <w:pPr>
              <w:ind w:left="440"/>
              <w:spacing w:after="0"/>
              <w:rPr>
                <w:sz w:val="20"/>
                <w:szCs w:val="20"/>
                <w:color w:val="auto"/>
              </w:rPr>
            </w:pPr>
            <w:r>
              <w:rPr>
                <w:rFonts w:ascii="Arial" w:cs="Arial" w:eastAsia="Arial" w:hAnsi="Arial"/>
                <w:sz w:val="18"/>
                <w:szCs w:val="18"/>
                <w:color w:val="auto"/>
                <w:w w:val="88"/>
              </w:rPr>
              <w:t>techniques from locations such as outcrops, trenches, pits, workings and drill holes that are spaced closely enough to</w:t>
            </w:r>
          </w:p>
        </w:tc>
      </w:tr>
      <w:tr>
        <w:trPr>
          <w:trHeight w:val="222"/>
        </w:trPr>
        <w:tc>
          <w:tcPr>
            <w:tcW w:w="2680" w:type="dxa"/>
            <w:vAlign w:val="bottom"/>
          </w:tcPr>
          <w:p>
            <w:pPr>
              <w:spacing w:after="0"/>
              <w:rPr>
                <w:sz w:val="19"/>
                <w:szCs w:val="19"/>
                <w:color w:val="auto"/>
              </w:rPr>
            </w:pPr>
          </w:p>
        </w:tc>
        <w:tc>
          <w:tcPr>
            <w:tcW w:w="8740" w:type="dxa"/>
            <w:vAlign w:val="bottom"/>
          </w:tcPr>
          <w:p>
            <w:pPr>
              <w:ind w:left="440"/>
              <w:spacing w:after="0"/>
              <w:rPr>
                <w:sz w:val="20"/>
                <w:szCs w:val="20"/>
                <w:color w:val="auto"/>
              </w:rPr>
            </w:pPr>
            <w:r>
              <w:rPr>
                <w:rFonts w:ascii="Arial" w:cs="Arial" w:eastAsia="Arial" w:hAnsi="Arial"/>
                <w:sz w:val="18"/>
                <w:szCs w:val="18"/>
                <w:color w:val="auto"/>
              </w:rPr>
              <w:t>confirm both geological and grade continuity.</w:t>
            </w:r>
          </w:p>
        </w:tc>
      </w:tr>
      <w:tr>
        <w:trPr>
          <w:trHeight w:val="447"/>
        </w:trPr>
        <w:tc>
          <w:tcPr>
            <w:tcW w:w="2680" w:type="dxa"/>
            <w:vAlign w:val="bottom"/>
          </w:tcPr>
          <w:p>
            <w:pPr>
              <w:spacing w:after="0"/>
              <w:rPr>
                <w:sz w:val="24"/>
                <w:szCs w:val="24"/>
                <w:color w:val="auto"/>
              </w:rPr>
            </w:pPr>
          </w:p>
        </w:tc>
        <w:tc>
          <w:tcPr>
            <w:tcW w:w="8740" w:type="dxa"/>
            <w:vAlign w:val="bottom"/>
          </w:tcPr>
          <w:p>
            <w:pPr>
              <w:ind w:left="440"/>
              <w:spacing w:after="0"/>
              <w:rPr>
                <w:sz w:val="20"/>
                <w:szCs w:val="20"/>
                <w:color w:val="auto"/>
              </w:rPr>
            </w:pPr>
            <w:r>
              <w:rPr>
                <w:rFonts w:ascii="Arial" w:cs="Arial" w:eastAsia="Arial" w:hAnsi="Arial"/>
                <w:sz w:val="18"/>
                <w:szCs w:val="18"/>
                <w:color w:val="auto"/>
                <w:w w:val="91"/>
              </w:rPr>
              <w:t xml:space="preserve">While this term is recognized and required by Canadian regulations, the SEC does not recognize it. </w:t>
            </w:r>
            <w:r>
              <w:rPr>
                <w:rFonts w:ascii="Arial" w:cs="Arial" w:eastAsia="Arial" w:hAnsi="Arial"/>
                <w:sz w:val="18"/>
                <w:szCs w:val="18"/>
                <w:b w:val="1"/>
                <w:bCs w:val="1"/>
                <w:color w:val="auto"/>
                <w:w w:val="91"/>
              </w:rPr>
              <w:t>Investors are</w:t>
            </w:r>
          </w:p>
        </w:tc>
      </w:tr>
      <w:tr>
        <w:trPr>
          <w:trHeight w:val="216"/>
        </w:trPr>
        <w:tc>
          <w:tcPr>
            <w:tcW w:w="2680" w:type="dxa"/>
            <w:vAlign w:val="bottom"/>
          </w:tcPr>
          <w:p>
            <w:pPr>
              <w:spacing w:after="0"/>
              <w:rPr>
                <w:sz w:val="18"/>
                <w:szCs w:val="18"/>
                <w:color w:val="auto"/>
              </w:rPr>
            </w:pPr>
          </w:p>
        </w:tc>
        <w:tc>
          <w:tcPr>
            <w:tcW w:w="8740" w:type="dxa"/>
            <w:vAlign w:val="bottom"/>
          </w:tcPr>
          <w:p>
            <w:pPr>
              <w:ind w:left="440"/>
              <w:spacing w:after="0"/>
              <w:rPr>
                <w:sz w:val="20"/>
                <w:szCs w:val="20"/>
                <w:color w:val="auto"/>
              </w:rPr>
            </w:pPr>
            <w:r>
              <w:rPr>
                <w:rFonts w:ascii="Arial" w:cs="Arial" w:eastAsia="Arial" w:hAnsi="Arial"/>
                <w:sz w:val="18"/>
                <w:szCs w:val="18"/>
                <w:b w:val="1"/>
                <w:bCs w:val="1"/>
                <w:color w:val="auto"/>
                <w:w w:val="87"/>
              </w:rPr>
              <w:t>cautioned not to assume that any part or all of the mineral deposits in this category will ever be converted into</w:t>
            </w:r>
          </w:p>
        </w:tc>
      </w:tr>
      <w:tr>
        <w:trPr>
          <w:trHeight w:val="228"/>
        </w:trPr>
        <w:tc>
          <w:tcPr>
            <w:tcW w:w="2680" w:type="dxa"/>
            <w:vAlign w:val="bottom"/>
          </w:tcPr>
          <w:p>
            <w:pPr>
              <w:spacing w:after="0"/>
              <w:rPr>
                <w:sz w:val="19"/>
                <w:szCs w:val="19"/>
                <w:color w:val="auto"/>
              </w:rPr>
            </w:pPr>
          </w:p>
        </w:tc>
        <w:tc>
          <w:tcPr>
            <w:tcW w:w="8740" w:type="dxa"/>
            <w:vAlign w:val="bottom"/>
          </w:tcPr>
          <w:p>
            <w:pPr>
              <w:ind w:left="440"/>
              <w:spacing w:after="0"/>
              <w:rPr>
                <w:sz w:val="20"/>
                <w:szCs w:val="20"/>
                <w:color w:val="auto"/>
              </w:rPr>
            </w:pPr>
            <w:r>
              <w:rPr>
                <w:rFonts w:ascii="Arial" w:cs="Arial" w:eastAsia="Arial" w:hAnsi="Arial"/>
                <w:sz w:val="18"/>
                <w:szCs w:val="18"/>
                <w:b w:val="1"/>
                <w:bCs w:val="1"/>
                <w:color w:val="auto"/>
              </w:rPr>
              <w:t>mineral reserves.</w:t>
            </w:r>
          </w:p>
        </w:tc>
      </w:tr>
      <w:tr>
        <w:trPr>
          <w:trHeight w:val="453"/>
        </w:trPr>
        <w:tc>
          <w:tcPr>
            <w:tcW w:w="2680" w:type="dxa"/>
            <w:vAlign w:val="bottom"/>
          </w:tcPr>
          <w:p>
            <w:pPr>
              <w:spacing w:after="0"/>
              <w:rPr>
                <w:sz w:val="20"/>
                <w:szCs w:val="20"/>
                <w:color w:val="auto"/>
              </w:rPr>
            </w:pPr>
            <w:r>
              <w:rPr>
                <w:rFonts w:ascii="Arial" w:cs="Arial" w:eastAsia="Arial" w:hAnsi="Arial"/>
                <w:sz w:val="18"/>
                <w:szCs w:val="18"/>
                <w:b w:val="1"/>
                <w:bCs w:val="1"/>
                <w:color w:val="auto"/>
              </w:rPr>
              <w:t>"Merrill-Crowe process"</w:t>
            </w:r>
          </w:p>
        </w:tc>
        <w:tc>
          <w:tcPr>
            <w:tcW w:w="8740" w:type="dxa"/>
            <w:vAlign w:val="bottom"/>
          </w:tcPr>
          <w:p>
            <w:pPr>
              <w:ind w:left="440"/>
              <w:spacing w:after="0"/>
              <w:rPr>
                <w:sz w:val="20"/>
                <w:szCs w:val="20"/>
                <w:color w:val="auto"/>
              </w:rPr>
            </w:pPr>
            <w:r>
              <w:rPr>
                <w:rFonts w:ascii="Arial" w:cs="Arial" w:eastAsia="Arial" w:hAnsi="Arial"/>
                <w:sz w:val="18"/>
                <w:szCs w:val="18"/>
                <w:color w:val="auto"/>
                <w:w w:val="89"/>
              </w:rPr>
              <w:t>A separation technique for removing gold from a cyanide solution. The solution is separated from the ore by methods</w:t>
            </w:r>
          </w:p>
        </w:tc>
      </w:tr>
      <w:tr>
        <w:trPr>
          <w:trHeight w:val="216"/>
        </w:trPr>
        <w:tc>
          <w:tcPr>
            <w:tcW w:w="2680" w:type="dxa"/>
            <w:vAlign w:val="bottom"/>
          </w:tcPr>
          <w:p>
            <w:pPr>
              <w:spacing w:after="0"/>
              <w:rPr>
                <w:sz w:val="18"/>
                <w:szCs w:val="18"/>
                <w:color w:val="auto"/>
              </w:rPr>
            </w:pPr>
          </w:p>
        </w:tc>
        <w:tc>
          <w:tcPr>
            <w:tcW w:w="8740" w:type="dxa"/>
            <w:vAlign w:val="bottom"/>
          </w:tcPr>
          <w:p>
            <w:pPr>
              <w:ind w:left="440"/>
              <w:spacing w:after="0"/>
              <w:rPr>
                <w:sz w:val="20"/>
                <w:szCs w:val="20"/>
                <w:color w:val="auto"/>
              </w:rPr>
            </w:pPr>
            <w:r>
              <w:rPr>
                <w:rFonts w:ascii="Arial" w:cs="Arial" w:eastAsia="Arial" w:hAnsi="Arial"/>
                <w:sz w:val="18"/>
                <w:szCs w:val="18"/>
                <w:color w:val="auto"/>
                <w:w w:val="89"/>
              </w:rPr>
              <w:t>such as filtration and counter-current decantation, and then the gold is precipitated onto zinc dust. Silver and copper</w:t>
            </w:r>
          </w:p>
        </w:tc>
      </w:tr>
      <w:tr>
        <w:trPr>
          <w:trHeight w:val="216"/>
        </w:trPr>
        <w:tc>
          <w:tcPr>
            <w:tcW w:w="2680" w:type="dxa"/>
            <w:vAlign w:val="bottom"/>
          </w:tcPr>
          <w:p>
            <w:pPr>
              <w:spacing w:after="0"/>
              <w:rPr>
                <w:sz w:val="18"/>
                <w:szCs w:val="18"/>
                <w:color w:val="auto"/>
              </w:rPr>
            </w:pPr>
          </w:p>
        </w:tc>
        <w:tc>
          <w:tcPr>
            <w:tcW w:w="8740" w:type="dxa"/>
            <w:vAlign w:val="bottom"/>
          </w:tcPr>
          <w:p>
            <w:pPr>
              <w:ind w:left="440"/>
              <w:spacing w:after="0"/>
              <w:rPr>
                <w:sz w:val="20"/>
                <w:szCs w:val="20"/>
                <w:color w:val="auto"/>
              </w:rPr>
            </w:pPr>
            <w:r>
              <w:rPr>
                <w:rFonts w:ascii="Arial" w:cs="Arial" w:eastAsia="Arial" w:hAnsi="Arial"/>
                <w:sz w:val="18"/>
                <w:szCs w:val="18"/>
                <w:color w:val="auto"/>
                <w:w w:val="89"/>
              </w:rPr>
              <w:t>may also precipitate. The precipitate is filtered to capture the gold slimes, which are further refined, e.g., by smelting,</w:t>
            </w:r>
          </w:p>
        </w:tc>
      </w:tr>
      <w:tr>
        <w:trPr>
          <w:trHeight w:val="222"/>
        </w:trPr>
        <w:tc>
          <w:tcPr>
            <w:tcW w:w="2680" w:type="dxa"/>
            <w:vAlign w:val="bottom"/>
          </w:tcPr>
          <w:p>
            <w:pPr>
              <w:spacing w:after="0"/>
              <w:rPr>
                <w:sz w:val="19"/>
                <w:szCs w:val="19"/>
                <w:color w:val="auto"/>
              </w:rPr>
            </w:pPr>
          </w:p>
        </w:tc>
        <w:tc>
          <w:tcPr>
            <w:tcW w:w="8740" w:type="dxa"/>
            <w:vAlign w:val="bottom"/>
          </w:tcPr>
          <w:p>
            <w:pPr>
              <w:ind w:left="440"/>
              <w:spacing w:after="0"/>
              <w:rPr>
                <w:sz w:val="20"/>
                <w:szCs w:val="20"/>
                <w:color w:val="auto"/>
              </w:rPr>
            </w:pPr>
            <w:r>
              <w:rPr>
                <w:rFonts w:ascii="Arial" w:cs="Arial" w:eastAsia="Arial" w:hAnsi="Arial"/>
                <w:sz w:val="18"/>
                <w:szCs w:val="18"/>
                <w:color w:val="auto"/>
              </w:rPr>
              <w:t>to remove the zinc and by treating with nitric acid to dissolve the silver.</w:t>
            </w:r>
          </w:p>
        </w:tc>
      </w:tr>
      <w:tr>
        <w:trPr>
          <w:trHeight w:val="459"/>
        </w:trPr>
        <w:tc>
          <w:tcPr>
            <w:tcW w:w="2680" w:type="dxa"/>
            <w:vAlign w:val="bottom"/>
          </w:tcPr>
          <w:p>
            <w:pPr>
              <w:spacing w:after="0"/>
              <w:rPr>
                <w:sz w:val="20"/>
                <w:szCs w:val="20"/>
                <w:color w:val="auto"/>
              </w:rPr>
            </w:pPr>
            <w:r>
              <w:rPr>
                <w:rFonts w:ascii="Arial" w:cs="Arial" w:eastAsia="Arial" w:hAnsi="Arial"/>
                <w:sz w:val="18"/>
                <w:szCs w:val="18"/>
                <w:b w:val="1"/>
                <w:bCs w:val="1"/>
                <w:color w:val="auto"/>
              </w:rPr>
              <w:t>"metallurgical properties"</w:t>
            </w:r>
          </w:p>
        </w:tc>
        <w:tc>
          <w:tcPr>
            <w:tcW w:w="8740" w:type="dxa"/>
            <w:vAlign w:val="bottom"/>
          </w:tcPr>
          <w:p>
            <w:pPr>
              <w:ind w:left="440"/>
              <w:spacing w:after="0"/>
              <w:rPr>
                <w:sz w:val="20"/>
                <w:szCs w:val="20"/>
                <w:color w:val="auto"/>
              </w:rPr>
            </w:pPr>
            <w:r>
              <w:rPr>
                <w:rFonts w:ascii="Arial" w:cs="Arial" w:eastAsia="Arial" w:hAnsi="Arial"/>
                <w:sz w:val="18"/>
                <w:szCs w:val="18"/>
                <w:color w:val="auto"/>
              </w:rPr>
              <w:t>Properties characterizing metals and minerals behaviour under various processing techniques.</w:t>
            </w:r>
          </w:p>
        </w:tc>
      </w:tr>
      <w:tr>
        <w:trPr>
          <w:trHeight w:val="459"/>
        </w:trPr>
        <w:tc>
          <w:tcPr>
            <w:tcW w:w="2680" w:type="dxa"/>
            <w:vAlign w:val="bottom"/>
          </w:tcPr>
          <w:p>
            <w:pPr>
              <w:spacing w:after="0"/>
              <w:rPr>
                <w:sz w:val="20"/>
                <w:szCs w:val="20"/>
                <w:color w:val="auto"/>
              </w:rPr>
            </w:pPr>
            <w:r>
              <w:rPr>
                <w:rFonts w:ascii="Arial" w:cs="Arial" w:eastAsia="Arial" w:hAnsi="Arial"/>
                <w:sz w:val="18"/>
                <w:szCs w:val="18"/>
                <w:b w:val="1"/>
                <w:bCs w:val="1"/>
                <w:color w:val="auto"/>
              </w:rPr>
              <w:t>"metamorphism"</w:t>
            </w:r>
          </w:p>
        </w:tc>
        <w:tc>
          <w:tcPr>
            <w:tcW w:w="8740" w:type="dxa"/>
            <w:vAlign w:val="bottom"/>
          </w:tcPr>
          <w:p>
            <w:pPr>
              <w:ind w:left="440"/>
              <w:spacing w:after="0"/>
              <w:rPr>
                <w:sz w:val="20"/>
                <w:szCs w:val="20"/>
                <w:color w:val="auto"/>
              </w:rPr>
            </w:pPr>
            <w:r>
              <w:rPr>
                <w:rFonts w:ascii="Arial" w:cs="Arial" w:eastAsia="Arial" w:hAnsi="Arial"/>
                <w:sz w:val="18"/>
                <w:szCs w:val="18"/>
                <w:color w:val="auto"/>
                <w:w w:val="94"/>
              </w:rPr>
              <w:t>The process by which the form or structure of sedimentary or igneous rocks is changed by heat and pressure.</w:t>
            </w:r>
          </w:p>
        </w:tc>
      </w:tr>
      <w:tr>
        <w:trPr>
          <w:trHeight w:val="459"/>
        </w:trPr>
        <w:tc>
          <w:tcPr>
            <w:tcW w:w="2680" w:type="dxa"/>
            <w:vAlign w:val="bottom"/>
          </w:tcPr>
          <w:p>
            <w:pPr>
              <w:spacing w:after="0"/>
              <w:rPr>
                <w:sz w:val="20"/>
                <w:szCs w:val="20"/>
                <w:color w:val="auto"/>
              </w:rPr>
            </w:pPr>
            <w:r>
              <w:rPr>
                <w:rFonts w:ascii="Arial" w:cs="Arial" w:eastAsia="Arial" w:hAnsi="Arial"/>
                <w:sz w:val="18"/>
                <w:szCs w:val="18"/>
                <w:b w:val="1"/>
                <w:bCs w:val="1"/>
                <w:color w:val="auto"/>
              </w:rPr>
              <w:t>"mill"</w:t>
            </w:r>
          </w:p>
        </w:tc>
        <w:tc>
          <w:tcPr>
            <w:tcW w:w="8740" w:type="dxa"/>
            <w:vAlign w:val="bottom"/>
          </w:tcPr>
          <w:p>
            <w:pPr>
              <w:ind w:left="440"/>
              <w:spacing w:after="0"/>
              <w:rPr>
                <w:sz w:val="20"/>
                <w:szCs w:val="20"/>
                <w:color w:val="auto"/>
              </w:rPr>
            </w:pPr>
            <w:r>
              <w:rPr>
                <w:rFonts w:ascii="Arial" w:cs="Arial" w:eastAsia="Arial" w:hAnsi="Arial"/>
                <w:sz w:val="18"/>
                <w:szCs w:val="18"/>
                <w:color w:val="auto"/>
              </w:rPr>
              <w:t>A mineral treatment plant in which crushing, wet grinding and further treatment of ore is conducted.</w:t>
            </w:r>
          </w:p>
        </w:tc>
      </w:tr>
      <w:tr>
        <w:trPr>
          <w:trHeight w:val="453"/>
        </w:trPr>
        <w:tc>
          <w:tcPr>
            <w:tcW w:w="2680" w:type="dxa"/>
            <w:vAlign w:val="bottom"/>
          </w:tcPr>
          <w:p>
            <w:pPr>
              <w:spacing w:after="0"/>
              <w:rPr>
                <w:sz w:val="20"/>
                <w:szCs w:val="20"/>
                <w:color w:val="auto"/>
              </w:rPr>
            </w:pPr>
            <w:r>
              <w:rPr>
                <w:rFonts w:ascii="Arial" w:cs="Arial" w:eastAsia="Arial" w:hAnsi="Arial"/>
                <w:sz w:val="18"/>
                <w:szCs w:val="18"/>
                <w:b w:val="1"/>
                <w:bCs w:val="1"/>
                <w:color w:val="auto"/>
              </w:rPr>
              <w:t>"mineral reserve"</w:t>
            </w:r>
          </w:p>
        </w:tc>
        <w:tc>
          <w:tcPr>
            <w:tcW w:w="8740" w:type="dxa"/>
            <w:vAlign w:val="bottom"/>
          </w:tcPr>
          <w:p>
            <w:pPr>
              <w:ind w:left="440"/>
              <w:spacing w:after="0"/>
              <w:rPr>
                <w:sz w:val="20"/>
                <w:szCs w:val="20"/>
                <w:color w:val="auto"/>
              </w:rPr>
            </w:pPr>
            <w:r>
              <w:rPr>
                <w:rFonts w:ascii="Arial" w:cs="Arial" w:eastAsia="Arial" w:hAnsi="Arial"/>
                <w:sz w:val="18"/>
                <w:szCs w:val="18"/>
                <w:color w:val="auto"/>
                <w:w w:val="88"/>
              </w:rPr>
              <w:t>The economically mineable part of a mineral resource. The economics of the mineral reserve should be demonstrated</w:t>
            </w:r>
          </w:p>
        </w:tc>
      </w:tr>
      <w:tr>
        <w:trPr>
          <w:trHeight w:val="216"/>
        </w:trPr>
        <w:tc>
          <w:tcPr>
            <w:tcW w:w="2680" w:type="dxa"/>
            <w:vAlign w:val="bottom"/>
          </w:tcPr>
          <w:p>
            <w:pPr>
              <w:spacing w:after="0"/>
              <w:rPr>
                <w:sz w:val="18"/>
                <w:szCs w:val="18"/>
                <w:color w:val="auto"/>
              </w:rPr>
            </w:pPr>
          </w:p>
        </w:tc>
        <w:tc>
          <w:tcPr>
            <w:tcW w:w="8740" w:type="dxa"/>
            <w:vAlign w:val="bottom"/>
          </w:tcPr>
          <w:p>
            <w:pPr>
              <w:ind w:left="440"/>
              <w:spacing w:after="0"/>
              <w:rPr>
                <w:sz w:val="20"/>
                <w:szCs w:val="20"/>
                <w:color w:val="auto"/>
              </w:rPr>
            </w:pPr>
            <w:r>
              <w:rPr>
                <w:rFonts w:ascii="Arial" w:cs="Arial" w:eastAsia="Arial" w:hAnsi="Arial"/>
                <w:sz w:val="18"/>
                <w:szCs w:val="18"/>
                <w:color w:val="auto"/>
                <w:w w:val="90"/>
              </w:rPr>
              <w:t>by a feasibility study. This study must include adequate information on mining, processing, metallurgical, economic</w:t>
            </w:r>
          </w:p>
        </w:tc>
      </w:tr>
      <w:tr>
        <w:trPr>
          <w:trHeight w:val="216"/>
        </w:trPr>
        <w:tc>
          <w:tcPr>
            <w:tcW w:w="2680" w:type="dxa"/>
            <w:vAlign w:val="bottom"/>
          </w:tcPr>
          <w:p>
            <w:pPr>
              <w:spacing w:after="0"/>
              <w:rPr>
                <w:sz w:val="18"/>
                <w:szCs w:val="18"/>
                <w:color w:val="auto"/>
              </w:rPr>
            </w:pPr>
          </w:p>
        </w:tc>
        <w:tc>
          <w:tcPr>
            <w:tcW w:w="8740" w:type="dxa"/>
            <w:vAlign w:val="bottom"/>
          </w:tcPr>
          <w:p>
            <w:pPr>
              <w:ind w:left="440"/>
              <w:spacing w:after="0"/>
              <w:rPr>
                <w:sz w:val="20"/>
                <w:szCs w:val="20"/>
                <w:color w:val="auto"/>
              </w:rPr>
            </w:pPr>
            <w:r>
              <w:rPr>
                <w:rFonts w:ascii="Arial" w:cs="Arial" w:eastAsia="Arial" w:hAnsi="Arial"/>
                <w:sz w:val="18"/>
                <w:szCs w:val="18"/>
                <w:color w:val="auto"/>
                <w:w w:val="91"/>
              </w:rPr>
              <w:t>and other relevant factors that demonstrate, at the time of reporting, that economic extraction is justified. A mineral</w:t>
            </w:r>
          </w:p>
        </w:tc>
      </w:tr>
      <w:tr>
        <w:trPr>
          <w:trHeight w:val="222"/>
        </w:trPr>
        <w:tc>
          <w:tcPr>
            <w:tcW w:w="2680" w:type="dxa"/>
            <w:vAlign w:val="bottom"/>
          </w:tcPr>
          <w:p>
            <w:pPr>
              <w:spacing w:after="0"/>
              <w:rPr>
                <w:sz w:val="19"/>
                <w:szCs w:val="19"/>
                <w:color w:val="auto"/>
              </w:rPr>
            </w:pPr>
          </w:p>
        </w:tc>
        <w:tc>
          <w:tcPr>
            <w:tcW w:w="8740" w:type="dxa"/>
            <w:vAlign w:val="bottom"/>
          </w:tcPr>
          <w:p>
            <w:pPr>
              <w:ind w:left="440"/>
              <w:spacing w:after="0"/>
              <w:rPr>
                <w:sz w:val="20"/>
                <w:szCs w:val="20"/>
                <w:color w:val="auto"/>
              </w:rPr>
            </w:pPr>
            <w:r>
              <w:rPr>
                <w:rFonts w:ascii="Arial" w:cs="Arial" w:eastAsia="Arial" w:hAnsi="Arial"/>
                <w:sz w:val="18"/>
                <w:szCs w:val="18"/>
                <w:color w:val="auto"/>
                <w:w w:val="99"/>
              </w:rPr>
              <w:t>reserve includes diluting materials and allowances for losses that may occur when the material is mined.</w:t>
            </w:r>
          </w:p>
        </w:tc>
      </w:tr>
      <w:tr>
        <w:trPr>
          <w:trHeight w:val="453"/>
        </w:trPr>
        <w:tc>
          <w:tcPr>
            <w:tcW w:w="2680" w:type="dxa"/>
            <w:vAlign w:val="bottom"/>
          </w:tcPr>
          <w:p>
            <w:pPr>
              <w:spacing w:after="0"/>
              <w:rPr>
                <w:sz w:val="20"/>
                <w:szCs w:val="20"/>
                <w:color w:val="auto"/>
              </w:rPr>
            </w:pPr>
            <w:r>
              <w:rPr>
                <w:rFonts w:ascii="Arial" w:cs="Arial" w:eastAsia="Arial" w:hAnsi="Arial"/>
                <w:sz w:val="18"/>
                <w:szCs w:val="18"/>
                <w:b w:val="1"/>
                <w:bCs w:val="1"/>
                <w:color w:val="auto"/>
              </w:rPr>
              <w:t>"mineral resource"</w:t>
            </w:r>
          </w:p>
        </w:tc>
        <w:tc>
          <w:tcPr>
            <w:tcW w:w="8740" w:type="dxa"/>
            <w:vAlign w:val="bottom"/>
          </w:tcPr>
          <w:p>
            <w:pPr>
              <w:ind w:left="440"/>
              <w:spacing w:after="0"/>
              <w:rPr>
                <w:sz w:val="20"/>
                <w:szCs w:val="20"/>
                <w:color w:val="auto"/>
              </w:rPr>
            </w:pPr>
            <w:r>
              <w:rPr>
                <w:rFonts w:ascii="Arial" w:cs="Arial" w:eastAsia="Arial" w:hAnsi="Arial"/>
                <w:sz w:val="18"/>
                <w:szCs w:val="18"/>
                <w:color w:val="auto"/>
                <w:w w:val="91"/>
              </w:rPr>
              <w:t>A concentration or occurrence of natural solid inorganic material or natural solid fossilized organic material in or on</w:t>
            </w:r>
          </w:p>
        </w:tc>
      </w:tr>
      <w:tr>
        <w:trPr>
          <w:trHeight w:val="216"/>
        </w:trPr>
        <w:tc>
          <w:tcPr>
            <w:tcW w:w="2680" w:type="dxa"/>
            <w:vAlign w:val="bottom"/>
          </w:tcPr>
          <w:p>
            <w:pPr>
              <w:spacing w:after="0"/>
              <w:rPr>
                <w:sz w:val="18"/>
                <w:szCs w:val="18"/>
                <w:color w:val="auto"/>
              </w:rPr>
            </w:pPr>
          </w:p>
        </w:tc>
        <w:tc>
          <w:tcPr>
            <w:tcW w:w="8740" w:type="dxa"/>
            <w:vAlign w:val="bottom"/>
          </w:tcPr>
          <w:p>
            <w:pPr>
              <w:ind w:left="440"/>
              <w:spacing w:after="0"/>
              <w:rPr>
                <w:sz w:val="20"/>
                <w:szCs w:val="20"/>
                <w:color w:val="auto"/>
              </w:rPr>
            </w:pPr>
            <w:r>
              <w:rPr>
                <w:rFonts w:ascii="Arial" w:cs="Arial" w:eastAsia="Arial" w:hAnsi="Arial"/>
                <w:sz w:val="18"/>
                <w:szCs w:val="18"/>
                <w:color w:val="auto"/>
                <w:w w:val="87"/>
              </w:rPr>
              <w:t>the Earth's crust in such form and quantity and of such a grade or quality that it has reasonable prospects for economic</w:t>
            </w:r>
          </w:p>
        </w:tc>
      </w:tr>
      <w:tr>
        <w:trPr>
          <w:trHeight w:val="216"/>
        </w:trPr>
        <w:tc>
          <w:tcPr>
            <w:tcW w:w="2680" w:type="dxa"/>
            <w:vAlign w:val="bottom"/>
          </w:tcPr>
          <w:p>
            <w:pPr>
              <w:spacing w:after="0"/>
              <w:rPr>
                <w:sz w:val="18"/>
                <w:szCs w:val="18"/>
                <w:color w:val="auto"/>
              </w:rPr>
            </w:pPr>
          </w:p>
        </w:tc>
        <w:tc>
          <w:tcPr>
            <w:tcW w:w="8740" w:type="dxa"/>
            <w:vAlign w:val="bottom"/>
          </w:tcPr>
          <w:p>
            <w:pPr>
              <w:ind w:left="440"/>
              <w:spacing w:after="0"/>
              <w:rPr>
                <w:sz w:val="20"/>
                <w:szCs w:val="20"/>
                <w:color w:val="auto"/>
              </w:rPr>
            </w:pPr>
            <w:r>
              <w:rPr>
                <w:rFonts w:ascii="Arial" w:cs="Arial" w:eastAsia="Arial" w:hAnsi="Arial"/>
                <w:sz w:val="18"/>
                <w:szCs w:val="18"/>
                <w:color w:val="auto"/>
                <w:w w:val="91"/>
              </w:rPr>
              <w:t>extraction. The location, quantity, grade, geological characteristics and continuity of a mineral resource are known,</w:t>
            </w:r>
          </w:p>
        </w:tc>
      </w:tr>
      <w:tr>
        <w:trPr>
          <w:trHeight w:val="222"/>
        </w:trPr>
        <w:tc>
          <w:tcPr>
            <w:tcW w:w="2680" w:type="dxa"/>
            <w:vAlign w:val="bottom"/>
          </w:tcPr>
          <w:p>
            <w:pPr>
              <w:spacing w:after="0"/>
              <w:rPr>
                <w:sz w:val="19"/>
                <w:szCs w:val="19"/>
                <w:color w:val="auto"/>
              </w:rPr>
            </w:pPr>
          </w:p>
        </w:tc>
        <w:tc>
          <w:tcPr>
            <w:tcW w:w="8740" w:type="dxa"/>
            <w:vAlign w:val="bottom"/>
          </w:tcPr>
          <w:p>
            <w:pPr>
              <w:ind w:left="440"/>
              <w:spacing w:after="0"/>
              <w:rPr>
                <w:sz w:val="20"/>
                <w:szCs w:val="20"/>
                <w:color w:val="auto"/>
              </w:rPr>
            </w:pPr>
            <w:r>
              <w:rPr>
                <w:rFonts w:ascii="Arial" w:cs="Arial" w:eastAsia="Arial" w:hAnsi="Arial"/>
                <w:sz w:val="18"/>
                <w:szCs w:val="18"/>
                <w:color w:val="auto"/>
              </w:rPr>
              <w:t>estimated or interpreted from specific geological evidence and knowledge.</w:t>
            </w:r>
          </w:p>
        </w:tc>
      </w:tr>
      <w:tr>
        <w:trPr>
          <w:trHeight w:val="432"/>
        </w:trPr>
        <w:tc>
          <w:tcPr>
            <w:tcW w:w="2680" w:type="dxa"/>
            <w:vAlign w:val="bottom"/>
          </w:tcPr>
          <w:p>
            <w:pPr>
              <w:spacing w:after="0"/>
              <w:rPr>
                <w:sz w:val="24"/>
                <w:szCs w:val="24"/>
                <w:color w:val="auto"/>
              </w:rPr>
            </w:pPr>
          </w:p>
        </w:tc>
        <w:tc>
          <w:tcPr>
            <w:tcW w:w="8740" w:type="dxa"/>
            <w:vAlign w:val="bottom"/>
          </w:tcPr>
          <w:p>
            <w:pPr>
              <w:ind w:left="2940"/>
              <w:spacing w:after="0"/>
              <w:rPr>
                <w:sz w:val="20"/>
                <w:szCs w:val="20"/>
                <w:color w:val="auto"/>
              </w:rPr>
            </w:pPr>
            <w:r>
              <w:rPr>
                <w:rFonts w:ascii="Arial" w:cs="Arial" w:eastAsia="Arial" w:hAnsi="Arial"/>
                <w:sz w:val="18"/>
                <w:szCs w:val="18"/>
                <w:color w:val="auto"/>
              </w:rPr>
              <w:t>70</w:t>
            </w:r>
          </w:p>
        </w:tc>
      </w:tr>
      <w:tr>
        <w:trPr>
          <w:trHeight w:val="228"/>
        </w:trPr>
        <w:tc>
          <w:tcPr>
            <w:tcW w:w="2680" w:type="dxa"/>
            <w:vAlign w:val="bottom"/>
            <w:tcBorders>
              <w:bottom w:val="single" w:sz="8" w:color="808080"/>
            </w:tcBorders>
          </w:tcPr>
          <w:p>
            <w:pPr>
              <w:spacing w:after="0"/>
              <w:rPr>
                <w:sz w:val="19"/>
                <w:szCs w:val="19"/>
                <w:color w:val="auto"/>
              </w:rPr>
            </w:pPr>
          </w:p>
        </w:tc>
        <w:tc>
          <w:tcPr>
            <w:tcW w:w="874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25" w:right="239" w:bottom="1440" w:gutter="0" w:footer="0" w:header="0"/>
        </w:sectPr>
      </w:pPr>
    </w:p>
    <w:bookmarkStart w:id="113" w:name="page114"/>
    <w:bookmarkEnd w:id="113"/>
    <w:tbl>
      <w:tblPr>
        <w:tblLayout w:type="fixed"/>
        <w:tblInd w:w="0" w:type="dxa"/>
        <w:tblCellMar>
          <w:top w:w="0" w:type="dxa"/>
          <w:left w:w="0" w:type="dxa"/>
          <w:bottom w:w="0" w:type="dxa"/>
          <w:right w:w="0" w:type="dxa"/>
        </w:tblCellMar>
      </w:tblPr>
      <w:tr>
        <w:trPr>
          <w:trHeight w:val="222"/>
        </w:trPr>
        <w:tc>
          <w:tcPr>
            <w:tcW w:w="2640" w:type="dxa"/>
            <w:vAlign w:val="bottom"/>
          </w:tcPr>
          <w:p>
            <w:pPr>
              <w:spacing w:after="0"/>
              <w:rPr>
                <w:sz w:val="20"/>
                <w:szCs w:val="20"/>
                <w:color w:val="auto"/>
              </w:rPr>
            </w:pPr>
            <w:r>
              <w:rPr>
                <w:rFonts w:ascii="Arial" w:cs="Arial" w:eastAsia="Arial" w:hAnsi="Arial"/>
                <w:sz w:val="18"/>
                <w:szCs w:val="18"/>
                <w:b w:val="1"/>
                <w:bCs w:val="1"/>
                <w:color w:val="auto"/>
              </w:rPr>
              <w:t>"net smelter return royalty"</w:t>
            </w:r>
          </w:p>
        </w:tc>
        <w:tc>
          <w:tcPr>
            <w:tcW w:w="8780" w:type="dxa"/>
            <w:vAlign w:val="bottom"/>
          </w:tcPr>
          <w:p>
            <w:pPr>
              <w:ind w:left="480"/>
              <w:spacing w:after="0"/>
              <w:rPr>
                <w:sz w:val="20"/>
                <w:szCs w:val="20"/>
                <w:color w:val="auto"/>
              </w:rPr>
            </w:pPr>
            <w:r>
              <w:rPr>
                <w:rFonts w:ascii="Arial" w:cs="Arial" w:eastAsia="Arial" w:hAnsi="Arial"/>
                <w:sz w:val="18"/>
                <w:szCs w:val="18"/>
                <w:color w:val="auto"/>
                <w:w w:val="88"/>
              </w:rPr>
              <w:t>A phrase used to describe a royalty payment made by a producer of metals based on gross metal production from the</w:t>
            </w:r>
          </w:p>
        </w:tc>
      </w:tr>
      <w:tr>
        <w:trPr>
          <w:trHeight w:val="222"/>
        </w:trPr>
        <w:tc>
          <w:tcPr>
            <w:tcW w:w="2640" w:type="dxa"/>
            <w:vAlign w:val="bottom"/>
          </w:tcPr>
          <w:p>
            <w:pPr>
              <w:spacing w:after="0"/>
              <w:rPr>
                <w:sz w:val="19"/>
                <w:szCs w:val="19"/>
                <w:color w:val="auto"/>
              </w:rPr>
            </w:pPr>
          </w:p>
        </w:tc>
        <w:tc>
          <w:tcPr>
            <w:tcW w:w="8780" w:type="dxa"/>
            <w:vAlign w:val="bottom"/>
          </w:tcPr>
          <w:p>
            <w:pPr>
              <w:ind w:left="480"/>
              <w:spacing w:after="0"/>
              <w:rPr>
                <w:sz w:val="20"/>
                <w:szCs w:val="20"/>
                <w:color w:val="auto"/>
              </w:rPr>
            </w:pPr>
            <w:r>
              <w:rPr>
                <w:rFonts w:ascii="Arial" w:cs="Arial" w:eastAsia="Arial" w:hAnsi="Arial"/>
                <w:sz w:val="18"/>
                <w:szCs w:val="18"/>
                <w:color w:val="auto"/>
                <w:w w:val="93"/>
              </w:rPr>
              <w:t>property, less deduction of certain limited costs including smelting, refining, transportation and insurance costs.</w:t>
            </w:r>
          </w:p>
        </w:tc>
      </w:tr>
      <w:tr>
        <w:trPr>
          <w:trHeight w:val="459"/>
        </w:trPr>
        <w:tc>
          <w:tcPr>
            <w:tcW w:w="2640" w:type="dxa"/>
            <w:vAlign w:val="bottom"/>
          </w:tcPr>
          <w:p>
            <w:pPr>
              <w:spacing w:after="0"/>
              <w:rPr>
                <w:sz w:val="20"/>
                <w:szCs w:val="20"/>
                <w:color w:val="auto"/>
              </w:rPr>
            </w:pPr>
            <w:r>
              <w:rPr>
                <w:rFonts w:ascii="Arial" w:cs="Arial" w:eastAsia="Arial" w:hAnsi="Arial"/>
                <w:sz w:val="18"/>
                <w:szCs w:val="18"/>
                <w:b w:val="1"/>
                <w:bCs w:val="1"/>
                <w:color w:val="auto"/>
              </w:rPr>
              <w:t>"orogenic gold deposit"</w:t>
            </w:r>
          </w:p>
        </w:tc>
        <w:tc>
          <w:tcPr>
            <w:tcW w:w="8780" w:type="dxa"/>
            <w:vAlign w:val="bottom"/>
          </w:tcPr>
          <w:p>
            <w:pPr>
              <w:ind w:left="480"/>
              <w:spacing w:after="0"/>
              <w:rPr>
                <w:sz w:val="20"/>
                <w:szCs w:val="20"/>
                <w:color w:val="auto"/>
              </w:rPr>
            </w:pPr>
            <w:r>
              <w:rPr>
                <w:rFonts w:ascii="Arial" w:cs="Arial" w:eastAsia="Arial" w:hAnsi="Arial"/>
                <w:sz w:val="18"/>
                <w:szCs w:val="18"/>
                <w:color w:val="auto"/>
                <w:w w:val="97"/>
              </w:rPr>
              <w:t>A gold deposit formed by volcanism, subduction, plate divergence, folding or the movement of fault blocks.</w:t>
            </w:r>
          </w:p>
        </w:tc>
      </w:tr>
      <w:tr>
        <w:trPr>
          <w:trHeight w:val="459"/>
        </w:trPr>
        <w:tc>
          <w:tcPr>
            <w:tcW w:w="2640" w:type="dxa"/>
            <w:vAlign w:val="bottom"/>
          </w:tcPr>
          <w:p>
            <w:pPr>
              <w:spacing w:after="0"/>
              <w:rPr>
                <w:sz w:val="20"/>
                <w:szCs w:val="20"/>
                <w:color w:val="auto"/>
              </w:rPr>
            </w:pPr>
            <w:r>
              <w:rPr>
                <w:rFonts w:ascii="Arial" w:cs="Arial" w:eastAsia="Arial" w:hAnsi="Arial"/>
                <w:sz w:val="18"/>
                <w:szCs w:val="18"/>
                <w:b w:val="1"/>
                <w:bCs w:val="1"/>
                <w:color w:val="auto"/>
              </w:rPr>
              <w:t>"ounce"</w:t>
            </w:r>
          </w:p>
        </w:tc>
        <w:tc>
          <w:tcPr>
            <w:tcW w:w="8780" w:type="dxa"/>
            <w:vAlign w:val="bottom"/>
          </w:tcPr>
          <w:p>
            <w:pPr>
              <w:ind w:left="480"/>
              <w:spacing w:after="0"/>
              <w:rPr>
                <w:sz w:val="20"/>
                <w:szCs w:val="20"/>
                <w:color w:val="auto"/>
              </w:rPr>
            </w:pPr>
            <w:r>
              <w:rPr>
                <w:rFonts w:ascii="Arial" w:cs="Arial" w:eastAsia="Arial" w:hAnsi="Arial"/>
                <w:sz w:val="18"/>
                <w:szCs w:val="18"/>
                <w:color w:val="auto"/>
              </w:rPr>
              <w:t>1 troy ounce = 31.103 grams.</w:t>
            </w:r>
          </w:p>
        </w:tc>
      </w:tr>
      <w:tr>
        <w:trPr>
          <w:trHeight w:val="459"/>
        </w:trPr>
        <w:tc>
          <w:tcPr>
            <w:tcW w:w="2640" w:type="dxa"/>
            <w:vAlign w:val="bottom"/>
          </w:tcPr>
          <w:p>
            <w:pPr>
              <w:spacing w:after="0"/>
              <w:rPr>
                <w:sz w:val="20"/>
                <w:szCs w:val="20"/>
                <w:color w:val="auto"/>
              </w:rPr>
            </w:pPr>
            <w:r>
              <w:rPr>
                <w:rFonts w:ascii="Arial" w:cs="Arial" w:eastAsia="Arial" w:hAnsi="Arial"/>
                <w:sz w:val="18"/>
                <w:szCs w:val="18"/>
                <w:b w:val="1"/>
                <w:bCs w:val="1"/>
                <w:color w:val="auto"/>
              </w:rPr>
              <w:t>"outcrop"</w:t>
            </w:r>
          </w:p>
        </w:tc>
        <w:tc>
          <w:tcPr>
            <w:tcW w:w="8780" w:type="dxa"/>
            <w:vAlign w:val="bottom"/>
          </w:tcPr>
          <w:p>
            <w:pPr>
              <w:ind w:left="480"/>
              <w:spacing w:after="0"/>
              <w:rPr>
                <w:sz w:val="20"/>
                <w:szCs w:val="20"/>
                <w:color w:val="auto"/>
              </w:rPr>
            </w:pPr>
            <w:r>
              <w:rPr>
                <w:rFonts w:ascii="Arial" w:cs="Arial" w:eastAsia="Arial" w:hAnsi="Arial"/>
                <w:sz w:val="18"/>
                <w:szCs w:val="18"/>
                <w:color w:val="auto"/>
              </w:rPr>
              <w:t>An exposure of bedrock at the surface.</w:t>
            </w:r>
          </w:p>
        </w:tc>
      </w:tr>
      <w:tr>
        <w:trPr>
          <w:trHeight w:val="453"/>
        </w:trPr>
        <w:tc>
          <w:tcPr>
            <w:tcW w:w="2640" w:type="dxa"/>
            <w:vAlign w:val="bottom"/>
          </w:tcPr>
          <w:p>
            <w:pPr>
              <w:spacing w:after="0"/>
              <w:rPr>
                <w:sz w:val="20"/>
                <w:szCs w:val="20"/>
                <w:color w:val="auto"/>
              </w:rPr>
            </w:pPr>
            <w:r>
              <w:rPr>
                <w:rFonts w:ascii="Arial" w:cs="Arial" w:eastAsia="Arial" w:hAnsi="Arial"/>
                <w:sz w:val="18"/>
                <w:szCs w:val="18"/>
                <w:b w:val="1"/>
                <w:bCs w:val="1"/>
                <w:color w:val="auto"/>
              </w:rPr>
              <w:t>"oxidation"</w:t>
            </w:r>
          </w:p>
        </w:tc>
        <w:tc>
          <w:tcPr>
            <w:tcW w:w="8780" w:type="dxa"/>
            <w:vAlign w:val="bottom"/>
          </w:tcPr>
          <w:p>
            <w:pPr>
              <w:ind w:left="480"/>
              <w:spacing w:after="0"/>
              <w:rPr>
                <w:sz w:val="20"/>
                <w:szCs w:val="20"/>
                <w:color w:val="auto"/>
              </w:rPr>
            </w:pPr>
            <w:r>
              <w:rPr>
                <w:rFonts w:ascii="Arial" w:cs="Arial" w:eastAsia="Arial" w:hAnsi="Arial"/>
                <w:sz w:val="18"/>
                <w:szCs w:val="18"/>
                <w:color w:val="auto"/>
                <w:w w:val="94"/>
              </w:rPr>
              <w:t>A chemical reaction caused by exposure to oxygen, which results in a change in the chemical composition of a</w:t>
            </w:r>
          </w:p>
        </w:tc>
      </w:tr>
      <w:tr>
        <w:trPr>
          <w:trHeight w:val="222"/>
        </w:trPr>
        <w:tc>
          <w:tcPr>
            <w:tcW w:w="2640" w:type="dxa"/>
            <w:vAlign w:val="bottom"/>
          </w:tcPr>
          <w:p>
            <w:pPr>
              <w:spacing w:after="0"/>
              <w:rPr>
                <w:sz w:val="19"/>
                <w:szCs w:val="19"/>
                <w:color w:val="auto"/>
              </w:rPr>
            </w:pPr>
          </w:p>
        </w:tc>
        <w:tc>
          <w:tcPr>
            <w:tcW w:w="8780" w:type="dxa"/>
            <w:vAlign w:val="bottom"/>
          </w:tcPr>
          <w:p>
            <w:pPr>
              <w:ind w:left="480"/>
              <w:spacing w:after="0"/>
              <w:rPr>
                <w:sz w:val="20"/>
                <w:szCs w:val="20"/>
                <w:color w:val="auto"/>
              </w:rPr>
            </w:pPr>
            <w:r>
              <w:rPr>
                <w:rFonts w:ascii="Arial" w:cs="Arial" w:eastAsia="Arial" w:hAnsi="Arial"/>
                <w:sz w:val="18"/>
                <w:szCs w:val="18"/>
                <w:color w:val="auto"/>
              </w:rPr>
              <w:t>mineral.</w:t>
            </w:r>
          </w:p>
        </w:tc>
      </w:tr>
      <w:tr>
        <w:trPr>
          <w:trHeight w:val="459"/>
        </w:trPr>
        <w:tc>
          <w:tcPr>
            <w:tcW w:w="2640" w:type="dxa"/>
            <w:vAlign w:val="bottom"/>
          </w:tcPr>
          <w:p>
            <w:pPr>
              <w:spacing w:after="0"/>
              <w:rPr>
                <w:sz w:val="20"/>
                <w:szCs w:val="20"/>
                <w:color w:val="auto"/>
              </w:rPr>
            </w:pPr>
            <w:r>
              <w:rPr>
                <w:rFonts w:ascii="Arial" w:cs="Arial" w:eastAsia="Arial" w:hAnsi="Arial"/>
                <w:sz w:val="18"/>
                <w:szCs w:val="18"/>
                <w:b w:val="1"/>
                <w:bCs w:val="1"/>
                <w:color w:val="auto"/>
              </w:rPr>
              <w:t>"oxidative"</w:t>
            </w:r>
          </w:p>
        </w:tc>
        <w:tc>
          <w:tcPr>
            <w:tcW w:w="8780" w:type="dxa"/>
            <w:vAlign w:val="bottom"/>
          </w:tcPr>
          <w:p>
            <w:pPr>
              <w:ind w:left="480"/>
              <w:spacing w:after="0"/>
              <w:rPr>
                <w:sz w:val="20"/>
                <w:szCs w:val="20"/>
                <w:color w:val="auto"/>
              </w:rPr>
            </w:pPr>
            <w:r>
              <w:rPr>
                <w:rFonts w:ascii="Arial" w:cs="Arial" w:eastAsia="Arial" w:hAnsi="Arial"/>
                <w:sz w:val="18"/>
                <w:szCs w:val="18"/>
                <w:color w:val="auto"/>
              </w:rPr>
              <w:t>Descriptive of an oxidation reaction.</w:t>
            </w:r>
          </w:p>
        </w:tc>
      </w:tr>
      <w:tr>
        <w:trPr>
          <w:trHeight w:val="459"/>
        </w:trPr>
        <w:tc>
          <w:tcPr>
            <w:tcW w:w="2640" w:type="dxa"/>
            <w:vAlign w:val="bottom"/>
          </w:tcPr>
          <w:p>
            <w:pPr>
              <w:spacing w:after="0"/>
              <w:rPr>
                <w:sz w:val="20"/>
                <w:szCs w:val="20"/>
                <w:color w:val="auto"/>
              </w:rPr>
            </w:pPr>
            <w:r>
              <w:rPr>
                <w:rFonts w:ascii="Arial" w:cs="Arial" w:eastAsia="Arial" w:hAnsi="Arial"/>
                <w:sz w:val="18"/>
                <w:szCs w:val="18"/>
                <w:b w:val="1"/>
                <w:bCs w:val="1"/>
                <w:color w:val="auto"/>
              </w:rPr>
              <w:t>"phenocryst"</w:t>
            </w:r>
          </w:p>
        </w:tc>
        <w:tc>
          <w:tcPr>
            <w:tcW w:w="8780" w:type="dxa"/>
            <w:vAlign w:val="bottom"/>
          </w:tcPr>
          <w:p>
            <w:pPr>
              <w:ind w:left="480"/>
              <w:spacing w:after="0"/>
              <w:rPr>
                <w:sz w:val="20"/>
                <w:szCs w:val="20"/>
                <w:color w:val="auto"/>
              </w:rPr>
            </w:pPr>
            <w:r>
              <w:rPr>
                <w:rFonts w:ascii="Arial" w:cs="Arial" w:eastAsia="Arial" w:hAnsi="Arial"/>
                <w:sz w:val="18"/>
                <w:szCs w:val="18"/>
                <w:color w:val="auto"/>
              </w:rPr>
              <w:t>A term for large crystals or mineral grains occurring in the matrix or groundmass of a porphyry.</w:t>
            </w:r>
          </w:p>
        </w:tc>
      </w:tr>
      <w:tr>
        <w:trPr>
          <w:trHeight w:val="459"/>
        </w:trPr>
        <w:tc>
          <w:tcPr>
            <w:tcW w:w="2640" w:type="dxa"/>
            <w:vAlign w:val="bottom"/>
          </w:tcPr>
          <w:p>
            <w:pPr>
              <w:spacing w:after="0"/>
              <w:rPr>
                <w:sz w:val="20"/>
                <w:szCs w:val="20"/>
                <w:color w:val="auto"/>
              </w:rPr>
            </w:pPr>
            <w:r>
              <w:rPr>
                <w:rFonts w:ascii="Arial" w:cs="Arial" w:eastAsia="Arial" w:hAnsi="Arial"/>
                <w:sz w:val="18"/>
                <w:szCs w:val="18"/>
                <w:b w:val="1"/>
                <w:bCs w:val="1"/>
                <w:color w:val="auto"/>
              </w:rPr>
              <w:t>"plunge"</w:t>
            </w:r>
          </w:p>
        </w:tc>
        <w:tc>
          <w:tcPr>
            <w:tcW w:w="8780" w:type="dxa"/>
            <w:vAlign w:val="bottom"/>
          </w:tcPr>
          <w:p>
            <w:pPr>
              <w:ind w:left="480"/>
              <w:spacing w:after="0"/>
              <w:rPr>
                <w:sz w:val="20"/>
                <w:szCs w:val="20"/>
                <w:color w:val="auto"/>
              </w:rPr>
            </w:pPr>
            <w:r>
              <w:rPr>
                <w:rFonts w:ascii="Arial" w:cs="Arial" w:eastAsia="Arial" w:hAnsi="Arial"/>
                <w:sz w:val="18"/>
                <w:szCs w:val="18"/>
                <w:color w:val="auto"/>
                <w:w w:val="96"/>
              </w:rPr>
              <w:t>The inclination of a fold axis or other linear structure from a horizontal plane, measured in the vertical plane.</w:t>
            </w:r>
          </w:p>
        </w:tc>
      </w:tr>
      <w:tr>
        <w:trPr>
          <w:trHeight w:val="453"/>
        </w:trPr>
        <w:tc>
          <w:tcPr>
            <w:tcW w:w="2640" w:type="dxa"/>
            <w:vAlign w:val="bottom"/>
          </w:tcPr>
          <w:p>
            <w:pPr>
              <w:spacing w:after="0"/>
              <w:rPr>
                <w:sz w:val="20"/>
                <w:szCs w:val="20"/>
                <w:color w:val="auto"/>
              </w:rPr>
            </w:pPr>
            <w:r>
              <w:rPr>
                <w:rFonts w:ascii="Arial" w:cs="Arial" w:eastAsia="Arial" w:hAnsi="Arial"/>
                <w:sz w:val="18"/>
                <w:szCs w:val="18"/>
                <w:b w:val="1"/>
                <w:bCs w:val="1"/>
                <w:color w:val="auto"/>
              </w:rPr>
              <w:t>"polydeformed"</w:t>
            </w:r>
          </w:p>
        </w:tc>
        <w:tc>
          <w:tcPr>
            <w:tcW w:w="8780" w:type="dxa"/>
            <w:vAlign w:val="bottom"/>
          </w:tcPr>
          <w:p>
            <w:pPr>
              <w:ind w:left="480"/>
              <w:spacing w:after="0"/>
              <w:rPr>
                <w:sz w:val="20"/>
                <w:szCs w:val="20"/>
                <w:color w:val="auto"/>
              </w:rPr>
            </w:pPr>
            <w:r>
              <w:rPr>
                <w:rFonts w:ascii="Arial" w:cs="Arial" w:eastAsia="Arial" w:hAnsi="Arial"/>
                <w:sz w:val="18"/>
                <w:szCs w:val="18"/>
                <w:color w:val="auto"/>
                <w:w w:val="88"/>
              </w:rPr>
              <w:t>A rock that has been subjected to more than one instance of folding, faulting, shearing, compression or extension as a</w:t>
            </w:r>
          </w:p>
        </w:tc>
      </w:tr>
      <w:tr>
        <w:trPr>
          <w:trHeight w:val="222"/>
        </w:trPr>
        <w:tc>
          <w:tcPr>
            <w:tcW w:w="2640" w:type="dxa"/>
            <w:vAlign w:val="bottom"/>
          </w:tcPr>
          <w:p>
            <w:pPr>
              <w:spacing w:after="0"/>
              <w:rPr>
                <w:sz w:val="19"/>
                <w:szCs w:val="19"/>
                <w:color w:val="auto"/>
              </w:rPr>
            </w:pPr>
          </w:p>
        </w:tc>
        <w:tc>
          <w:tcPr>
            <w:tcW w:w="8780" w:type="dxa"/>
            <w:vAlign w:val="bottom"/>
          </w:tcPr>
          <w:p>
            <w:pPr>
              <w:ind w:left="480"/>
              <w:spacing w:after="0"/>
              <w:rPr>
                <w:sz w:val="20"/>
                <w:szCs w:val="20"/>
                <w:color w:val="auto"/>
              </w:rPr>
            </w:pPr>
            <w:r>
              <w:rPr>
                <w:rFonts w:ascii="Arial" w:cs="Arial" w:eastAsia="Arial" w:hAnsi="Arial"/>
                <w:sz w:val="18"/>
                <w:szCs w:val="18"/>
                <w:color w:val="auto"/>
              </w:rPr>
              <w:t>result of various tectonic forces.</w:t>
            </w:r>
          </w:p>
        </w:tc>
      </w:tr>
      <w:tr>
        <w:trPr>
          <w:trHeight w:val="459"/>
        </w:trPr>
        <w:tc>
          <w:tcPr>
            <w:tcW w:w="2640" w:type="dxa"/>
            <w:vAlign w:val="bottom"/>
          </w:tcPr>
          <w:p>
            <w:pPr>
              <w:spacing w:after="0"/>
              <w:rPr>
                <w:sz w:val="20"/>
                <w:szCs w:val="20"/>
                <w:color w:val="auto"/>
              </w:rPr>
            </w:pPr>
            <w:r>
              <w:rPr>
                <w:rFonts w:ascii="Arial" w:cs="Arial" w:eastAsia="Arial" w:hAnsi="Arial"/>
                <w:sz w:val="18"/>
                <w:szCs w:val="18"/>
                <w:b w:val="1"/>
                <w:bCs w:val="1"/>
                <w:color w:val="auto"/>
              </w:rPr>
              <w:t>"porphyritic"</w:t>
            </w:r>
          </w:p>
        </w:tc>
        <w:tc>
          <w:tcPr>
            <w:tcW w:w="8780" w:type="dxa"/>
            <w:vAlign w:val="bottom"/>
          </w:tcPr>
          <w:p>
            <w:pPr>
              <w:ind w:left="480"/>
              <w:spacing w:after="0"/>
              <w:rPr>
                <w:sz w:val="20"/>
                <w:szCs w:val="20"/>
                <w:color w:val="auto"/>
              </w:rPr>
            </w:pPr>
            <w:r>
              <w:rPr>
                <w:rFonts w:ascii="Arial" w:cs="Arial" w:eastAsia="Arial" w:hAnsi="Arial"/>
                <w:sz w:val="18"/>
                <w:szCs w:val="18"/>
                <w:color w:val="auto"/>
              </w:rPr>
              <w:t>Rock texture in which one or more minerals has a larger grain size than the accompanying minerals.</w:t>
            </w:r>
          </w:p>
        </w:tc>
      </w:tr>
      <w:tr>
        <w:trPr>
          <w:trHeight w:val="459"/>
        </w:trPr>
        <w:tc>
          <w:tcPr>
            <w:tcW w:w="2640" w:type="dxa"/>
            <w:vAlign w:val="bottom"/>
          </w:tcPr>
          <w:p>
            <w:pPr>
              <w:spacing w:after="0"/>
              <w:rPr>
                <w:sz w:val="20"/>
                <w:szCs w:val="20"/>
                <w:color w:val="auto"/>
              </w:rPr>
            </w:pPr>
            <w:r>
              <w:rPr>
                <w:rFonts w:ascii="Arial" w:cs="Arial" w:eastAsia="Arial" w:hAnsi="Arial"/>
                <w:sz w:val="18"/>
                <w:szCs w:val="18"/>
                <w:b w:val="1"/>
                <w:bCs w:val="1"/>
                <w:color w:val="auto"/>
              </w:rPr>
              <w:t>"porphyry"</w:t>
            </w:r>
          </w:p>
        </w:tc>
        <w:tc>
          <w:tcPr>
            <w:tcW w:w="8780" w:type="dxa"/>
            <w:vAlign w:val="bottom"/>
          </w:tcPr>
          <w:p>
            <w:pPr>
              <w:ind w:left="480"/>
              <w:spacing w:after="0"/>
              <w:rPr>
                <w:sz w:val="20"/>
                <w:szCs w:val="20"/>
                <w:color w:val="auto"/>
              </w:rPr>
            </w:pPr>
            <w:r>
              <w:rPr>
                <w:rFonts w:ascii="Arial" w:cs="Arial" w:eastAsia="Arial" w:hAnsi="Arial"/>
                <w:sz w:val="18"/>
                <w:szCs w:val="18"/>
                <w:color w:val="auto"/>
                <w:w w:val="96"/>
              </w:rPr>
              <w:t>Any igneous rock in which relatively large crystals, called phenocrysts, are set in a fine-grained groundmass.</w:t>
            </w:r>
          </w:p>
        </w:tc>
      </w:tr>
      <w:tr>
        <w:trPr>
          <w:trHeight w:val="459"/>
        </w:trPr>
        <w:tc>
          <w:tcPr>
            <w:tcW w:w="2640" w:type="dxa"/>
            <w:vAlign w:val="bottom"/>
          </w:tcPr>
          <w:p>
            <w:pPr>
              <w:spacing w:after="0"/>
              <w:rPr>
                <w:sz w:val="20"/>
                <w:szCs w:val="20"/>
                <w:color w:val="auto"/>
              </w:rPr>
            </w:pPr>
            <w:r>
              <w:rPr>
                <w:rFonts w:ascii="Arial" w:cs="Arial" w:eastAsia="Arial" w:hAnsi="Arial"/>
                <w:sz w:val="18"/>
                <w:szCs w:val="18"/>
                <w:b w:val="1"/>
                <w:bCs w:val="1"/>
                <w:color w:val="auto"/>
              </w:rPr>
              <w:t>"post-mineralization"</w:t>
            </w:r>
          </w:p>
        </w:tc>
        <w:tc>
          <w:tcPr>
            <w:tcW w:w="8780" w:type="dxa"/>
            <w:vAlign w:val="bottom"/>
          </w:tcPr>
          <w:p>
            <w:pPr>
              <w:ind w:left="480"/>
              <w:spacing w:after="0"/>
              <w:rPr>
                <w:sz w:val="20"/>
                <w:szCs w:val="20"/>
                <w:color w:val="auto"/>
              </w:rPr>
            </w:pPr>
            <w:r>
              <w:rPr>
                <w:rFonts w:ascii="Arial" w:cs="Arial" w:eastAsia="Arial" w:hAnsi="Arial"/>
                <w:sz w:val="18"/>
                <w:szCs w:val="18"/>
                <w:color w:val="auto"/>
              </w:rPr>
              <w:t>Occurring after the mineralizing event has taken place.</w:t>
            </w:r>
          </w:p>
        </w:tc>
      </w:tr>
      <w:tr>
        <w:trPr>
          <w:trHeight w:val="459"/>
        </w:trPr>
        <w:tc>
          <w:tcPr>
            <w:tcW w:w="2640" w:type="dxa"/>
            <w:vAlign w:val="bottom"/>
          </w:tcPr>
          <w:p>
            <w:pPr>
              <w:spacing w:after="0"/>
              <w:rPr>
                <w:sz w:val="20"/>
                <w:szCs w:val="20"/>
                <w:color w:val="auto"/>
              </w:rPr>
            </w:pPr>
            <w:r>
              <w:rPr>
                <w:rFonts w:ascii="Arial" w:cs="Arial" w:eastAsia="Arial" w:hAnsi="Arial"/>
                <w:sz w:val="18"/>
                <w:szCs w:val="18"/>
                <w:b w:val="1"/>
                <w:bCs w:val="1"/>
                <w:color w:val="auto"/>
              </w:rPr>
              <w:t>"pre-mineralization"</w:t>
            </w:r>
          </w:p>
        </w:tc>
        <w:tc>
          <w:tcPr>
            <w:tcW w:w="8780" w:type="dxa"/>
            <w:vAlign w:val="bottom"/>
          </w:tcPr>
          <w:p>
            <w:pPr>
              <w:ind w:left="480"/>
              <w:spacing w:after="0"/>
              <w:rPr>
                <w:sz w:val="20"/>
                <w:szCs w:val="20"/>
                <w:color w:val="auto"/>
              </w:rPr>
            </w:pPr>
            <w:r>
              <w:rPr>
                <w:rFonts w:ascii="Arial" w:cs="Arial" w:eastAsia="Arial" w:hAnsi="Arial"/>
                <w:sz w:val="18"/>
                <w:szCs w:val="18"/>
                <w:color w:val="auto"/>
              </w:rPr>
              <w:t>Occurring before the mineralizing event has taken place.</w:t>
            </w:r>
          </w:p>
        </w:tc>
      </w:tr>
      <w:tr>
        <w:trPr>
          <w:trHeight w:val="453"/>
        </w:trPr>
        <w:tc>
          <w:tcPr>
            <w:tcW w:w="2640" w:type="dxa"/>
            <w:vAlign w:val="bottom"/>
          </w:tcPr>
          <w:p>
            <w:pPr>
              <w:spacing w:after="0"/>
              <w:rPr>
                <w:sz w:val="20"/>
                <w:szCs w:val="20"/>
                <w:color w:val="auto"/>
              </w:rPr>
            </w:pPr>
            <w:r>
              <w:rPr>
                <w:rFonts w:ascii="Arial" w:cs="Arial" w:eastAsia="Arial" w:hAnsi="Arial"/>
                <w:sz w:val="18"/>
                <w:szCs w:val="18"/>
                <w:b w:val="1"/>
                <w:bCs w:val="1"/>
                <w:color w:val="auto"/>
              </w:rPr>
              <w:t>"pressure oxidation process"</w:t>
            </w:r>
          </w:p>
        </w:tc>
        <w:tc>
          <w:tcPr>
            <w:tcW w:w="8780" w:type="dxa"/>
            <w:vAlign w:val="bottom"/>
          </w:tcPr>
          <w:p>
            <w:pPr>
              <w:ind w:left="480"/>
              <w:spacing w:after="0"/>
              <w:rPr>
                <w:sz w:val="20"/>
                <w:szCs w:val="20"/>
                <w:color w:val="auto"/>
              </w:rPr>
            </w:pPr>
            <w:r>
              <w:rPr>
                <w:rFonts w:ascii="Arial" w:cs="Arial" w:eastAsia="Arial" w:hAnsi="Arial"/>
                <w:sz w:val="18"/>
                <w:szCs w:val="18"/>
                <w:color w:val="auto"/>
                <w:w w:val="89"/>
              </w:rPr>
              <w:t>A process by which sulphide minerals are oxidized in order to expose gold that is encapsulated in the mineral lattice.</w:t>
            </w:r>
          </w:p>
        </w:tc>
      </w:tr>
      <w:tr>
        <w:trPr>
          <w:trHeight w:val="216"/>
        </w:trPr>
        <w:tc>
          <w:tcPr>
            <w:tcW w:w="2640" w:type="dxa"/>
            <w:vAlign w:val="bottom"/>
          </w:tcPr>
          <w:p>
            <w:pPr>
              <w:spacing w:after="0"/>
              <w:rPr>
                <w:sz w:val="18"/>
                <w:szCs w:val="18"/>
                <w:color w:val="auto"/>
              </w:rPr>
            </w:pPr>
          </w:p>
        </w:tc>
        <w:tc>
          <w:tcPr>
            <w:tcW w:w="8780" w:type="dxa"/>
            <w:vAlign w:val="bottom"/>
          </w:tcPr>
          <w:p>
            <w:pPr>
              <w:ind w:left="480"/>
              <w:spacing w:after="0"/>
              <w:rPr>
                <w:sz w:val="20"/>
                <w:szCs w:val="20"/>
                <w:color w:val="auto"/>
              </w:rPr>
            </w:pPr>
            <w:r>
              <w:rPr>
                <w:rFonts w:ascii="Arial" w:cs="Arial" w:eastAsia="Arial" w:hAnsi="Arial"/>
                <w:sz w:val="18"/>
                <w:szCs w:val="18"/>
                <w:color w:val="auto"/>
                <w:w w:val="88"/>
              </w:rPr>
              <w:t>The main component of a pressure oxidation circuit consists of one or more pressurized vessels (autoclaves). Oxygen</w:t>
            </w:r>
          </w:p>
        </w:tc>
      </w:tr>
      <w:tr>
        <w:trPr>
          <w:trHeight w:val="222"/>
        </w:trPr>
        <w:tc>
          <w:tcPr>
            <w:tcW w:w="2640" w:type="dxa"/>
            <w:vAlign w:val="bottom"/>
          </w:tcPr>
          <w:p>
            <w:pPr>
              <w:spacing w:after="0"/>
              <w:rPr>
                <w:sz w:val="19"/>
                <w:szCs w:val="19"/>
                <w:color w:val="auto"/>
              </w:rPr>
            </w:pPr>
          </w:p>
        </w:tc>
        <w:tc>
          <w:tcPr>
            <w:tcW w:w="8780" w:type="dxa"/>
            <w:vAlign w:val="bottom"/>
          </w:tcPr>
          <w:p>
            <w:pPr>
              <w:ind w:left="480"/>
              <w:spacing w:after="0"/>
              <w:rPr>
                <w:sz w:val="20"/>
                <w:szCs w:val="20"/>
                <w:color w:val="auto"/>
              </w:rPr>
            </w:pPr>
            <w:r>
              <w:rPr>
                <w:rFonts w:ascii="Arial" w:cs="Arial" w:eastAsia="Arial" w:hAnsi="Arial"/>
                <w:sz w:val="18"/>
                <w:szCs w:val="18"/>
                <w:color w:val="auto"/>
              </w:rPr>
              <w:t>level, process temperature and acidity are the primary control parameters of such units.</w:t>
            </w:r>
          </w:p>
        </w:tc>
      </w:tr>
      <w:tr>
        <w:trPr>
          <w:trHeight w:val="459"/>
        </w:trPr>
        <w:tc>
          <w:tcPr>
            <w:tcW w:w="2640" w:type="dxa"/>
            <w:vAlign w:val="bottom"/>
          </w:tcPr>
          <w:p>
            <w:pPr>
              <w:spacing w:after="0"/>
              <w:rPr>
                <w:sz w:val="20"/>
                <w:szCs w:val="20"/>
                <w:color w:val="auto"/>
              </w:rPr>
            </w:pPr>
            <w:r>
              <w:rPr>
                <w:rFonts w:ascii="Arial" w:cs="Arial" w:eastAsia="Arial" w:hAnsi="Arial"/>
                <w:sz w:val="18"/>
                <w:szCs w:val="18"/>
                <w:b w:val="1"/>
                <w:bCs w:val="1"/>
                <w:color w:val="auto"/>
              </w:rPr>
              <w:t>"probable mineral reserve"</w:t>
            </w:r>
          </w:p>
        </w:tc>
        <w:tc>
          <w:tcPr>
            <w:tcW w:w="8780" w:type="dxa"/>
            <w:vAlign w:val="bottom"/>
          </w:tcPr>
          <w:p>
            <w:pPr>
              <w:ind w:left="480"/>
              <w:spacing w:after="0"/>
              <w:rPr>
                <w:sz w:val="20"/>
                <w:szCs w:val="20"/>
                <w:color w:val="auto"/>
              </w:rPr>
            </w:pPr>
            <w:r>
              <w:rPr>
                <w:rFonts w:ascii="Arial" w:cs="Arial" w:eastAsia="Arial" w:hAnsi="Arial"/>
                <w:sz w:val="18"/>
                <w:szCs w:val="18"/>
                <w:color w:val="auto"/>
              </w:rPr>
              <w:t>The economically mineable part of an indicated mineral resource demonstrated by a feasibility study.</w:t>
            </w:r>
          </w:p>
        </w:tc>
      </w:tr>
      <w:tr>
        <w:trPr>
          <w:trHeight w:val="459"/>
        </w:trPr>
        <w:tc>
          <w:tcPr>
            <w:tcW w:w="2640" w:type="dxa"/>
            <w:vAlign w:val="bottom"/>
          </w:tcPr>
          <w:p>
            <w:pPr>
              <w:spacing w:after="0"/>
              <w:rPr>
                <w:sz w:val="20"/>
                <w:szCs w:val="20"/>
                <w:color w:val="auto"/>
              </w:rPr>
            </w:pPr>
            <w:r>
              <w:rPr>
                <w:rFonts w:ascii="Arial" w:cs="Arial" w:eastAsia="Arial" w:hAnsi="Arial"/>
                <w:sz w:val="18"/>
                <w:szCs w:val="18"/>
                <w:b w:val="1"/>
                <w:bCs w:val="1"/>
                <w:color w:val="auto"/>
              </w:rPr>
              <w:t>"proven mineral reserve"</w:t>
            </w:r>
          </w:p>
        </w:tc>
        <w:tc>
          <w:tcPr>
            <w:tcW w:w="8780" w:type="dxa"/>
            <w:vAlign w:val="bottom"/>
          </w:tcPr>
          <w:p>
            <w:pPr>
              <w:ind w:left="480"/>
              <w:spacing w:after="0"/>
              <w:rPr>
                <w:sz w:val="20"/>
                <w:szCs w:val="20"/>
                <w:color w:val="auto"/>
              </w:rPr>
            </w:pPr>
            <w:r>
              <w:rPr>
                <w:rFonts w:ascii="Arial" w:cs="Arial" w:eastAsia="Arial" w:hAnsi="Arial"/>
                <w:sz w:val="18"/>
                <w:szCs w:val="18"/>
                <w:color w:val="auto"/>
              </w:rPr>
              <w:t>The economically mineable part of a measured mineral resource demonstrated by a feasibility study.</w:t>
            </w:r>
          </w:p>
        </w:tc>
      </w:tr>
      <w:tr>
        <w:trPr>
          <w:trHeight w:val="453"/>
        </w:trPr>
        <w:tc>
          <w:tcPr>
            <w:tcW w:w="2640" w:type="dxa"/>
            <w:vAlign w:val="bottom"/>
          </w:tcPr>
          <w:p>
            <w:pPr>
              <w:spacing w:after="0"/>
              <w:rPr>
                <w:sz w:val="20"/>
                <w:szCs w:val="20"/>
                <w:color w:val="auto"/>
              </w:rPr>
            </w:pPr>
            <w:r>
              <w:rPr>
                <w:rFonts w:ascii="Arial" w:cs="Arial" w:eastAsia="Arial" w:hAnsi="Arial"/>
                <w:sz w:val="18"/>
                <w:szCs w:val="18"/>
                <w:b w:val="1"/>
                <w:bCs w:val="1"/>
                <w:color w:val="auto"/>
              </w:rPr>
              <w:t>"pyroclastic"</w:t>
            </w:r>
          </w:p>
        </w:tc>
        <w:tc>
          <w:tcPr>
            <w:tcW w:w="8780" w:type="dxa"/>
            <w:vAlign w:val="bottom"/>
          </w:tcPr>
          <w:p>
            <w:pPr>
              <w:ind w:left="480"/>
              <w:spacing w:after="0"/>
              <w:rPr>
                <w:sz w:val="20"/>
                <w:szCs w:val="20"/>
                <w:color w:val="auto"/>
              </w:rPr>
            </w:pPr>
            <w:r>
              <w:rPr>
                <w:rFonts w:ascii="Arial" w:cs="Arial" w:eastAsia="Arial" w:hAnsi="Arial"/>
                <w:sz w:val="18"/>
                <w:szCs w:val="18"/>
                <w:color w:val="auto"/>
                <w:w w:val="89"/>
              </w:rPr>
              <w:t>Produced by explosive or aerial ejection of ash, fragments and glassy material from a volcanic vent. Term applicable</w:t>
            </w:r>
          </w:p>
        </w:tc>
      </w:tr>
      <w:tr>
        <w:trPr>
          <w:trHeight w:val="222"/>
        </w:trPr>
        <w:tc>
          <w:tcPr>
            <w:tcW w:w="2640" w:type="dxa"/>
            <w:vAlign w:val="bottom"/>
          </w:tcPr>
          <w:p>
            <w:pPr>
              <w:spacing w:after="0"/>
              <w:rPr>
                <w:sz w:val="19"/>
                <w:szCs w:val="19"/>
                <w:color w:val="auto"/>
              </w:rPr>
            </w:pPr>
          </w:p>
        </w:tc>
        <w:tc>
          <w:tcPr>
            <w:tcW w:w="8780" w:type="dxa"/>
            <w:vAlign w:val="bottom"/>
          </w:tcPr>
          <w:p>
            <w:pPr>
              <w:ind w:left="480"/>
              <w:spacing w:after="0"/>
              <w:rPr>
                <w:sz w:val="20"/>
                <w:szCs w:val="20"/>
                <w:color w:val="auto"/>
              </w:rPr>
            </w:pPr>
            <w:r>
              <w:rPr>
                <w:rFonts w:ascii="Arial" w:cs="Arial" w:eastAsia="Arial" w:hAnsi="Arial"/>
                <w:sz w:val="18"/>
                <w:szCs w:val="18"/>
                <w:color w:val="auto"/>
              </w:rPr>
              <w:t>to the rocks and rock layers as well as to the textures so formed.</w:t>
            </w:r>
          </w:p>
        </w:tc>
      </w:tr>
      <w:tr>
        <w:trPr>
          <w:trHeight w:val="453"/>
        </w:trPr>
        <w:tc>
          <w:tcPr>
            <w:tcW w:w="2640" w:type="dxa"/>
            <w:vAlign w:val="bottom"/>
          </w:tcPr>
          <w:p>
            <w:pPr>
              <w:spacing w:after="0"/>
              <w:rPr>
                <w:sz w:val="20"/>
                <w:szCs w:val="20"/>
                <w:color w:val="auto"/>
              </w:rPr>
            </w:pPr>
            <w:r>
              <w:rPr>
                <w:rFonts w:ascii="Arial" w:cs="Arial" w:eastAsia="Arial" w:hAnsi="Arial"/>
                <w:sz w:val="18"/>
                <w:szCs w:val="18"/>
                <w:b w:val="1"/>
                <w:bCs w:val="1"/>
                <w:color w:val="auto"/>
              </w:rPr>
              <w:t>"recovery"</w:t>
            </w:r>
          </w:p>
        </w:tc>
        <w:tc>
          <w:tcPr>
            <w:tcW w:w="8780" w:type="dxa"/>
            <w:vAlign w:val="bottom"/>
          </w:tcPr>
          <w:p>
            <w:pPr>
              <w:ind w:left="480"/>
              <w:spacing w:after="0"/>
              <w:rPr>
                <w:sz w:val="20"/>
                <w:szCs w:val="20"/>
                <w:color w:val="auto"/>
              </w:rPr>
            </w:pPr>
            <w:r>
              <w:rPr>
                <w:rFonts w:ascii="Arial" w:cs="Arial" w:eastAsia="Arial" w:hAnsi="Arial"/>
                <w:sz w:val="18"/>
                <w:szCs w:val="18"/>
                <w:color w:val="auto"/>
                <w:w w:val="88"/>
              </w:rPr>
              <w:t>A term used in process metallurgy to indicate the proportion of valuable material obtained in the processing of an ore.</w:t>
            </w:r>
          </w:p>
        </w:tc>
      </w:tr>
      <w:tr>
        <w:trPr>
          <w:trHeight w:val="216"/>
        </w:trPr>
        <w:tc>
          <w:tcPr>
            <w:tcW w:w="2640" w:type="dxa"/>
            <w:vAlign w:val="bottom"/>
          </w:tcPr>
          <w:p>
            <w:pPr>
              <w:spacing w:after="0"/>
              <w:rPr>
                <w:sz w:val="18"/>
                <w:szCs w:val="18"/>
                <w:color w:val="auto"/>
              </w:rPr>
            </w:pPr>
          </w:p>
        </w:tc>
        <w:tc>
          <w:tcPr>
            <w:tcW w:w="8780" w:type="dxa"/>
            <w:vAlign w:val="bottom"/>
          </w:tcPr>
          <w:p>
            <w:pPr>
              <w:ind w:left="480"/>
              <w:spacing w:after="0"/>
              <w:rPr>
                <w:sz w:val="20"/>
                <w:szCs w:val="20"/>
                <w:color w:val="auto"/>
              </w:rPr>
            </w:pPr>
            <w:r>
              <w:rPr>
                <w:rFonts w:ascii="Arial" w:cs="Arial" w:eastAsia="Arial" w:hAnsi="Arial"/>
                <w:sz w:val="18"/>
                <w:szCs w:val="18"/>
                <w:color w:val="auto"/>
                <w:w w:val="92"/>
              </w:rPr>
              <w:t>It is generally stated as a percentage of valuable metal in the ore that is recovered compared to the total valuable</w:t>
            </w:r>
          </w:p>
        </w:tc>
      </w:tr>
      <w:tr>
        <w:trPr>
          <w:trHeight w:val="222"/>
        </w:trPr>
        <w:tc>
          <w:tcPr>
            <w:tcW w:w="2640" w:type="dxa"/>
            <w:vAlign w:val="bottom"/>
          </w:tcPr>
          <w:p>
            <w:pPr>
              <w:spacing w:after="0"/>
              <w:rPr>
                <w:sz w:val="19"/>
                <w:szCs w:val="19"/>
                <w:color w:val="auto"/>
              </w:rPr>
            </w:pPr>
          </w:p>
        </w:tc>
        <w:tc>
          <w:tcPr>
            <w:tcW w:w="8780" w:type="dxa"/>
            <w:vAlign w:val="bottom"/>
          </w:tcPr>
          <w:p>
            <w:pPr>
              <w:ind w:left="480"/>
              <w:spacing w:after="0"/>
              <w:rPr>
                <w:sz w:val="20"/>
                <w:szCs w:val="20"/>
                <w:color w:val="auto"/>
              </w:rPr>
            </w:pPr>
            <w:r>
              <w:rPr>
                <w:rFonts w:ascii="Arial" w:cs="Arial" w:eastAsia="Arial" w:hAnsi="Arial"/>
                <w:sz w:val="18"/>
                <w:szCs w:val="18"/>
                <w:color w:val="auto"/>
              </w:rPr>
              <w:t>metal present in the ore before processing.</w:t>
            </w:r>
          </w:p>
        </w:tc>
      </w:tr>
      <w:tr>
        <w:trPr>
          <w:trHeight w:val="432"/>
        </w:trPr>
        <w:tc>
          <w:tcPr>
            <w:tcW w:w="2640" w:type="dxa"/>
            <w:vAlign w:val="bottom"/>
          </w:tcPr>
          <w:p>
            <w:pPr>
              <w:spacing w:after="0"/>
              <w:rPr>
                <w:sz w:val="24"/>
                <w:szCs w:val="24"/>
                <w:color w:val="auto"/>
              </w:rPr>
            </w:pPr>
          </w:p>
        </w:tc>
        <w:tc>
          <w:tcPr>
            <w:tcW w:w="8780" w:type="dxa"/>
            <w:vAlign w:val="bottom"/>
          </w:tcPr>
          <w:p>
            <w:pPr>
              <w:ind w:left="2980"/>
              <w:spacing w:after="0"/>
              <w:rPr>
                <w:sz w:val="20"/>
                <w:szCs w:val="20"/>
                <w:color w:val="auto"/>
              </w:rPr>
            </w:pPr>
            <w:r>
              <w:rPr>
                <w:rFonts w:ascii="Arial" w:cs="Arial" w:eastAsia="Arial" w:hAnsi="Arial"/>
                <w:sz w:val="18"/>
                <w:szCs w:val="18"/>
                <w:color w:val="auto"/>
              </w:rPr>
              <w:t>71</w:t>
            </w:r>
          </w:p>
        </w:tc>
      </w:tr>
      <w:tr>
        <w:trPr>
          <w:trHeight w:val="228"/>
        </w:trPr>
        <w:tc>
          <w:tcPr>
            <w:tcW w:w="2640" w:type="dxa"/>
            <w:vAlign w:val="bottom"/>
            <w:tcBorders>
              <w:bottom w:val="single" w:sz="8" w:color="808080"/>
            </w:tcBorders>
          </w:tcPr>
          <w:p>
            <w:pPr>
              <w:spacing w:after="0"/>
              <w:rPr>
                <w:sz w:val="19"/>
                <w:szCs w:val="19"/>
                <w:color w:val="auto"/>
              </w:rPr>
            </w:pPr>
          </w:p>
        </w:tc>
        <w:tc>
          <w:tcPr>
            <w:tcW w:w="878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25" w:right="239" w:bottom="1440" w:gutter="0" w:footer="0" w:header="0"/>
        </w:sectPr>
      </w:pPr>
    </w:p>
    <w:bookmarkStart w:id="114" w:name="page115"/>
    <w:bookmarkEnd w:id="114"/>
    <w:tbl>
      <w:tblPr>
        <w:tblLayout w:type="fixed"/>
        <w:tblInd w:w="0" w:type="dxa"/>
        <w:tblCellMar>
          <w:top w:w="0" w:type="dxa"/>
          <w:left w:w="0" w:type="dxa"/>
          <w:bottom w:w="0" w:type="dxa"/>
          <w:right w:w="0" w:type="dxa"/>
        </w:tblCellMar>
      </w:tblPr>
      <w:tr>
        <w:trPr>
          <w:trHeight w:val="222"/>
        </w:trPr>
        <w:tc>
          <w:tcPr>
            <w:tcW w:w="2540" w:type="dxa"/>
            <w:vAlign w:val="bottom"/>
          </w:tcPr>
          <w:p>
            <w:pPr>
              <w:spacing w:after="0"/>
              <w:rPr>
                <w:sz w:val="20"/>
                <w:szCs w:val="20"/>
                <w:color w:val="auto"/>
              </w:rPr>
            </w:pPr>
            <w:r>
              <w:rPr>
                <w:rFonts w:ascii="Arial" w:cs="Arial" w:eastAsia="Arial" w:hAnsi="Arial"/>
                <w:sz w:val="18"/>
                <w:szCs w:val="18"/>
                <w:b w:val="1"/>
                <w:bCs w:val="1"/>
                <w:color w:val="auto"/>
              </w:rPr>
              <w:t>"schist"</w:t>
            </w:r>
          </w:p>
        </w:tc>
        <w:tc>
          <w:tcPr>
            <w:tcW w:w="8880" w:type="dxa"/>
            <w:vAlign w:val="bottom"/>
          </w:tcPr>
          <w:p>
            <w:pPr>
              <w:ind w:left="580"/>
              <w:spacing w:after="0"/>
              <w:rPr>
                <w:sz w:val="20"/>
                <w:szCs w:val="20"/>
                <w:color w:val="auto"/>
              </w:rPr>
            </w:pPr>
            <w:r>
              <w:rPr>
                <w:rFonts w:ascii="Arial" w:cs="Arial" w:eastAsia="Arial" w:hAnsi="Arial"/>
                <w:sz w:val="18"/>
                <w:szCs w:val="18"/>
                <w:color w:val="auto"/>
                <w:w w:val="96"/>
              </w:rPr>
              <w:t>A strongly foliated crystalline rock that can be readily split into think flakes or slabs due to the well developed</w:t>
            </w:r>
          </w:p>
        </w:tc>
      </w:tr>
      <w:tr>
        <w:trPr>
          <w:trHeight w:val="222"/>
        </w:trPr>
        <w:tc>
          <w:tcPr>
            <w:tcW w:w="2540" w:type="dxa"/>
            <w:vAlign w:val="bottom"/>
          </w:tcPr>
          <w:p>
            <w:pPr>
              <w:spacing w:after="0"/>
              <w:rPr>
                <w:sz w:val="19"/>
                <w:szCs w:val="19"/>
                <w:color w:val="auto"/>
              </w:rPr>
            </w:pPr>
          </w:p>
        </w:tc>
        <w:tc>
          <w:tcPr>
            <w:tcW w:w="8880" w:type="dxa"/>
            <w:vAlign w:val="bottom"/>
          </w:tcPr>
          <w:p>
            <w:pPr>
              <w:ind w:left="580"/>
              <w:spacing w:after="0"/>
              <w:rPr>
                <w:sz w:val="20"/>
                <w:szCs w:val="20"/>
                <w:color w:val="auto"/>
              </w:rPr>
            </w:pPr>
            <w:r>
              <w:rPr>
                <w:rFonts w:ascii="Arial" w:cs="Arial" w:eastAsia="Arial" w:hAnsi="Arial"/>
                <w:sz w:val="18"/>
                <w:szCs w:val="18"/>
                <w:color w:val="auto"/>
              </w:rPr>
              <w:t>parallelism of more than 50% of the minerals present in it.</w:t>
            </w:r>
          </w:p>
        </w:tc>
      </w:tr>
      <w:tr>
        <w:trPr>
          <w:trHeight w:val="459"/>
        </w:trPr>
        <w:tc>
          <w:tcPr>
            <w:tcW w:w="11420" w:type="dxa"/>
            <w:vAlign w:val="bottom"/>
            <w:gridSpan w:val="2"/>
          </w:tcPr>
          <w:p>
            <w:pPr>
              <w:spacing w:after="0"/>
              <w:rPr>
                <w:sz w:val="20"/>
                <w:szCs w:val="20"/>
                <w:color w:val="auto"/>
              </w:rPr>
            </w:pPr>
            <w:r>
              <w:rPr>
                <w:rFonts w:ascii="Arial" w:cs="Arial" w:eastAsia="Arial" w:hAnsi="Arial"/>
                <w:sz w:val="18"/>
                <w:szCs w:val="18"/>
                <w:b w:val="1"/>
                <w:bCs w:val="1"/>
                <w:color w:val="auto"/>
                <w:w w:val="96"/>
              </w:rPr>
              <w:t xml:space="preserve">"semi-autogenous grinding" or "SAG"  </w:t>
            </w:r>
            <w:r>
              <w:rPr>
                <w:rFonts w:ascii="Arial" w:cs="Arial" w:eastAsia="Arial" w:hAnsi="Arial"/>
                <w:sz w:val="18"/>
                <w:szCs w:val="18"/>
                <w:color w:val="auto"/>
                <w:w w:val="96"/>
              </w:rPr>
              <w:t>A method of grinding rock whereby larger chunks of the rock itself and steel balls form the grinding media.</w:t>
            </w:r>
          </w:p>
        </w:tc>
      </w:tr>
      <w:tr>
        <w:trPr>
          <w:trHeight w:val="453"/>
        </w:trPr>
        <w:tc>
          <w:tcPr>
            <w:tcW w:w="2540" w:type="dxa"/>
            <w:vAlign w:val="bottom"/>
          </w:tcPr>
          <w:p>
            <w:pPr>
              <w:spacing w:after="0"/>
              <w:rPr>
                <w:sz w:val="20"/>
                <w:szCs w:val="20"/>
                <w:color w:val="auto"/>
              </w:rPr>
            </w:pPr>
            <w:r>
              <w:rPr>
                <w:rFonts w:ascii="Arial" w:cs="Arial" w:eastAsia="Arial" w:hAnsi="Arial"/>
                <w:sz w:val="18"/>
                <w:szCs w:val="18"/>
                <w:b w:val="1"/>
                <w:bCs w:val="1"/>
                <w:color w:val="auto"/>
              </w:rPr>
              <w:t>"shear" or "shearing"</w:t>
            </w:r>
          </w:p>
        </w:tc>
        <w:tc>
          <w:tcPr>
            <w:tcW w:w="8880" w:type="dxa"/>
            <w:vAlign w:val="bottom"/>
          </w:tcPr>
          <w:p>
            <w:pPr>
              <w:ind w:left="580"/>
              <w:spacing w:after="0"/>
              <w:rPr>
                <w:sz w:val="20"/>
                <w:szCs w:val="20"/>
                <w:color w:val="auto"/>
              </w:rPr>
            </w:pPr>
            <w:r>
              <w:rPr>
                <w:rFonts w:ascii="Arial" w:cs="Arial" w:eastAsia="Arial" w:hAnsi="Arial"/>
                <w:sz w:val="18"/>
                <w:szCs w:val="18"/>
                <w:color w:val="auto"/>
                <w:w w:val="90"/>
              </w:rPr>
              <w:t>The deformation of rocks by lateral movement along innumerable parallel planes, generally resulting from pressure</w:t>
            </w:r>
          </w:p>
        </w:tc>
      </w:tr>
      <w:tr>
        <w:trPr>
          <w:trHeight w:val="222"/>
        </w:trPr>
        <w:tc>
          <w:tcPr>
            <w:tcW w:w="2540" w:type="dxa"/>
            <w:vAlign w:val="bottom"/>
          </w:tcPr>
          <w:p>
            <w:pPr>
              <w:spacing w:after="0"/>
              <w:rPr>
                <w:sz w:val="19"/>
                <w:szCs w:val="19"/>
                <w:color w:val="auto"/>
              </w:rPr>
            </w:pPr>
          </w:p>
        </w:tc>
        <w:tc>
          <w:tcPr>
            <w:tcW w:w="8880" w:type="dxa"/>
            <w:vAlign w:val="bottom"/>
          </w:tcPr>
          <w:p>
            <w:pPr>
              <w:ind w:left="580"/>
              <w:spacing w:after="0"/>
              <w:rPr>
                <w:sz w:val="20"/>
                <w:szCs w:val="20"/>
                <w:color w:val="auto"/>
              </w:rPr>
            </w:pPr>
            <w:r>
              <w:rPr>
                <w:rFonts w:ascii="Arial" w:cs="Arial" w:eastAsia="Arial" w:hAnsi="Arial"/>
                <w:sz w:val="18"/>
                <w:szCs w:val="18"/>
                <w:color w:val="auto"/>
              </w:rPr>
              <w:t>and producing such metamorphic structures as cleavage and schistosity.</w:t>
            </w:r>
          </w:p>
        </w:tc>
      </w:tr>
      <w:tr>
        <w:trPr>
          <w:trHeight w:val="453"/>
        </w:trPr>
        <w:tc>
          <w:tcPr>
            <w:tcW w:w="2540" w:type="dxa"/>
            <w:vAlign w:val="bottom"/>
          </w:tcPr>
          <w:p>
            <w:pPr>
              <w:spacing w:after="0"/>
              <w:rPr>
                <w:sz w:val="20"/>
                <w:szCs w:val="20"/>
                <w:color w:val="auto"/>
              </w:rPr>
            </w:pPr>
            <w:r>
              <w:rPr>
                <w:rFonts w:ascii="Arial" w:cs="Arial" w:eastAsia="Arial" w:hAnsi="Arial"/>
                <w:sz w:val="18"/>
                <w:szCs w:val="18"/>
                <w:b w:val="1"/>
                <w:bCs w:val="1"/>
                <w:color w:val="auto"/>
              </w:rPr>
              <w:t>"sill"</w:t>
            </w:r>
          </w:p>
        </w:tc>
        <w:tc>
          <w:tcPr>
            <w:tcW w:w="8880" w:type="dxa"/>
            <w:vAlign w:val="bottom"/>
          </w:tcPr>
          <w:p>
            <w:pPr>
              <w:ind w:left="580"/>
              <w:spacing w:after="0"/>
              <w:rPr>
                <w:sz w:val="20"/>
                <w:szCs w:val="20"/>
                <w:color w:val="auto"/>
              </w:rPr>
            </w:pPr>
            <w:r>
              <w:rPr>
                <w:rFonts w:ascii="Arial" w:cs="Arial" w:eastAsia="Arial" w:hAnsi="Arial"/>
                <w:sz w:val="18"/>
                <w:szCs w:val="18"/>
                <w:color w:val="auto"/>
                <w:w w:val="90"/>
              </w:rPr>
              <w:t>An intrusive sheet of igneous rock of roughly uniform thickness that has been forced between the bedding planes of</w:t>
            </w:r>
          </w:p>
        </w:tc>
      </w:tr>
      <w:tr>
        <w:trPr>
          <w:trHeight w:val="222"/>
        </w:trPr>
        <w:tc>
          <w:tcPr>
            <w:tcW w:w="2540" w:type="dxa"/>
            <w:vAlign w:val="bottom"/>
          </w:tcPr>
          <w:p>
            <w:pPr>
              <w:spacing w:after="0"/>
              <w:rPr>
                <w:sz w:val="19"/>
                <w:szCs w:val="19"/>
                <w:color w:val="auto"/>
              </w:rPr>
            </w:pPr>
          </w:p>
        </w:tc>
        <w:tc>
          <w:tcPr>
            <w:tcW w:w="8880" w:type="dxa"/>
            <w:vAlign w:val="bottom"/>
          </w:tcPr>
          <w:p>
            <w:pPr>
              <w:ind w:left="580"/>
              <w:spacing w:after="0"/>
              <w:rPr>
                <w:sz w:val="20"/>
                <w:szCs w:val="20"/>
                <w:color w:val="auto"/>
              </w:rPr>
            </w:pPr>
            <w:r>
              <w:rPr>
                <w:rFonts w:ascii="Arial" w:cs="Arial" w:eastAsia="Arial" w:hAnsi="Arial"/>
                <w:sz w:val="18"/>
                <w:szCs w:val="18"/>
                <w:color w:val="auto"/>
              </w:rPr>
              <w:t>existing rock.</w:t>
            </w:r>
          </w:p>
        </w:tc>
      </w:tr>
      <w:tr>
        <w:trPr>
          <w:trHeight w:val="459"/>
        </w:trPr>
        <w:tc>
          <w:tcPr>
            <w:tcW w:w="2540" w:type="dxa"/>
            <w:vAlign w:val="bottom"/>
          </w:tcPr>
          <w:p>
            <w:pPr>
              <w:spacing w:after="0"/>
              <w:rPr>
                <w:sz w:val="20"/>
                <w:szCs w:val="20"/>
                <w:color w:val="auto"/>
              </w:rPr>
            </w:pPr>
            <w:r>
              <w:rPr>
                <w:rFonts w:ascii="Arial" w:cs="Arial" w:eastAsia="Arial" w:hAnsi="Arial"/>
                <w:sz w:val="18"/>
                <w:szCs w:val="18"/>
                <w:b w:val="1"/>
                <w:bCs w:val="1"/>
                <w:color w:val="auto"/>
              </w:rPr>
              <w:t>"slurry"</w:t>
            </w:r>
          </w:p>
        </w:tc>
        <w:tc>
          <w:tcPr>
            <w:tcW w:w="8880" w:type="dxa"/>
            <w:vAlign w:val="bottom"/>
          </w:tcPr>
          <w:p>
            <w:pPr>
              <w:ind w:left="580"/>
              <w:spacing w:after="0"/>
              <w:rPr>
                <w:sz w:val="20"/>
                <w:szCs w:val="20"/>
                <w:color w:val="auto"/>
              </w:rPr>
            </w:pPr>
            <w:r>
              <w:rPr>
                <w:rFonts w:ascii="Arial" w:cs="Arial" w:eastAsia="Arial" w:hAnsi="Arial"/>
                <w:sz w:val="18"/>
                <w:szCs w:val="18"/>
                <w:color w:val="auto"/>
              </w:rPr>
              <w:t>Fine rock particles in circulating water.</w:t>
            </w:r>
          </w:p>
        </w:tc>
      </w:tr>
      <w:tr>
        <w:trPr>
          <w:trHeight w:val="459"/>
        </w:trPr>
        <w:tc>
          <w:tcPr>
            <w:tcW w:w="2540" w:type="dxa"/>
            <w:vAlign w:val="bottom"/>
          </w:tcPr>
          <w:p>
            <w:pPr>
              <w:spacing w:after="0"/>
              <w:rPr>
                <w:sz w:val="20"/>
                <w:szCs w:val="20"/>
                <w:color w:val="auto"/>
              </w:rPr>
            </w:pPr>
            <w:r>
              <w:rPr>
                <w:rFonts w:ascii="Arial" w:cs="Arial" w:eastAsia="Arial" w:hAnsi="Arial"/>
                <w:sz w:val="18"/>
                <w:szCs w:val="18"/>
                <w:b w:val="1"/>
                <w:bCs w:val="1"/>
                <w:color w:val="auto"/>
              </w:rPr>
              <w:t>"stope development"</w:t>
            </w:r>
          </w:p>
        </w:tc>
        <w:tc>
          <w:tcPr>
            <w:tcW w:w="8880" w:type="dxa"/>
            <w:vAlign w:val="bottom"/>
          </w:tcPr>
          <w:p>
            <w:pPr>
              <w:ind w:left="580"/>
              <w:spacing w:after="0"/>
              <w:rPr>
                <w:sz w:val="20"/>
                <w:szCs w:val="20"/>
                <w:color w:val="auto"/>
              </w:rPr>
            </w:pPr>
            <w:r>
              <w:rPr>
                <w:rFonts w:ascii="Arial" w:cs="Arial" w:eastAsia="Arial" w:hAnsi="Arial"/>
                <w:sz w:val="18"/>
                <w:szCs w:val="18"/>
                <w:color w:val="auto"/>
              </w:rPr>
              <w:t>Driving subsidiary openings to prepare blocks of ore for extraction by stoping.</w:t>
            </w:r>
          </w:p>
        </w:tc>
      </w:tr>
      <w:tr>
        <w:trPr>
          <w:trHeight w:val="459"/>
        </w:trPr>
        <w:tc>
          <w:tcPr>
            <w:tcW w:w="2540" w:type="dxa"/>
            <w:vAlign w:val="bottom"/>
          </w:tcPr>
          <w:p>
            <w:pPr>
              <w:spacing w:after="0"/>
              <w:rPr>
                <w:sz w:val="20"/>
                <w:szCs w:val="20"/>
                <w:color w:val="auto"/>
              </w:rPr>
            </w:pPr>
            <w:r>
              <w:rPr>
                <w:rFonts w:ascii="Arial" w:cs="Arial" w:eastAsia="Arial" w:hAnsi="Arial"/>
                <w:sz w:val="18"/>
                <w:szCs w:val="18"/>
                <w:b w:val="1"/>
                <w:bCs w:val="1"/>
                <w:color w:val="auto"/>
              </w:rPr>
              <w:t>"stratigraphic column"</w:t>
            </w:r>
          </w:p>
        </w:tc>
        <w:tc>
          <w:tcPr>
            <w:tcW w:w="8880" w:type="dxa"/>
            <w:vAlign w:val="bottom"/>
          </w:tcPr>
          <w:p>
            <w:pPr>
              <w:ind w:left="580"/>
              <w:spacing w:after="0"/>
              <w:rPr>
                <w:sz w:val="20"/>
                <w:szCs w:val="20"/>
                <w:color w:val="auto"/>
              </w:rPr>
            </w:pPr>
            <w:r>
              <w:rPr>
                <w:rFonts w:ascii="Arial" w:cs="Arial" w:eastAsia="Arial" w:hAnsi="Arial"/>
                <w:sz w:val="18"/>
                <w:szCs w:val="18"/>
                <w:color w:val="auto"/>
              </w:rPr>
              <w:t>A sketched cross-section of the stacking of different layers of rock in an area.</w:t>
            </w:r>
          </w:p>
        </w:tc>
      </w:tr>
      <w:tr>
        <w:trPr>
          <w:trHeight w:val="453"/>
        </w:trPr>
        <w:tc>
          <w:tcPr>
            <w:tcW w:w="2540" w:type="dxa"/>
            <w:vAlign w:val="bottom"/>
          </w:tcPr>
          <w:p>
            <w:pPr>
              <w:spacing w:after="0"/>
              <w:rPr>
                <w:sz w:val="20"/>
                <w:szCs w:val="20"/>
                <w:color w:val="auto"/>
              </w:rPr>
            </w:pPr>
            <w:r>
              <w:rPr>
                <w:rFonts w:ascii="Arial" w:cs="Arial" w:eastAsia="Arial" w:hAnsi="Arial"/>
                <w:sz w:val="18"/>
                <w:szCs w:val="18"/>
                <w:b w:val="1"/>
                <w:bCs w:val="1"/>
                <w:color w:val="auto"/>
              </w:rPr>
              <w:t>"strike"</w:t>
            </w:r>
          </w:p>
        </w:tc>
        <w:tc>
          <w:tcPr>
            <w:tcW w:w="8880" w:type="dxa"/>
            <w:vAlign w:val="bottom"/>
          </w:tcPr>
          <w:p>
            <w:pPr>
              <w:ind w:left="580"/>
              <w:spacing w:after="0"/>
              <w:rPr>
                <w:sz w:val="20"/>
                <w:szCs w:val="20"/>
                <w:color w:val="auto"/>
              </w:rPr>
            </w:pPr>
            <w:r>
              <w:rPr>
                <w:rFonts w:ascii="Arial" w:cs="Arial" w:eastAsia="Arial" w:hAnsi="Arial"/>
                <w:sz w:val="18"/>
                <w:szCs w:val="18"/>
                <w:color w:val="auto"/>
                <w:w w:val="89"/>
              </w:rPr>
              <w:t>The bearing of the outcrop of an inclined bed, vein or fault plane on a horizontal surface; the direction of a horizontal</w:t>
            </w:r>
          </w:p>
        </w:tc>
      </w:tr>
      <w:tr>
        <w:trPr>
          <w:trHeight w:val="222"/>
        </w:trPr>
        <w:tc>
          <w:tcPr>
            <w:tcW w:w="2540" w:type="dxa"/>
            <w:vAlign w:val="bottom"/>
          </w:tcPr>
          <w:p>
            <w:pPr>
              <w:spacing w:after="0"/>
              <w:rPr>
                <w:sz w:val="19"/>
                <w:szCs w:val="19"/>
                <w:color w:val="auto"/>
              </w:rPr>
            </w:pPr>
          </w:p>
        </w:tc>
        <w:tc>
          <w:tcPr>
            <w:tcW w:w="8880" w:type="dxa"/>
            <w:vAlign w:val="bottom"/>
          </w:tcPr>
          <w:p>
            <w:pPr>
              <w:ind w:left="580"/>
              <w:spacing w:after="0"/>
              <w:rPr>
                <w:sz w:val="20"/>
                <w:szCs w:val="20"/>
                <w:color w:val="auto"/>
              </w:rPr>
            </w:pPr>
            <w:r>
              <w:rPr>
                <w:rFonts w:ascii="Arial" w:cs="Arial" w:eastAsia="Arial" w:hAnsi="Arial"/>
                <w:sz w:val="18"/>
                <w:szCs w:val="18"/>
                <w:color w:val="auto"/>
              </w:rPr>
              <w:t>line perpendicular to the direction of the dip.</w:t>
            </w:r>
          </w:p>
        </w:tc>
      </w:tr>
      <w:tr>
        <w:trPr>
          <w:trHeight w:val="453"/>
        </w:trPr>
        <w:tc>
          <w:tcPr>
            <w:tcW w:w="2540" w:type="dxa"/>
            <w:vAlign w:val="bottom"/>
          </w:tcPr>
          <w:p>
            <w:pPr>
              <w:spacing w:after="0"/>
              <w:rPr>
                <w:sz w:val="20"/>
                <w:szCs w:val="20"/>
                <w:color w:val="auto"/>
              </w:rPr>
            </w:pPr>
            <w:r>
              <w:rPr>
                <w:rFonts w:ascii="Arial" w:cs="Arial" w:eastAsia="Arial" w:hAnsi="Arial"/>
                <w:sz w:val="18"/>
                <w:szCs w:val="18"/>
                <w:b w:val="1"/>
                <w:bCs w:val="1"/>
                <w:color w:val="auto"/>
              </w:rPr>
              <w:t>"sublevel retreat"</w:t>
            </w:r>
          </w:p>
        </w:tc>
        <w:tc>
          <w:tcPr>
            <w:tcW w:w="8880" w:type="dxa"/>
            <w:vAlign w:val="bottom"/>
          </w:tcPr>
          <w:p>
            <w:pPr>
              <w:ind w:left="580"/>
              <w:spacing w:after="0"/>
              <w:rPr>
                <w:sz w:val="20"/>
                <w:szCs w:val="20"/>
                <w:color w:val="auto"/>
              </w:rPr>
            </w:pPr>
            <w:r>
              <w:rPr>
                <w:rFonts w:ascii="Arial" w:cs="Arial" w:eastAsia="Arial" w:hAnsi="Arial"/>
                <w:sz w:val="18"/>
                <w:szCs w:val="18"/>
                <w:color w:val="auto"/>
                <w:w w:val="90"/>
              </w:rPr>
              <w:t>An underground mining method in which the ore is excavated in horizontal slices along the orebody, starting below</w:t>
            </w:r>
          </w:p>
        </w:tc>
      </w:tr>
      <w:tr>
        <w:trPr>
          <w:trHeight w:val="222"/>
        </w:trPr>
        <w:tc>
          <w:tcPr>
            <w:tcW w:w="2540" w:type="dxa"/>
            <w:vAlign w:val="bottom"/>
          </w:tcPr>
          <w:p>
            <w:pPr>
              <w:spacing w:after="0"/>
              <w:rPr>
                <w:sz w:val="19"/>
                <w:szCs w:val="19"/>
                <w:color w:val="auto"/>
              </w:rPr>
            </w:pPr>
          </w:p>
        </w:tc>
        <w:tc>
          <w:tcPr>
            <w:tcW w:w="8880" w:type="dxa"/>
            <w:vAlign w:val="bottom"/>
          </w:tcPr>
          <w:p>
            <w:pPr>
              <w:ind w:left="580"/>
              <w:spacing w:after="0"/>
              <w:rPr>
                <w:sz w:val="20"/>
                <w:szCs w:val="20"/>
                <w:color w:val="auto"/>
              </w:rPr>
            </w:pPr>
            <w:r>
              <w:rPr>
                <w:rFonts w:ascii="Arial" w:cs="Arial" w:eastAsia="Arial" w:hAnsi="Arial"/>
                <w:sz w:val="18"/>
                <w:szCs w:val="18"/>
                <w:color w:val="auto"/>
              </w:rPr>
              <w:t>and advancing upwards. The ore is recovered underneath in the stope.</w:t>
            </w:r>
          </w:p>
        </w:tc>
      </w:tr>
      <w:tr>
        <w:trPr>
          <w:trHeight w:val="459"/>
        </w:trPr>
        <w:tc>
          <w:tcPr>
            <w:tcW w:w="2540" w:type="dxa"/>
            <w:vAlign w:val="bottom"/>
          </w:tcPr>
          <w:p>
            <w:pPr>
              <w:spacing w:after="0"/>
              <w:rPr>
                <w:sz w:val="20"/>
                <w:szCs w:val="20"/>
                <w:color w:val="auto"/>
              </w:rPr>
            </w:pPr>
            <w:r>
              <w:rPr>
                <w:rFonts w:ascii="Arial" w:cs="Arial" w:eastAsia="Arial" w:hAnsi="Arial"/>
                <w:sz w:val="18"/>
                <w:szCs w:val="18"/>
                <w:b w:val="1"/>
                <w:bCs w:val="1"/>
                <w:color w:val="auto"/>
              </w:rPr>
              <w:t>"tabular"</w:t>
            </w:r>
          </w:p>
        </w:tc>
        <w:tc>
          <w:tcPr>
            <w:tcW w:w="8880" w:type="dxa"/>
            <w:vAlign w:val="bottom"/>
          </w:tcPr>
          <w:p>
            <w:pPr>
              <w:ind w:left="580"/>
              <w:spacing w:after="0"/>
              <w:rPr>
                <w:sz w:val="20"/>
                <w:szCs w:val="20"/>
                <w:color w:val="auto"/>
              </w:rPr>
            </w:pPr>
            <w:r>
              <w:rPr>
                <w:rFonts w:ascii="Arial" w:cs="Arial" w:eastAsia="Arial" w:hAnsi="Arial"/>
                <w:sz w:val="18"/>
                <w:szCs w:val="18"/>
                <w:color w:val="auto"/>
              </w:rPr>
              <w:t>Said of a feature having two dimensions that are much larger or longer than the third, such as a dyke.</w:t>
            </w:r>
          </w:p>
        </w:tc>
      </w:tr>
      <w:tr>
        <w:trPr>
          <w:trHeight w:val="459"/>
        </w:trPr>
        <w:tc>
          <w:tcPr>
            <w:tcW w:w="2540" w:type="dxa"/>
            <w:vAlign w:val="bottom"/>
          </w:tcPr>
          <w:p>
            <w:pPr>
              <w:spacing w:after="0"/>
              <w:rPr>
                <w:sz w:val="20"/>
                <w:szCs w:val="20"/>
                <w:color w:val="auto"/>
              </w:rPr>
            </w:pPr>
            <w:r>
              <w:rPr>
                <w:rFonts w:ascii="Arial" w:cs="Arial" w:eastAsia="Arial" w:hAnsi="Arial"/>
                <w:sz w:val="18"/>
                <w:szCs w:val="18"/>
                <w:b w:val="1"/>
                <w:bCs w:val="1"/>
                <w:color w:val="auto"/>
              </w:rPr>
              <w:t>"tailings"</w:t>
            </w:r>
          </w:p>
        </w:tc>
        <w:tc>
          <w:tcPr>
            <w:tcW w:w="8880" w:type="dxa"/>
            <w:vAlign w:val="bottom"/>
          </w:tcPr>
          <w:p>
            <w:pPr>
              <w:ind w:left="580"/>
              <w:spacing w:after="0"/>
              <w:rPr>
                <w:sz w:val="20"/>
                <w:szCs w:val="20"/>
                <w:color w:val="auto"/>
              </w:rPr>
            </w:pPr>
            <w:r>
              <w:rPr>
                <w:rFonts w:ascii="Arial" w:cs="Arial" w:eastAsia="Arial" w:hAnsi="Arial"/>
                <w:sz w:val="18"/>
                <w:szCs w:val="18"/>
                <w:color w:val="auto"/>
              </w:rPr>
              <w:t>Material rejected from the mill after most of the recoverable valuable minerals have been extracted.</w:t>
            </w:r>
          </w:p>
        </w:tc>
      </w:tr>
      <w:tr>
        <w:trPr>
          <w:trHeight w:val="459"/>
        </w:trPr>
        <w:tc>
          <w:tcPr>
            <w:tcW w:w="2540" w:type="dxa"/>
            <w:vAlign w:val="bottom"/>
          </w:tcPr>
          <w:p>
            <w:pPr>
              <w:spacing w:after="0"/>
              <w:rPr>
                <w:sz w:val="20"/>
                <w:szCs w:val="20"/>
                <w:color w:val="auto"/>
              </w:rPr>
            </w:pPr>
            <w:r>
              <w:rPr>
                <w:rFonts w:ascii="Arial" w:cs="Arial" w:eastAsia="Arial" w:hAnsi="Arial"/>
                <w:sz w:val="18"/>
                <w:szCs w:val="18"/>
                <w:b w:val="1"/>
                <w:bCs w:val="1"/>
                <w:color w:val="auto"/>
              </w:rPr>
              <w:t>"tailings dam"</w:t>
            </w:r>
          </w:p>
        </w:tc>
        <w:tc>
          <w:tcPr>
            <w:tcW w:w="8880" w:type="dxa"/>
            <w:vAlign w:val="bottom"/>
          </w:tcPr>
          <w:p>
            <w:pPr>
              <w:ind w:left="580"/>
              <w:spacing w:after="0"/>
              <w:rPr>
                <w:sz w:val="20"/>
                <w:szCs w:val="20"/>
                <w:color w:val="auto"/>
              </w:rPr>
            </w:pPr>
            <w:r>
              <w:rPr>
                <w:rFonts w:ascii="Arial" w:cs="Arial" w:eastAsia="Arial" w:hAnsi="Arial"/>
                <w:sz w:val="18"/>
                <w:szCs w:val="18"/>
                <w:color w:val="auto"/>
              </w:rPr>
              <w:t>A natural or man-made confined area suitable for depositing tailings.</w:t>
            </w:r>
          </w:p>
        </w:tc>
      </w:tr>
      <w:tr>
        <w:trPr>
          <w:trHeight w:val="453"/>
        </w:trPr>
        <w:tc>
          <w:tcPr>
            <w:tcW w:w="2540" w:type="dxa"/>
            <w:vAlign w:val="bottom"/>
          </w:tcPr>
          <w:p>
            <w:pPr>
              <w:spacing w:after="0"/>
              <w:rPr>
                <w:sz w:val="20"/>
                <w:szCs w:val="20"/>
                <w:color w:val="auto"/>
              </w:rPr>
            </w:pPr>
            <w:r>
              <w:rPr>
                <w:rFonts w:ascii="Arial" w:cs="Arial" w:eastAsia="Arial" w:hAnsi="Arial"/>
                <w:sz w:val="18"/>
                <w:szCs w:val="18"/>
                <w:b w:val="1"/>
                <w:bCs w:val="1"/>
                <w:color w:val="auto"/>
              </w:rPr>
              <w:t>"tailings pond"</w:t>
            </w:r>
          </w:p>
        </w:tc>
        <w:tc>
          <w:tcPr>
            <w:tcW w:w="8880" w:type="dxa"/>
            <w:vAlign w:val="bottom"/>
          </w:tcPr>
          <w:p>
            <w:pPr>
              <w:ind w:left="580"/>
              <w:spacing w:after="0"/>
              <w:rPr>
                <w:sz w:val="20"/>
                <w:szCs w:val="20"/>
                <w:color w:val="auto"/>
              </w:rPr>
            </w:pPr>
            <w:r>
              <w:rPr>
                <w:rFonts w:ascii="Arial" w:cs="Arial" w:eastAsia="Arial" w:hAnsi="Arial"/>
                <w:sz w:val="18"/>
                <w:szCs w:val="18"/>
                <w:color w:val="auto"/>
                <w:w w:val="93"/>
              </w:rPr>
              <w:t>A low-lying depression used to confine tailings, the prime function of which is to allow enough time for metals to</w:t>
            </w:r>
          </w:p>
        </w:tc>
      </w:tr>
      <w:tr>
        <w:trPr>
          <w:trHeight w:val="222"/>
        </w:trPr>
        <w:tc>
          <w:tcPr>
            <w:tcW w:w="2540" w:type="dxa"/>
            <w:vAlign w:val="bottom"/>
          </w:tcPr>
          <w:p>
            <w:pPr>
              <w:spacing w:after="0"/>
              <w:rPr>
                <w:sz w:val="19"/>
                <w:szCs w:val="19"/>
                <w:color w:val="auto"/>
              </w:rPr>
            </w:pPr>
          </w:p>
        </w:tc>
        <w:tc>
          <w:tcPr>
            <w:tcW w:w="8880" w:type="dxa"/>
            <w:vAlign w:val="bottom"/>
          </w:tcPr>
          <w:p>
            <w:pPr>
              <w:ind w:left="580"/>
              <w:spacing w:after="0"/>
              <w:rPr>
                <w:sz w:val="20"/>
                <w:szCs w:val="20"/>
                <w:color w:val="auto"/>
              </w:rPr>
            </w:pPr>
            <w:r>
              <w:rPr>
                <w:rFonts w:ascii="Arial" w:cs="Arial" w:eastAsia="Arial" w:hAnsi="Arial"/>
                <w:sz w:val="18"/>
                <w:szCs w:val="18"/>
                <w:color w:val="auto"/>
                <w:w w:val="99"/>
              </w:rPr>
              <w:t>settle out or for cyanide to be naturally destroyed before the water is discharged into the local watershed.</w:t>
            </w:r>
          </w:p>
        </w:tc>
      </w:tr>
      <w:tr>
        <w:trPr>
          <w:trHeight w:val="459"/>
        </w:trPr>
        <w:tc>
          <w:tcPr>
            <w:tcW w:w="2540" w:type="dxa"/>
            <w:vAlign w:val="bottom"/>
          </w:tcPr>
          <w:p>
            <w:pPr>
              <w:spacing w:after="0"/>
              <w:rPr>
                <w:sz w:val="20"/>
                <w:szCs w:val="20"/>
                <w:color w:val="auto"/>
              </w:rPr>
            </w:pPr>
            <w:r>
              <w:rPr>
                <w:rFonts w:ascii="Arial" w:cs="Arial" w:eastAsia="Arial" w:hAnsi="Arial"/>
                <w:sz w:val="18"/>
                <w:szCs w:val="18"/>
                <w:b w:val="1"/>
                <w:bCs w:val="1"/>
                <w:color w:val="auto"/>
              </w:rPr>
              <w:t>"tenement"</w:t>
            </w:r>
          </w:p>
        </w:tc>
        <w:tc>
          <w:tcPr>
            <w:tcW w:w="8880" w:type="dxa"/>
            <w:vAlign w:val="bottom"/>
          </w:tcPr>
          <w:p>
            <w:pPr>
              <w:ind w:left="580"/>
              <w:spacing w:after="0"/>
              <w:rPr>
                <w:sz w:val="20"/>
                <w:szCs w:val="20"/>
                <w:color w:val="auto"/>
              </w:rPr>
            </w:pPr>
            <w:r>
              <w:rPr>
                <w:rFonts w:ascii="Arial" w:cs="Arial" w:eastAsia="Arial" w:hAnsi="Arial"/>
                <w:sz w:val="18"/>
                <w:szCs w:val="18"/>
                <w:color w:val="auto"/>
              </w:rPr>
              <w:t>A synonym of mineral title.</w:t>
            </w:r>
          </w:p>
        </w:tc>
      </w:tr>
      <w:tr>
        <w:trPr>
          <w:trHeight w:val="459"/>
        </w:trPr>
        <w:tc>
          <w:tcPr>
            <w:tcW w:w="2540" w:type="dxa"/>
            <w:vAlign w:val="bottom"/>
          </w:tcPr>
          <w:p>
            <w:pPr>
              <w:spacing w:after="0"/>
              <w:rPr>
                <w:sz w:val="20"/>
                <w:szCs w:val="20"/>
                <w:color w:val="auto"/>
              </w:rPr>
            </w:pPr>
            <w:r>
              <w:rPr>
                <w:rFonts w:ascii="Arial" w:cs="Arial" w:eastAsia="Arial" w:hAnsi="Arial"/>
                <w:sz w:val="18"/>
                <w:szCs w:val="18"/>
                <w:b w:val="1"/>
                <w:bCs w:val="1"/>
                <w:color w:val="auto"/>
              </w:rPr>
              <w:t>"thickness"</w:t>
            </w:r>
          </w:p>
        </w:tc>
        <w:tc>
          <w:tcPr>
            <w:tcW w:w="8880" w:type="dxa"/>
            <w:vAlign w:val="bottom"/>
          </w:tcPr>
          <w:p>
            <w:pPr>
              <w:ind w:left="580"/>
              <w:spacing w:after="0"/>
              <w:rPr>
                <w:sz w:val="20"/>
                <w:szCs w:val="20"/>
                <w:color w:val="auto"/>
              </w:rPr>
            </w:pPr>
            <w:r>
              <w:rPr>
                <w:rFonts w:ascii="Arial" w:cs="Arial" w:eastAsia="Arial" w:hAnsi="Arial"/>
                <w:sz w:val="18"/>
                <w:szCs w:val="18"/>
                <w:color w:val="auto"/>
              </w:rPr>
              <w:t>The distance at right angles between the hanging wall and the footwall of a lode or lens.</w:t>
            </w:r>
          </w:p>
        </w:tc>
      </w:tr>
      <w:tr>
        <w:trPr>
          <w:trHeight w:val="459"/>
        </w:trPr>
        <w:tc>
          <w:tcPr>
            <w:tcW w:w="2540" w:type="dxa"/>
            <w:vAlign w:val="bottom"/>
          </w:tcPr>
          <w:p>
            <w:pPr>
              <w:spacing w:after="0"/>
              <w:rPr>
                <w:sz w:val="20"/>
                <w:szCs w:val="20"/>
                <w:color w:val="auto"/>
              </w:rPr>
            </w:pPr>
            <w:r>
              <w:rPr>
                <w:rFonts w:ascii="Arial" w:cs="Arial" w:eastAsia="Arial" w:hAnsi="Arial"/>
                <w:sz w:val="18"/>
                <w:szCs w:val="18"/>
                <w:b w:val="1"/>
                <w:bCs w:val="1"/>
                <w:color w:val="auto"/>
              </w:rPr>
              <w:t>"tonne"</w:t>
            </w:r>
          </w:p>
        </w:tc>
        <w:tc>
          <w:tcPr>
            <w:tcW w:w="8880" w:type="dxa"/>
            <w:vAlign w:val="bottom"/>
          </w:tcPr>
          <w:p>
            <w:pPr>
              <w:ind w:left="580"/>
              <w:spacing w:after="0"/>
              <w:rPr>
                <w:sz w:val="20"/>
                <w:szCs w:val="20"/>
                <w:color w:val="auto"/>
              </w:rPr>
            </w:pPr>
            <w:r>
              <w:rPr>
                <w:rFonts w:ascii="Arial" w:cs="Arial" w:eastAsia="Arial" w:hAnsi="Arial"/>
                <w:sz w:val="18"/>
                <w:szCs w:val="18"/>
                <w:color w:val="auto"/>
              </w:rPr>
              <w:t>A metric measurement of mass. 1 tonne = 1,000 kilograms = 2,204.6 pounds.</w:t>
            </w:r>
          </w:p>
        </w:tc>
      </w:tr>
      <w:tr>
        <w:trPr>
          <w:trHeight w:val="459"/>
        </w:trPr>
        <w:tc>
          <w:tcPr>
            <w:tcW w:w="2540" w:type="dxa"/>
            <w:vAlign w:val="bottom"/>
          </w:tcPr>
          <w:p>
            <w:pPr>
              <w:spacing w:after="0"/>
              <w:rPr>
                <w:sz w:val="20"/>
                <w:szCs w:val="20"/>
                <w:color w:val="auto"/>
              </w:rPr>
            </w:pPr>
            <w:r>
              <w:rPr>
                <w:rFonts w:ascii="Arial" w:cs="Arial" w:eastAsia="Arial" w:hAnsi="Arial"/>
                <w:sz w:val="18"/>
                <w:szCs w:val="18"/>
                <w:b w:val="1"/>
                <w:bCs w:val="1"/>
                <w:color w:val="auto"/>
              </w:rPr>
              <w:t>"transfer fault"</w:t>
            </w:r>
          </w:p>
        </w:tc>
        <w:tc>
          <w:tcPr>
            <w:tcW w:w="8880" w:type="dxa"/>
            <w:vAlign w:val="bottom"/>
          </w:tcPr>
          <w:p>
            <w:pPr>
              <w:ind w:left="580"/>
              <w:spacing w:after="0"/>
              <w:rPr>
                <w:sz w:val="20"/>
                <w:szCs w:val="20"/>
                <w:color w:val="auto"/>
              </w:rPr>
            </w:pPr>
            <w:r>
              <w:rPr>
                <w:rFonts w:ascii="Arial" w:cs="Arial" w:eastAsia="Arial" w:hAnsi="Arial"/>
                <w:sz w:val="18"/>
                <w:szCs w:val="18"/>
                <w:color w:val="auto"/>
              </w:rPr>
              <w:t>A structure that can accommodate lateral variations of deformation and strain.</w:t>
            </w:r>
          </w:p>
        </w:tc>
      </w:tr>
      <w:tr>
        <w:trPr>
          <w:trHeight w:val="453"/>
        </w:trPr>
        <w:tc>
          <w:tcPr>
            <w:tcW w:w="2540" w:type="dxa"/>
            <w:vAlign w:val="bottom"/>
          </w:tcPr>
          <w:p>
            <w:pPr>
              <w:spacing w:after="0"/>
              <w:rPr>
                <w:sz w:val="20"/>
                <w:szCs w:val="20"/>
                <w:color w:val="auto"/>
              </w:rPr>
            </w:pPr>
            <w:r>
              <w:rPr>
                <w:rFonts w:ascii="Arial" w:cs="Arial" w:eastAsia="Arial" w:hAnsi="Arial"/>
                <w:sz w:val="18"/>
                <w:szCs w:val="18"/>
                <w:b w:val="1"/>
                <w:bCs w:val="1"/>
                <w:color w:val="auto"/>
              </w:rPr>
              <w:t>"transverse open stoping"</w:t>
            </w:r>
          </w:p>
        </w:tc>
        <w:tc>
          <w:tcPr>
            <w:tcW w:w="8880" w:type="dxa"/>
            <w:vAlign w:val="bottom"/>
          </w:tcPr>
          <w:p>
            <w:pPr>
              <w:ind w:left="580"/>
              <w:spacing w:after="0"/>
              <w:rPr>
                <w:sz w:val="20"/>
                <w:szCs w:val="20"/>
                <w:color w:val="auto"/>
              </w:rPr>
            </w:pPr>
            <w:r>
              <w:rPr>
                <w:rFonts w:ascii="Arial" w:cs="Arial" w:eastAsia="Arial" w:hAnsi="Arial"/>
                <w:sz w:val="18"/>
                <w:szCs w:val="18"/>
                <w:color w:val="auto"/>
                <w:w w:val="89"/>
              </w:rPr>
              <w:t>An underground mining method in which the ore is excavated in horizontal slices perpendicular to the orebody length</w:t>
            </w:r>
          </w:p>
        </w:tc>
      </w:tr>
      <w:tr>
        <w:trPr>
          <w:trHeight w:val="216"/>
        </w:trPr>
        <w:tc>
          <w:tcPr>
            <w:tcW w:w="2540" w:type="dxa"/>
            <w:vAlign w:val="bottom"/>
          </w:tcPr>
          <w:p>
            <w:pPr>
              <w:spacing w:after="0"/>
              <w:rPr>
                <w:sz w:val="18"/>
                <w:szCs w:val="18"/>
                <w:color w:val="auto"/>
              </w:rPr>
            </w:pPr>
          </w:p>
        </w:tc>
        <w:tc>
          <w:tcPr>
            <w:tcW w:w="8880" w:type="dxa"/>
            <w:vAlign w:val="bottom"/>
          </w:tcPr>
          <w:p>
            <w:pPr>
              <w:ind w:left="580"/>
              <w:spacing w:after="0"/>
              <w:rPr>
                <w:sz w:val="20"/>
                <w:szCs w:val="20"/>
                <w:color w:val="auto"/>
              </w:rPr>
            </w:pPr>
            <w:r>
              <w:rPr>
                <w:rFonts w:ascii="Arial" w:cs="Arial" w:eastAsia="Arial" w:hAnsi="Arial"/>
                <w:sz w:val="18"/>
                <w:szCs w:val="18"/>
                <w:color w:val="auto"/>
                <w:w w:val="89"/>
              </w:rPr>
              <w:t>and the stoping starts below and advances upwards. The ore is recovered underneath the stope through a drawpoint</w:t>
            </w:r>
          </w:p>
        </w:tc>
      </w:tr>
      <w:tr>
        <w:trPr>
          <w:trHeight w:val="222"/>
        </w:trPr>
        <w:tc>
          <w:tcPr>
            <w:tcW w:w="2540" w:type="dxa"/>
            <w:vAlign w:val="bottom"/>
          </w:tcPr>
          <w:p>
            <w:pPr>
              <w:spacing w:after="0"/>
              <w:rPr>
                <w:sz w:val="19"/>
                <w:szCs w:val="19"/>
                <w:color w:val="auto"/>
              </w:rPr>
            </w:pPr>
          </w:p>
        </w:tc>
        <w:tc>
          <w:tcPr>
            <w:tcW w:w="8880" w:type="dxa"/>
            <w:vAlign w:val="bottom"/>
          </w:tcPr>
          <w:p>
            <w:pPr>
              <w:ind w:left="580"/>
              <w:spacing w:after="0"/>
              <w:rPr>
                <w:sz w:val="20"/>
                <w:szCs w:val="20"/>
                <w:color w:val="auto"/>
              </w:rPr>
            </w:pPr>
            <w:r>
              <w:rPr>
                <w:rFonts w:ascii="Arial" w:cs="Arial" w:eastAsia="Arial" w:hAnsi="Arial"/>
                <w:sz w:val="18"/>
                <w:szCs w:val="18"/>
                <w:color w:val="auto"/>
              </w:rPr>
              <w:t>system.</w:t>
            </w:r>
          </w:p>
        </w:tc>
      </w:tr>
      <w:tr>
        <w:trPr>
          <w:trHeight w:val="459"/>
        </w:trPr>
        <w:tc>
          <w:tcPr>
            <w:tcW w:w="2540" w:type="dxa"/>
            <w:vAlign w:val="bottom"/>
          </w:tcPr>
          <w:p>
            <w:pPr>
              <w:spacing w:after="0"/>
              <w:rPr>
                <w:sz w:val="20"/>
                <w:szCs w:val="20"/>
                <w:color w:val="auto"/>
              </w:rPr>
            </w:pPr>
            <w:r>
              <w:rPr>
                <w:rFonts w:ascii="Arial" w:cs="Arial" w:eastAsia="Arial" w:hAnsi="Arial"/>
                <w:sz w:val="18"/>
                <w:szCs w:val="18"/>
                <w:b w:val="1"/>
                <w:bCs w:val="1"/>
                <w:color w:val="auto"/>
              </w:rPr>
              <w:t>"vein"</w:t>
            </w:r>
          </w:p>
        </w:tc>
        <w:tc>
          <w:tcPr>
            <w:tcW w:w="8880" w:type="dxa"/>
            <w:vAlign w:val="bottom"/>
          </w:tcPr>
          <w:p>
            <w:pPr>
              <w:ind w:left="580"/>
              <w:spacing w:after="0"/>
              <w:rPr>
                <w:sz w:val="20"/>
                <w:szCs w:val="20"/>
                <w:color w:val="auto"/>
              </w:rPr>
            </w:pPr>
            <w:r>
              <w:rPr>
                <w:rFonts w:ascii="Arial" w:cs="Arial" w:eastAsia="Arial" w:hAnsi="Arial"/>
                <w:sz w:val="18"/>
                <w:szCs w:val="18"/>
                <w:color w:val="auto"/>
              </w:rPr>
              <w:t>Minerals filling a fissure, fault or crack in rock.</w:t>
            </w:r>
          </w:p>
        </w:tc>
      </w:tr>
      <w:tr>
        <w:trPr>
          <w:trHeight w:val="459"/>
        </w:trPr>
        <w:tc>
          <w:tcPr>
            <w:tcW w:w="2540" w:type="dxa"/>
            <w:vAlign w:val="bottom"/>
          </w:tcPr>
          <w:p>
            <w:pPr>
              <w:spacing w:after="0"/>
              <w:rPr>
                <w:sz w:val="20"/>
                <w:szCs w:val="20"/>
                <w:color w:val="auto"/>
              </w:rPr>
            </w:pPr>
            <w:r>
              <w:rPr>
                <w:rFonts w:ascii="Arial" w:cs="Arial" w:eastAsia="Arial" w:hAnsi="Arial"/>
                <w:sz w:val="18"/>
                <w:szCs w:val="18"/>
                <w:b w:val="1"/>
                <w:bCs w:val="1"/>
                <w:color w:val="auto"/>
              </w:rPr>
              <w:t>"winze"</w:t>
            </w:r>
          </w:p>
        </w:tc>
        <w:tc>
          <w:tcPr>
            <w:tcW w:w="8880" w:type="dxa"/>
            <w:vAlign w:val="bottom"/>
          </w:tcPr>
          <w:p>
            <w:pPr>
              <w:ind w:left="580"/>
              <w:spacing w:after="0"/>
              <w:rPr>
                <w:sz w:val="20"/>
                <w:szCs w:val="20"/>
                <w:color w:val="auto"/>
              </w:rPr>
            </w:pPr>
            <w:r>
              <w:rPr>
                <w:rFonts w:ascii="Arial" w:cs="Arial" w:eastAsia="Arial" w:hAnsi="Arial"/>
                <w:sz w:val="18"/>
                <w:szCs w:val="18"/>
                <w:color w:val="auto"/>
              </w:rPr>
              <w:t>An internal mine shaft.</w:t>
            </w:r>
          </w:p>
        </w:tc>
      </w:tr>
      <w:tr>
        <w:trPr>
          <w:trHeight w:val="459"/>
        </w:trPr>
        <w:tc>
          <w:tcPr>
            <w:tcW w:w="2540" w:type="dxa"/>
            <w:vAlign w:val="bottom"/>
          </w:tcPr>
          <w:p>
            <w:pPr>
              <w:spacing w:after="0"/>
              <w:rPr>
                <w:sz w:val="20"/>
                <w:szCs w:val="20"/>
                <w:color w:val="auto"/>
              </w:rPr>
            </w:pPr>
            <w:r>
              <w:rPr>
                <w:rFonts w:ascii="Arial" w:cs="Arial" w:eastAsia="Arial" w:hAnsi="Arial"/>
                <w:sz w:val="18"/>
                <w:szCs w:val="18"/>
                <w:b w:val="1"/>
                <w:bCs w:val="1"/>
                <w:color w:val="auto"/>
              </w:rPr>
              <w:t>"zone"</w:t>
            </w:r>
          </w:p>
        </w:tc>
        <w:tc>
          <w:tcPr>
            <w:tcW w:w="8880" w:type="dxa"/>
            <w:vAlign w:val="bottom"/>
          </w:tcPr>
          <w:p>
            <w:pPr>
              <w:ind w:left="580"/>
              <w:spacing w:after="0"/>
              <w:rPr>
                <w:sz w:val="20"/>
                <w:szCs w:val="20"/>
                <w:color w:val="auto"/>
              </w:rPr>
            </w:pPr>
            <w:r>
              <w:rPr>
                <w:rFonts w:ascii="Arial" w:cs="Arial" w:eastAsia="Arial" w:hAnsi="Arial"/>
                <w:sz w:val="18"/>
                <w:szCs w:val="18"/>
                <w:color w:val="auto"/>
              </w:rPr>
              <w:t>An area of distinct mineralization, i.e., a deposit.</w:t>
            </w:r>
          </w:p>
        </w:tc>
      </w:tr>
      <w:tr>
        <w:trPr>
          <w:trHeight w:val="432"/>
        </w:trPr>
        <w:tc>
          <w:tcPr>
            <w:tcW w:w="2540" w:type="dxa"/>
            <w:vAlign w:val="bottom"/>
          </w:tcPr>
          <w:p>
            <w:pPr>
              <w:spacing w:after="0"/>
              <w:rPr>
                <w:sz w:val="24"/>
                <w:szCs w:val="24"/>
                <w:color w:val="auto"/>
              </w:rPr>
            </w:pPr>
          </w:p>
        </w:tc>
        <w:tc>
          <w:tcPr>
            <w:tcW w:w="8880" w:type="dxa"/>
            <w:vAlign w:val="bottom"/>
          </w:tcPr>
          <w:p>
            <w:pPr>
              <w:ind w:left="3080"/>
              <w:spacing w:after="0"/>
              <w:rPr>
                <w:sz w:val="20"/>
                <w:szCs w:val="20"/>
                <w:color w:val="auto"/>
              </w:rPr>
            </w:pPr>
            <w:r>
              <w:rPr>
                <w:rFonts w:ascii="Arial" w:cs="Arial" w:eastAsia="Arial" w:hAnsi="Arial"/>
                <w:sz w:val="18"/>
                <w:szCs w:val="18"/>
                <w:color w:val="auto"/>
              </w:rPr>
              <w:t>72</w:t>
            </w:r>
          </w:p>
        </w:tc>
      </w:tr>
      <w:tr>
        <w:trPr>
          <w:trHeight w:val="228"/>
        </w:trPr>
        <w:tc>
          <w:tcPr>
            <w:tcW w:w="2540" w:type="dxa"/>
            <w:vAlign w:val="bottom"/>
            <w:tcBorders>
              <w:bottom w:val="single" w:sz="8" w:color="808080"/>
            </w:tcBorders>
          </w:tcPr>
          <w:p>
            <w:pPr>
              <w:spacing w:after="0"/>
              <w:rPr>
                <w:sz w:val="19"/>
                <w:szCs w:val="19"/>
                <w:color w:val="auto"/>
              </w:rPr>
            </w:pPr>
          </w:p>
        </w:tc>
        <w:tc>
          <w:tcPr>
            <w:tcW w:w="888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25" w:right="239" w:bottom="1440" w:gutter="0" w:footer="0" w:header="0"/>
        </w:sectPr>
      </w:pPr>
    </w:p>
    <w:bookmarkStart w:id="115" w:name="page116"/>
    <w:bookmarkEnd w:id="115"/>
    <w:p>
      <w:pPr>
        <w:spacing w:after="0"/>
        <w:tabs>
          <w:tab w:leader="none" w:pos="880" w:val="left"/>
        </w:tabs>
        <w:rPr>
          <w:sz w:val="20"/>
          <w:szCs w:val="20"/>
          <w:color w:val="auto"/>
        </w:rPr>
      </w:pPr>
      <w:r>
        <w:rPr>
          <w:rFonts w:ascii="Arial" w:cs="Arial" w:eastAsia="Arial" w:hAnsi="Arial"/>
          <w:sz w:val="18"/>
          <w:szCs w:val="18"/>
          <w:b w:val="1"/>
          <w:bCs w:val="1"/>
          <w:color w:val="auto"/>
        </w:rPr>
        <w:t>ITEM 4A</w:t>
      </w:r>
      <w:r>
        <w:rPr>
          <w:sz w:val="20"/>
          <w:szCs w:val="20"/>
          <w:color w:val="auto"/>
        </w:rPr>
        <w:tab/>
      </w:r>
      <w:r>
        <w:rPr>
          <w:rFonts w:ascii="Arial" w:cs="Arial" w:eastAsia="Arial" w:hAnsi="Arial"/>
          <w:sz w:val="16"/>
          <w:szCs w:val="16"/>
          <w:b w:val="1"/>
          <w:bCs w:val="1"/>
          <w:color w:val="auto"/>
        </w:rPr>
        <w:t>UNRESOLVED STAFF COMMENTS</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None.</w:t>
      </w:r>
    </w:p>
    <w:p>
      <w:pPr>
        <w:spacing w:after="0" w:line="219" w:lineRule="exact"/>
        <w:rPr>
          <w:sz w:val="20"/>
          <w:szCs w:val="20"/>
          <w:color w:val="auto"/>
        </w:rPr>
      </w:pPr>
    </w:p>
    <w:p>
      <w:pPr>
        <w:spacing w:after="0"/>
        <w:tabs>
          <w:tab w:leader="none" w:pos="760" w:val="left"/>
        </w:tabs>
        <w:rPr>
          <w:sz w:val="20"/>
          <w:szCs w:val="20"/>
          <w:color w:val="auto"/>
        </w:rPr>
      </w:pPr>
      <w:r>
        <w:rPr>
          <w:rFonts w:ascii="Arial" w:cs="Arial" w:eastAsia="Arial" w:hAnsi="Arial"/>
          <w:sz w:val="18"/>
          <w:szCs w:val="18"/>
          <w:b w:val="1"/>
          <w:bCs w:val="1"/>
          <w:color w:val="auto"/>
        </w:rPr>
        <w:t>ITEM 5</w:t>
      </w:r>
      <w:r>
        <w:rPr>
          <w:sz w:val="20"/>
          <w:szCs w:val="20"/>
          <w:color w:val="auto"/>
        </w:rPr>
        <w:tab/>
      </w:r>
      <w:r>
        <w:rPr>
          <w:rFonts w:ascii="Arial" w:cs="Arial" w:eastAsia="Arial" w:hAnsi="Arial"/>
          <w:sz w:val="16"/>
          <w:szCs w:val="16"/>
          <w:b w:val="1"/>
          <w:bCs w:val="1"/>
          <w:color w:val="auto"/>
        </w:rPr>
        <w:t>OPERATING AND FINANCIAL REVIEW AND PROSPECTS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Results of Operations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Revenues from Mining Operations</w:t>
      </w:r>
    </w:p>
    <w:p>
      <w:pPr>
        <w:spacing w:after="0" w:line="225" w:lineRule="exact"/>
        <w:rPr>
          <w:sz w:val="20"/>
          <w:szCs w:val="20"/>
          <w:color w:val="auto"/>
        </w:rPr>
      </w:pPr>
    </w:p>
    <w:p>
      <w:pPr>
        <w:jc w:val="both"/>
        <w:ind w:firstLine="473"/>
        <w:spacing w:after="0" w:line="259" w:lineRule="auto"/>
        <w:rPr>
          <w:sz w:val="20"/>
          <w:szCs w:val="20"/>
          <w:color w:val="auto"/>
        </w:rPr>
      </w:pPr>
      <w:r>
        <w:rPr>
          <w:rFonts w:ascii="Arial" w:cs="Arial" w:eastAsia="Arial" w:hAnsi="Arial"/>
          <w:sz w:val="18"/>
          <w:szCs w:val="18"/>
          <w:color w:val="auto"/>
        </w:rPr>
        <w:t>In 2009, revenue from mining operations increased 66% to $614 million from $369 million in 2008. The increase in revenue was mainly driven by the increase in gold production from the Company's Goldex, Kittila, Lapa and Pinos Altos Mines. In addition, higher sales prices were realized on gold, silver and zinc. The increase in realized prices was partially offset by a decrease in silver and zinc production.</w:t>
      </w:r>
    </w:p>
    <w:p>
      <w:pPr>
        <w:spacing w:after="0" w:line="194" w:lineRule="exact"/>
        <w:rPr>
          <w:sz w:val="20"/>
          <w:szCs w:val="20"/>
          <w:color w:val="auto"/>
        </w:rPr>
      </w:pPr>
    </w:p>
    <w:p>
      <w:pPr>
        <w:jc w:val="both"/>
        <w:ind w:firstLine="354"/>
        <w:spacing w:after="0" w:line="335" w:lineRule="auto"/>
        <w:rPr>
          <w:sz w:val="20"/>
          <w:szCs w:val="20"/>
          <w:color w:val="auto"/>
        </w:rPr>
      </w:pPr>
      <w:r>
        <w:rPr>
          <w:rFonts w:ascii="Arial" w:cs="Arial" w:eastAsia="Arial" w:hAnsi="Arial"/>
          <w:sz w:val="15"/>
          <w:szCs w:val="15"/>
          <w:color w:val="auto"/>
        </w:rPr>
        <w:t>In 2009, sales of precious metals accounted for 87% of revenues, up from 78% in 2008 and up from 56% in 2007. The increase in the percentage of revenues from precious metals when compared to 2008 is largely due to the increase in gold production and prices. Revenues from mining operations are accounted for net of related smelting, refining, transportation and other charges. The table below sets out net revenue, production volumes and sales volumes by metal:</w:t>
      </w:r>
    </w:p>
    <w:p>
      <w:pPr>
        <w:spacing w:after="0" w:line="192"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4840" w:type="dxa"/>
            <w:vAlign w:val="bottom"/>
          </w:tcPr>
          <w:p>
            <w:pPr>
              <w:spacing w:after="0"/>
              <w:rPr>
                <w:sz w:val="14"/>
                <w:szCs w:val="14"/>
                <w:color w:val="auto"/>
              </w:rPr>
            </w:pPr>
          </w:p>
        </w:tc>
        <w:tc>
          <w:tcPr>
            <w:tcW w:w="1440" w:type="dxa"/>
            <w:vAlign w:val="bottom"/>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640" w:type="dxa"/>
            <w:vAlign w:val="bottom"/>
            <w:tcBorders>
              <w:bottom w:val="single" w:sz="8" w:color="auto"/>
            </w:tcBorders>
          </w:tcPr>
          <w:p>
            <w:pPr>
              <w:jc w:val="right"/>
              <w:ind w:right="194"/>
              <w:spacing w:after="0"/>
              <w:rPr>
                <w:sz w:val="20"/>
                <w:szCs w:val="20"/>
                <w:color w:val="auto"/>
              </w:rPr>
            </w:pPr>
            <w:r>
              <w:rPr>
                <w:rFonts w:ascii="Arial" w:cs="Arial" w:eastAsia="Arial" w:hAnsi="Arial"/>
                <w:sz w:val="14"/>
                <w:szCs w:val="14"/>
                <w:b w:val="1"/>
                <w:bCs w:val="1"/>
                <w:color w:val="auto"/>
              </w:rPr>
              <w:t>2009</w:t>
            </w:r>
          </w:p>
        </w:tc>
        <w:tc>
          <w:tcPr>
            <w:tcW w:w="16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640" w:type="dxa"/>
            <w:vAlign w:val="bottom"/>
            <w:tcBorders>
              <w:bottom w:val="single" w:sz="8" w:color="auto"/>
            </w:tcBorders>
          </w:tcPr>
          <w:p>
            <w:pPr>
              <w:jc w:val="right"/>
              <w:ind w:right="174"/>
              <w:spacing w:after="0"/>
              <w:rPr>
                <w:sz w:val="20"/>
                <w:szCs w:val="20"/>
                <w:color w:val="auto"/>
              </w:rPr>
            </w:pPr>
            <w:r>
              <w:rPr>
                <w:rFonts w:ascii="Arial" w:cs="Arial" w:eastAsia="Arial" w:hAnsi="Arial"/>
                <w:sz w:val="14"/>
                <w:szCs w:val="14"/>
                <w:b w:val="1"/>
                <w:bCs w:val="1"/>
                <w:color w:val="auto"/>
              </w:rPr>
              <w:t>2008</w:t>
            </w:r>
          </w:p>
        </w:tc>
        <w:tc>
          <w:tcPr>
            <w:tcW w:w="16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640" w:type="dxa"/>
            <w:vAlign w:val="bottom"/>
            <w:tcBorders>
              <w:bottom w:val="single" w:sz="8" w:color="auto"/>
            </w:tcBorders>
          </w:tcPr>
          <w:p>
            <w:pPr>
              <w:jc w:val="right"/>
              <w:ind w:right="174"/>
              <w:spacing w:after="0"/>
              <w:rPr>
                <w:sz w:val="20"/>
                <w:szCs w:val="20"/>
                <w:color w:val="auto"/>
              </w:rPr>
            </w:pPr>
            <w:r>
              <w:rPr>
                <w:rFonts w:ascii="Arial" w:cs="Arial" w:eastAsia="Arial" w:hAnsi="Arial"/>
                <w:sz w:val="14"/>
                <w:szCs w:val="14"/>
                <w:b w:val="1"/>
                <w:bCs w:val="1"/>
                <w:color w:val="auto"/>
              </w:rPr>
              <w:t>2007</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4840" w:type="dxa"/>
            <w:vAlign w:val="bottom"/>
            <w:shd w:val="clear" w:color="auto" w:fill="CCEEFF"/>
          </w:tcPr>
          <w:p>
            <w:pPr>
              <w:spacing w:after="0"/>
              <w:rPr>
                <w:sz w:val="20"/>
                <w:szCs w:val="20"/>
                <w:color w:val="auto"/>
              </w:rPr>
            </w:pPr>
            <w:r>
              <w:rPr>
                <w:rFonts w:ascii="Arial" w:cs="Arial" w:eastAsia="Arial" w:hAnsi="Arial"/>
                <w:sz w:val="18"/>
                <w:szCs w:val="18"/>
                <w:b w:val="1"/>
                <w:bCs w:val="1"/>
                <w:i w:val="1"/>
                <w:iCs w:val="1"/>
                <w:color w:val="auto"/>
              </w:rPr>
              <w:t>Revenues from mining operations (thousands):</w:t>
            </w:r>
          </w:p>
        </w:tc>
        <w:tc>
          <w:tcPr>
            <w:tcW w:w="14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40" w:type="dxa"/>
            <w:vAlign w:val="bottom"/>
          </w:tcPr>
          <w:p>
            <w:pPr>
              <w:spacing w:after="0"/>
              <w:rPr>
                <w:sz w:val="20"/>
                <w:szCs w:val="20"/>
                <w:color w:val="auto"/>
              </w:rPr>
            </w:pPr>
            <w:r>
              <w:rPr>
                <w:rFonts w:ascii="Arial" w:cs="Arial" w:eastAsia="Arial" w:hAnsi="Arial"/>
                <w:sz w:val="18"/>
                <w:szCs w:val="18"/>
                <w:color w:val="auto"/>
              </w:rPr>
              <w:t>Gold</w:t>
            </w:r>
          </w:p>
        </w:tc>
        <w:tc>
          <w:tcPr>
            <w:tcW w:w="160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tcPr>
          <w:p>
            <w:pPr>
              <w:jc w:val="right"/>
              <w:spacing w:after="0"/>
              <w:rPr>
                <w:sz w:val="20"/>
                <w:szCs w:val="20"/>
                <w:color w:val="auto"/>
              </w:rPr>
            </w:pPr>
            <w:r>
              <w:rPr>
                <w:rFonts w:ascii="Arial" w:cs="Arial" w:eastAsia="Arial" w:hAnsi="Arial"/>
                <w:sz w:val="18"/>
                <w:szCs w:val="18"/>
                <w:color w:val="auto"/>
                <w:w w:val="92"/>
              </w:rPr>
              <w:t>474,875</w:t>
            </w:r>
          </w:p>
        </w:tc>
        <w:tc>
          <w:tcPr>
            <w:tcW w:w="30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tcPr>
          <w:p>
            <w:pPr>
              <w:jc w:val="right"/>
              <w:spacing w:after="0"/>
              <w:rPr>
                <w:sz w:val="20"/>
                <w:szCs w:val="20"/>
                <w:color w:val="auto"/>
              </w:rPr>
            </w:pPr>
            <w:r>
              <w:rPr>
                <w:rFonts w:ascii="Arial" w:cs="Arial" w:eastAsia="Arial" w:hAnsi="Arial"/>
                <w:sz w:val="18"/>
                <w:szCs w:val="18"/>
                <w:color w:val="auto"/>
                <w:w w:val="95"/>
              </w:rPr>
              <w:t>227,576</w:t>
            </w:r>
          </w:p>
        </w:tc>
        <w:tc>
          <w:tcPr>
            <w:tcW w:w="30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tcPr>
          <w:p>
            <w:pPr>
              <w:jc w:val="right"/>
              <w:spacing w:after="0"/>
              <w:rPr>
                <w:sz w:val="20"/>
                <w:szCs w:val="20"/>
                <w:color w:val="auto"/>
              </w:rPr>
            </w:pPr>
            <w:r>
              <w:rPr>
                <w:rFonts w:ascii="Arial" w:cs="Arial" w:eastAsia="Arial" w:hAnsi="Arial"/>
                <w:sz w:val="18"/>
                <w:szCs w:val="18"/>
                <w:color w:val="auto"/>
                <w:w w:val="95"/>
              </w:rPr>
              <w:t>171,537</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40" w:type="dxa"/>
            <w:vAlign w:val="bottom"/>
            <w:shd w:val="clear" w:color="auto" w:fill="CCEEFF"/>
          </w:tcPr>
          <w:p>
            <w:pPr>
              <w:spacing w:after="0"/>
              <w:rPr>
                <w:sz w:val="20"/>
                <w:szCs w:val="20"/>
                <w:color w:val="auto"/>
              </w:rPr>
            </w:pPr>
            <w:r>
              <w:rPr>
                <w:rFonts w:ascii="Arial" w:cs="Arial" w:eastAsia="Arial" w:hAnsi="Arial"/>
                <w:sz w:val="18"/>
                <w:szCs w:val="18"/>
                <w:color w:val="auto"/>
              </w:rPr>
              <w:t>Silver</w:t>
            </w:r>
          </w:p>
        </w:tc>
        <w:tc>
          <w:tcPr>
            <w:tcW w:w="14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59,155</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59,398</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70,028</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40" w:type="dxa"/>
            <w:vAlign w:val="bottom"/>
          </w:tcPr>
          <w:p>
            <w:pPr>
              <w:spacing w:after="0"/>
              <w:rPr>
                <w:sz w:val="20"/>
                <w:szCs w:val="20"/>
                <w:color w:val="auto"/>
              </w:rPr>
            </w:pPr>
            <w:r>
              <w:rPr>
                <w:rFonts w:ascii="Arial" w:cs="Arial" w:eastAsia="Arial" w:hAnsi="Arial"/>
                <w:sz w:val="18"/>
                <w:szCs w:val="18"/>
                <w:color w:val="auto"/>
              </w:rPr>
              <w:t>Zinc</w:t>
            </w:r>
          </w:p>
        </w:tc>
        <w:tc>
          <w:tcPr>
            <w:tcW w:w="14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57,034</w:t>
            </w: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54,364</w:t>
            </w: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w w:val="95"/>
              </w:rPr>
              <w:t>156,340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40" w:type="dxa"/>
            <w:vAlign w:val="bottom"/>
            <w:shd w:val="clear" w:color="auto" w:fill="CCEEFF"/>
          </w:tcPr>
          <w:p>
            <w:pPr>
              <w:spacing w:after="0"/>
              <w:rPr>
                <w:sz w:val="20"/>
                <w:szCs w:val="20"/>
                <w:color w:val="auto"/>
              </w:rPr>
            </w:pPr>
            <w:r>
              <w:rPr>
                <w:rFonts w:ascii="Arial" w:cs="Arial" w:eastAsia="Arial" w:hAnsi="Arial"/>
                <w:sz w:val="18"/>
                <w:szCs w:val="18"/>
                <w:color w:val="auto"/>
              </w:rPr>
              <w:t>Copper</w:t>
            </w:r>
          </w:p>
        </w:tc>
        <w:tc>
          <w:tcPr>
            <w:tcW w:w="14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22,571</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27,600</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34,300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4840" w:type="dxa"/>
            <w:vAlign w:val="bottom"/>
          </w:tcPr>
          <w:p>
            <w:pPr>
              <w:spacing w:after="0"/>
              <w:rPr>
                <w:sz w:val="20"/>
                <w:szCs w:val="20"/>
                <w:color w:val="auto"/>
              </w:rPr>
            </w:pPr>
            <w:r>
              <w:rPr>
                <w:rFonts w:ascii="Arial" w:cs="Arial" w:eastAsia="Arial" w:hAnsi="Arial"/>
                <w:sz w:val="18"/>
                <w:szCs w:val="18"/>
                <w:color w:val="auto"/>
              </w:rPr>
              <w:t>Lead</w:t>
            </w:r>
          </w:p>
        </w:tc>
        <w:tc>
          <w:tcPr>
            <w:tcW w:w="14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127</w:t>
            </w:r>
          </w:p>
        </w:tc>
        <w:tc>
          <w:tcPr>
            <w:tcW w:w="1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
        </w:trPr>
        <w:tc>
          <w:tcPr>
            <w:tcW w:w="20" w:type="dxa"/>
            <w:vAlign w:val="bottom"/>
          </w:tcPr>
          <w:p>
            <w:pPr>
              <w:spacing w:after="0" w:line="20" w:lineRule="exact"/>
              <w:rPr>
                <w:sz w:val="1"/>
                <w:szCs w:val="1"/>
                <w:color w:val="auto"/>
              </w:rPr>
            </w:pPr>
          </w:p>
        </w:tc>
        <w:tc>
          <w:tcPr>
            <w:tcW w:w="4840" w:type="dxa"/>
            <w:vAlign w:val="bottom"/>
          </w:tcPr>
          <w:p>
            <w:pPr>
              <w:spacing w:after="0" w:line="20" w:lineRule="exact"/>
              <w:rPr>
                <w:sz w:val="1"/>
                <w:szCs w:val="1"/>
                <w:color w:val="auto"/>
              </w:rPr>
            </w:pPr>
          </w:p>
        </w:tc>
        <w:tc>
          <w:tcPr>
            <w:tcW w:w="144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4840" w:type="dxa"/>
            <w:vAlign w:val="bottom"/>
            <w:shd w:val="clear" w:color="auto" w:fill="CCEEFF"/>
          </w:tcPr>
          <w:p>
            <w:pPr>
              <w:spacing w:after="0"/>
              <w:rPr>
                <w:sz w:val="18"/>
                <w:szCs w:val="18"/>
                <w:color w:val="auto"/>
              </w:rPr>
            </w:pPr>
          </w:p>
        </w:tc>
        <w:tc>
          <w:tcPr>
            <w:tcW w:w="16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2"/>
              </w:rPr>
              <w:t>613,762</w:t>
            </w:r>
          </w:p>
        </w:tc>
        <w:tc>
          <w:tcPr>
            <w:tcW w:w="3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368,938</w:t>
            </w:r>
          </w:p>
        </w:tc>
        <w:tc>
          <w:tcPr>
            <w:tcW w:w="3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432,205</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4860" w:type="dxa"/>
            <w:vAlign w:val="bottom"/>
            <w:gridSpan w:val="2"/>
            <w:vMerge w:val="restart"/>
          </w:tcPr>
          <w:p>
            <w:pPr>
              <w:spacing w:after="0"/>
              <w:rPr>
                <w:sz w:val="20"/>
                <w:szCs w:val="20"/>
                <w:color w:val="auto"/>
              </w:rPr>
            </w:pPr>
            <w:r>
              <w:rPr>
                <w:rFonts w:ascii="Arial" w:cs="Arial" w:eastAsia="Arial" w:hAnsi="Arial"/>
                <w:sz w:val="18"/>
                <w:szCs w:val="18"/>
                <w:b w:val="1"/>
                <w:bCs w:val="1"/>
                <w:i w:val="1"/>
                <w:iCs w:val="1"/>
                <w:color w:val="auto"/>
              </w:rPr>
              <w:t>Production volumes:</w:t>
            </w:r>
          </w:p>
        </w:tc>
        <w:tc>
          <w:tcPr>
            <w:tcW w:w="144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4860" w:type="dxa"/>
            <w:vAlign w:val="bottom"/>
            <w:gridSpan w:val="2"/>
            <w:vMerge w:val="continue"/>
          </w:tcPr>
          <w:p>
            <w:pPr>
              <w:spacing w:after="0" w:line="20" w:lineRule="exact"/>
              <w:rPr>
                <w:sz w:val="1"/>
                <w:szCs w:val="1"/>
                <w:color w:val="auto"/>
              </w:rPr>
            </w:pPr>
          </w:p>
        </w:tc>
        <w:tc>
          <w:tcPr>
            <w:tcW w:w="144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1"/>
        </w:trPr>
        <w:tc>
          <w:tcPr>
            <w:tcW w:w="4860" w:type="dxa"/>
            <w:vAlign w:val="bottom"/>
            <w:gridSpan w:val="2"/>
            <w:vMerge w:val="continue"/>
          </w:tcPr>
          <w:p>
            <w:pPr>
              <w:spacing w:after="0"/>
              <w:rPr>
                <w:sz w:val="24"/>
                <w:szCs w:val="24"/>
                <w:color w:val="auto"/>
              </w:rPr>
            </w:pPr>
          </w:p>
        </w:tc>
        <w:tc>
          <w:tcPr>
            <w:tcW w:w="14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4840" w:type="dxa"/>
            <w:vAlign w:val="bottom"/>
            <w:shd w:val="clear" w:color="auto" w:fill="CCEEFF"/>
          </w:tcPr>
          <w:p>
            <w:pPr>
              <w:spacing w:after="0"/>
              <w:rPr>
                <w:sz w:val="20"/>
                <w:szCs w:val="20"/>
                <w:color w:val="auto"/>
              </w:rPr>
            </w:pPr>
            <w:r>
              <w:rPr>
                <w:rFonts w:ascii="Arial" w:cs="Arial" w:eastAsia="Arial" w:hAnsi="Arial"/>
                <w:sz w:val="18"/>
                <w:szCs w:val="18"/>
                <w:color w:val="auto"/>
              </w:rPr>
              <w:t>Gold (ounces)</w:t>
            </w:r>
          </w:p>
        </w:tc>
        <w:tc>
          <w:tcPr>
            <w:tcW w:w="14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2"/>
              </w:rPr>
              <w:t>492,972</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276,762</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230,992</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40" w:type="dxa"/>
            <w:vAlign w:val="bottom"/>
          </w:tcPr>
          <w:p>
            <w:pPr>
              <w:spacing w:after="0"/>
              <w:rPr>
                <w:sz w:val="20"/>
                <w:szCs w:val="20"/>
                <w:color w:val="auto"/>
              </w:rPr>
            </w:pPr>
            <w:r>
              <w:rPr>
                <w:rFonts w:ascii="Arial" w:cs="Arial" w:eastAsia="Arial" w:hAnsi="Arial"/>
                <w:sz w:val="18"/>
                <w:szCs w:val="18"/>
                <w:color w:val="auto"/>
              </w:rPr>
              <w:t>Silver (000s ounces)</w:t>
            </w:r>
          </w:p>
        </w:tc>
        <w:tc>
          <w:tcPr>
            <w:tcW w:w="14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4,035</w:t>
            </w: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4,079</w:t>
            </w: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4,920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40" w:type="dxa"/>
            <w:vAlign w:val="bottom"/>
            <w:shd w:val="clear" w:color="auto" w:fill="CCEEFF"/>
          </w:tcPr>
          <w:p>
            <w:pPr>
              <w:spacing w:after="0"/>
              <w:rPr>
                <w:sz w:val="20"/>
                <w:szCs w:val="20"/>
                <w:color w:val="auto"/>
              </w:rPr>
            </w:pPr>
            <w:r>
              <w:rPr>
                <w:rFonts w:ascii="Arial" w:cs="Arial" w:eastAsia="Arial" w:hAnsi="Arial"/>
                <w:sz w:val="18"/>
                <w:szCs w:val="18"/>
                <w:color w:val="auto"/>
              </w:rPr>
              <w:t>Zinc (tonnes)</w:t>
            </w:r>
          </w:p>
        </w:tc>
        <w:tc>
          <w:tcPr>
            <w:tcW w:w="14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56,186</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65,755</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71,577</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40" w:type="dxa"/>
            <w:vAlign w:val="bottom"/>
          </w:tcPr>
          <w:p>
            <w:pPr>
              <w:spacing w:after="0"/>
              <w:rPr>
                <w:sz w:val="20"/>
                <w:szCs w:val="20"/>
                <w:color w:val="auto"/>
              </w:rPr>
            </w:pPr>
            <w:r>
              <w:rPr>
                <w:rFonts w:ascii="Arial" w:cs="Arial" w:eastAsia="Arial" w:hAnsi="Arial"/>
                <w:sz w:val="18"/>
                <w:szCs w:val="18"/>
                <w:color w:val="auto"/>
              </w:rPr>
              <w:t>Copper (tonnes)</w:t>
            </w:r>
          </w:p>
        </w:tc>
        <w:tc>
          <w:tcPr>
            <w:tcW w:w="14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6,671</w:t>
            </w: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6,922</w:t>
            </w: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7,482</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4840" w:type="dxa"/>
            <w:vAlign w:val="bottom"/>
            <w:shd w:val="clear" w:color="auto" w:fill="CCEEFF"/>
          </w:tcPr>
          <w:p>
            <w:pPr>
              <w:spacing w:after="0"/>
              <w:rPr>
                <w:sz w:val="20"/>
                <w:szCs w:val="20"/>
                <w:color w:val="auto"/>
              </w:rPr>
            </w:pPr>
            <w:r>
              <w:rPr>
                <w:rFonts w:ascii="Arial" w:cs="Arial" w:eastAsia="Arial" w:hAnsi="Arial"/>
                <w:sz w:val="18"/>
                <w:szCs w:val="18"/>
                <w:b w:val="1"/>
                <w:bCs w:val="1"/>
                <w:i w:val="1"/>
                <w:iCs w:val="1"/>
                <w:color w:val="auto"/>
              </w:rPr>
              <w:t>Sales volumes:</w:t>
            </w:r>
          </w:p>
        </w:tc>
        <w:tc>
          <w:tcPr>
            <w:tcW w:w="144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64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64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64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40" w:type="dxa"/>
            <w:vAlign w:val="bottom"/>
          </w:tcPr>
          <w:p>
            <w:pPr>
              <w:spacing w:after="0"/>
              <w:rPr>
                <w:sz w:val="20"/>
                <w:szCs w:val="20"/>
                <w:color w:val="auto"/>
              </w:rPr>
            </w:pPr>
            <w:r>
              <w:rPr>
                <w:rFonts w:ascii="Arial" w:cs="Arial" w:eastAsia="Arial" w:hAnsi="Arial"/>
                <w:sz w:val="18"/>
                <w:szCs w:val="18"/>
                <w:color w:val="auto"/>
              </w:rPr>
              <w:t>Gold (ounces)</w:t>
            </w:r>
          </w:p>
        </w:tc>
        <w:tc>
          <w:tcPr>
            <w:tcW w:w="14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w w:val="92"/>
              </w:rPr>
              <w:t>463,660</w:t>
            </w: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w w:val="95"/>
              </w:rPr>
              <w:t>258,601</w:t>
            </w: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w w:val="95"/>
              </w:rPr>
              <w:t>229,316</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40" w:type="dxa"/>
            <w:vAlign w:val="bottom"/>
            <w:shd w:val="clear" w:color="auto" w:fill="CCEEFF"/>
          </w:tcPr>
          <w:p>
            <w:pPr>
              <w:spacing w:after="0"/>
              <w:rPr>
                <w:sz w:val="20"/>
                <w:szCs w:val="20"/>
                <w:color w:val="auto"/>
              </w:rPr>
            </w:pPr>
            <w:r>
              <w:rPr>
                <w:rFonts w:ascii="Arial" w:cs="Arial" w:eastAsia="Arial" w:hAnsi="Arial"/>
                <w:sz w:val="18"/>
                <w:szCs w:val="18"/>
                <w:color w:val="auto"/>
              </w:rPr>
              <w:t>Silver (000s ounces)</w:t>
            </w:r>
          </w:p>
        </w:tc>
        <w:tc>
          <w:tcPr>
            <w:tcW w:w="14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3,871</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4,023</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5,171</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40" w:type="dxa"/>
            <w:vAlign w:val="bottom"/>
          </w:tcPr>
          <w:p>
            <w:pPr>
              <w:spacing w:after="0"/>
              <w:rPr>
                <w:sz w:val="20"/>
                <w:szCs w:val="20"/>
                <w:color w:val="auto"/>
              </w:rPr>
            </w:pPr>
            <w:r>
              <w:rPr>
                <w:rFonts w:ascii="Arial" w:cs="Arial" w:eastAsia="Arial" w:hAnsi="Arial"/>
                <w:sz w:val="18"/>
                <w:szCs w:val="18"/>
                <w:color w:val="auto"/>
              </w:rPr>
              <w:t>Zinc (tonnes)</w:t>
            </w:r>
          </w:p>
        </w:tc>
        <w:tc>
          <w:tcPr>
            <w:tcW w:w="14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58,391</w:t>
            </w: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62,653</w:t>
            </w: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72,905</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40" w:type="dxa"/>
            <w:vAlign w:val="bottom"/>
            <w:shd w:val="clear" w:color="auto" w:fill="CCEEFF"/>
          </w:tcPr>
          <w:p>
            <w:pPr>
              <w:spacing w:after="0"/>
              <w:rPr>
                <w:sz w:val="20"/>
                <w:szCs w:val="20"/>
                <w:color w:val="auto"/>
              </w:rPr>
            </w:pPr>
            <w:r>
              <w:rPr>
                <w:rFonts w:ascii="Arial" w:cs="Arial" w:eastAsia="Arial" w:hAnsi="Arial"/>
                <w:sz w:val="18"/>
                <w:szCs w:val="18"/>
                <w:color w:val="auto"/>
              </w:rPr>
              <w:t>Copper (tonnes)</w:t>
            </w:r>
          </w:p>
        </w:tc>
        <w:tc>
          <w:tcPr>
            <w:tcW w:w="14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6,689</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6,913</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7,466</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bl>
    <w:p>
      <w:pPr>
        <w:spacing w:after="0" w:line="208" w:lineRule="exact"/>
        <w:rPr>
          <w:sz w:val="20"/>
          <w:szCs w:val="20"/>
          <w:color w:val="auto"/>
        </w:rPr>
      </w:pPr>
    </w:p>
    <w:p>
      <w:pPr>
        <w:jc w:val="both"/>
        <w:ind w:firstLine="392"/>
        <w:spacing w:after="0" w:line="256" w:lineRule="auto"/>
        <w:rPr>
          <w:sz w:val="20"/>
          <w:szCs w:val="20"/>
          <w:color w:val="auto"/>
        </w:rPr>
      </w:pPr>
      <w:r>
        <w:rPr>
          <w:rFonts w:ascii="Arial" w:cs="Arial" w:eastAsia="Arial" w:hAnsi="Arial"/>
          <w:sz w:val="18"/>
          <w:szCs w:val="18"/>
          <w:color w:val="auto"/>
        </w:rPr>
        <w:t>Revenue from gold sales increased $247 million, or 109%, in 2009. Gold production increased to 492,972 ounces in 2009, up 78% from 276,762 ounces in 2008. This increase is attributable to the commencement of production at the new Kittila, Lapa and Pinos Altos Mines during 2009 and the first full year of production at the Goldex Mine in 2009. Realized gold prices increased 16% in 2009 to $1,024 per ounce from $879 per ounce in 2008. Silver revenue, production and realized silver price remained relatively constant.</w:t>
      </w:r>
    </w:p>
    <w:p>
      <w:pPr>
        <w:spacing w:after="0" w:line="197" w:lineRule="exact"/>
        <w:rPr>
          <w:sz w:val="20"/>
          <w:szCs w:val="20"/>
          <w:color w:val="auto"/>
        </w:rPr>
      </w:pPr>
    </w:p>
    <w:p>
      <w:pPr>
        <w:jc w:val="both"/>
        <w:ind w:firstLine="413"/>
        <w:spacing w:after="0" w:line="259" w:lineRule="auto"/>
        <w:rPr>
          <w:sz w:val="20"/>
          <w:szCs w:val="20"/>
          <w:color w:val="auto"/>
        </w:rPr>
      </w:pPr>
      <w:r>
        <w:rPr>
          <w:rFonts w:ascii="Arial" w:cs="Arial" w:eastAsia="Arial" w:hAnsi="Arial"/>
          <w:sz w:val="18"/>
          <w:szCs w:val="18"/>
          <w:color w:val="auto"/>
        </w:rPr>
        <w:t>Revenue from zinc sales increased by $3 million, or 5%, in 2009 when compared to 2008. The increase in zinc revenue was due to an increase in realized zinc sales prices that was partially offset by a decrease in sales volume. Revenue from copper sales decreased by 18% when compared to 2008. This was due to a decrease in realized sales prices and sales volume of copper.</w:t>
      </w:r>
    </w:p>
    <w:p>
      <w:pPr>
        <w:spacing w:after="0" w:line="194" w:lineRule="exact"/>
        <w:rPr>
          <w:sz w:val="20"/>
          <w:szCs w:val="20"/>
          <w:color w:val="auto"/>
        </w:rPr>
      </w:pPr>
    </w:p>
    <w:p>
      <w:pPr>
        <w:jc w:val="both"/>
        <w:ind w:firstLine="467"/>
        <w:spacing w:after="0" w:line="268" w:lineRule="auto"/>
        <w:rPr>
          <w:sz w:val="20"/>
          <w:szCs w:val="20"/>
          <w:color w:val="auto"/>
        </w:rPr>
      </w:pPr>
      <w:r>
        <w:rPr>
          <w:rFonts w:ascii="Arial" w:cs="Arial" w:eastAsia="Arial" w:hAnsi="Arial"/>
          <w:sz w:val="18"/>
          <w:szCs w:val="18"/>
          <w:color w:val="auto"/>
        </w:rPr>
        <w:t>Total fourth quarter revenue from mining operations increased substantially from $73.2 million in 2008 to $225.6 million in 2009 due to the significant additional gold production from the Company's new mines combined with the increase in realized sales prices for all metals.</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25" w:right="239" w:bottom="1440" w:gutter="0" w:footer="0" w:header="0"/>
        </w:sectPr>
      </w:pPr>
    </w:p>
    <w:bookmarkStart w:id="116" w:name="page117"/>
    <w:bookmarkEnd w:id="116"/>
    <w:p>
      <w:pPr>
        <w:spacing w:after="0"/>
        <w:rPr>
          <w:sz w:val="20"/>
          <w:szCs w:val="20"/>
          <w:color w:val="auto"/>
        </w:rPr>
      </w:pPr>
      <w:r>
        <w:rPr>
          <w:rFonts w:ascii="Arial" w:cs="Arial" w:eastAsia="Arial" w:hAnsi="Arial"/>
          <w:sz w:val="18"/>
          <w:szCs w:val="18"/>
          <w:b w:val="1"/>
          <w:bCs w:val="1"/>
          <w:i w:val="1"/>
          <w:iCs w:val="1"/>
          <w:color w:val="auto"/>
        </w:rPr>
        <w:t>Interest and Sundry Income</w:t>
      </w:r>
    </w:p>
    <w:p>
      <w:pPr>
        <w:spacing w:after="0" w:line="225" w:lineRule="exact"/>
        <w:rPr>
          <w:sz w:val="20"/>
          <w:szCs w:val="20"/>
          <w:color w:val="auto"/>
        </w:rPr>
      </w:pPr>
    </w:p>
    <w:p>
      <w:pPr>
        <w:jc w:val="both"/>
        <w:ind w:firstLine="448"/>
        <w:spacing w:after="0" w:line="256" w:lineRule="auto"/>
        <w:rPr>
          <w:sz w:val="20"/>
          <w:szCs w:val="20"/>
          <w:color w:val="auto"/>
        </w:rPr>
      </w:pPr>
      <w:r>
        <w:rPr>
          <w:rFonts w:ascii="Arial" w:cs="Arial" w:eastAsia="Arial" w:hAnsi="Arial"/>
          <w:sz w:val="18"/>
          <w:szCs w:val="18"/>
          <w:color w:val="auto"/>
        </w:rPr>
        <w:t>Interest and sundry income consists mainly of interest on cash balances and premiums on call options written on available-for-sale securities held by the Company. Interest and sundry income was $16.2 million in 2009 compared to $11.7 million in 2008. The $4.5 million increase was attributable to the significant increase in number of call option transactions in 2009 compared to 2008, partly offset by a significantly lower average cash balances held by the Company during 2009 compared to 2008.</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Available-for-sale Securities</w:t>
      </w:r>
    </w:p>
    <w:p>
      <w:pPr>
        <w:spacing w:after="0" w:line="225" w:lineRule="exact"/>
        <w:rPr>
          <w:sz w:val="20"/>
          <w:szCs w:val="20"/>
          <w:color w:val="auto"/>
        </w:rPr>
      </w:pPr>
    </w:p>
    <w:p>
      <w:pPr>
        <w:jc w:val="both"/>
        <w:ind w:firstLine="385"/>
        <w:spacing w:after="0" w:line="291" w:lineRule="auto"/>
        <w:rPr>
          <w:sz w:val="20"/>
          <w:szCs w:val="20"/>
          <w:color w:val="auto"/>
        </w:rPr>
      </w:pPr>
      <w:r>
        <w:rPr>
          <w:rFonts w:ascii="Arial" w:cs="Arial" w:eastAsia="Arial" w:hAnsi="Arial"/>
          <w:sz w:val="16"/>
          <w:szCs w:val="16"/>
          <w:color w:val="auto"/>
        </w:rPr>
        <w:t>From time to time, the Company takes minority equity positions in other mining and exploration companies. As part of its procedures to assess whether the value of the Company's available-for-sale securities portfolio was reasonable for accounting purposes, it was determined in accordance with the requirements of ASC 320 Investments — Debt and Equity Securities (Prior authoritative literature: FASB Statement No. 115, "Accounting for Certain Investments in Debt and Equity Securities") that a non-cash write-down was required in 2008. These write-downs do not necessarily reflect management's long-term outlook on the value of the securities, but rather an "other-than-temporary" impairment as defined in ASC 320. In 2009, this determination resulted in no write-downs regarding its various investments as compared to write-downs amounting to $74.8 million in 2008.</w:t>
      </w:r>
    </w:p>
    <w:p>
      <w:pPr>
        <w:spacing w:after="0" w:line="174" w:lineRule="exact"/>
        <w:rPr>
          <w:sz w:val="20"/>
          <w:szCs w:val="20"/>
          <w:color w:val="auto"/>
        </w:rPr>
      </w:pPr>
    </w:p>
    <w:p>
      <w:pPr>
        <w:jc w:val="both"/>
        <w:ind w:firstLine="358"/>
        <w:spacing w:after="0" w:line="298" w:lineRule="auto"/>
        <w:rPr>
          <w:sz w:val="20"/>
          <w:szCs w:val="20"/>
          <w:color w:val="auto"/>
        </w:rPr>
      </w:pPr>
      <w:r>
        <w:rPr>
          <w:rFonts w:ascii="Arial" w:cs="Arial" w:eastAsia="Arial" w:hAnsi="Arial"/>
          <w:sz w:val="16"/>
          <w:szCs w:val="16"/>
          <w:color w:val="auto"/>
        </w:rPr>
        <w:t>In 2009, the sale of various available-for-sale securities resulted in a gain before taxes of $10.1 million compared to $25.6 million in 2008. The larger gain in 2008 is directly attributable to the gain recognized on the Company's investment in Gold Eagle Mines Ltd. ("Gold Eagle"). The Company acquired securities of Gold Eagle during the second quarter of 2008 for $49.4 million. In the third quarter of 2008, Gold Eagle was acquired by Goldcorp Inc. ("Goldcorp") at a price per share significantly above the Company's acquisition cost of the Gold Eagle securities resulting in the recognition of a gain of $25.0 million before taxes.</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Production Costs</w:t>
      </w:r>
    </w:p>
    <w:p>
      <w:pPr>
        <w:spacing w:after="0" w:line="225" w:lineRule="exact"/>
        <w:rPr>
          <w:sz w:val="20"/>
          <w:szCs w:val="20"/>
          <w:color w:val="auto"/>
        </w:rPr>
      </w:pPr>
    </w:p>
    <w:p>
      <w:pPr>
        <w:jc w:val="both"/>
        <w:ind w:firstLine="437"/>
        <w:spacing w:after="0" w:line="259" w:lineRule="auto"/>
        <w:rPr>
          <w:sz w:val="20"/>
          <w:szCs w:val="20"/>
          <w:color w:val="auto"/>
        </w:rPr>
      </w:pPr>
      <w:r>
        <w:rPr>
          <w:rFonts w:ascii="Arial" w:cs="Arial" w:eastAsia="Arial" w:hAnsi="Arial"/>
          <w:sz w:val="18"/>
          <w:szCs w:val="18"/>
          <w:color w:val="auto"/>
        </w:rPr>
        <w:t>In 2009, total production costs were $306.3 million compared to $186.9 million in 2008. This increase is due to the start of production at the new Kittila Mine, Lapa Mine and Pinos Altos Mine. In addition, the increase reflects the first full year of production at the Company's Goldex Mine, which commenced production in mid-2008. The table below sets out the components of production costs:</w:t>
      </w:r>
    </w:p>
    <w:p>
      <w:pPr>
        <w:spacing w:after="0" w:line="190"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6300" w:type="dxa"/>
            <w:vAlign w:val="bottom"/>
            <w:gridSpan w:val="3"/>
          </w:tcPr>
          <w:p>
            <w:pPr>
              <w:spacing w:after="0"/>
              <w:rPr>
                <w:sz w:val="20"/>
                <w:szCs w:val="20"/>
                <w:color w:val="auto"/>
              </w:rPr>
            </w:pPr>
            <w:r>
              <w:rPr>
                <w:rFonts w:ascii="Arial" w:cs="Arial" w:eastAsia="Arial" w:hAnsi="Arial"/>
                <w:sz w:val="14"/>
                <w:szCs w:val="14"/>
                <w:b w:val="1"/>
                <w:bCs w:val="1"/>
                <w:color w:val="auto"/>
              </w:rPr>
              <w:t>Production Costs</w:t>
            </w:r>
          </w:p>
        </w:tc>
        <w:tc>
          <w:tcPr>
            <w:tcW w:w="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40" w:type="dxa"/>
            <w:vAlign w:val="bottom"/>
          </w:tcPr>
          <w:p>
            <w:pPr>
              <w:jc w:val="right"/>
              <w:ind w:right="195"/>
              <w:spacing w:after="0"/>
              <w:rPr>
                <w:sz w:val="20"/>
                <w:szCs w:val="20"/>
                <w:color w:val="auto"/>
              </w:rPr>
            </w:pPr>
            <w:r>
              <w:rPr>
                <w:rFonts w:ascii="Arial" w:cs="Arial" w:eastAsia="Arial" w:hAnsi="Arial"/>
                <w:sz w:val="14"/>
                <w:szCs w:val="14"/>
                <w:b w:val="1"/>
                <w:bCs w:val="1"/>
                <w:color w:val="auto"/>
              </w:rPr>
              <w:t>2009</w:t>
            </w: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40" w:type="dxa"/>
            <w:vAlign w:val="bottom"/>
          </w:tcPr>
          <w:p>
            <w:pPr>
              <w:jc w:val="right"/>
              <w:ind w:right="175"/>
              <w:spacing w:after="0"/>
              <w:rPr>
                <w:sz w:val="20"/>
                <w:szCs w:val="20"/>
                <w:color w:val="auto"/>
              </w:rPr>
            </w:pPr>
            <w:r>
              <w:rPr>
                <w:rFonts w:ascii="Arial" w:cs="Arial" w:eastAsia="Arial" w:hAnsi="Arial"/>
                <w:sz w:val="14"/>
                <w:szCs w:val="14"/>
                <w:b w:val="1"/>
                <w:bCs w:val="1"/>
                <w:color w:val="auto"/>
              </w:rPr>
              <w:t>2008</w:t>
            </w: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40" w:type="dxa"/>
            <w:vAlign w:val="bottom"/>
          </w:tcPr>
          <w:p>
            <w:pPr>
              <w:jc w:val="right"/>
              <w:ind w:right="175"/>
              <w:spacing w:after="0"/>
              <w:rPr>
                <w:sz w:val="20"/>
                <w:szCs w:val="20"/>
                <w:color w:val="auto"/>
              </w:rPr>
            </w:pPr>
            <w:r>
              <w:rPr>
                <w:rFonts w:ascii="Arial" w:cs="Arial" w:eastAsia="Arial" w:hAnsi="Arial"/>
                <w:sz w:val="14"/>
                <w:szCs w:val="14"/>
                <w:b w:val="1"/>
                <w:bCs w:val="1"/>
                <w:color w:val="auto"/>
              </w:rPr>
              <w:t>2007</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1080" w:type="dxa"/>
            <w:vAlign w:val="bottom"/>
            <w:tcBorders>
              <w:top w:val="single" w:sz="8" w:color="auto"/>
            </w:tcBorders>
          </w:tcPr>
          <w:p>
            <w:pPr>
              <w:spacing w:after="0"/>
              <w:rPr>
                <w:sz w:val="12"/>
                <w:szCs w:val="12"/>
                <w:color w:val="auto"/>
              </w:rPr>
            </w:pPr>
          </w:p>
        </w:tc>
        <w:tc>
          <w:tcPr>
            <w:tcW w:w="52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640" w:type="dxa"/>
            <w:vAlign w:val="bottom"/>
            <w:tcBorders>
              <w:top w:val="single" w:sz="8" w:color="auto"/>
            </w:tcBorders>
          </w:tcPr>
          <w:p>
            <w:pPr>
              <w:spacing w:after="0"/>
              <w:rPr>
                <w:sz w:val="12"/>
                <w:szCs w:val="12"/>
                <w:color w:val="auto"/>
              </w:rPr>
            </w:pPr>
          </w:p>
        </w:tc>
        <w:tc>
          <w:tcPr>
            <w:tcW w:w="160" w:type="dxa"/>
            <w:vAlign w:val="bottom"/>
          </w:tcPr>
          <w:p>
            <w:pPr>
              <w:spacing w:after="0"/>
              <w:rPr>
                <w:sz w:val="12"/>
                <w:szCs w:val="12"/>
                <w:color w:val="auto"/>
              </w:rPr>
            </w:pPr>
          </w:p>
        </w:tc>
        <w:tc>
          <w:tcPr>
            <w:tcW w:w="780" w:type="dxa"/>
            <w:vAlign w:val="bottom"/>
            <w:tcBorders>
              <w:top w:val="single" w:sz="8" w:color="auto"/>
            </w:tcBorders>
            <w:gridSpan w:val="2"/>
          </w:tcPr>
          <w:p>
            <w:pPr>
              <w:jc w:val="right"/>
              <w:spacing w:after="0" w:line="142" w:lineRule="exact"/>
              <w:rPr>
                <w:sz w:val="20"/>
                <w:szCs w:val="20"/>
                <w:color w:val="auto"/>
              </w:rPr>
            </w:pPr>
            <w:r>
              <w:rPr>
                <w:rFonts w:ascii="Arial" w:cs="Arial" w:eastAsia="Arial" w:hAnsi="Arial"/>
                <w:sz w:val="14"/>
                <w:szCs w:val="14"/>
                <w:b w:val="1"/>
                <w:bCs w:val="1"/>
                <w:color w:val="auto"/>
                <w:w w:val="87"/>
              </w:rPr>
              <w:t>(thousands)</w:t>
            </w:r>
          </w:p>
        </w:tc>
        <w:tc>
          <w:tcPr>
            <w:tcW w:w="160" w:type="dxa"/>
            <w:vAlign w:val="bottom"/>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640" w:type="dxa"/>
            <w:vAlign w:val="bottom"/>
            <w:tcBorders>
              <w:top w:val="single" w:sz="8" w:color="auto"/>
            </w:tcBorders>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LaRonde</w:t>
            </w: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2"/>
              </w:rPr>
              <w:t>164,221</w:t>
            </w: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166,496</w:t>
            </w: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166,104</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80" w:type="dxa"/>
            <w:vAlign w:val="bottom"/>
            <w:gridSpan w:val="2"/>
          </w:tcPr>
          <w:p>
            <w:pPr>
              <w:spacing w:after="0"/>
              <w:rPr>
                <w:sz w:val="20"/>
                <w:szCs w:val="20"/>
                <w:color w:val="auto"/>
              </w:rPr>
            </w:pPr>
            <w:r>
              <w:rPr>
                <w:rFonts w:ascii="Arial" w:cs="Arial" w:eastAsia="Arial" w:hAnsi="Arial"/>
                <w:sz w:val="18"/>
                <w:szCs w:val="18"/>
                <w:color w:val="auto"/>
              </w:rPr>
              <w:t>Goldex</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54,342</w:t>
            </w: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20,366</w:t>
            </w: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Kittila</w:t>
            </w: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42,464</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80" w:type="dxa"/>
            <w:vAlign w:val="bottom"/>
            <w:gridSpan w:val="2"/>
          </w:tcPr>
          <w:p>
            <w:pPr>
              <w:spacing w:after="0"/>
              <w:rPr>
                <w:sz w:val="20"/>
                <w:szCs w:val="20"/>
                <w:color w:val="auto"/>
              </w:rPr>
            </w:pPr>
            <w:r>
              <w:rPr>
                <w:rFonts w:ascii="Arial" w:cs="Arial" w:eastAsia="Arial" w:hAnsi="Arial"/>
                <w:sz w:val="18"/>
                <w:szCs w:val="18"/>
                <w:color w:val="auto"/>
              </w:rPr>
              <w:t>Lapa</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33,472</w:t>
            </w: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Pinos Altos</w:t>
            </w: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11,819</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
        </w:trPr>
        <w:tc>
          <w:tcPr>
            <w:tcW w:w="6300" w:type="dxa"/>
            <w:vAlign w:val="bottom"/>
            <w:gridSpan w:val="3"/>
            <w:vMerge w:val="restart"/>
          </w:tcPr>
          <w:p>
            <w:pPr>
              <w:spacing w:after="0"/>
              <w:rPr>
                <w:sz w:val="20"/>
                <w:szCs w:val="20"/>
                <w:color w:val="auto"/>
              </w:rPr>
            </w:pPr>
            <w:r>
              <w:rPr>
                <w:rFonts w:ascii="Arial" w:cs="Arial" w:eastAsia="Arial" w:hAnsi="Arial"/>
                <w:sz w:val="18"/>
                <w:szCs w:val="18"/>
                <w:color w:val="auto"/>
              </w:rPr>
              <w:t>Production costs per Consolidated Statement of Income</w:t>
            </w:r>
          </w:p>
        </w:tc>
        <w:tc>
          <w:tcPr>
            <w:tcW w:w="160" w:type="dxa"/>
            <w:vAlign w:val="bottom"/>
            <w:gridSpan w:val="2"/>
          </w:tcPr>
          <w:p>
            <w:pPr>
              <w:spacing w:after="0"/>
              <w:rPr>
                <w:sz w:val="2"/>
                <w:szCs w:val="2"/>
                <w:color w:val="auto"/>
              </w:rPr>
            </w:pPr>
          </w:p>
        </w:tc>
        <w:tc>
          <w:tcPr>
            <w:tcW w:w="640" w:type="dxa"/>
            <w:vAlign w:val="bottom"/>
          </w:tcPr>
          <w:p>
            <w:pPr>
              <w:spacing w:after="0"/>
              <w:rPr>
                <w:sz w:val="2"/>
                <w:szCs w:val="2"/>
                <w:color w:val="auto"/>
              </w:rPr>
            </w:pPr>
          </w:p>
        </w:tc>
        <w:tc>
          <w:tcPr>
            <w:tcW w:w="300" w:type="dxa"/>
            <w:vAlign w:val="bottom"/>
            <w:gridSpan w:val="2"/>
          </w:tcPr>
          <w:p>
            <w:pPr>
              <w:spacing w:after="0"/>
              <w:rPr>
                <w:sz w:val="2"/>
                <w:szCs w:val="2"/>
                <w:color w:val="auto"/>
              </w:rPr>
            </w:pPr>
          </w:p>
        </w:tc>
        <w:tc>
          <w:tcPr>
            <w:tcW w:w="640" w:type="dxa"/>
            <w:vAlign w:val="bottom"/>
          </w:tcPr>
          <w:p>
            <w:pPr>
              <w:spacing w:after="0"/>
              <w:rPr>
                <w:sz w:val="2"/>
                <w:szCs w:val="2"/>
                <w:color w:val="auto"/>
              </w:rPr>
            </w:pPr>
          </w:p>
        </w:tc>
        <w:tc>
          <w:tcPr>
            <w:tcW w:w="300" w:type="dxa"/>
            <w:vAlign w:val="bottom"/>
            <w:gridSpan w:val="2"/>
          </w:tcPr>
          <w:p>
            <w:pPr>
              <w:spacing w:after="0"/>
              <w:rPr>
                <w:sz w:val="2"/>
                <w:szCs w:val="2"/>
                <w:color w:val="auto"/>
              </w:rPr>
            </w:pPr>
          </w:p>
        </w:tc>
        <w:tc>
          <w:tcPr>
            <w:tcW w:w="640" w:type="dxa"/>
            <w:vAlign w:val="bottom"/>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16"/>
        </w:trPr>
        <w:tc>
          <w:tcPr>
            <w:tcW w:w="6300" w:type="dxa"/>
            <w:vAlign w:val="bottom"/>
            <w:gridSpan w:val="3"/>
            <w:vMerge w:val="continue"/>
          </w:tcPr>
          <w:p>
            <w:pPr>
              <w:spacing w:after="0"/>
              <w:rPr>
                <w:sz w:val="18"/>
                <w:szCs w:val="18"/>
                <w:color w:val="auto"/>
              </w:rPr>
            </w:pPr>
          </w:p>
        </w:tc>
        <w:tc>
          <w:tcPr>
            <w:tcW w:w="20" w:type="dxa"/>
            <w:vAlign w:val="bottom"/>
          </w:tcPr>
          <w:p>
            <w:pPr>
              <w:spacing w:after="0"/>
              <w:rPr>
                <w:sz w:val="18"/>
                <w:szCs w:val="18"/>
                <w:color w:val="auto"/>
              </w:rPr>
            </w:pPr>
          </w:p>
        </w:tc>
        <w:tc>
          <w:tcPr>
            <w:tcW w:w="14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92"/>
              </w:rPr>
              <w:t>306,318</w:t>
            </w:r>
          </w:p>
        </w:tc>
        <w:tc>
          <w:tcPr>
            <w:tcW w:w="160" w:type="dxa"/>
            <w:vAlign w:val="bottom"/>
          </w:tcPr>
          <w:p>
            <w:pPr>
              <w:spacing w:after="0"/>
              <w:rPr>
                <w:sz w:val="18"/>
                <w:szCs w:val="18"/>
                <w:color w:val="auto"/>
              </w:rPr>
            </w:pPr>
          </w:p>
        </w:tc>
        <w:tc>
          <w:tcPr>
            <w:tcW w:w="14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95"/>
              </w:rPr>
              <w:t>186,862</w:t>
            </w:r>
          </w:p>
        </w:tc>
        <w:tc>
          <w:tcPr>
            <w:tcW w:w="160" w:type="dxa"/>
            <w:vAlign w:val="bottom"/>
          </w:tcPr>
          <w:p>
            <w:pPr>
              <w:spacing w:after="0"/>
              <w:rPr>
                <w:sz w:val="18"/>
                <w:szCs w:val="18"/>
                <w:color w:val="auto"/>
              </w:rPr>
            </w:pPr>
          </w:p>
        </w:tc>
        <w:tc>
          <w:tcPr>
            <w:tcW w:w="14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95"/>
              </w:rPr>
              <w:t>166,104</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
        </w:trPr>
        <w:tc>
          <w:tcPr>
            <w:tcW w:w="20" w:type="dxa"/>
            <w:vAlign w:val="bottom"/>
          </w:tcPr>
          <w:p>
            <w:pPr>
              <w:spacing w:after="0" w:line="20" w:lineRule="exact"/>
              <w:rPr>
                <w:sz w:val="1"/>
                <w:szCs w:val="1"/>
                <w:color w:val="auto"/>
              </w:rPr>
            </w:pPr>
          </w:p>
        </w:tc>
        <w:tc>
          <w:tcPr>
            <w:tcW w:w="1080" w:type="dxa"/>
            <w:vAlign w:val="bottom"/>
          </w:tcPr>
          <w:p>
            <w:pPr>
              <w:spacing w:after="0" w:line="20" w:lineRule="exact"/>
              <w:rPr>
                <w:sz w:val="1"/>
                <w:szCs w:val="1"/>
                <w:color w:val="auto"/>
              </w:rPr>
            </w:pPr>
          </w:p>
        </w:tc>
        <w:tc>
          <w:tcPr>
            <w:tcW w:w="520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080" w:type="dxa"/>
            <w:vAlign w:val="bottom"/>
          </w:tcPr>
          <w:p>
            <w:pPr>
              <w:spacing w:after="0" w:line="20" w:lineRule="exact"/>
              <w:rPr>
                <w:sz w:val="1"/>
                <w:szCs w:val="1"/>
                <w:color w:val="auto"/>
              </w:rPr>
            </w:pPr>
          </w:p>
        </w:tc>
        <w:tc>
          <w:tcPr>
            <w:tcW w:w="52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jc w:val="both"/>
        <w:ind w:firstLine="440"/>
        <w:spacing w:after="0" w:line="294" w:lineRule="auto"/>
        <w:rPr>
          <w:sz w:val="20"/>
          <w:szCs w:val="20"/>
          <w:color w:val="auto"/>
        </w:rPr>
      </w:pPr>
      <w:r>
        <w:rPr>
          <w:rFonts w:ascii="Arial" w:cs="Arial" w:eastAsia="Arial" w:hAnsi="Arial"/>
          <w:sz w:val="16"/>
          <w:szCs w:val="16"/>
          <w:color w:val="auto"/>
        </w:rPr>
        <w:t>Production costs at the LaRonde Mine during 2009 of $164.2 million remained relatively constant when compared to 2008, decreasing by approximately 1%. During 2009, LaRonde processed an average of 6,975 tonnes of ore per day compared to 7,210 tonnes of ore per day during 2008. Minesite costs per tonne were C$69 in the fourth quarter compared to C$64 in the fourth quarter of 2008. For the full year, the minesite costs per tonne were C$72, compared with C$67 per tonne in 2008. The increase in minesite costs per tonne during 2009 is attributable to a combination of higher costs for labour, contractors, chemicals and other consumables, which were slightly offset by lower energy costs.</w:t>
      </w:r>
    </w:p>
    <w:p>
      <w:pPr>
        <w:spacing w:after="0" w:line="170" w:lineRule="exact"/>
        <w:rPr>
          <w:sz w:val="20"/>
          <w:szCs w:val="20"/>
          <w:color w:val="auto"/>
        </w:rPr>
      </w:pPr>
    </w:p>
    <w:p>
      <w:pPr>
        <w:jc w:val="both"/>
        <w:ind w:firstLine="508"/>
        <w:spacing w:after="0" w:line="306" w:lineRule="auto"/>
        <w:rPr>
          <w:sz w:val="20"/>
          <w:szCs w:val="20"/>
          <w:color w:val="auto"/>
        </w:rPr>
      </w:pPr>
      <w:r>
        <w:rPr>
          <w:rFonts w:ascii="Arial" w:cs="Arial" w:eastAsia="Arial" w:hAnsi="Arial"/>
          <w:sz w:val="16"/>
          <w:szCs w:val="16"/>
          <w:color w:val="auto"/>
        </w:rPr>
        <w:t>In 2009, production costs at the Goldex Mine were $54.3 million compared to $20.4 million in 2008. The increase is due to the fact that commercial production was achieved August 2008. During 2009, Goldex processed an average of 7,164 tonnes of ore per day, above 2008 average production of 6,140 tonnes of ore per day and design capacity of 7,000 tonnes per day. Minesite costs per tonne were C$23 in the fourth quarter of</w:t>
      </w:r>
    </w:p>
    <w:p>
      <w:pPr>
        <w:spacing w:after="0" w:line="16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7" w:name="page118"/>
    <w:bookmarkEnd w:id="117"/>
    <w:p>
      <w:pPr>
        <w:jc w:val="both"/>
        <w:spacing w:after="0" w:line="268" w:lineRule="auto"/>
        <w:rPr>
          <w:sz w:val="20"/>
          <w:szCs w:val="20"/>
          <w:color w:val="auto"/>
        </w:rPr>
      </w:pPr>
      <w:r>
        <w:rPr>
          <w:rFonts w:ascii="Arial" w:cs="Arial" w:eastAsia="Arial" w:hAnsi="Arial"/>
          <w:sz w:val="18"/>
          <w:szCs w:val="18"/>
          <w:color w:val="auto"/>
        </w:rPr>
        <w:t>2009 compared to C$24 in the fourth quarter of 2008. For the full year, the minesite costs per tonne were C$23, compared with C$27 per tonne in 2008. The decrease in minesite costs per tonne during 2009 is attributable to the processing of higher grade ore.</w:t>
      </w:r>
    </w:p>
    <w:p>
      <w:pPr>
        <w:spacing w:after="0" w:line="186" w:lineRule="exact"/>
        <w:rPr>
          <w:sz w:val="20"/>
          <w:szCs w:val="20"/>
          <w:color w:val="auto"/>
        </w:rPr>
      </w:pPr>
    </w:p>
    <w:p>
      <w:pPr>
        <w:ind w:left="360"/>
        <w:spacing w:after="0"/>
        <w:rPr>
          <w:sz w:val="20"/>
          <w:szCs w:val="20"/>
          <w:color w:val="auto"/>
        </w:rPr>
      </w:pPr>
      <w:r>
        <w:rPr>
          <w:rFonts w:ascii="Arial" w:cs="Arial" w:eastAsia="Arial" w:hAnsi="Arial"/>
          <w:sz w:val="16"/>
          <w:szCs w:val="16"/>
          <w:color w:val="auto"/>
        </w:rPr>
        <w:t>Both the Kittila and Lapa Mines achieved commercial production in May 2009. The Pinos Altos Mine achieved commercial production in November 2009.</w:t>
      </w:r>
    </w:p>
    <w:p>
      <w:pPr>
        <w:spacing w:after="0" w:line="248" w:lineRule="exact"/>
        <w:rPr>
          <w:sz w:val="20"/>
          <w:szCs w:val="20"/>
          <w:color w:val="auto"/>
        </w:rPr>
      </w:pPr>
    </w:p>
    <w:p>
      <w:pPr>
        <w:jc w:val="both"/>
        <w:ind w:firstLine="475"/>
        <w:spacing w:after="0" w:line="314" w:lineRule="auto"/>
        <w:rPr>
          <w:sz w:val="20"/>
          <w:szCs w:val="20"/>
          <w:color w:val="auto"/>
        </w:rPr>
      </w:pPr>
      <w:r>
        <w:rPr>
          <w:rFonts w:ascii="Arial" w:cs="Arial" w:eastAsia="Arial" w:hAnsi="Arial"/>
          <w:sz w:val="15"/>
          <w:szCs w:val="15"/>
          <w:color w:val="auto"/>
        </w:rPr>
        <w:t>During 2009, the Kittila Mine processed an average of 2,057 tonnes of ore per day, below its design capacity of 3,000 tonnes of ore per day. Since the achievement of commercial production, the minesite costs per tonne were €54, which was higher than expected due to the slower than expected ramping up of the Kittila Mine. In 2009, the Lapa Mine processed an average of 1,222 tonnes of ore per day, below its design capacity of 1,500 tonnes per day. The Lapa Mine is processing ore quantities as expected; however, the mine continues to experience dilution issues. The Pinos Altos Mine processed an average of 1,863 tonnes of ore per day during the fourth quarter, below its design capacity of 4,000 tonnes per day. The start-up of the Pinos Altos mill was affected by increased quantities of clay minerals observed in the initial ore processed in the mill with a subsequent limitation on the ability to filter tailings at the designed production rates.</w:t>
      </w:r>
    </w:p>
    <w:p>
      <w:pPr>
        <w:spacing w:after="0" w:line="369"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Total Production Costs by Category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2354580</wp:posOffset>
            </wp:positionH>
            <wp:positionV relativeFrom="paragraph">
              <wp:posOffset>151765</wp:posOffset>
            </wp:positionV>
            <wp:extent cx="2546985" cy="229806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2546985" cy="22980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jc w:val="both"/>
        <w:ind w:firstLine="360"/>
        <w:spacing w:after="0" w:line="290" w:lineRule="auto"/>
        <w:rPr>
          <w:sz w:val="20"/>
          <w:szCs w:val="20"/>
          <w:color w:val="auto"/>
        </w:rPr>
      </w:pPr>
      <w:r>
        <w:rPr>
          <w:rFonts w:ascii="Arial" w:cs="Arial" w:eastAsia="Arial" w:hAnsi="Arial"/>
          <w:sz w:val="16"/>
          <w:szCs w:val="16"/>
          <w:color w:val="auto"/>
        </w:rPr>
        <w:t xml:space="preserve">In 2009, total cash costs per ounce of gold increased to $347 from $162 in 2008 and </w:t>
      </w:r>
      <w:r>
        <w:rPr>
          <w:rFonts w:ascii="Arial" w:cs="Arial" w:eastAsia="Arial" w:hAnsi="Arial"/>
          <w:sz w:val="16"/>
          <w:szCs w:val="16"/>
          <w:i w:val="1"/>
          <w:iCs w:val="1"/>
          <w:color w:val="auto"/>
        </w:rPr>
        <w:t>minus</w:t>
      </w:r>
      <w:r>
        <w:rPr>
          <w:rFonts w:ascii="Arial" w:cs="Arial" w:eastAsia="Arial" w:hAnsi="Arial"/>
          <w:sz w:val="16"/>
          <w:szCs w:val="16"/>
          <w:color w:val="auto"/>
        </w:rPr>
        <w:t xml:space="preserve"> $365 in 2007. The total cash costs per ounce of $347 represents a weighted average over all the Company's producing mines. In 2009, the LaRonde Mine total cash costs per ounce were $103, the Goldex Mine total cash costs per ounce were $366, the Kittila Mine total cash costs per ounce of $668, the Lapa Mine total cash costs per ounce were $751 and the Pinos Altos Mine total cash costs per ounce were $596. Total cash costs per ounce are comprised of minesite costs incurred during the period and, in the case of the LaRonde and Pinos Altos Mines, reduced by their related net byproduct revenue. Total cash costs per ounce are affected by various factors such as the quantity of gold produced, operating costs, Canadian dollar/US dollar exchange rates and Euro/US dollar exchange rates and, at the LaRonde and Pinos Altos Mines, the quantity of byproduct metals produced and byproduct metal prices.</w:t>
      </w:r>
    </w:p>
    <w:p>
      <w:pPr>
        <w:spacing w:after="0" w:line="172" w:lineRule="exact"/>
        <w:rPr>
          <w:sz w:val="20"/>
          <w:szCs w:val="20"/>
          <w:color w:val="auto"/>
        </w:rPr>
      </w:pPr>
    </w:p>
    <w:p>
      <w:pPr>
        <w:jc w:val="both"/>
        <w:ind w:firstLine="437"/>
        <w:spacing w:after="0" w:line="290" w:lineRule="auto"/>
        <w:rPr>
          <w:sz w:val="20"/>
          <w:szCs w:val="20"/>
          <w:color w:val="auto"/>
        </w:rPr>
      </w:pPr>
      <w:r>
        <w:rPr>
          <w:rFonts w:ascii="Arial" w:cs="Arial" w:eastAsia="Arial" w:hAnsi="Arial"/>
          <w:sz w:val="16"/>
          <w:szCs w:val="16"/>
          <w:color w:val="auto"/>
        </w:rPr>
        <w:t>Total cash costs per ounce is not a recognized measure under US GAAP and this data may not be comparable to data presented by other gold producers. Management believes that this generally accepted industry measure is a realistic indication of operating performance and is useful in allowing year over year comparisons. As illustrated in the table below, this measure is calculated by adjusting production costs as shown in the Consolidated Statements of Income and Comprehensive Income for net byproduct revenues, royalties, inventory adjustments and asset retirement provisions and then dividing by the number of ounces of gold produced. Total cash costs per ounce is intended to provide investors with information about the cash generating capabilities of mining operations. Management uses this measure to monitor the performance of mining operations. Since market prices for gold are quoted on a per ounce basis, using this per ounce measure allows management to assess the mine's cash generating capabilities at various gold prices. Management is aware that</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8" w:name="page119"/>
    <w:bookmarkEnd w:id="118"/>
    <w:p>
      <w:pPr>
        <w:jc w:val="both"/>
        <w:spacing w:after="0" w:line="306" w:lineRule="auto"/>
        <w:rPr>
          <w:sz w:val="20"/>
          <w:szCs w:val="20"/>
          <w:color w:val="auto"/>
        </w:rPr>
      </w:pPr>
      <w:r>
        <w:rPr>
          <w:rFonts w:ascii="Arial" w:cs="Arial" w:eastAsia="Arial" w:hAnsi="Arial"/>
          <w:sz w:val="16"/>
          <w:szCs w:val="16"/>
          <w:color w:val="auto"/>
        </w:rPr>
        <w:t>this per ounce measure of performance is affected by fluctuations in byproduct metal prices and exchange rates. Management compensates for the limitations inherent in this measure by using it in conjunction with minesite costs per tonne (discussed below) as well as other data prepared in accordance with US GAAP. Management also performs sensitivity analyses in order to quantify the effects of fluctuating metal prices and exchange rates.</w:t>
      </w:r>
    </w:p>
    <w:p>
      <w:pPr>
        <w:spacing w:after="0" w:line="161" w:lineRule="exact"/>
        <w:rPr>
          <w:sz w:val="20"/>
          <w:szCs w:val="20"/>
          <w:color w:val="auto"/>
        </w:rPr>
      </w:pPr>
    </w:p>
    <w:p>
      <w:pPr>
        <w:jc w:val="both"/>
        <w:ind w:firstLine="415"/>
        <w:spacing w:after="0" w:line="286" w:lineRule="auto"/>
        <w:rPr>
          <w:sz w:val="20"/>
          <w:szCs w:val="20"/>
          <w:color w:val="auto"/>
        </w:rPr>
      </w:pPr>
      <w:r>
        <w:rPr>
          <w:rFonts w:ascii="Arial" w:cs="Arial" w:eastAsia="Arial" w:hAnsi="Arial"/>
          <w:sz w:val="16"/>
          <w:szCs w:val="16"/>
          <w:color w:val="auto"/>
        </w:rPr>
        <w:t>Minesite costs per tonne is not a recognized measure under US GAAP and this data may not be comparable to data presented by other gold producers. As illustrated in the table below, this measure is calculated by adjusting production costs as shown in the Consolidated Statement of Income and Comprehensive Income for inventory adjustments and asset retirement provisions and then dividing by tonnes of ore processed through the mill. Since total cash costs per ounce data can be affected by fluctuations in byproduct metals prices and exchange rates, management believes this measure provides additional information regarding the performance of mining operations and allows management to monitor operating costs on a more consistent basis as the per tonne measure eliminates the cost variability associated with varying production levels. Management also uses this measure to determine the economic viability of mining blocks. As each mining block is evaluated based on the net realizable value of each tonne mined, in order to be economically viable the estimated revenue on a per tonne basis must be in excess of the minesite costs per tonne. Management is aware that this per tonne measure is affected by fluctuations in production levels and thus uses this measure as an evaluation tool in conjunction with production costs prepared in accordance with US GAAP. This measure supplements production cost information prepared in accordance with US GAAP and allows investors to distinguish between changes in production costs resulting from changes in level of production versus changes in operating performance.</w:t>
      </w:r>
    </w:p>
    <w:p>
      <w:pPr>
        <w:spacing w:after="0" w:line="181" w:lineRule="exact"/>
        <w:rPr>
          <w:sz w:val="20"/>
          <w:szCs w:val="20"/>
          <w:color w:val="auto"/>
        </w:rPr>
      </w:pPr>
    </w:p>
    <w:p>
      <w:pPr>
        <w:jc w:val="both"/>
        <w:ind w:firstLine="358"/>
        <w:spacing w:after="0" w:line="256" w:lineRule="auto"/>
        <w:rPr>
          <w:sz w:val="20"/>
          <w:szCs w:val="20"/>
          <w:color w:val="auto"/>
        </w:rPr>
      </w:pPr>
      <w:r>
        <w:rPr>
          <w:rFonts w:ascii="Arial" w:cs="Arial" w:eastAsia="Arial" w:hAnsi="Arial"/>
          <w:sz w:val="18"/>
          <w:szCs w:val="18"/>
          <w:color w:val="auto"/>
        </w:rPr>
        <w:t>Both of these non-US GAAP measures used should be considered together with other data prepared in accordance with US GAAP, and none of the measures taken by themselves is necessarily indicative of production costs or cash flow measures prepared in accordance with US GAAP. The tables below reconcile total cash costs per ounce and minesite costs per tonne to the production costs presented in the consolidated financial statements prepared in accordance with US GAAP.</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Total Production Costs by Mine</w:t>
      </w:r>
    </w:p>
    <w:p>
      <w:pPr>
        <w:spacing w:after="0" w:line="275"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160" w:type="dxa"/>
            <w:vAlign w:val="bottom"/>
          </w:tcPr>
          <w:p>
            <w:pPr>
              <w:spacing w:after="0"/>
              <w:rPr>
                <w:sz w:val="14"/>
                <w:szCs w:val="14"/>
                <w:color w:val="auto"/>
              </w:rPr>
            </w:pPr>
          </w:p>
        </w:tc>
        <w:tc>
          <w:tcPr>
            <w:tcW w:w="2020" w:type="dxa"/>
            <w:vAlign w:val="bottom"/>
          </w:tcPr>
          <w:p>
            <w:pPr>
              <w:spacing w:after="0"/>
              <w:rPr>
                <w:sz w:val="14"/>
                <w:szCs w:val="14"/>
                <w:color w:val="auto"/>
              </w:rPr>
            </w:pPr>
          </w:p>
        </w:tc>
        <w:tc>
          <w:tcPr>
            <w:tcW w:w="2700" w:type="dxa"/>
            <w:vAlign w:val="bottom"/>
          </w:tcPr>
          <w:p>
            <w:pPr>
              <w:spacing w:after="0"/>
              <w:rPr>
                <w:sz w:val="14"/>
                <w:szCs w:val="14"/>
                <w:color w:val="auto"/>
              </w:rPr>
            </w:pPr>
          </w:p>
        </w:tc>
        <w:tc>
          <w:tcPr>
            <w:tcW w:w="12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tcPr>
          <w:p>
            <w:pPr>
              <w:jc w:val="right"/>
              <w:ind w:right="217"/>
              <w:spacing w:after="0"/>
              <w:rPr>
                <w:sz w:val="20"/>
                <w:szCs w:val="20"/>
                <w:color w:val="auto"/>
              </w:rPr>
            </w:pPr>
            <w:r>
              <w:rPr>
                <w:rFonts w:ascii="Arial" w:cs="Arial" w:eastAsia="Arial" w:hAnsi="Arial"/>
                <w:sz w:val="14"/>
                <w:szCs w:val="14"/>
                <w:b w:val="1"/>
                <w:bCs w:val="1"/>
                <w:color w:val="auto"/>
              </w:rPr>
              <w:t>2009</w:t>
            </w:r>
          </w:p>
        </w:tc>
        <w:tc>
          <w:tcPr>
            <w:tcW w:w="160" w:type="dxa"/>
            <w:vAlign w:val="bottom"/>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tcPr>
          <w:p>
            <w:pPr>
              <w:jc w:val="center"/>
              <w:ind w:right="95"/>
              <w:spacing w:after="0"/>
              <w:rPr>
                <w:sz w:val="20"/>
                <w:szCs w:val="20"/>
                <w:color w:val="auto"/>
              </w:rPr>
            </w:pPr>
            <w:r>
              <w:rPr>
                <w:rFonts w:ascii="Arial" w:cs="Arial" w:eastAsia="Arial" w:hAnsi="Arial"/>
                <w:sz w:val="14"/>
                <w:szCs w:val="14"/>
                <w:b w:val="1"/>
                <w:bCs w:val="1"/>
                <w:color w:val="auto"/>
                <w:w w:val="89"/>
              </w:rPr>
              <w:t>2008</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640" w:type="dxa"/>
            <w:vAlign w:val="bottom"/>
            <w:tcBorders>
              <w:bottom w:val="single" w:sz="8" w:color="auto"/>
            </w:tcBorders>
          </w:tcPr>
          <w:p>
            <w:pPr>
              <w:jc w:val="right"/>
              <w:ind w:right="215"/>
              <w:spacing w:after="0"/>
              <w:rPr>
                <w:sz w:val="20"/>
                <w:szCs w:val="20"/>
                <w:color w:val="auto"/>
              </w:rPr>
            </w:pPr>
            <w:r>
              <w:rPr>
                <w:rFonts w:ascii="Arial" w:cs="Arial" w:eastAsia="Arial" w:hAnsi="Arial"/>
                <w:sz w:val="14"/>
                <w:szCs w:val="14"/>
                <w:b w:val="1"/>
                <w:bCs w:val="1"/>
                <w:color w:val="auto"/>
              </w:rPr>
              <w:t>2007</w:t>
            </w:r>
          </w:p>
        </w:tc>
        <w:tc>
          <w:tcPr>
            <w:tcW w:w="16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1160" w:type="dxa"/>
            <w:vAlign w:val="bottom"/>
          </w:tcPr>
          <w:p>
            <w:pPr>
              <w:spacing w:after="0"/>
              <w:rPr>
                <w:sz w:val="12"/>
                <w:szCs w:val="12"/>
                <w:color w:val="auto"/>
              </w:rPr>
            </w:pPr>
          </w:p>
        </w:tc>
        <w:tc>
          <w:tcPr>
            <w:tcW w:w="2020" w:type="dxa"/>
            <w:vAlign w:val="bottom"/>
          </w:tcPr>
          <w:p>
            <w:pPr>
              <w:spacing w:after="0"/>
              <w:rPr>
                <w:sz w:val="12"/>
                <w:szCs w:val="12"/>
                <w:color w:val="auto"/>
              </w:rPr>
            </w:pPr>
          </w:p>
        </w:tc>
        <w:tc>
          <w:tcPr>
            <w:tcW w:w="270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080" w:type="dxa"/>
            <w:vAlign w:val="bottom"/>
            <w:gridSpan w:val="7"/>
          </w:tcPr>
          <w:p>
            <w:pPr>
              <w:jc w:val="center"/>
              <w:ind w:left="377"/>
              <w:spacing w:after="0" w:line="142" w:lineRule="exact"/>
              <w:rPr>
                <w:sz w:val="20"/>
                <w:szCs w:val="20"/>
                <w:color w:val="auto"/>
              </w:rPr>
            </w:pPr>
            <w:r>
              <w:rPr>
                <w:rFonts w:ascii="Arial" w:cs="Arial" w:eastAsia="Arial" w:hAnsi="Arial"/>
                <w:sz w:val="14"/>
                <w:szCs w:val="14"/>
                <w:b w:val="1"/>
                <w:bCs w:val="1"/>
                <w:color w:val="auto"/>
                <w:w w:val="83"/>
              </w:rPr>
              <w:t>(thousands, except as noted)</w:t>
            </w:r>
          </w:p>
        </w:tc>
        <w:tc>
          <w:tcPr>
            <w:tcW w:w="6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1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08"/>
        </w:trPr>
        <w:tc>
          <w:tcPr>
            <w:tcW w:w="1160" w:type="dxa"/>
            <w:vAlign w:val="bottom"/>
          </w:tcPr>
          <w:p>
            <w:pPr>
              <w:spacing w:after="0"/>
              <w:rPr>
                <w:sz w:val="18"/>
                <w:szCs w:val="18"/>
                <w:color w:val="auto"/>
              </w:rPr>
            </w:pPr>
          </w:p>
        </w:tc>
        <w:tc>
          <w:tcPr>
            <w:tcW w:w="5960" w:type="dxa"/>
            <w:vAlign w:val="bottom"/>
            <w:gridSpan w:val="3"/>
            <w:shd w:val="clear" w:color="auto" w:fill="CCEEFF"/>
          </w:tcPr>
          <w:p>
            <w:pPr>
              <w:spacing w:after="0"/>
              <w:rPr>
                <w:sz w:val="20"/>
                <w:szCs w:val="20"/>
                <w:color w:val="auto"/>
              </w:rPr>
            </w:pPr>
            <w:r>
              <w:rPr>
                <w:rFonts w:ascii="Arial" w:cs="Arial" w:eastAsia="Arial" w:hAnsi="Arial"/>
                <w:sz w:val="18"/>
                <w:szCs w:val="18"/>
                <w:color w:val="auto"/>
                <w:w w:val="89"/>
              </w:rPr>
              <w:t>Total Production costs per Consolidated Statements of Income and Comprehensive</w:t>
            </w: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1160" w:type="dxa"/>
            <w:vAlign w:val="bottom"/>
          </w:tcPr>
          <w:p>
            <w:pPr>
              <w:spacing w:after="0"/>
              <w:rPr>
                <w:sz w:val="19"/>
                <w:szCs w:val="19"/>
                <w:color w:val="auto"/>
              </w:rPr>
            </w:pPr>
          </w:p>
        </w:tc>
        <w:tc>
          <w:tcPr>
            <w:tcW w:w="596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Income</w:t>
            </w:r>
          </w:p>
        </w:tc>
        <w:tc>
          <w:tcPr>
            <w:tcW w:w="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306,318</w:t>
            </w:r>
          </w:p>
        </w:tc>
        <w:tc>
          <w:tcPr>
            <w:tcW w:w="160" w:type="dxa"/>
            <w:vAlign w:val="bottom"/>
            <w:shd w:val="clear" w:color="auto" w:fill="CCEEFF"/>
          </w:tcPr>
          <w:p>
            <w:pPr>
              <w:spacing w:after="0"/>
              <w:rPr>
                <w:sz w:val="19"/>
                <w:szCs w:val="19"/>
                <w:color w:val="auto"/>
              </w:rPr>
            </w:pPr>
          </w:p>
        </w:tc>
        <w:tc>
          <w:tcPr>
            <w:tcW w:w="160" w:type="dxa"/>
            <w:vAlign w:val="bottom"/>
            <w:shd w:val="clear" w:color="auto" w:fill="CCEEFF"/>
          </w:tcPr>
          <w:p>
            <w:pPr>
              <w:jc w:val="right"/>
              <w:ind w:right="3"/>
              <w:spacing w:after="0"/>
              <w:rPr>
                <w:sz w:val="20"/>
                <w:szCs w:val="20"/>
                <w:color w:val="auto"/>
              </w:rPr>
            </w:pPr>
            <w:r>
              <w:rPr>
                <w:rFonts w:ascii="Arial" w:cs="Arial" w:eastAsia="Arial" w:hAnsi="Arial"/>
                <w:sz w:val="15"/>
                <w:szCs w:val="15"/>
                <w:color w:val="auto"/>
                <w:w w:val="71"/>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186,862</w:t>
            </w:r>
          </w:p>
        </w:tc>
        <w:tc>
          <w:tcPr>
            <w:tcW w:w="100" w:type="dxa"/>
            <w:vAlign w:val="bottom"/>
            <w:shd w:val="clear" w:color="auto" w:fill="CCEEFF"/>
          </w:tcPr>
          <w:p>
            <w:pPr>
              <w:spacing w:after="0"/>
              <w:rPr>
                <w:sz w:val="19"/>
                <w:szCs w:val="19"/>
                <w:color w:val="auto"/>
              </w:rPr>
            </w:pPr>
          </w:p>
        </w:tc>
        <w:tc>
          <w:tcPr>
            <w:tcW w:w="260" w:type="dxa"/>
            <w:vAlign w:val="bottom"/>
            <w:gridSpan w:val="2"/>
            <w:shd w:val="clear" w:color="auto" w:fill="CCEEFF"/>
          </w:tcPr>
          <w:p>
            <w:pPr>
              <w:jc w:val="right"/>
              <w:ind w:right="43"/>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166,104</w:t>
            </w:r>
          </w:p>
        </w:tc>
        <w:tc>
          <w:tcPr>
            <w:tcW w:w="160" w:type="dxa"/>
            <w:vAlign w:val="bottom"/>
            <w:shd w:val="clear" w:color="auto" w:fill="CCEEFF"/>
          </w:tcPr>
          <w:p>
            <w:pPr>
              <w:spacing w:after="0"/>
              <w:rPr>
                <w:sz w:val="19"/>
                <w:szCs w:val="19"/>
                <w:color w:val="auto"/>
              </w:rPr>
            </w:pPr>
          </w:p>
        </w:tc>
        <w:tc>
          <w:tcPr>
            <w:tcW w:w="1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5960" w:type="dxa"/>
            <w:vAlign w:val="bottom"/>
            <w:gridSpan w:val="3"/>
          </w:tcPr>
          <w:p>
            <w:pPr>
              <w:spacing w:after="0"/>
              <w:rPr>
                <w:sz w:val="20"/>
                <w:szCs w:val="20"/>
                <w:color w:val="auto"/>
              </w:rPr>
            </w:pPr>
            <w:r>
              <w:rPr>
                <w:rFonts w:ascii="Arial" w:cs="Arial" w:eastAsia="Arial" w:hAnsi="Arial"/>
                <w:sz w:val="18"/>
                <w:szCs w:val="18"/>
                <w:color w:val="auto"/>
              </w:rPr>
              <w:t>Attributable to LaRonde</w:t>
            </w: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164,221</w:t>
            </w:r>
          </w:p>
        </w:tc>
        <w:tc>
          <w:tcPr>
            <w:tcW w:w="1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166,496</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w w:val="95"/>
              </w:rPr>
              <w:t>166,104</w:t>
            </w:r>
          </w:p>
        </w:tc>
        <w:tc>
          <w:tcPr>
            <w:tcW w:w="16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59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Attributable to Goldex</w:t>
            </w: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54,342</w:t>
            </w: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20,366</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5960" w:type="dxa"/>
            <w:vAlign w:val="bottom"/>
            <w:gridSpan w:val="3"/>
          </w:tcPr>
          <w:p>
            <w:pPr>
              <w:spacing w:after="0"/>
              <w:rPr>
                <w:sz w:val="20"/>
                <w:szCs w:val="20"/>
                <w:color w:val="auto"/>
              </w:rPr>
            </w:pPr>
            <w:r>
              <w:rPr>
                <w:rFonts w:ascii="Arial" w:cs="Arial" w:eastAsia="Arial" w:hAnsi="Arial"/>
                <w:sz w:val="18"/>
                <w:szCs w:val="18"/>
                <w:color w:val="auto"/>
              </w:rPr>
              <w:t>Attributable to Lapa</w:t>
            </w: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33,472</w:t>
            </w:r>
          </w:p>
        </w:tc>
        <w:tc>
          <w:tcPr>
            <w:tcW w:w="1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59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Attributable to Kittila</w:t>
            </w: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42,464</w:t>
            </w: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1160" w:type="dxa"/>
            <w:vAlign w:val="bottom"/>
          </w:tcPr>
          <w:p>
            <w:pPr>
              <w:spacing w:after="0"/>
              <w:rPr>
                <w:sz w:val="19"/>
                <w:szCs w:val="19"/>
                <w:color w:val="auto"/>
              </w:rPr>
            </w:pPr>
          </w:p>
        </w:tc>
        <w:tc>
          <w:tcPr>
            <w:tcW w:w="5960" w:type="dxa"/>
            <w:vAlign w:val="bottom"/>
            <w:gridSpan w:val="3"/>
          </w:tcPr>
          <w:p>
            <w:pPr>
              <w:spacing w:after="0"/>
              <w:rPr>
                <w:sz w:val="20"/>
                <w:szCs w:val="20"/>
                <w:color w:val="auto"/>
              </w:rPr>
            </w:pPr>
            <w:r>
              <w:rPr>
                <w:rFonts w:ascii="Arial" w:cs="Arial" w:eastAsia="Arial" w:hAnsi="Arial"/>
                <w:sz w:val="18"/>
                <w:szCs w:val="18"/>
                <w:color w:val="auto"/>
              </w:rPr>
              <w:t>Attributable to Pinos Altos</w:t>
            </w:r>
          </w:p>
        </w:tc>
        <w:tc>
          <w:tcPr>
            <w:tcW w:w="1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11,819</w:t>
            </w:r>
          </w:p>
        </w:tc>
        <w:tc>
          <w:tcPr>
            <w:tcW w:w="1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0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
        </w:trPr>
        <w:tc>
          <w:tcPr>
            <w:tcW w:w="1160" w:type="dxa"/>
            <w:vAlign w:val="bottom"/>
          </w:tcPr>
          <w:p>
            <w:pPr>
              <w:spacing w:after="0" w:line="20" w:lineRule="exact"/>
              <w:rPr>
                <w:sz w:val="1"/>
                <w:szCs w:val="1"/>
                <w:color w:val="auto"/>
              </w:rPr>
            </w:pPr>
          </w:p>
        </w:tc>
        <w:tc>
          <w:tcPr>
            <w:tcW w:w="2020" w:type="dxa"/>
            <w:vAlign w:val="bottom"/>
          </w:tcPr>
          <w:p>
            <w:pPr>
              <w:spacing w:after="0" w:line="20" w:lineRule="exact"/>
              <w:rPr>
                <w:sz w:val="1"/>
                <w:szCs w:val="1"/>
                <w:color w:val="auto"/>
              </w:rPr>
            </w:pPr>
          </w:p>
        </w:tc>
        <w:tc>
          <w:tcPr>
            <w:tcW w:w="394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10"/>
        </w:trPr>
        <w:tc>
          <w:tcPr>
            <w:tcW w:w="1160" w:type="dxa"/>
            <w:vAlign w:val="bottom"/>
          </w:tcPr>
          <w:p>
            <w:pPr>
              <w:spacing w:after="0"/>
              <w:rPr>
                <w:sz w:val="18"/>
                <w:szCs w:val="18"/>
                <w:color w:val="auto"/>
              </w:rPr>
            </w:pPr>
          </w:p>
        </w:tc>
        <w:tc>
          <w:tcPr>
            <w:tcW w:w="59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Total</w:t>
            </w:r>
          </w:p>
        </w:tc>
        <w:tc>
          <w:tcPr>
            <w:tcW w:w="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306,318</w:t>
            </w: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jc w:val="right"/>
              <w:ind w:right="3"/>
              <w:spacing w:after="0"/>
              <w:rPr>
                <w:sz w:val="20"/>
                <w:szCs w:val="20"/>
                <w:color w:val="auto"/>
              </w:rPr>
            </w:pPr>
            <w:r>
              <w:rPr>
                <w:rFonts w:ascii="Arial" w:cs="Arial" w:eastAsia="Arial" w:hAnsi="Arial"/>
                <w:sz w:val="15"/>
                <w:szCs w:val="15"/>
                <w:color w:val="auto"/>
                <w:w w:val="71"/>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186,862</w:t>
            </w:r>
          </w:p>
        </w:tc>
        <w:tc>
          <w:tcPr>
            <w:tcW w:w="100" w:type="dxa"/>
            <w:vAlign w:val="bottom"/>
            <w:shd w:val="clear" w:color="auto" w:fill="CCEEFF"/>
          </w:tcPr>
          <w:p>
            <w:pPr>
              <w:spacing w:after="0"/>
              <w:rPr>
                <w:sz w:val="18"/>
                <w:szCs w:val="18"/>
                <w:color w:val="auto"/>
              </w:rPr>
            </w:pPr>
          </w:p>
        </w:tc>
        <w:tc>
          <w:tcPr>
            <w:tcW w:w="260" w:type="dxa"/>
            <w:vAlign w:val="bottom"/>
            <w:gridSpan w:val="2"/>
            <w:shd w:val="clear" w:color="auto" w:fill="CCEEFF"/>
          </w:tcPr>
          <w:p>
            <w:pPr>
              <w:jc w:val="right"/>
              <w:ind w:right="43"/>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166,104</w:t>
            </w:r>
          </w:p>
        </w:tc>
        <w:tc>
          <w:tcPr>
            <w:tcW w:w="16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5880" w:type="dxa"/>
            <w:vAlign w:val="bottom"/>
            <w:gridSpan w:val="3"/>
            <w:vMerge w:val="restart"/>
          </w:tcPr>
          <w:p>
            <w:pPr>
              <w:spacing w:after="0"/>
              <w:rPr>
                <w:sz w:val="20"/>
                <w:szCs w:val="20"/>
                <w:color w:val="auto"/>
              </w:rPr>
            </w:pPr>
            <w:r>
              <w:rPr>
                <w:rFonts w:ascii="Arial" w:cs="Arial" w:eastAsia="Arial" w:hAnsi="Arial"/>
                <w:sz w:val="18"/>
                <w:szCs w:val="18"/>
                <w:color w:val="auto"/>
                <w:w w:val="89"/>
              </w:rPr>
              <w:t>Reconciliation of Total Cash Costs per Ounce of Gold to Production Costs by Mine</w:t>
            </w:r>
          </w:p>
        </w:tc>
        <w:tc>
          <w:tcPr>
            <w:tcW w:w="1240" w:type="dxa"/>
            <w:vAlign w:val="bottom"/>
            <w:vMerge w:val="restart"/>
          </w:tcPr>
          <w:p>
            <w:pPr>
              <w:spacing w:after="0"/>
              <w:rPr>
                <w:sz w:val="2"/>
                <w:szCs w:val="2"/>
                <w:color w:val="auto"/>
              </w:rPr>
            </w:pPr>
          </w:p>
        </w:tc>
        <w:tc>
          <w:tcPr>
            <w:tcW w:w="12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1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5880" w:type="dxa"/>
            <w:vAlign w:val="bottom"/>
            <w:gridSpan w:val="3"/>
            <w:vMerge w:val="continue"/>
          </w:tcPr>
          <w:p>
            <w:pPr>
              <w:spacing w:after="0" w:line="20" w:lineRule="exact"/>
              <w:rPr>
                <w:sz w:val="1"/>
                <w:szCs w:val="1"/>
                <w:color w:val="auto"/>
              </w:rPr>
            </w:pPr>
          </w:p>
        </w:tc>
        <w:tc>
          <w:tcPr>
            <w:tcW w:w="1240" w:type="dxa"/>
            <w:vAlign w:val="bottom"/>
            <w:vMerge w:val="continue"/>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77"/>
        </w:trPr>
        <w:tc>
          <w:tcPr>
            <w:tcW w:w="5880" w:type="dxa"/>
            <w:vAlign w:val="bottom"/>
            <w:tcBorders>
              <w:bottom w:val="single" w:sz="8" w:color="auto"/>
            </w:tcBorders>
            <w:gridSpan w:val="3"/>
            <w:vMerge w:val="continue"/>
          </w:tcPr>
          <w:p>
            <w:pPr>
              <w:spacing w:after="0"/>
              <w:rPr>
                <w:sz w:val="24"/>
                <w:szCs w:val="24"/>
                <w:color w:val="auto"/>
              </w:rPr>
            </w:pPr>
          </w:p>
        </w:tc>
        <w:tc>
          <w:tcPr>
            <w:tcW w:w="1240" w:type="dxa"/>
            <w:vAlign w:val="bottom"/>
            <w:vMerge w:val="continue"/>
          </w:tcPr>
          <w:p>
            <w:pPr>
              <w:spacing w:after="0"/>
              <w:rPr>
                <w:sz w:val="24"/>
                <w:szCs w:val="24"/>
                <w:color w:val="auto"/>
              </w:rPr>
            </w:pP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85"/>
        </w:trPr>
        <w:tc>
          <w:tcPr>
            <w:tcW w:w="7120" w:type="dxa"/>
            <w:vAlign w:val="bottom"/>
            <w:gridSpan w:val="4"/>
          </w:tcPr>
          <w:p>
            <w:pPr>
              <w:ind w:left="1140"/>
              <w:spacing w:after="0"/>
              <w:rPr>
                <w:sz w:val="20"/>
                <w:szCs w:val="20"/>
                <w:color w:val="auto"/>
              </w:rPr>
            </w:pPr>
            <w:r>
              <w:rPr>
                <w:rFonts w:ascii="Arial" w:cs="Arial" w:eastAsia="Arial" w:hAnsi="Arial"/>
                <w:sz w:val="14"/>
                <w:szCs w:val="14"/>
                <w:b w:val="1"/>
                <w:bCs w:val="1"/>
                <w:color w:val="auto"/>
              </w:rPr>
              <w:t>LaRonde Cash Costs per Ounce</w:t>
            </w: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00" w:type="dxa"/>
            <w:vAlign w:val="bottom"/>
          </w:tcPr>
          <w:p>
            <w:pPr>
              <w:jc w:val="right"/>
              <w:ind w:right="217"/>
              <w:spacing w:after="0"/>
              <w:rPr>
                <w:sz w:val="20"/>
                <w:szCs w:val="20"/>
                <w:color w:val="auto"/>
              </w:rPr>
            </w:pPr>
            <w:r>
              <w:rPr>
                <w:rFonts w:ascii="Arial" w:cs="Arial" w:eastAsia="Arial" w:hAnsi="Arial"/>
                <w:sz w:val="14"/>
                <w:szCs w:val="14"/>
                <w:b w:val="1"/>
                <w:bCs w:val="1"/>
                <w:color w:val="auto"/>
              </w:rPr>
              <w:t>2009</w:t>
            </w:r>
          </w:p>
        </w:tc>
        <w:tc>
          <w:tcPr>
            <w:tcW w:w="1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00" w:type="dxa"/>
            <w:vAlign w:val="bottom"/>
          </w:tcPr>
          <w:p>
            <w:pPr>
              <w:jc w:val="center"/>
              <w:ind w:right="95"/>
              <w:spacing w:after="0"/>
              <w:rPr>
                <w:sz w:val="20"/>
                <w:szCs w:val="20"/>
                <w:color w:val="auto"/>
              </w:rPr>
            </w:pPr>
            <w:r>
              <w:rPr>
                <w:rFonts w:ascii="Arial" w:cs="Arial" w:eastAsia="Arial" w:hAnsi="Arial"/>
                <w:sz w:val="14"/>
                <w:szCs w:val="14"/>
                <w:b w:val="1"/>
                <w:bCs w:val="1"/>
                <w:color w:val="auto"/>
                <w:w w:val="89"/>
              </w:rPr>
              <w:t>2008</w:t>
            </w: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40" w:type="dxa"/>
            <w:vAlign w:val="bottom"/>
          </w:tcPr>
          <w:p>
            <w:pPr>
              <w:jc w:val="right"/>
              <w:ind w:right="215"/>
              <w:spacing w:after="0"/>
              <w:rPr>
                <w:sz w:val="20"/>
                <w:szCs w:val="20"/>
                <w:color w:val="auto"/>
              </w:rPr>
            </w:pPr>
            <w:r>
              <w:rPr>
                <w:rFonts w:ascii="Arial" w:cs="Arial" w:eastAsia="Arial" w:hAnsi="Arial"/>
                <w:sz w:val="14"/>
                <w:szCs w:val="14"/>
                <w:b w:val="1"/>
                <w:bCs w:val="1"/>
                <w:color w:val="auto"/>
              </w:rPr>
              <w:t>2007</w:t>
            </w:r>
          </w:p>
        </w:tc>
        <w:tc>
          <w:tcPr>
            <w:tcW w:w="16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160" w:type="dxa"/>
            <w:vAlign w:val="bottom"/>
          </w:tcPr>
          <w:p>
            <w:pPr>
              <w:spacing w:after="0" w:line="20" w:lineRule="exact"/>
              <w:rPr>
                <w:sz w:val="1"/>
                <w:szCs w:val="1"/>
                <w:color w:val="auto"/>
              </w:rPr>
            </w:pPr>
          </w:p>
        </w:tc>
        <w:tc>
          <w:tcPr>
            <w:tcW w:w="2020" w:type="dxa"/>
            <w:vAlign w:val="bottom"/>
            <w:shd w:val="clear" w:color="auto" w:fill="000000"/>
          </w:tcPr>
          <w:p>
            <w:pPr>
              <w:spacing w:after="0" w:line="20" w:lineRule="exact"/>
              <w:rPr>
                <w:sz w:val="1"/>
                <w:szCs w:val="1"/>
                <w:color w:val="auto"/>
              </w:rPr>
            </w:pPr>
          </w:p>
        </w:tc>
        <w:tc>
          <w:tcPr>
            <w:tcW w:w="270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60" w:type="dxa"/>
            <w:vAlign w:val="bottom"/>
            <w:gridSpan w:val="2"/>
            <w:shd w:val="clear" w:color="auto" w:fill="000000"/>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2"/>
        </w:trPr>
        <w:tc>
          <w:tcPr>
            <w:tcW w:w="1160" w:type="dxa"/>
            <w:vAlign w:val="bottom"/>
          </w:tcPr>
          <w:p>
            <w:pPr>
              <w:spacing w:after="0"/>
              <w:rPr>
                <w:sz w:val="12"/>
                <w:szCs w:val="12"/>
                <w:color w:val="auto"/>
              </w:rPr>
            </w:pPr>
          </w:p>
        </w:tc>
        <w:tc>
          <w:tcPr>
            <w:tcW w:w="2020" w:type="dxa"/>
            <w:vAlign w:val="bottom"/>
          </w:tcPr>
          <w:p>
            <w:pPr>
              <w:spacing w:after="0"/>
              <w:rPr>
                <w:sz w:val="12"/>
                <w:szCs w:val="12"/>
                <w:color w:val="auto"/>
              </w:rPr>
            </w:pPr>
          </w:p>
        </w:tc>
        <w:tc>
          <w:tcPr>
            <w:tcW w:w="270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080" w:type="dxa"/>
            <w:vAlign w:val="bottom"/>
            <w:gridSpan w:val="7"/>
          </w:tcPr>
          <w:p>
            <w:pPr>
              <w:jc w:val="center"/>
              <w:ind w:left="377"/>
              <w:spacing w:after="0" w:line="142" w:lineRule="exact"/>
              <w:rPr>
                <w:sz w:val="20"/>
                <w:szCs w:val="20"/>
                <w:color w:val="auto"/>
              </w:rPr>
            </w:pPr>
            <w:r>
              <w:rPr>
                <w:rFonts w:ascii="Arial" w:cs="Arial" w:eastAsia="Arial" w:hAnsi="Arial"/>
                <w:sz w:val="14"/>
                <w:szCs w:val="14"/>
                <w:b w:val="1"/>
                <w:bCs w:val="1"/>
                <w:color w:val="auto"/>
                <w:w w:val="83"/>
              </w:rPr>
              <w:t>(thousands, except as noted)</w:t>
            </w:r>
          </w:p>
        </w:tc>
        <w:tc>
          <w:tcPr>
            <w:tcW w:w="6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1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59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Production costs</w:t>
            </w:r>
          </w:p>
        </w:tc>
        <w:tc>
          <w:tcPr>
            <w:tcW w:w="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164,221</w:t>
            </w: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jc w:val="right"/>
              <w:ind w:right="3"/>
              <w:spacing w:after="0"/>
              <w:rPr>
                <w:sz w:val="20"/>
                <w:szCs w:val="20"/>
                <w:color w:val="auto"/>
              </w:rPr>
            </w:pPr>
            <w:r>
              <w:rPr>
                <w:rFonts w:ascii="Arial" w:cs="Arial" w:eastAsia="Arial" w:hAnsi="Arial"/>
                <w:sz w:val="15"/>
                <w:szCs w:val="15"/>
                <w:color w:val="auto"/>
                <w:w w:val="71"/>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166,496</w:t>
            </w:r>
          </w:p>
        </w:tc>
        <w:tc>
          <w:tcPr>
            <w:tcW w:w="100" w:type="dxa"/>
            <w:vAlign w:val="bottom"/>
            <w:shd w:val="clear" w:color="auto" w:fill="CCEEFF"/>
          </w:tcPr>
          <w:p>
            <w:pPr>
              <w:spacing w:after="0"/>
              <w:rPr>
                <w:sz w:val="18"/>
                <w:szCs w:val="18"/>
                <w:color w:val="auto"/>
              </w:rPr>
            </w:pPr>
          </w:p>
        </w:tc>
        <w:tc>
          <w:tcPr>
            <w:tcW w:w="260" w:type="dxa"/>
            <w:vAlign w:val="bottom"/>
            <w:gridSpan w:val="2"/>
            <w:shd w:val="clear" w:color="auto" w:fill="CCEEFF"/>
          </w:tcPr>
          <w:p>
            <w:pPr>
              <w:jc w:val="right"/>
              <w:ind w:right="43"/>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166,104</w:t>
            </w:r>
          </w:p>
        </w:tc>
        <w:tc>
          <w:tcPr>
            <w:tcW w:w="16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5960" w:type="dxa"/>
            <w:vAlign w:val="bottom"/>
            <w:gridSpan w:val="3"/>
          </w:tcPr>
          <w:p>
            <w:pPr>
              <w:spacing w:after="0"/>
              <w:rPr>
                <w:sz w:val="20"/>
                <w:szCs w:val="20"/>
                <w:color w:val="auto"/>
              </w:rPr>
            </w:pPr>
            <w:r>
              <w:rPr>
                <w:rFonts w:ascii="Arial" w:cs="Arial" w:eastAsia="Arial" w:hAnsi="Arial"/>
                <w:sz w:val="18"/>
                <w:szCs w:val="18"/>
                <w:color w:val="auto"/>
              </w:rPr>
              <w:t>Adjustments:</w:t>
            </w: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59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Byproduct metals revenues</w:t>
            </w: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3"/>
              </w:rPr>
              <w:t>(138,262)</w:t>
            </w:r>
          </w:p>
        </w:tc>
        <w:tc>
          <w:tcPr>
            <w:tcW w:w="16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3"/>
              </w:rPr>
              <w:t>(142,337)</w:t>
            </w: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88"/>
              </w:rPr>
              <w:t>(260,668)</w:t>
            </w: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57"/>
        </w:trPr>
        <w:tc>
          <w:tcPr>
            <w:tcW w:w="1160" w:type="dxa"/>
            <w:vAlign w:val="bottom"/>
          </w:tcPr>
          <w:p>
            <w:pPr>
              <w:spacing w:after="0"/>
              <w:rPr>
                <w:sz w:val="22"/>
                <w:szCs w:val="22"/>
                <w:color w:val="auto"/>
              </w:rPr>
            </w:pPr>
          </w:p>
        </w:tc>
        <w:tc>
          <w:tcPr>
            <w:tcW w:w="5960" w:type="dxa"/>
            <w:vAlign w:val="bottom"/>
            <w:gridSpan w:val="3"/>
          </w:tcPr>
          <w:p>
            <w:pPr>
              <w:spacing w:after="0" w:line="256" w:lineRule="exact"/>
              <w:rPr>
                <w:sz w:val="20"/>
                <w:szCs w:val="20"/>
                <w:color w:val="auto"/>
              </w:rPr>
            </w:pPr>
            <w:r>
              <w:rPr>
                <w:rFonts w:ascii="Arial" w:cs="Arial" w:eastAsia="Arial" w:hAnsi="Arial"/>
                <w:sz w:val="18"/>
                <w:szCs w:val="18"/>
                <w:color w:val="auto"/>
              </w:rPr>
              <w:t>Inventory adjustments</w:t>
            </w:r>
            <w:r>
              <w:rPr>
                <w:rFonts w:ascii="Arial" w:cs="Arial" w:eastAsia="Arial" w:hAnsi="Arial"/>
                <w:sz w:val="29"/>
                <w:szCs w:val="29"/>
                <w:color w:val="auto"/>
                <w:vertAlign w:val="superscript"/>
              </w:rPr>
              <w:t>(i)</w:t>
            </w:r>
          </w:p>
        </w:tc>
        <w:tc>
          <w:tcPr>
            <w:tcW w:w="12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8"/>
                <w:szCs w:val="18"/>
                <w:color w:val="auto"/>
              </w:rPr>
              <w:t>(3,809)</w:t>
            </w:r>
          </w:p>
        </w:tc>
        <w:tc>
          <w:tcPr>
            <w:tcW w:w="160" w:type="dxa"/>
            <w:vAlign w:val="bottom"/>
          </w:tcPr>
          <w:p>
            <w:pPr>
              <w:spacing w:after="0"/>
              <w:rPr>
                <w:sz w:val="22"/>
                <w:szCs w:val="22"/>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45</w:t>
            </w:r>
          </w:p>
        </w:tc>
        <w:tc>
          <w:tcPr>
            <w:tcW w:w="10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11,528</w:t>
            </w:r>
          </w:p>
        </w:tc>
        <w:tc>
          <w:tcPr>
            <w:tcW w:w="160" w:type="dxa"/>
            <w:vAlign w:val="bottom"/>
          </w:tcPr>
          <w:p>
            <w:pPr>
              <w:spacing w:after="0"/>
              <w:rPr>
                <w:sz w:val="22"/>
                <w:szCs w:val="22"/>
                <w:color w:val="auto"/>
              </w:rPr>
            </w:pPr>
          </w:p>
        </w:tc>
        <w:tc>
          <w:tcPr>
            <w:tcW w:w="1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59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Non-cash reclamation provision</w:t>
            </w: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(1,198)</w:t>
            </w:r>
          </w:p>
        </w:tc>
        <w:tc>
          <w:tcPr>
            <w:tcW w:w="16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(1,194)</w:t>
            </w: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(1,264)</w:t>
            </w: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7120" w:type="dxa"/>
            <w:vAlign w:val="bottom"/>
            <w:gridSpan w:val="4"/>
            <w:vMerge w:val="restart"/>
          </w:tcPr>
          <w:p>
            <w:pPr>
              <w:ind w:left="1140"/>
              <w:spacing w:after="0"/>
              <w:rPr>
                <w:sz w:val="20"/>
                <w:szCs w:val="20"/>
                <w:color w:val="auto"/>
              </w:rPr>
            </w:pPr>
            <w:r>
              <w:rPr>
                <w:rFonts w:ascii="Arial" w:cs="Arial" w:eastAsia="Arial" w:hAnsi="Arial"/>
                <w:sz w:val="18"/>
                <w:szCs w:val="18"/>
                <w:color w:val="auto"/>
              </w:rPr>
              <w:t>Cash operating costs</w:t>
            </w:r>
          </w:p>
        </w:tc>
        <w:tc>
          <w:tcPr>
            <w:tcW w:w="280" w:type="dxa"/>
            <w:vAlign w:val="bottom"/>
            <w:gridSpan w:val="2"/>
          </w:tcPr>
          <w:p>
            <w:pPr>
              <w:spacing w:after="0"/>
              <w:rPr>
                <w:sz w:val="2"/>
                <w:szCs w:val="2"/>
                <w:color w:val="auto"/>
              </w:rPr>
            </w:pPr>
          </w:p>
        </w:tc>
        <w:tc>
          <w:tcPr>
            <w:tcW w:w="700" w:type="dxa"/>
            <w:vAlign w:val="bottom"/>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Pr>
          <w:p>
            <w:pPr>
              <w:spacing w:after="0"/>
              <w:rPr>
                <w:sz w:val="2"/>
                <w:szCs w:val="2"/>
                <w:color w:val="auto"/>
              </w:rPr>
            </w:pPr>
          </w:p>
        </w:tc>
        <w:tc>
          <w:tcPr>
            <w:tcW w:w="700" w:type="dxa"/>
            <w:vAlign w:val="bottom"/>
          </w:tcPr>
          <w:p>
            <w:pPr>
              <w:spacing w:after="0"/>
              <w:rPr>
                <w:sz w:val="2"/>
                <w:szCs w:val="2"/>
                <w:color w:val="auto"/>
              </w:rPr>
            </w:pPr>
          </w:p>
        </w:tc>
        <w:tc>
          <w:tcPr>
            <w:tcW w:w="100" w:type="dxa"/>
            <w:vAlign w:val="bottom"/>
          </w:tcPr>
          <w:p>
            <w:pPr>
              <w:spacing w:after="0"/>
              <w:rPr>
                <w:sz w:val="2"/>
                <w:szCs w:val="2"/>
                <w:color w:val="auto"/>
              </w:rPr>
            </w:pPr>
          </w:p>
        </w:tc>
        <w:tc>
          <w:tcPr>
            <w:tcW w:w="260" w:type="dxa"/>
            <w:vAlign w:val="bottom"/>
            <w:gridSpan w:val="2"/>
          </w:tcPr>
          <w:p>
            <w:pPr>
              <w:spacing w:after="0"/>
              <w:rPr>
                <w:sz w:val="2"/>
                <w:szCs w:val="2"/>
                <w:color w:val="auto"/>
              </w:rPr>
            </w:pPr>
          </w:p>
        </w:tc>
        <w:tc>
          <w:tcPr>
            <w:tcW w:w="800" w:type="dxa"/>
            <w:vAlign w:val="bottom"/>
            <w:gridSpan w:val="2"/>
          </w:tcPr>
          <w:p>
            <w:pPr>
              <w:spacing w:after="0"/>
              <w:rPr>
                <w:sz w:val="2"/>
                <w:szCs w:val="2"/>
                <w:color w:val="auto"/>
              </w:rPr>
            </w:pPr>
          </w:p>
        </w:tc>
        <w:tc>
          <w:tcPr>
            <w:tcW w:w="11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10"/>
        </w:trPr>
        <w:tc>
          <w:tcPr>
            <w:tcW w:w="7120" w:type="dxa"/>
            <w:vAlign w:val="bottom"/>
            <w:gridSpan w:val="4"/>
            <w:vMerge w:val="continue"/>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7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20,952</w:t>
            </w:r>
          </w:p>
        </w:tc>
        <w:tc>
          <w:tcPr>
            <w:tcW w:w="160" w:type="dxa"/>
            <w:vAlign w:val="bottom"/>
          </w:tcPr>
          <w:p>
            <w:pPr>
              <w:spacing w:after="0"/>
              <w:rPr>
                <w:sz w:val="18"/>
                <w:szCs w:val="18"/>
                <w:color w:val="auto"/>
              </w:rPr>
            </w:pPr>
          </w:p>
        </w:tc>
        <w:tc>
          <w:tcPr>
            <w:tcW w:w="160" w:type="dxa"/>
            <w:vAlign w:val="bottom"/>
            <w:tcBorders>
              <w:top w:val="single" w:sz="8" w:color="auto"/>
            </w:tcBorders>
          </w:tcPr>
          <w:p>
            <w:pPr>
              <w:jc w:val="right"/>
              <w:ind w:right="3"/>
              <w:spacing w:after="0"/>
              <w:rPr>
                <w:sz w:val="20"/>
                <w:szCs w:val="20"/>
                <w:color w:val="auto"/>
              </w:rPr>
            </w:pPr>
            <w:r>
              <w:rPr>
                <w:rFonts w:ascii="Arial" w:cs="Arial" w:eastAsia="Arial" w:hAnsi="Arial"/>
                <w:sz w:val="15"/>
                <w:szCs w:val="15"/>
                <w:color w:val="auto"/>
                <w:w w:val="71"/>
              </w:rPr>
              <w:t>$</w:t>
            </w:r>
          </w:p>
        </w:tc>
        <w:tc>
          <w:tcPr>
            <w:tcW w:w="7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23,010</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00" w:type="dxa"/>
            <w:vAlign w:val="bottom"/>
            <w:tcBorders>
              <w:top w:val="single" w:sz="8" w:color="auto"/>
            </w:tcBorders>
          </w:tcPr>
          <w:p>
            <w:pPr>
              <w:jc w:val="right"/>
              <w:ind w:right="43"/>
              <w:spacing w:after="0"/>
              <w:rPr>
                <w:sz w:val="20"/>
                <w:szCs w:val="20"/>
                <w:color w:val="auto"/>
              </w:rPr>
            </w:pPr>
            <w:r>
              <w:rPr>
                <w:rFonts w:ascii="Arial" w:cs="Arial" w:eastAsia="Arial" w:hAnsi="Arial"/>
                <w:sz w:val="15"/>
                <w:szCs w:val="15"/>
                <w:color w:val="auto"/>
                <w:w w:val="71"/>
              </w:rPr>
              <w:t>$</w:t>
            </w:r>
          </w:p>
        </w:tc>
        <w:tc>
          <w:tcPr>
            <w:tcW w:w="6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92"/>
              </w:rPr>
              <w:t>(84,300)</w:t>
            </w:r>
          </w:p>
        </w:tc>
        <w:tc>
          <w:tcPr>
            <w:tcW w:w="16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59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Gold production (ounces)</w:t>
            </w: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203,494</w:t>
            </w: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216,208</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230,992</w:t>
            </w:r>
          </w:p>
        </w:tc>
        <w:tc>
          <w:tcPr>
            <w:tcW w:w="16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7120" w:type="dxa"/>
            <w:vAlign w:val="bottom"/>
            <w:gridSpan w:val="4"/>
            <w:vMerge w:val="restart"/>
          </w:tcPr>
          <w:p>
            <w:pPr>
              <w:ind w:left="1140"/>
              <w:spacing w:after="0" w:line="324" w:lineRule="exact"/>
              <w:rPr>
                <w:sz w:val="20"/>
                <w:szCs w:val="20"/>
                <w:color w:val="auto"/>
              </w:rPr>
            </w:pPr>
            <w:r>
              <w:rPr>
                <w:rFonts w:ascii="Arial" w:cs="Arial" w:eastAsia="Arial" w:hAnsi="Arial"/>
                <w:sz w:val="18"/>
                <w:szCs w:val="18"/>
                <w:color w:val="auto"/>
              </w:rPr>
              <w:t>Total cash costs (per ounce)</w:t>
            </w:r>
            <w:r>
              <w:rPr>
                <w:rFonts w:ascii="Arial" w:cs="Arial" w:eastAsia="Arial" w:hAnsi="Arial"/>
                <w:sz w:val="29"/>
                <w:szCs w:val="29"/>
                <w:color w:val="auto"/>
                <w:vertAlign w:val="superscript"/>
              </w:rPr>
              <w:t>(ii)</w:t>
            </w:r>
          </w:p>
        </w:tc>
        <w:tc>
          <w:tcPr>
            <w:tcW w:w="12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1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77"/>
        </w:trPr>
        <w:tc>
          <w:tcPr>
            <w:tcW w:w="7120" w:type="dxa"/>
            <w:vAlign w:val="bottom"/>
            <w:gridSpan w:val="4"/>
            <w:vMerge w:val="continue"/>
          </w:tcPr>
          <w:p>
            <w:pPr>
              <w:spacing w:after="0"/>
              <w:rPr>
                <w:sz w:val="24"/>
                <w:szCs w:val="24"/>
                <w:color w:val="auto"/>
              </w:rPr>
            </w:pPr>
          </w:p>
        </w:tc>
        <w:tc>
          <w:tcPr>
            <w:tcW w:w="2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00" w:type="dxa"/>
            <w:vAlign w:val="bottom"/>
          </w:tcPr>
          <w:p>
            <w:pPr>
              <w:jc w:val="right"/>
              <w:spacing w:after="0"/>
              <w:rPr>
                <w:sz w:val="20"/>
                <w:szCs w:val="20"/>
                <w:color w:val="auto"/>
              </w:rPr>
            </w:pPr>
            <w:r>
              <w:rPr>
                <w:rFonts w:ascii="Arial" w:cs="Arial" w:eastAsia="Arial" w:hAnsi="Arial"/>
                <w:sz w:val="18"/>
                <w:szCs w:val="18"/>
                <w:color w:val="auto"/>
              </w:rPr>
              <w:t>103</w:t>
            </w:r>
          </w:p>
        </w:tc>
        <w:tc>
          <w:tcPr>
            <w:tcW w:w="160" w:type="dxa"/>
            <w:vAlign w:val="bottom"/>
          </w:tcPr>
          <w:p>
            <w:pPr>
              <w:spacing w:after="0"/>
              <w:rPr>
                <w:sz w:val="24"/>
                <w:szCs w:val="24"/>
                <w:color w:val="auto"/>
              </w:rPr>
            </w:pPr>
          </w:p>
        </w:tc>
        <w:tc>
          <w:tcPr>
            <w:tcW w:w="160" w:type="dxa"/>
            <w:vAlign w:val="bottom"/>
          </w:tcPr>
          <w:p>
            <w:pPr>
              <w:jc w:val="right"/>
              <w:ind w:right="3"/>
              <w:spacing w:after="0"/>
              <w:rPr>
                <w:sz w:val="20"/>
                <w:szCs w:val="20"/>
                <w:color w:val="auto"/>
              </w:rPr>
            </w:pPr>
            <w:r>
              <w:rPr>
                <w:rFonts w:ascii="Arial" w:cs="Arial" w:eastAsia="Arial" w:hAnsi="Arial"/>
                <w:sz w:val="15"/>
                <w:szCs w:val="15"/>
                <w:color w:val="auto"/>
                <w:w w:val="71"/>
              </w:rPr>
              <w:t>$</w:t>
            </w:r>
          </w:p>
        </w:tc>
        <w:tc>
          <w:tcPr>
            <w:tcW w:w="700" w:type="dxa"/>
            <w:vAlign w:val="bottom"/>
          </w:tcPr>
          <w:p>
            <w:pPr>
              <w:jc w:val="right"/>
              <w:spacing w:after="0"/>
              <w:rPr>
                <w:sz w:val="20"/>
                <w:szCs w:val="20"/>
                <w:color w:val="auto"/>
              </w:rPr>
            </w:pPr>
            <w:r>
              <w:rPr>
                <w:rFonts w:ascii="Arial" w:cs="Arial" w:eastAsia="Arial" w:hAnsi="Arial"/>
                <w:sz w:val="18"/>
                <w:szCs w:val="18"/>
                <w:color w:val="auto"/>
              </w:rPr>
              <w:t>106</w:t>
            </w:r>
          </w:p>
        </w:tc>
        <w:tc>
          <w:tcPr>
            <w:tcW w:w="100" w:type="dxa"/>
            <w:vAlign w:val="bottom"/>
          </w:tcPr>
          <w:p>
            <w:pPr>
              <w:spacing w:after="0"/>
              <w:rPr>
                <w:sz w:val="24"/>
                <w:szCs w:val="24"/>
                <w:color w:val="auto"/>
              </w:rPr>
            </w:pPr>
          </w:p>
        </w:tc>
        <w:tc>
          <w:tcPr>
            <w:tcW w:w="260" w:type="dxa"/>
            <w:vAlign w:val="bottom"/>
            <w:gridSpan w:val="2"/>
          </w:tcPr>
          <w:p>
            <w:pPr>
              <w:jc w:val="right"/>
              <w:ind w:right="43"/>
              <w:spacing w:after="0"/>
              <w:rPr>
                <w:sz w:val="20"/>
                <w:szCs w:val="20"/>
                <w:color w:val="auto"/>
              </w:rPr>
            </w:pPr>
            <w:r>
              <w:rPr>
                <w:rFonts w:ascii="Arial" w:cs="Arial" w:eastAsia="Arial" w:hAnsi="Arial"/>
                <w:sz w:val="18"/>
                <w:szCs w:val="18"/>
                <w:color w:val="auto"/>
              </w:rPr>
              <w:t>$</w:t>
            </w:r>
          </w:p>
        </w:tc>
        <w:tc>
          <w:tcPr>
            <w:tcW w:w="800" w:type="dxa"/>
            <w:vAlign w:val="bottom"/>
            <w:gridSpan w:val="2"/>
          </w:tcPr>
          <w:p>
            <w:pPr>
              <w:jc w:val="right"/>
              <w:ind w:right="100"/>
              <w:spacing w:after="0"/>
              <w:rPr>
                <w:sz w:val="20"/>
                <w:szCs w:val="20"/>
                <w:color w:val="auto"/>
              </w:rPr>
            </w:pPr>
            <w:r>
              <w:rPr>
                <w:rFonts w:ascii="Arial" w:cs="Arial" w:eastAsia="Arial" w:hAnsi="Arial"/>
                <w:sz w:val="18"/>
                <w:szCs w:val="18"/>
                <w:color w:val="auto"/>
              </w:rPr>
              <w:t>(365)</w:t>
            </w:r>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5880" w:type="dxa"/>
            <w:vAlign w:val="bottom"/>
            <w:gridSpan w:val="3"/>
            <w:vMerge w:val="restart"/>
          </w:tcPr>
          <w:p>
            <w:pPr>
              <w:ind w:left="5620"/>
              <w:spacing w:after="0"/>
              <w:rPr>
                <w:sz w:val="20"/>
                <w:szCs w:val="20"/>
                <w:color w:val="auto"/>
              </w:rPr>
            </w:pPr>
            <w:r>
              <w:rPr>
                <w:rFonts w:ascii="Arial" w:cs="Arial" w:eastAsia="Arial" w:hAnsi="Arial"/>
                <w:sz w:val="18"/>
                <w:szCs w:val="18"/>
                <w:color w:val="auto"/>
              </w:rPr>
              <w:t>76</w:t>
            </w:r>
          </w:p>
        </w:tc>
        <w:tc>
          <w:tcPr>
            <w:tcW w:w="12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1"/>
        </w:trPr>
        <w:tc>
          <w:tcPr>
            <w:tcW w:w="5880" w:type="dxa"/>
            <w:vAlign w:val="bottom"/>
            <w:gridSpan w:val="3"/>
            <w:vMerge w:val="continue"/>
          </w:tcPr>
          <w:p>
            <w:pPr>
              <w:spacing w:after="0"/>
              <w:rPr>
                <w:sz w:val="24"/>
                <w:szCs w:val="24"/>
                <w:color w:val="auto"/>
              </w:rPr>
            </w:pPr>
          </w:p>
        </w:tc>
        <w:tc>
          <w:tcPr>
            <w:tcW w:w="1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1160" w:type="dxa"/>
            <w:vAlign w:val="bottom"/>
            <w:tcBorders>
              <w:bottom w:val="single" w:sz="8" w:color="808080"/>
            </w:tcBorders>
          </w:tcPr>
          <w:p>
            <w:pPr>
              <w:spacing w:after="0"/>
              <w:rPr>
                <w:sz w:val="19"/>
                <w:szCs w:val="19"/>
                <w:color w:val="auto"/>
              </w:rPr>
            </w:pPr>
          </w:p>
        </w:tc>
        <w:tc>
          <w:tcPr>
            <w:tcW w:w="2020" w:type="dxa"/>
            <w:vAlign w:val="bottom"/>
            <w:tcBorders>
              <w:bottom w:val="single" w:sz="8" w:color="808080"/>
            </w:tcBorders>
          </w:tcPr>
          <w:p>
            <w:pPr>
              <w:spacing w:after="0"/>
              <w:rPr>
                <w:sz w:val="19"/>
                <w:szCs w:val="19"/>
                <w:color w:val="auto"/>
              </w:rPr>
            </w:pPr>
          </w:p>
        </w:tc>
        <w:tc>
          <w:tcPr>
            <w:tcW w:w="2700" w:type="dxa"/>
            <w:vAlign w:val="bottom"/>
            <w:tcBorders>
              <w:bottom w:val="single" w:sz="8" w:color="808080"/>
            </w:tcBorders>
          </w:tcPr>
          <w:p>
            <w:pPr>
              <w:spacing w:after="0"/>
              <w:rPr>
                <w:sz w:val="19"/>
                <w:szCs w:val="19"/>
                <w:color w:val="auto"/>
              </w:rPr>
            </w:pPr>
          </w:p>
        </w:tc>
        <w:tc>
          <w:tcPr>
            <w:tcW w:w="1240" w:type="dxa"/>
            <w:vAlign w:val="bottom"/>
            <w:tcBorders>
              <w:bottom w:val="single" w:sz="8" w:color="808080"/>
            </w:tcBorders>
          </w:tcPr>
          <w:p>
            <w:pPr>
              <w:spacing w:after="0"/>
              <w:rPr>
                <w:sz w:val="19"/>
                <w:szCs w:val="19"/>
                <w:color w:val="auto"/>
              </w:rPr>
            </w:pPr>
          </w:p>
        </w:tc>
        <w:tc>
          <w:tcPr>
            <w:tcW w:w="12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70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700" w:type="dxa"/>
            <w:vAlign w:val="bottom"/>
            <w:tcBorders>
              <w:bottom w:val="single" w:sz="8" w:color="808080"/>
            </w:tcBorders>
          </w:tcPr>
          <w:p>
            <w:pPr>
              <w:spacing w:after="0"/>
              <w:rPr>
                <w:sz w:val="19"/>
                <w:szCs w:val="19"/>
                <w:color w:val="auto"/>
              </w:rPr>
            </w:pPr>
          </w:p>
        </w:tc>
        <w:tc>
          <w:tcPr>
            <w:tcW w:w="100" w:type="dxa"/>
            <w:vAlign w:val="bottom"/>
            <w:tcBorders>
              <w:bottom w:val="single" w:sz="8" w:color="808080"/>
            </w:tcBorders>
          </w:tcPr>
          <w:p>
            <w:pPr>
              <w:spacing w:after="0"/>
              <w:rPr>
                <w:sz w:val="19"/>
                <w:szCs w:val="19"/>
                <w:color w:val="auto"/>
              </w:rPr>
            </w:pPr>
          </w:p>
        </w:tc>
        <w:tc>
          <w:tcPr>
            <w:tcW w:w="60" w:type="dxa"/>
            <w:vAlign w:val="bottom"/>
            <w:tcBorders>
              <w:bottom w:val="single" w:sz="8" w:color="808080"/>
            </w:tcBorders>
          </w:tcPr>
          <w:p>
            <w:pPr>
              <w:spacing w:after="0"/>
              <w:rPr>
                <w:sz w:val="19"/>
                <w:szCs w:val="19"/>
                <w:color w:val="auto"/>
              </w:rPr>
            </w:pPr>
          </w:p>
        </w:tc>
        <w:tc>
          <w:tcPr>
            <w:tcW w:w="200" w:type="dxa"/>
            <w:vAlign w:val="bottom"/>
            <w:tcBorders>
              <w:bottom w:val="single" w:sz="8" w:color="808080"/>
            </w:tcBorders>
          </w:tcPr>
          <w:p>
            <w:pPr>
              <w:spacing w:after="0"/>
              <w:rPr>
                <w:sz w:val="19"/>
                <w:szCs w:val="19"/>
                <w:color w:val="auto"/>
              </w:rPr>
            </w:pPr>
          </w:p>
        </w:tc>
        <w:tc>
          <w:tcPr>
            <w:tcW w:w="64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14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19" w:name="page120"/>
    <w:bookmarkEnd w:id="119"/>
    <w:tbl>
      <w:tblPr>
        <w:tblLayout w:type="fixed"/>
        <w:tblInd w:w="0" w:type="dxa"/>
        <w:tblCellMar>
          <w:top w:w="0" w:type="dxa"/>
          <w:left w:w="0" w:type="dxa"/>
          <w:bottom w:w="0" w:type="dxa"/>
          <w:right w:w="0" w:type="dxa"/>
        </w:tblCellMar>
      </w:tblPr>
      <w:tr>
        <w:trPr>
          <w:trHeight w:val="161"/>
        </w:trPr>
        <w:tc>
          <w:tcPr>
            <w:tcW w:w="6900" w:type="dxa"/>
            <w:vAlign w:val="bottom"/>
            <w:gridSpan w:val="5"/>
          </w:tcPr>
          <w:p>
            <w:pPr>
              <w:ind w:left="1140"/>
              <w:spacing w:after="0"/>
              <w:rPr>
                <w:sz w:val="20"/>
                <w:szCs w:val="20"/>
                <w:color w:val="auto"/>
              </w:rPr>
            </w:pPr>
            <w:r>
              <w:rPr>
                <w:rFonts w:ascii="Arial" w:cs="Arial" w:eastAsia="Arial" w:hAnsi="Arial"/>
                <w:sz w:val="14"/>
                <w:szCs w:val="14"/>
                <w:b w:val="1"/>
                <w:bCs w:val="1"/>
                <w:color w:val="auto"/>
              </w:rPr>
              <w:t>Goldex Cash Costs per Ounce</w:t>
            </w:r>
          </w:p>
        </w:tc>
        <w:tc>
          <w:tcPr>
            <w:tcW w:w="3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80" w:type="dxa"/>
            <w:vAlign w:val="bottom"/>
          </w:tcPr>
          <w:p>
            <w:pPr>
              <w:jc w:val="right"/>
              <w:ind w:right="217"/>
              <w:spacing w:after="0"/>
              <w:rPr>
                <w:sz w:val="20"/>
                <w:szCs w:val="20"/>
                <w:color w:val="auto"/>
              </w:rPr>
            </w:pPr>
            <w:r>
              <w:rPr>
                <w:rFonts w:ascii="Arial" w:cs="Arial" w:eastAsia="Arial" w:hAnsi="Arial"/>
                <w:sz w:val="14"/>
                <w:szCs w:val="14"/>
                <w:b w:val="1"/>
                <w:bCs w:val="1"/>
                <w:color w:val="auto"/>
              </w:rPr>
              <w:t>2009</w:t>
            </w:r>
          </w:p>
        </w:tc>
        <w:tc>
          <w:tcPr>
            <w:tcW w:w="1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80" w:type="dxa"/>
            <w:vAlign w:val="bottom"/>
          </w:tcPr>
          <w:p>
            <w:pPr>
              <w:jc w:val="center"/>
              <w:ind w:right="115"/>
              <w:spacing w:after="0"/>
              <w:rPr>
                <w:sz w:val="20"/>
                <w:szCs w:val="20"/>
                <w:color w:val="auto"/>
              </w:rPr>
            </w:pPr>
            <w:r>
              <w:rPr>
                <w:rFonts w:ascii="Arial" w:cs="Arial" w:eastAsia="Arial" w:hAnsi="Arial"/>
                <w:sz w:val="14"/>
                <w:szCs w:val="14"/>
                <w:b w:val="1"/>
                <w:bCs w:val="1"/>
                <w:color w:val="auto"/>
                <w:w w:val="89"/>
              </w:rPr>
              <w:t>2008</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600" w:type="dxa"/>
            <w:vAlign w:val="bottom"/>
          </w:tcPr>
          <w:p>
            <w:pPr>
              <w:ind w:left="40"/>
              <w:spacing w:after="0"/>
              <w:rPr>
                <w:sz w:val="20"/>
                <w:szCs w:val="20"/>
                <w:color w:val="auto"/>
              </w:rPr>
            </w:pPr>
            <w:r>
              <w:rPr>
                <w:rFonts w:ascii="Arial" w:cs="Arial" w:eastAsia="Arial" w:hAnsi="Arial"/>
                <w:sz w:val="14"/>
                <w:szCs w:val="14"/>
                <w:b w:val="1"/>
                <w:bCs w:val="1"/>
                <w:color w:val="auto"/>
              </w:rPr>
              <w:t>2007</w:t>
            </w:r>
          </w:p>
        </w:tc>
        <w:tc>
          <w:tcPr>
            <w:tcW w:w="16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1160" w:type="dxa"/>
            <w:vAlign w:val="bottom"/>
            <w:vMerge w:val="restart"/>
          </w:tcPr>
          <w:p>
            <w:pPr>
              <w:spacing w:after="0" w:line="20" w:lineRule="exact"/>
              <w:rPr>
                <w:sz w:val="1"/>
                <w:szCs w:val="1"/>
                <w:color w:val="auto"/>
              </w:rPr>
            </w:pPr>
          </w:p>
        </w:tc>
        <w:tc>
          <w:tcPr>
            <w:tcW w:w="180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00" w:type="dxa"/>
            <w:vAlign w:val="bottom"/>
            <w:tcBorders>
              <w:left w:val="single" w:sz="8" w:color="auto"/>
            </w:tcBorders>
          </w:tcPr>
          <w:p>
            <w:pPr>
              <w:spacing w:after="0" w:line="20" w:lineRule="exact"/>
              <w:rPr>
                <w:sz w:val="1"/>
                <w:szCs w:val="1"/>
                <w:color w:val="auto"/>
              </w:rPr>
            </w:pPr>
          </w:p>
        </w:tc>
        <w:tc>
          <w:tcPr>
            <w:tcW w:w="35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1"/>
        </w:trPr>
        <w:tc>
          <w:tcPr>
            <w:tcW w:w="1160" w:type="dxa"/>
            <w:vAlign w:val="bottom"/>
            <w:vMerge w:val="continue"/>
          </w:tcPr>
          <w:p>
            <w:pPr>
              <w:spacing w:after="0"/>
              <w:rPr>
                <w:sz w:val="17"/>
                <w:szCs w:val="17"/>
                <w:color w:val="auto"/>
              </w:rPr>
            </w:pPr>
          </w:p>
        </w:tc>
        <w:tc>
          <w:tcPr>
            <w:tcW w:w="5740" w:type="dxa"/>
            <w:vAlign w:val="bottom"/>
            <w:gridSpan w:val="4"/>
            <w:shd w:val="clear" w:color="auto" w:fill="CCEEFF"/>
          </w:tcPr>
          <w:p>
            <w:pPr>
              <w:spacing w:after="0" w:line="201" w:lineRule="exact"/>
              <w:rPr>
                <w:sz w:val="20"/>
                <w:szCs w:val="20"/>
                <w:color w:val="auto"/>
              </w:rPr>
            </w:pPr>
            <w:r>
              <w:rPr>
                <w:rFonts w:ascii="Arial" w:cs="Arial" w:eastAsia="Arial" w:hAnsi="Arial"/>
                <w:sz w:val="18"/>
                <w:szCs w:val="18"/>
                <w:color w:val="auto"/>
                <w:w w:val="92"/>
              </w:rPr>
              <w:t>Production costs per Consolidated Statements of Income and Comprehensive</w:t>
            </w:r>
          </w:p>
        </w:tc>
        <w:tc>
          <w:tcPr>
            <w:tcW w:w="3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24"/>
        </w:trPr>
        <w:tc>
          <w:tcPr>
            <w:tcW w:w="1160" w:type="dxa"/>
            <w:vAlign w:val="bottom"/>
          </w:tcPr>
          <w:p>
            <w:pPr>
              <w:spacing w:after="0"/>
              <w:rPr>
                <w:sz w:val="19"/>
                <w:szCs w:val="19"/>
                <w:color w:val="auto"/>
              </w:rPr>
            </w:pPr>
          </w:p>
        </w:tc>
        <w:tc>
          <w:tcPr>
            <w:tcW w:w="5740" w:type="dxa"/>
            <w:vAlign w:val="bottom"/>
            <w:gridSpan w:val="4"/>
            <w:shd w:val="clear" w:color="auto" w:fill="CCEEFF"/>
          </w:tcPr>
          <w:p>
            <w:pPr>
              <w:ind w:left="160"/>
              <w:spacing w:after="0"/>
              <w:rPr>
                <w:sz w:val="20"/>
                <w:szCs w:val="20"/>
                <w:color w:val="auto"/>
              </w:rPr>
            </w:pPr>
            <w:r>
              <w:rPr>
                <w:rFonts w:ascii="Arial" w:cs="Arial" w:eastAsia="Arial" w:hAnsi="Arial"/>
                <w:sz w:val="18"/>
                <w:szCs w:val="18"/>
                <w:color w:val="auto"/>
              </w:rPr>
              <w:t>Income</w:t>
            </w:r>
          </w:p>
        </w:tc>
        <w:tc>
          <w:tcPr>
            <w:tcW w:w="5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54,342</w:t>
            </w:r>
          </w:p>
        </w:tc>
        <w:tc>
          <w:tcPr>
            <w:tcW w:w="160" w:type="dxa"/>
            <w:vAlign w:val="bottom"/>
            <w:shd w:val="clear" w:color="auto" w:fill="CCEEFF"/>
          </w:tcPr>
          <w:p>
            <w:pPr>
              <w:spacing w:after="0"/>
              <w:rPr>
                <w:sz w:val="19"/>
                <w:szCs w:val="19"/>
                <w:color w:val="auto"/>
              </w:rPr>
            </w:pPr>
          </w:p>
        </w:tc>
        <w:tc>
          <w:tcPr>
            <w:tcW w:w="180" w:type="dxa"/>
            <w:vAlign w:val="bottom"/>
            <w:shd w:val="clear" w:color="auto" w:fill="CCEEFF"/>
          </w:tcPr>
          <w:p>
            <w:pPr>
              <w:jc w:val="right"/>
              <w:ind w:right="23"/>
              <w:spacing w:after="0"/>
              <w:rPr>
                <w:sz w:val="20"/>
                <w:szCs w:val="20"/>
                <w:color w:val="auto"/>
              </w:rPr>
            </w:pPr>
            <w:r>
              <w:rPr>
                <w:rFonts w:ascii="Arial" w:cs="Arial" w:eastAsia="Arial" w:hAnsi="Arial"/>
                <w:sz w:val="15"/>
                <w:szCs w:val="15"/>
                <w:color w:val="auto"/>
                <w:w w:val="71"/>
              </w:rPr>
              <w:t>$</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20,366</w:t>
            </w:r>
          </w:p>
        </w:tc>
        <w:tc>
          <w:tcPr>
            <w:tcW w:w="100" w:type="dxa"/>
            <w:vAlign w:val="bottom"/>
            <w:shd w:val="clear" w:color="auto" w:fill="CCEEFF"/>
          </w:tcPr>
          <w:p>
            <w:pPr>
              <w:spacing w:after="0"/>
              <w:rPr>
                <w:sz w:val="19"/>
                <w:szCs w:val="19"/>
                <w:color w:val="auto"/>
              </w:rPr>
            </w:pPr>
          </w:p>
        </w:tc>
        <w:tc>
          <w:tcPr>
            <w:tcW w:w="300" w:type="dxa"/>
            <w:vAlign w:val="bottom"/>
            <w:gridSpan w:val="2"/>
            <w:shd w:val="clear" w:color="auto" w:fill="CCEEFF"/>
          </w:tcPr>
          <w:p>
            <w:pPr>
              <w:jc w:val="right"/>
              <w:ind w:right="83"/>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ind w:left="42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5740" w:type="dxa"/>
            <w:vAlign w:val="bottom"/>
            <w:gridSpan w:val="4"/>
          </w:tcPr>
          <w:p>
            <w:pPr>
              <w:spacing w:after="0"/>
              <w:rPr>
                <w:sz w:val="20"/>
                <w:szCs w:val="20"/>
                <w:color w:val="auto"/>
              </w:rPr>
            </w:pPr>
            <w:r>
              <w:rPr>
                <w:rFonts w:ascii="Arial" w:cs="Arial" w:eastAsia="Arial" w:hAnsi="Arial"/>
                <w:sz w:val="18"/>
                <w:szCs w:val="18"/>
                <w:color w:val="auto"/>
              </w:rPr>
              <w:t>Adjustments:</w:t>
            </w:r>
          </w:p>
        </w:tc>
        <w:tc>
          <w:tcPr>
            <w:tcW w:w="3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57"/>
        </w:trPr>
        <w:tc>
          <w:tcPr>
            <w:tcW w:w="1160" w:type="dxa"/>
            <w:vAlign w:val="bottom"/>
          </w:tcPr>
          <w:p>
            <w:pPr>
              <w:spacing w:after="0"/>
              <w:rPr>
                <w:sz w:val="22"/>
                <w:szCs w:val="22"/>
                <w:color w:val="auto"/>
              </w:rPr>
            </w:pPr>
          </w:p>
        </w:tc>
        <w:tc>
          <w:tcPr>
            <w:tcW w:w="5740" w:type="dxa"/>
            <w:vAlign w:val="bottom"/>
            <w:gridSpan w:val="4"/>
            <w:shd w:val="clear" w:color="auto" w:fill="CCEEFF"/>
          </w:tcPr>
          <w:p>
            <w:pPr>
              <w:spacing w:after="0" w:line="256" w:lineRule="exact"/>
              <w:rPr>
                <w:sz w:val="20"/>
                <w:szCs w:val="20"/>
                <w:color w:val="auto"/>
              </w:rPr>
            </w:pPr>
            <w:r>
              <w:rPr>
                <w:rFonts w:ascii="Arial" w:cs="Arial" w:eastAsia="Arial" w:hAnsi="Arial"/>
                <w:sz w:val="18"/>
                <w:szCs w:val="18"/>
                <w:color w:val="auto"/>
              </w:rPr>
              <w:t>Inventory adjustments</w:t>
            </w:r>
            <w:r>
              <w:rPr>
                <w:rFonts w:ascii="Arial" w:cs="Arial" w:eastAsia="Arial" w:hAnsi="Arial"/>
                <w:sz w:val="29"/>
                <w:szCs w:val="29"/>
                <w:color w:val="auto"/>
                <w:vertAlign w:val="superscript"/>
              </w:rPr>
              <w:t>(i)</w:t>
            </w:r>
          </w:p>
        </w:tc>
        <w:tc>
          <w:tcPr>
            <w:tcW w:w="34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383</w:t>
            </w:r>
          </w:p>
        </w:tc>
        <w:tc>
          <w:tcPr>
            <w:tcW w:w="16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(448)</w:t>
            </w:r>
          </w:p>
        </w:tc>
        <w:tc>
          <w:tcPr>
            <w:tcW w:w="60" w:type="dxa"/>
            <w:vAlign w:val="bottom"/>
            <w:shd w:val="clear" w:color="auto" w:fill="CCEEFF"/>
          </w:tcPr>
          <w:p>
            <w:pPr>
              <w:spacing w:after="0"/>
              <w:rPr>
                <w:sz w:val="22"/>
                <w:szCs w:val="22"/>
                <w:color w:val="auto"/>
              </w:rPr>
            </w:pPr>
          </w:p>
        </w:tc>
        <w:tc>
          <w:tcPr>
            <w:tcW w:w="240" w:type="dxa"/>
            <w:vAlign w:val="bottom"/>
            <w:shd w:val="clear" w:color="auto" w:fill="CCEEFF"/>
          </w:tcPr>
          <w:p>
            <w:pPr>
              <w:spacing w:after="0"/>
              <w:rPr>
                <w:sz w:val="22"/>
                <w:szCs w:val="22"/>
                <w:color w:val="auto"/>
              </w:rPr>
            </w:pPr>
          </w:p>
        </w:tc>
        <w:tc>
          <w:tcPr>
            <w:tcW w:w="760" w:type="dxa"/>
            <w:vAlign w:val="bottom"/>
            <w:gridSpan w:val="2"/>
            <w:shd w:val="clear" w:color="auto" w:fill="CCEEFF"/>
          </w:tcPr>
          <w:p>
            <w:pPr>
              <w:ind w:left="42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22"/>
        </w:trPr>
        <w:tc>
          <w:tcPr>
            <w:tcW w:w="1160" w:type="dxa"/>
            <w:vAlign w:val="bottom"/>
          </w:tcPr>
          <w:p>
            <w:pPr>
              <w:spacing w:after="0"/>
              <w:rPr>
                <w:sz w:val="19"/>
                <w:szCs w:val="19"/>
                <w:color w:val="auto"/>
              </w:rPr>
            </w:pPr>
          </w:p>
        </w:tc>
        <w:tc>
          <w:tcPr>
            <w:tcW w:w="5740" w:type="dxa"/>
            <w:vAlign w:val="bottom"/>
            <w:gridSpan w:val="4"/>
          </w:tcPr>
          <w:p>
            <w:pPr>
              <w:spacing w:after="0"/>
              <w:rPr>
                <w:sz w:val="20"/>
                <w:szCs w:val="20"/>
                <w:color w:val="auto"/>
              </w:rPr>
            </w:pPr>
            <w:r>
              <w:rPr>
                <w:rFonts w:ascii="Arial" w:cs="Arial" w:eastAsia="Arial" w:hAnsi="Arial"/>
                <w:sz w:val="18"/>
                <w:szCs w:val="18"/>
                <w:color w:val="auto"/>
              </w:rPr>
              <w:t>Non-cash reclamation provision</w:t>
            </w:r>
          </w:p>
        </w:tc>
        <w:tc>
          <w:tcPr>
            <w:tcW w:w="3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(196)</w:t>
            </w:r>
          </w:p>
        </w:tc>
        <w:tc>
          <w:tcPr>
            <w:tcW w:w="180" w:type="dxa"/>
            <w:vAlign w:val="bottom"/>
          </w:tcPr>
          <w:p>
            <w:pPr>
              <w:spacing w:after="0"/>
              <w:rPr>
                <w:sz w:val="19"/>
                <w:szCs w:val="19"/>
                <w:color w:val="auto"/>
              </w:rPr>
            </w:pPr>
          </w:p>
        </w:tc>
        <w:tc>
          <w:tcPr>
            <w:tcW w:w="780" w:type="dxa"/>
            <w:vAlign w:val="bottom"/>
            <w:gridSpan w:val="2"/>
          </w:tcPr>
          <w:p>
            <w:pPr>
              <w:jc w:val="right"/>
              <w:ind w:right="60"/>
              <w:spacing w:after="0"/>
              <w:rPr>
                <w:sz w:val="20"/>
                <w:szCs w:val="20"/>
                <w:color w:val="auto"/>
              </w:rPr>
            </w:pPr>
            <w:r>
              <w:rPr>
                <w:rFonts w:ascii="Arial" w:cs="Arial" w:eastAsia="Arial" w:hAnsi="Arial"/>
                <w:sz w:val="18"/>
                <w:szCs w:val="18"/>
                <w:color w:val="auto"/>
              </w:rPr>
              <w:t>(72)</w:t>
            </w:r>
          </w:p>
        </w:tc>
        <w:tc>
          <w:tcPr>
            <w:tcW w:w="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760" w:type="dxa"/>
            <w:vAlign w:val="bottom"/>
            <w:gridSpan w:val="2"/>
          </w:tcPr>
          <w:p>
            <w:pPr>
              <w:ind w:left="42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
        </w:trPr>
        <w:tc>
          <w:tcPr>
            <w:tcW w:w="1160" w:type="dxa"/>
            <w:vAlign w:val="bottom"/>
          </w:tcPr>
          <w:p>
            <w:pPr>
              <w:spacing w:after="0" w:line="20" w:lineRule="exact"/>
              <w:rPr>
                <w:sz w:val="1"/>
                <w:szCs w:val="1"/>
                <w:color w:val="auto"/>
              </w:rPr>
            </w:pPr>
          </w:p>
        </w:tc>
        <w:tc>
          <w:tcPr>
            <w:tcW w:w="18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5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10"/>
        </w:trPr>
        <w:tc>
          <w:tcPr>
            <w:tcW w:w="1160" w:type="dxa"/>
            <w:vAlign w:val="bottom"/>
          </w:tcPr>
          <w:p>
            <w:pPr>
              <w:spacing w:after="0"/>
              <w:rPr>
                <w:sz w:val="18"/>
                <w:szCs w:val="18"/>
                <w:color w:val="auto"/>
              </w:rPr>
            </w:pPr>
          </w:p>
        </w:tc>
        <w:tc>
          <w:tcPr>
            <w:tcW w:w="5740" w:type="dxa"/>
            <w:vAlign w:val="bottom"/>
            <w:gridSpan w:val="4"/>
            <w:shd w:val="clear" w:color="auto" w:fill="CCEEFF"/>
          </w:tcPr>
          <w:p>
            <w:pPr>
              <w:spacing w:after="0"/>
              <w:rPr>
                <w:sz w:val="20"/>
                <w:szCs w:val="20"/>
                <w:color w:val="auto"/>
              </w:rPr>
            </w:pPr>
            <w:r>
              <w:rPr>
                <w:rFonts w:ascii="Arial" w:cs="Arial" w:eastAsia="Arial" w:hAnsi="Arial"/>
                <w:sz w:val="18"/>
                <w:szCs w:val="18"/>
                <w:color w:val="auto"/>
              </w:rPr>
              <w:t>Cash operating costs</w:t>
            </w:r>
          </w:p>
        </w:tc>
        <w:tc>
          <w:tcPr>
            <w:tcW w:w="5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54,529</w:t>
            </w: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jc w:val="right"/>
              <w:ind w:right="23"/>
              <w:spacing w:after="0"/>
              <w:rPr>
                <w:sz w:val="20"/>
                <w:szCs w:val="20"/>
                <w:color w:val="auto"/>
              </w:rPr>
            </w:pPr>
            <w:r>
              <w:rPr>
                <w:rFonts w:ascii="Arial" w:cs="Arial" w:eastAsia="Arial" w:hAnsi="Arial"/>
                <w:sz w:val="15"/>
                <w:szCs w:val="15"/>
                <w:color w:val="auto"/>
                <w:w w:val="71"/>
              </w:rPr>
              <w:t>$</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19,846</w:t>
            </w:r>
          </w:p>
        </w:tc>
        <w:tc>
          <w:tcPr>
            <w:tcW w:w="100" w:type="dxa"/>
            <w:vAlign w:val="bottom"/>
            <w:shd w:val="clear" w:color="auto" w:fill="CCEEFF"/>
          </w:tcPr>
          <w:p>
            <w:pPr>
              <w:spacing w:after="0"/>
              <w:rPr>
                <w:sz w:val="18"/>
                <w:szCs w:val="18"/>
                <w:color w:val="auto"/>
              </w:rPr>
            </w:pPr>
          </w:p>
        </w:tc>
        <w:tc>
          <w:tcPr>
            <w:tcW w:w="300" w:type="dxa"/>
            <w:vAlign w:val="bottom"/>
            <w:gridSpan w:val="2"/>
            <w:shd w:val="clear" w:color="auto" w:fill="CCEEFF"/>
          </w:tcPr>
          <w:p>
            <w:pPr>
              <w:jc w:val="right"/>
              <w:ind w:right="83"/>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ind w:left="42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1160" w:type="dxa"/>
            <w:vAlign w:val="bottom"/>
          </w:tcPr>
          <w:p>
            <w:pPr>
              <w:spacing w:after="0"/>
              <w:rPr>
                <w:sz w:val="19"/>
                <w:szCs w:val="19"/>
                <w:color w:val="auto"/>
              </w:rPr>
            </w:pPr>
          </w:p>
        </w:tc>
        <w:tc>
          <w:tcPr>
            <w:tcW w:w="5740" w:type="dxa"/>
            <w:vAlign w:val="bottom"/>
            <w:gridSpan w:val="4"/>
          </w:tcPr>
          <w:p>
            <w:pPr>
              <w:spacing w:after="0"/>
              <w:rPr>
                <w:sz w:val="20"/>
                <w:szCs w:val="20"/>
                <w:color w:val="auto"/>
              </w:rPr>
            </w:pPr>
            <w:r>
              <w:rPr>
                <w:rFonts w:ascii="Arial" w:cs="Arial" w:eastAsia="Arial" w:hAnsi="Arial"/>
                <w:sz w:val="18"/>
                <w:szCs w:val="18"/>
                <w:color w:val="auto"/>
              </w:rPr>
              <w:t>Gold production (ounces)</w:t>
            </w:r>
          </w:p>
        </w:tc>
        <w:tc>
          <w:tcPr>
            <w:tcW w:w="3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80" w:type="dxa"/>
            <w:vAlign w:val="bottom"/>
          </w:tcPr>
          <w:p>
            <w:pPr>
              <w:jc w:val="right"/>
              <w:spacing w:after="0"/>
              <w:rPr>
                <w:sz w:val="20"/>
                <w:szCs w:val="20"/>
                <w:color w:val="auto"/>
              </w:rPr>
            </w:pPr>
            <w:r>
              <w:rPr>
                <w:rFonts w:ascii="Arial" w:cs="Arial" w:eastAsia="Arial" w:hAnsi="Arial"/>
                <w:sz w:val="18"/>
                <w:szCs w:val="18"/>
                <w:color w:val="auto"/>
              </w:rPr>
              <w:t>148,849</w:t>
            </w:r>
          </w:p>
        </w:tc>
        <w:tc>
          <w:tcPr>
            <w:tcW w:w="1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80" w:type="dxa"/>
            <w:vAlign w:val="bottom"/>
          </w:tcPr>
          <w:p>
            <w:pPr>
              <w:jc w:val="right"/>
              <w:spacing w:after="0"/>
              <w:rPr>
                <w:sz w:val="20"/>
                <w:szCs w:val="20"/>
                <w:color w:val="auto"/>
              </w:rPr>
            </w:pPr>
            <w:r>
              <w:rPr>
                <w:rFonts w:ascii="Arial" w:cs="Arial" w:eastAsia="Arial" w:hAnsi="Arial"/>
                <w:sz w:val="18"/>
                <w:szCs w:val="18"/>
                <w:color w:val="auto"/>
              </w:rPr>
              <w:t>47,347</w:t>
            </w: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760" w:type="dxa"/>
            <w:vAlign w:val="bottom"/>
            <w:gridSpan w:val="2"/>
          </w:tcPr>
          <w:p>
            <w:pPr>
              <w:ind w:left="42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
        </w:trPr>
        <w:tc>
          <w:tcPr>
            <w:tcW w:w="1160" w:type="dxa"/>
            <w:vAlign w:val="bottom"/>
          </w:tcPr>
          <w:p>
            <w:pPr>
              <w:spacing w:after="0" w:line="20" w:lineRule="exact"/>
              <w:rPr>
                <w:sz w:val="1"/>
                <w:szCs w:val="1"/>
                <w:color w:val="auto"/>
              </w:rPr>
            </w:pPr>
          </w:p>
        </w:tc>
        <w:tc>
          <w:tcPr>
            <w:tcW w:w="18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5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300" w:type="dxa"/>
            <w:vAlign w:val="bottom"/>
            <w:gridSpan w:val="2"/>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50"/>
        </w:trPr>
        <w:tc>
          <w:tcPr>
            <w:tcW w:w="1160" w:type="dxa"/>
            <w:vAlign w:val="bottom"/>
          </w:tcPr>
          <w:p>
            <w:pPr>
              <w:spacing w:after="0"/>
              <w:rPr>
                <w:sz w:val="21"/>
                <w:szCs w:val="21"/>
                <w:color w:val="auto"/>
              </w:rPr>
            </w:pPr>
          </w:p>
        </w:tc>
        <w:tc>
          <w:tcPr>
            <w:tcW w:w="5740" w:type="dxa"/>
            <w:vAlign w:val="bottom"/>
            <w:gridSpan w:val="4"/>
            <w:shd w:val="clear" w:color="auto" w:fill="CCEEFF"/>
          </w:tcPr>
          <w:p>
            <w:pPr>
              <w:spacing w:after="0" w:line="250" w:lineRule="exact"/>
              <w:rPr>
                <w:sz w:val="20"/>
                <w:szCs w:val="20"/>
                <w:color w:val="auto"/>
              </w:rPr>
            </w:pPr>
            <w:r>
              <w:rPr>
                <w:rFonts w:ascii="Arial" w:cs="Arial" w:eastAsia="Arial" w:hAnsi="Arial"/>
                <w:sz w:val="17"/>
                <w:szCs w:val="17"/>
                <w:color w:val="auto"/>
              </w:rPr>
              <w:t>Total cash costs (per ounce)</w:t>
            </w:r>
            <w:r>
              <w:rPr>
                <w:rFonts w:ascii="Arial" w:cs="Arial" w:eastAsia="Arial" w:hAnsi="Arial"/>
                <w:sz w:val="28"/>
                <w:szCs w:val="28"/>
                <w:color w:val="auto"/>
                <w:vertAlign w:val="superscript"/>
              </w:rPr>
              <w:t>(ii)</w:t>
            </w:r>
          </w:p>
        </w:tc>
        <w:tc>
          <w:tcPr>
            <w:tcW w:w="5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366</w:t>
            </w:r>
          </w:p>
        </w:tc>
        <w:tc>
          <w:tcPr>
            <w:tcW w:w="160" w:type="dxa"/>
            <w:vAlign w:val="bottom"/>
            <w:shd w:val="clear" w:color="auto" w:fill="CCEEFF"/>
          </w:tcPr>
          <w:p>
            <w:pPr>
              <w:spacing w:after="0"/>
              <w:rPr>
                <w:sz w:val="21"/>
                <w:szCs w:val="21"/>
                <w:color w:val="auto"/>
              </w:rPr>
            </w:pPr>
          </w:p>
        </w:tc>
        <w:tc>
          <w:tcPr>
            <w:tcW w:w="180" w:type="dxa"/>
            <w:vAlign w:val="bottom"/>
            <w:shd w:val="clear" w:color="auto" w:fill="CCEEFF"/>
          </w:tcPr>
          <w:p>
            <w:pPr>
              <w:jc w:val="right"/>
              <w:ind w:right="23"/>
              <w:spacing w:after="0"/>
              <w:rPr>
                <w:sz w:val="20"/>
                <w:szCs w:val="20"/>
                <w:color w:val="auto"/>
              </w:rPr>
            </w:pPr>
            <w:r>
              <w:rPr>
                <w:rFonts w:ascii="Arial" w:cs="Arial" w:eastAsia="Arial" w:hAnsi="Arial"/>
                <w:sz w:val="15"/>
                <w:szCs w:val="15"/>
                <w:color w:val="auto"/>
                <w:w w:val="71"/>
              </w:rPr>
              <w:t>$</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419</w:t>
            </w:r>
          </w:p>
        </w:tc>
        <w:tc>
          <w:tcPr>
            <w:tcW w:w="100" w:type="dxa"/>
            <w:vAlign w:val="bottom"/>
            <w:shd w:val="clear" w:color="auto" w:fill="CCEEFF"/>
          </w:tcPr>
          <w:p>
            <w:pPr>
              <w:spacing w:after="0"/>
              <w:rPr>
                <w:sz w:val="21"/>
                <w:szCs w:val="21"/>
                <w:color w:val="auto"/>
              </w:rPr>
            </w:pPr>
          </w:p>
        </w:tc>
        <w:tc>
          <w:tcPr>
            <w:tcW w:w="300" w:type="dxa"/>
            <w:vAlign w:val="bottom"/>
            <w:gridSpan w:val="2"/>
            <w:shd w:val="clear" w:color="auto" w:fill="CCEEFF"/>
          </w:tcPr>
          <w:p>
            <w:pPr>
              <w:jc w:val="right"/>
              <w:ind w:right="83"/>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ind w:left="42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7"/>
        </w:trPr>
        <w:tc>
          <w:tcPr>
            <w:tcW w:w="2960" w:type="dxa"/>
            <w:vAlign w:val="bottom"/>
            <w:gridSpan w:val="2"/>
          </w:tcPr>
          <w:p>
            <w:pPr>
              <w:spacing w:after="0"/>
              <w:rPr>
                <w:sz w:val="2"/>
                <w:szCs w:val="2"/>
                <w:color w:val="auto"/>
              </w:rPr>
            </w:pPr>
          </w:p>
        </w:tc>
        <w:tc>
          <w:tcPr>
            <w:tcW w:w="80" w:type="dxa"/>
            <w:vAlign w:val="bottom"/>
          </w:tcPr>
          <w:p>
            <w:pPr>
              <w:spacing w:after="0"/>
              <w:rPr>
                <w:sz w:val="2"/>
                <w:szCs w:val="2"/>
                <w:color w:val="auto"/>
              </w:rPr>
            </w:pPr>
          </w:p>
        </w:tc>
        <w:tc>
          <w:tcPr>
            <w:tcW w:w="300" w:type="dxa"/>
            <w:vAlign w:val="bottom"/>
          </w:tcPr>
          <w:p>
            <w:pPr>
              <w:spacing w:after="0"/>
              <w:rPr>
                <w:sz w:val="2"/>
                <w:szCs w:val="2"/>
                <w:color w:val="auto"/>
              </w:rPr>
            </w:pPr>
          </w:p>
        </w:tc>
        <w:tc>
          <w:tcPr>
            <w:tcW w:w="35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68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68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1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296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5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777"/>
        </w:trPr>
        <w:tc>
          <w:tcPr>
            <w:tcW w:w="6900" w:type="dxa"/>
            <w:vAlign w:val="bottom"/>
            <w:gridSpan w:val="5"/>
          </w:tcPr>
          <w:p>
            <w:pPr>
              <w:ind w:left="1140"/>
              <w:spacing w:after="0"/>
              <w:rPr>
                <w:sz w:val="20"/>
                <w:szCs w:val="20"/>
                <w:color w:val="auto"/>
              </w:rPr>
            </w:pPr>
            <w:r>
              <w:rPr>
                <w:rFonts w:ascii="Arial" w:cs="Arial" w:eastAsia="Arial" w:hAnsi="Arial"/>
                <w:sz w:val="14"/>
                <w:szCs w:val="14"/>
                <w:b w:val="1"/>
                <w:bCs w:val="1"/>
                <w:color w:val="auto"/>
              </w:rPr>
              <w:t>Lapa Cash Costs per Ounce</w:t>
            </w:r>
          </w:p>
        </w:tc>
        <w:tc>
          <w:tcPr>
            <w:tcW w:w="3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80" w:type="dxa"/>
            <w:vAlign w:val="bottom"/>
          </w:tcPr>
          <w:p>
            <w:pPr>
              <w:jc w:val="right"/>
              <w:ind w:right="217"/>
              <w:spacing w:after="0"/>
              <w:rPr>
                <w:sz w:val="20"/>
                <w:szCs w:val="20"/>
                <w:color w:val="auto"/>
              </w:rPr>
            </w:pPr>
            <w:r>
              <w:rPr>
                <w:rFonts w:ascii="Arial" w:cs="Arial" w:eastAsia="Arial" w:hAnsi="Arial"/>
                <w:sz w:val="14"/>
                <w:szCs w:val="14"/>
                <w:b w:val="1"/>
                <w:bCs w:val="1"/>
                <w:color w:val="auto"/>
              </w:rPr>
              <w:t>2009</w:t>
            </w:r>
          </w:p>
        </w:tc>
        <w:tc>
          <w:tcPr>
            <w:tcW w:w="1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80" w:type="dxa"/>
            <w:vAlign w:val="bottom"/>
          </w:tcPr>
          <w:p>
            <w:pPr>
              <w:jc w:val="center"/>
              <w:ind w:right="115"/>
              <w:spacing w:after="0"/>
              <w:rPr>
                <w:sz w:val="20"/>
                <w:szCs w:val="20"/>
                <w:color w:val="auto"/>
              </w:rPr>
            </w:pPr>
            <w:r>
              <w:rPr>
                <w:rFonts w:ascii="Arial" w:cs="Arial" w:eastAsia="Arial" w:hAnsi="Arial"/>
                <w:sz w:val="14"/>
                <w:szCs w:val="14"/>
                <w:b w:val="1"/>
                <w:bCs w:val="1"/>
                <w:color w:val="auto"/>
                <w:w w:val="89"/>
              </w:rPr>
              <w:t>2008</w:t>
            </w: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00" w:type="dxa"/>
            <w:vAlign w:val="bottom"/>
          </w:tcPr>
          <w:p>
            <w:pPr>
              <w:ind w:left="40"/>
              <w:spacing w:after="0"/>
              <w:rPr>
                <w:sz w:val="20"/>
                <w:szCs w:val="20"/>
                <w:color w:val="auto"/>
              </w:rPr>
            </w:pPr>
            <w:r>
              <w:rPr>
                <w:rFonts w:ascii="Arial" w:cs="Arial" w:eastAsia="Arial" w:hAnsi="Arial"/>
                <w:sz w:val="14"/>
                <w:szCs w:val="14"/>
                <w:b w:val="1"/>
                <w:bCs w:val="1"/>
                <w:color w:val="auto"/>
              </w:rPr>
              <w:t>2007</w:t>
            </w:r>
          </w:p>
        </w:tc>
        <w:tc>
          <w:tcPr>
            <w:tcW w:w="16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160" w:type="dxa"/>
            <w:vAlign w:val="bottom"/>
          </w:tcPr>
          <w:p>
            <w:pPr>
              <w:spacing w:after="0" w:line="20" w:lineRule="exact"/>
              <w:rPr>
                <w:sz w:val="1"/>
                <w:szCs w:val="1"/>
                <w:color w:val="auto"/>
              </w:rPr>
            </w:pPr>
          </w:p>
        </w:tc>
        <w:tc>
          <w:tcPr>
            <w:tcW w:w="180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5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60" w:type="dxa"/>
            <w:vAlign w:val="bottom"/>
            <w:gridSpan w:val="2"/>
            <w:shd w:val="clear" w:color="auto" w:fill="000000"/>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2"/>
        </w:trPr>
        <w:tc>
          <w:tcPr>
            <w:tcW w:w="1160" w:type="dxa"/>
            <w:vAlign w:val="bottom"/>
          </w:tcPr>
          <w:p>
            <w:pPr>
              <w:spacing w:after="0"/>
              <w:rPr>
                <w:sz w:val="12"/>
                <w:szCs w:val="12"/>
                <w:color w:val="auto"/>
              </w:rPr>
            </w:pPr>
          </w:p>
        </w:tc>
        <w:tc>
          <w:tcPr>
            <w:tcW w:w="18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35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2100" w:type="dxa"/>
            <w:vAlign w:val="bottom"/>
            <w:gridSpan w:val="7"/>
          </w:tcPr>
          <w:p>
            <w:pPr>
              <w:jc w:val="center"/>
              <w:ind w:left="317"/>
              <w:spacing w:after="0" w:line="142" w:lineRule="exact"/>
              <w:rPr>
                <w:sz w:val="20"/>
                <w:szCs w:val="20"/>
                <w:color w:val="auto"/>
              </w:rPr>
            </w:pPr>
            <w:r>
              <w:rPr>
                <w:rFonts w:ascii="Arial" w:cs="Arial" w:eastAsia="Arial" w:hAnsi="Arial"/>
                <w:sz w:val="14"/>
                <w:szCs w:val="14"/>
                <w:b w:val="1"/>
                <w:bCs w:val="1"/>
                <w:color w:val="auto"/>
                <w:w w:val="83"/>
              </w:rPr>
              <w:t>(thousands, except as noted)</w:t>
            </w: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1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08"/>
        </w:trPr>
        <w:tc>
          <w:tcPr>
            <w:tcW w:w="1160" w:type="dxa"/>
            <w:vAlign w:val="bottom"/>
          </w:tcPr>
          <w:p>
            <w:pPr>
              <w:spacing w:after="0"/>
              <w:rPr>
                <w:sz w:val="18"/>
                <w:szCs w:val="18"/>
                <w:color w:val="auto"/>
              </w:rPr>
            </w:pPr>
          </w:p>
        </w:tc>
        <w:tc>
          <w:tcPr>
            <w:tcW w:w="5740" w:type="dxa"/>
            <w:vAlign w:val="bottom"/>
            <w:gridSpan w:val="4"/>
            <w:shd w:val="clear" w:color="auto" w:fill="CCEEFF"/>
          </w:tcPr>
          <w:p>
            <w:pPr>
              <w:spacing w:after="0"/>
              <w:rPr>
                <w:sz w:val="20"/>
                <w:szCs w:val="20"/>
                <w:color w:val="auto"/>
              </w:rPr>
            </w:pPr>
            <w:r>
              <w:rPr>
                <w:rFonts w:ascii="Arial" w:cs="Arial" w:eastAsia="Arial" w:hAnsi="Arial"/>
                <w:sz w:val="18"/>
                <w:szCs w:val="18"/>
                <w:color w:val="auto"/>
                <w:w w:val="92"/>
              </w:rPr>
              <w:t>Production costs per Consolidated Statements of Income and Comprehensive</w:t>
            </w:r>
          </w:p>
        </w:tc>
        <w:tc>
          <w:tcPr>
            <w:tcW w:w="3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1160" w:type="dxa"/>
            <w:vAlign w:val="bottom"/>
          </w:tcPr>
          <w:p>
            <w:pPr>
              <w:spacing w:after="0"/>
              <w:rPr>
                <w:sz w:val="19"/>
                <w:szCs w:val="19"/>
                <w:color w:val="auto"/>
              </w:rPr>
            </w:pPr>
          </w:p>
        </w:tc>
        <w:tc>
          <w:tcPr>
            <w:tcW w:w="5740" w:type="dxa"/>
            <w:vAlign w:val="bottom"/>
            <w:gridSpan w:val="4"/>
            <w:shd w:val="clear" w:color="auto" w:fill="CCEEFF"/>
          </w:tcPr>
          <w:p>
            <w:pPr>
              <w:ind w:left="160"/>
              <w:spacing w:after="0"/>
              <w:rPr>
                <w:sz w:val="20"/>
                <w:szCs w:val="20"/>
                <w:color w:val="auto"/>
              </w:rPr>
            </w:pPr>
            <w:r>
              <w:rPr>
                <w:rFonts w:ascii="Arial" w:cs="Arial" w:eastAsia="Arial" w:hAnsi="Arial"/>
                <w:sz w:val="18"/>
                <w:szCs w:val="18"/>
                <w:color w:val="auto"/>
              </w:rPr>
              <w:t>Income</w:t>
            </w:r>
          </w:p>
        </w:tc>
        <w:tc>
          <w:tcPr>
            <w:tcW w:w="5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33,472</w:t>
            </w:r>
          </w:p>
        </w:tc>
        <w:tc>
          <w:tcPr>
            <w:tcW w:w="160" w:type="dxa"/>
            <w:vAlign w:val="bottom"/>
            <w:shd w:val="clear" w:color="auto" w:fill="CCEEFF"/>
          </w:tcPr>
          <w:p>
            <w:pPr>
              <w:spacing w:after="0"/>
              <w:rPr>
                <w:sz w:val="19"/>
                <w:szCs w:val="19"/>
                <w:color w:val="auto"/>
              </w:rPr>
            </w:pPr>
          </w:p>
        </w:tc>
        <w:tc>
          <w:tcPr>
            <w:tcW w:w="180" w:type="dxa"/>
            <w:vAlign w:val="bottom"/>
            <w:shd w:val="clear" w:color="auto" w:fill="CCEEFF"/>
          </w:tcPr>
          <w:p>
            <w:pPr>
              <w:jc w:val="right"/>
              <w:ind w:right="23"/>
              <w:spacing w:after="0"/>
              <w:rPr>
                <w:sz w:val="20"/>
                <w:szCs w:val="20"/>
                <w:color w:val="auto"/>
              </w:rPr>
            </w:pPr>
            <w:r>
              <w:rPr>
                <w:rFonts w:ascii="Arial" w:cs="Arial" w:eastAsia="Arial" w:hAnsi="Arial"/>
                <w:sz w:val="15"/>
                <w:szCs w:val="15"/>
                <w:color w:val="auto"/>
                <w:w w:val="71"/>
              </w:rPr>
              <w:t>$</w:t>
            </w: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300" w:type="dxa"/>
            <w:vAlign w:val="bottom"/>
            <w:gridSpan w:val="2"/>
            <w:shd w:val="clear" w:color="auto" w:fill="CCEEFF"/>
          </w:tcPr>
          <w:p>
            <w:pPr>
              <w:jc w:val="right"/>
              <w:ind w:right="83"/>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ind w:left="42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5740" w:type="dxa"/>
            <w:vAlign w:val="bottom"/>
            <w:gridSpan w:val="4"/>
          </w:tcPr>
          <w:p>
            <w:pPr>
              <w:spacing w:after="0"/>
              <w:rPr>
                <w:sz w:val="20"/>
                <w:szCs w:val="20"/>
                <w:color w:val="auto"/>
              </w:rPr>
            </w:pPr>
            <w:r>
              <w:rPr>
                <w:rFonts w:ascii="Arial" w:cs="Arial" w:eastAsia="Arial" w:hAnsi="Arial"/>
                <w:sz w:val="18"/>
                <w:szCs w:val="18"/>
                <w:color w:val="auto"/>
              </w:rPr>
              <w:t>Adjustments:</w:t>
            </w:r>
          </w:p>
        </w:tc>
        <w:tc>
          <w:tcPr>
            <w:tcW w:w="3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57"/>
        </w:trPr>
        <w:tc>
          <w:tcPr>
            <w:tcW w:w="1160" w:type="dxa"/>
            <w:vAlign w:val="bottom"/>
          </w:tcPr>
          <w:p>
            <w:pPr>
              <w:spacing w:after="0"/>
              <w:rPr>
                <w:sz w:val="22"/>
                <w:szCs w:val="22"/>
                <w:color w:val="auto"/>
              </w:rPr>
            </w:pPr>
          </w:p>
        </w:tc>
        <w:tc>
          <w:tcPr>
            <w:tcW w:w="5740" w:type="dxa"/>
            <w:vAlign w:val="bottom"/>
            <w:gridSpan w:val="4"/>
            <w:shd w:val="clear" w:color="auto" w:fill="CCEEFF"/>
          </w:tcPr>
          <w:p>
            <w:pPr>
              <w:spacing w:after="0" w:line="256" w:lineRule="exact"/>
              <w:rPr>
                <w:sz w:val="20"/>
                <w:szCs w:val="20"/>
                <w:color w:val="auto"/>
              </w:rPr>
            </w:pPr>
            <w:r>
              <w:rPr>
                <w:rFonts w:ascii="Arial" w:cs="Arial" w:eastAsia="Arial" w:hAnsi="Arial"/>
                <w:sz w:val="18"/>
                <w:szCs w:val="18"/>
                <w:color w:val="auto"/>
              </w:rPr>
              <w:t>Inventory adjustments</w:t>
            </w:r>
            <w:r>
              <w:rPr>
                <w:rFonts w:ascii="Arial" w:cs="Arial" w:eastAsia="Arial" w:hAnsi="Arial"/>
                <w:sz w:val="29"/>
                <w:szCs w:val="29"/>
                <w:color w:val="auto"/>
                <w:vertAlign w:val="superscript"/>
              </w:rPr>
              <w:t>(i)</w:t>
            </w:r>
          </w:p>
        </w:tc>
        <w:tc>
          <w:tcPr>
            <w:tcW w:w="34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6,072</w:t>
            </w:r>
          </w:p>
        </w:tc>
        <w:tc>
          <w:tcPr>
            <w:tcW w:w="16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22"/>
                <w:szCs w:val="22"/>
                <w:color w:val="auto"/>
              </w:rPr>
            </w:pPr>
          </w:p>
        </w:tc>
        <w:tc>
          <w:tcPr>
            <w:tcW w:w="240" w:type="dxa"/>
            <w:vAlign w:val="bottom"/>
            <w:shd w:val="clear" w:color="auto" w:fill="CCEEFF"/>
          </w:tcPr>
          <w:p>
            <w:pPr>
              <w:spacing w:after="0"/>
              <w:rPr>
                <w:sz w:val="22"/>
                <w:szCs w:val="22"/>
                <w:color w:val="auto"/>
              </w:rPr>
            </w:pPr>
          </w:p>
        </w:tc>
        <w:tc>
          <w:tcPr>
            <w:tcW w:w="760" w:type="dxa"/>
            <w:vAlign w:val="bottom"/>
            <w:gridSpan w:val="2"/>
            <w:shd w:val="clear" w:color="auto" w:fill="CCEEFF"/>
          </w:tcPr>
          <w:p>
            <w:pPr>
              <w:ind w:left="42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22"/>
        </w:trPr>
        <w:tc>
          <w:tcPr>
            <w:tcW w:w="1160" w:type="dxa"/>
            <w:vAlign w:val="bottom"/>
          </w:tcPr>
          <w:p>
            <w:pPr>
              <w:spacing w:after="0"/>
              <w:rPr>
                <w:sz w:val="19"/>
                <w:szCs w:val="19"/>
                <w:color w:val="auto"/>
              </w:rPr>
            </w:pPr>
          </w:p>
        </w:tc>
        <w:tc>
          <w:tcPr>
            <w:tcW w:w="5740" w:type="dxa"/>
            <w:vAlign w:val="bottom"/>
            <w:gridSpan w:val="4"/>
          </w:tcPr>
          <w:p>
            <w:pPr>
              <w:spacing w:after="0"/>
              <w:rPr>
                <w:sz w:val="20"/>
                <w:szCs w:val="20"/>
                <w:color w:val="auto"/>
              </w:rPr>
            </w:pPr>
            <w:r>
              <w:rPr>
                <w:rFonts w:ascii="Arial" w:cs="Arial" w:eastAsia="Arial" w:hAnsi="Arial"/>
                <w:sz w:val="18"/>
                <w:szCs w:val="18"/>
                <w:color w:val="auto"/>
              </w:rPr>
              <w:t>Non-cash reclamation provision</w:t>
            </w:r>
          </w:p>
        </w:tc>
        <w:tc>
          <w:tcPr>
            <w:tcW w:w="3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(25)</w:t>
            </w:r>
          </w:p>
        </w:tc>
        <w:tc>
          <w:tcPr>
            <w:tcW w:w="180" w:type="dxa"/>
            <w:vAlign w:val="bottom"/>
          </w:tcPr>
          <w:p>
            <w:pPr>
              <w:spacing w:after="0"/>
              <w:rPr>
                <w:sz w:val="19"/>
                <w:szCs w:val="19"/>
                <w:color w:val="auto"/>
              </w:rPr>
            </w:pPr>
          </w:p>
        </w:tc>
        <w:tc>
          <w:tcPr>
            <w:tcW w:w="7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760" w:type="dxa"/>
            <w:vAlign w:val="bottom"/>
            <w:gridSpan w:val="2"/>
          </w:tcPr>
          <w:p>
            <w:pPr>
              <w:ind w:left="42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
        </w:trPr>
        <w:tc>
          <w:tcPr>
            <w:tcW w:w="1160" w:type="dxa"/>
            <w:vAlign w:val="bottom"/>
          </w:tcPr>
          <w:p>
            <w:pPr>
              <w:spacing w:after="0" w:line="20" w:lineRule="exact"/>
              <w:rPr>
                <w:sz w:val="1"/>
                <w:szCs w:val="1"/>
                <w:color w:val="auto"/>
              </w:rPr>
            </w:pPr>
          </w:p>
        </w:tc>
        <w:tc>
          <w:tcPr>
            <w:tcW w:w="18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5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10"/>
        </w:trPr>
        <w:tc>
          <w:tcPr>
            <w:tcW w:w="1160" w:type="dxa"/>
            <w:vAlign w:val="bottom"/>
          </w:tcPr>
          <w:p>
            <w:pPr>
              <w:spacing w:after="0"/>
              <w:rPr>
                <w:sz w:val="18"/>
                <w:szCs w:val="18"/>
                <w:color w:val="auto"/>
              </w:rPr>
            </w:pPr>
          </w:p>
        </w:tc>
        <w:tc>
          <w:tcPr>
            <w:tcW w:w="5740" w:type="dxa"/>
            <w:vAlign w:val="bottom"/>
            <w:gridSpan w:val="4"/>
            <w:shd w:val="clear" w:color="auto" w:fill="CCEEFF"/>
          </w:tcPr>
          <w:p>
            <w:pPr>
              <w:spacing w:after="0"/>
              <w:rPr>
                <w:sz w:val="20"/>
                <w:szCs w:val="20"/>
                <w:color w:val="auto"/>
              </w:rPr>
            </w:pPr>
            <w:r>
              <w:rPr>
                <w:rFonts w:ascii="Arial" w:cs="Arial" w:eastAsia="Arial" w:hAnsi="Arial"/>
                <w:sz w:val="18"/>
                <w:szCs w:val="18"/>
                <w:color w:val="auto"/>
              </w:rPr>
              <w:t>Cash operating costs</w:t>
            </w:r>
          </w:p>
        </w:tc>
        <w:tc>
          <w:tcPr>
            <w:tcW w:w="5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39,519</w:t>
            </w: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jc w:val="right"/>
              <w:ind w:right="23"/>
              <w:spacing w:after="0"/>
              <w:rPr>
                <w:sz w:val="20"/>
                <w:szCs w:val="20"/>
                <w:color w:val="auto"/>
              </w:rPr>
            </w:pPr>
            <w:r>
              <w:rPr>
                <w:rFonts w:ascii="Arial" w:cs="Arial" w:eastAsia="Arial" w:hAnsi="Arial"/>
                <w:sz w:val="15"/>
                <w:szCs w:val="15"/>
                <w:color w:val="auto"/>
                <w:w w:val="71"/>
              </w:rPr>
              <w:t>$</w:t>
            </w: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300" w:type="dxa"/>
            <w:vAlign w:val="bottom"/>
            <w:gridSpan w:val="2"/>
            <w:shd w:val="clear" w:color="auto" w:fill="CCEEFF"/>
          </w:tcPr>
          <w:p>
            <w:pPr>
              <w:jc w:val="right"/>
              <w:ind w:right="83"/>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ind w:left="42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1160" w:type="dxa"/>
            <w:vAlign w:val="bottom"/>
          </w:tcPr>
          <w:p>
            <w:pPr>
              <w:spacing w:after="0"/>
              <w:rPr>
                <w:sz w:val="19"/>
                <w:szCs w:val="19"/>
                <w:color w:val="auto"/>
              </w:rPr>
            </w:pPr>
          </w:p>
        </w:tc>
        <w:tc>
          <w:tcPr>
            <w:tcW w:w="5740" w:type="dxa"/>
            <w:vAlign w:val="bottom"/>
            <w:gridSpan w:val="4"/>
          </w:tcPr>
          <w:p>
            <w:pPr>
              <w:spacing w:after="0"/>
              <w:rPr>
                <w:sz w:val="20"/>
                <w:szCs w:val="20"/>
                <w:color w:val="auto"/>
              </w:rPr>
            </w:pPr>
            <w:r>
              <w:rPr>
                <w:rFonts w:ascii="Arial" w:cs="Arial" w:eastAsia="Arial" w:hAnsi="Arial"/>
                <w:sz w:val="18"/>
                <w:szCs w:val="18"/>
                <w:color w:val="auto"/>
              </w:rPr>
              <w:t>Gold production (ounces)</w:t>
            </w:r>
          </w:p>
        </w:tc>
        <w:tc>
          <w:tcPr>
            <w:tcW w:w="3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80" w:type="dxa"/>
            <w:vAlign w:val="bottom"/>
          </w:tcPr>
          <w:p>
            <w:pPr>
              <w:jc w:val="right"/>
              <w:spacing w:after="0"/>
              <w:rPr>
                <w:sz w:val="20"/>
                <w:szCs w:val="20"/>
                <w:color w:val="auto"/>
              </w:rPr>
            </w:pPr>
            <w:r>
              <w:rPr>
                <w:rFonts w:ascii="Arial" w:cs="Arial" w:eastAsia="Arial" w:hAnsi="Arial"/>
                <w:sz w:val="18"/>
                <w:szCs w:val="18"/>
                <w:color w:val="auto"/>
              </w:rPr>
              <w:t>52,602</w:t>
            </w:r>
          </w:p>
        </w:tc>
        <w:tc>
          <w:tcPr>
            <w:tcW w:w="1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760" w:type="dxa"/>
            <w:vAlign w:val="bottom"/>
            <w:gridSpan w:val="2"/>
          </w:tcPr>
          <w:p>
            <w:pPr>
              <w:ind w:left="42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
        </w:trPr>
        <w:tc>
          <w:tcPr>
            <w:tcW w:w="1160" w:type="dxa"/>
            <w:vAlign w:val="bottom"/>
          </w:tcPr>
          <w:p>
            <w:pPr>
              <w:spacing w:after="0" w:line="20" w:lineRule="exact"/>
              <w:rPr>
                <w:sz w:val="1"/>
                <w:szCs w:val="1"/>
                <w:color w:val="auto"/>
              </w:rPr>
            </w:pPr>
          </w:p>
        </w:tc>
        <w:tc>
          <w:tcPr>
            <w:tcW w:w="18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5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300" w:type="dxa"/>
            <w:vAlign w:val="bottom"/>
            <w:gridSpan w:val="2"/>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50"/>
        </w:trPr>
        <w:tc>
          <w:tcPr>
            <w:tcW w:w="1160" w:type="dxa"/>
            <w:vAlign w:val="bottom"/>
          </w:tcPr>
          <w:p>
            <w:pPr>
              <w:spacing w:after="0"/>
              <w:rPr>
                <w:sz w:val="21"/>
                <w:szCs w:val="21"/>
                <w:color w:val="auto"/>
              </w:rPr>
            </w:pPr>
          </w:p>
        </w:tc>
        <w:tc>
          <w:tcPr>
            <w:tcW w:w="5740" w:type="dxa"/>
            <w:vAlign w:val="bottom"/>
            <w:gridSpan w:val="4"/>
            <w:shd w:val="clear" w:color="auto" w:fill="CCEEFF"/>
          </w:tcPr>
          <w:p>
            <w:pPr>
              <w:spacing w:after="0" w:line="250" w:lineRule="exact"/>
              <w:rPr>
                <w:sz w:val="20"/>
                <w:szCs w:val="20"/>
                <w:color w:val="auto"/>
              </w:rPr>
            </w:pPr>
            <w:r>
              <w:rPr>
                <w:rFonts w:ascii="Arial" w:cs="Arial" w:eastAsia="Arial" w:hAnsi="Arial"/>
                <w:sz w:val="17"/>
                <w:szCs w:val="17"/>
                <w:color w:val="auto"/>
              </w:rPr>
              <w:t>Total cash costs (per ounce)</w:t>
            </w:r>
            <w:r>
              <w:rPr>
                <w:rFonts w:ascii="Arial" w:cs="Arial" w:eastAsia="Arial" w:hAnsi="Arial"/>
                <w:sz w:val="28"/>
                <w:szCs w:val="28"/>
                <w:color w:val="auto"/>
                <w:vertAlign w:val="superscript"/>
              </w:rPr>
              <w:t>(ii)</w:t>
            </w:r>
          </w:p>
        </w:tc>
        <w:tc>
          <w:tcPr>
            <w:tcW w:w="5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751</w:t>
            </w:r>
          </w:p>
        </w:tc>
        <w:tc>
          <w:tcPr>
            <w:tcW w:w="160" w:type="dxa"/>
            <w:vAlign w:val="bottom"/>
            <w:shd w:val="clear" w:color="auto" w:fill="CCEEFF"/>
          </w:tcPr>
          <w:p>
            <w:pPr>
              <w:spacing w:after="0"/>
              <w:rPr>
                <w:sz w:val="21"/>
                <w:szCs w:val="21"/>
                <w:color w:val="auto"/>
              </w:rPr>
            </w:pPr>
          </w:p>
        </w:tc>
        <w:tc>
          <w:tcPr>
            <w:tcW w:w="180" w:type="dxa"/>
            <w:vAlign w:val="bottom"/>
            <w:shd w:val="clear" w:color="auto" w:fill="CCEEFF"/>
          </w:tcPr>
          <w:p>
            <w:pPr>
              <w:jc w:val="right"/>
              <w:ind w:right="23"/>
              <w:spacing w:after="0"/>
              <w:rPr>
                <w:sz w:val="20"/>
                <w:szCs w:val="20"/>
                <w:color w:val="auto"/>
              </w:rPr>
            </w:pPr>
            <w:r>
              <w:rPr>
                <w:rFonts w:ascii="Arial" w:cs="Arial" w:eastAsia="Arial" w:hAnsi="Arial"/>
                <w:sz w:val="15"/>
                <w:szCs w:val="15"/>
                <w:color w:val="auto"/>
                <w:w w:val="71"/>
              </w:rPr>
              <w:t>$</w:t>
            </w: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300" w:type="dxa"/>
            <w:vAlign w:val="bottom"/>
            <w:gridSpan w:val="2"/>
            <w:shd w:val="clear" w:color="auto" w:fill="CCEEFF"/>
          </w:tcPr>
          <w:p>
            <w:pPr>
              <w:jc w:val="right"/>
              <w:ind w:right="83"/>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ind w:left="42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7"/>
        </w:trPr>
        <w:tc>
          <w:tcPr>
            <w:tcW w:w="3040" w:type="dxa"/>
            <w:vAlign w:val="bottom"/>
            <w:gridSpan w:val="3"/>
          </w:tcPr>
          <w:p>
            <w:pPr>
              <w:spacing w:after="0"/>
              <w:rPr>
                <w:sz w:val="2"/>
                <w:szCs w:val="2"/>
                <w:color w:val="auto"/>
              </w:rPr>
            </w:pPr>
          </w:p>
        </w:tc>
        <w:tc>
          <w:tcPr>
            <w:tcW w:w="300" w:type="dxa"/>
            <w:vAlign w:val="bottom"/>
          </w:tcPr>
          <w:p>
            <w:pPr>
              <w:spacing w:after="0"/>
              <w:rPr>
                <w:sz w:val="2"/>
                <w:szCs w:val="2"/>
                <w:color w:val="auto"/>
              </w:rPr>
            </w:pPr>
          </w:p>
        </w:tc>
        <w:tc>
          <w:tcPr>
            <w:tcW w:w="35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68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68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1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3040" w:type="dxa"/>
            <w:vAlign w:val="bottom"/>
            <w:gridSpan w:val="3"/>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5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777"/>
        </w:trPr>
        <w:tc>
          <w:tcPr>
            <w:tcW w:w="6900" w:type="dxa"/>
            <w:vAlign w:val="bottom"/>
            <w:gridSpan w:val="5"/>
          </w:tcPr>
          <w:p>
            <w:pPr>
              <w:ind w:left="1140"/>
              <w:spacing w:after="0"/>
              <w:rPr>
                <w:sz w:val="20"/>
                <w:szCs w:val="20"/>
                <w:color w:val="auto"/>
              </w:rPr>
            </w:pPr>
            <w:r>
              <w:rPr>
                <w:rFonts w:ascii="Arial" w:cs="Arial" w:eastAsia="Arial" w:hAnsi="Arial"/>
                <w:sz w:val="14"/>
                <w:szCs w:val="14"/>
                <w:b w:val="1"/>
                <w:bCs w:val="1"/>
                <w:color w:val="auto"/>
              </w:rPr>
              <w:t>Kittila Cash Costs per Ounce</w:t>
            </w:r>
          </w:p>
        </w:tc>
        <w:tc>
          <w:tcPr>
            <w:tcW w:w="3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80" w:type="dxa"/>
            <w:vAlign w:val="bottom"/>
          </w:tcPr>
          <w:p>
            <w:pPr>
              <w:jc w:val="right"/>
              <w:ind w:right="217"/>
              <w:spacing w:after="0"/>
              <w:rPr>
                <w:sz w:val="20"/>
                <w:szCs w:val="20"/>
                <w:color w:val="auto"/>
              </w:rPr>
            </w:pPr>
            <w:r>
              <w:rPr>
                <w:rFonts w:ascii="Arial" w:cs="Arial" w:eastAsia="Arial" w:hAnsi="Arial"/>
                <w:sz w:val="14"/>
                <w:szCs w:val="14"/>
                <w:b w:val="1"/>
                <w:bCs w:val="1"/>
                <w:color w:val="auto"/>
              </w:rPr>
              <w:t>2009</w:t>
            </w:r>
          </w:p>
        </w:tc>
        <w:tc>
          <w:tcPr>
            <w:tcW w:w="1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80" w:type="dxa"/>
            <w:vAlign w:val="bottom"/>
          </w:tcPr>
          <w:p>
            <w:pPr>
              <w:jc w:val="center"/>
              <w:ind w:right="115"/>
              <w:spacing w:after="0"/>
              <w:rPr>
                <w:sz w:val="20"/>
                <w:szCs w:val="20"/>
                <w:color w:val="auto"/>
              </w:rPr>
            </w:pPr>
            <w:r>
              <w:rPr>
                <w:rFonts w:ascii="Arial" w:cs="Arial" w:eastAsia="Arial" w:hAnsi="Arial"/>
                <w:sz w:val="14"/>
                <w:szCs w:val="14"/>
                <w:b w:val="1"/>
                <w:bCs w:val="1"/>
                <w:color w:val="auto"/>
                <w:w w:val="89"/>
              </w:rPr>
              <w:t>2008</w:t>
            </w: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00" w:type="dxa"/>
            <w:vAlign w:val="bottom"/>
          </w:tcPr>
          <w:p>
            <w:pPr>
              <w:ind w:left="40"/>
              <w:spacing w:after="0"/>
              <w:rPr>
                <w:sz w:val="20"/>
                <w:szCs w:val="20"/>
                <w:color w:val="auto"/>
              </w:rPr>
            </w:pPr>
            <w:r>
              <w:rPr>
                <w:rFonts w:ascii="Arial" w:cs="Arial" w:eastAsia="Arial" w:hAnsi="Arial"/>
                <w:sz w:val="14"/>
                <w:szCs w:val="14"/>
                <w:b w:val="1"/>
                <w:bCs w:val="1"/>
                <w:color w:val="auto"/>
              </w:rPr>
              <w:t>2007</w:t>
            </w:r>
          </w:p>
        </w:tc>
        <w:tc>
          <w:tcPr>
            <w:tcW w:w="16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160" w:type="dxa"/>
            <w:vAlign w:val="bottom"/>
          </w:tcPr>
          <w:p>
            <w:pPr>
              <w:spacing w:after="0" w:line="20" w:lineRule="exact"/>
              <w:rPr>
                <w:sz w:val="1"/>
                <w:szCs w:val="1"/>
                <w:color w:val="auto"/>
              </w:rPr>
            </w:pPr>
          </w:p>
        </w:tc>
        <w:tc>
          <w:tcPr>
            <w:tcW w:w="180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5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60" w:type="dxa"/>
            <w:vAlign w:val="bottom"/>
            <w:gridSpan w:val="2"/>
            <w:shd w:val="clear" w:color="auto" w:fill="000000"/>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2"/>
        </w:trPr>
        <w:tc>
          <w:tcPr>
            <w:tcW w:w="1160" w:type="dxa"/>
            <w:vAlign w:val="bottom"/>
          </w:tcPr>
          <w:p>
            <w:pPr>
              <w:spacing w:after="0"/>
              <w:rPr>
                <w:sz w:val="12"/>
                <w:szCs w:val="12"/>
                <w:color w:val="auto"/>
              </w:rPr>
            </w:pPr>
          </w:p>
        </w:tc>
        <w:tc>
          <w:tcPr>
            <w:tcW w:w="18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35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2100" w:type="dxa"/>
            <w:vAlign w:val="bottom"/>
            <w:gridSpan w:val="7"/>
          </w:tcPr>
          <w:p>
            <w:pPr>
              <w:jc w:val="center"/>
              <w:ind w:left="317"/>
              <w:spacing w:after="0" w:line="142" w:lineRule="exact"/>
              <w:rPr>
                <w:sz w:val="20"/>
                <w:szCs w:val="20"/>
                <w:color w:val="auto"/>
              </w:rPr>
            </w:pPr>
            <w:r>
              <w:rPr>
                <w:rFonts w:ascii="Arial" w:cs="Arial" w:eastAsia="Arial" w:hAnsi="Arial"/>
                <w:sz w:val="14"/>
                <w:szCs w:val="14"/>
                <w:b w:val="1"/>
                <w:bCs w:val="1"/>
                <w:color w:val="auto"/>
                <w:w w:val="83"/>
              </w:rPr>
              <w:t>(thousands, except as noted)</w:t>
            </w: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1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08"/>
        </w:trPr>
        <w:tc>
          <w:tcPr>
            <w:tcW w:w="1160" w:type="dxa"/>
            <w:vAlign w:val="bottom"/>
          </w:tcPr>
          <w:p>
            <w:pPr>
              <w:spacing w:after="0"/>
              <w:rPr>
                <w:sz w:val="18"/>
                <w:szCs w:val="18"/>
                <w:color w:val="auto"/>
              </w:rPr>
            </w:pPr>
          </w:p>
        </w:tc>
        <w:tc>
          <w:tcPr>
            <w:tcW w:w="5740" w:type="dxa"/>
            <w:vAlign w:val="bottom"/>
            <w:gridSpan w:val="4"/>
            <w:shd w:val="clear" w:color="auto" w:fill="CCEEFF"/>
          </w:tcPr>
          <w:p>
            <w:pPr>
              <w:spacing w:after="0"/>
              <w:rPr>
                <w:sz w:val="20"/>
                <w:szCs w:val="20"/>
                <w:color w:val="auto"/>
              </w:rPr>
            </w:pPr>
            <w:r>
              <w:rPr>
                <w:rFonts w:ascii="Arial" w:cs="Arial" w:eastAsia="Arial" w:hAnsi="Arial"/>
                <w:sz w:val="18"/>
                <w:szCs w:val="18"/>
                <w:color w:val="auto"/>
                <w:w w:val="92"/>
              </w:rPr>
              <w:t>Production costs per Consolidated Statements of Income and Comprehensive</w:t>
            </w:r>
          </w:p>
        </w:tc>
        <w:tc>
          <w:tcPr>
            <w:tcW w:w="3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1160" w:type="dxa"/>
            <w:vAlign w:val="bottom"/>
          </w:tcPr>
          <w:p>
            <w:pPr>
              <w:spacing w:after="0"/>
              <w:rPr>
                <w:sz w:val="19"/>
                <w:szCs w:val="19"/>
                <w:color w:val="auto"/>
              </w:rPr>
            </w:pPr>
          </w:p>
        </w:tc>
        <w:tc>
          <w:tcPr>
            <w:tcW w:w="5740" w:type="dxa"/>
            <w:vAlign w:val="bottom"/>
            <w:gridSpan w:val="4"/>
            <w:shd w:val="clear" w:color="auto" w:fill="CCEEFF"/>
          </w:tcPr>
          <w:p>
            <w:pPr>
              <w:ind w:left="160"/>
              <w:spacing w:after="0"/>
              <w:rPr>
                <w:sz w:val="20"/>
                <w:szCs w:val="20"/>
                <w:color w:val="auto"/>
              </w:rPr>
            </w:pPr>
            <w:r>
              <w:rPr>
                <w:rFonts w:ascii="Arial" w:cs="Arial" w:eastAsia="Arial" w:hAnsi="Arial"/>
                <w:sz w:val="18"/>
                <w:szCs w:val="18"/>
                <w:color w:val="auto"/>
              </w:rPr>
              <w:t>Income</w:t>
            </w:r>
          </w:p>
        </w:tc>
        <w:tc>
          <w:tcPr>
            <w:tcW w:w="5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42,464</w:t>
            </w:r>
          </w:p>
        </w:tc>
        <w:tc>
          <w:tcPr>
            <w:tcW w:w="160" w:type="dxa"/>
            <w:vAlign w:val="bottom"/>
            <w:shd w:val="clear" w:color="auto" w:fill="CCEEFF"/>
          </w:tcPr>
          <w:p>
            <w:pPr>
              <w:spacing w:after="0"/>
              <w:rPr>
                <w:sz w:val="19"/>
                <w:szCs w:val="19"/>
                <w:color w:val="auto"/>
              </w:rPr>
            </w:pPr>
          </w:p>
        </w:tc>
        <w:tc>
          <w:tcPr>
            <w:tcW w:w="180" w:type="dxa"/>
            <w:vAlign w:val="bottom"/>
            <w:shd w:val="clear" w:color="auto" w:fill="CCEEFF"/>
          </w:tcPr>
          <w:p>
            <w:pPr>
              <w:jc w:val="right"/>
              <w:ind w:right="23"/>
              <w:spacing w:after="0"/>
              <w:rPr>
                <w:sz w:val="20"/>
                <w:szCs w:val="20"/>
                <w:color w:val="auto"/>
              </w:rPr>
            </w:pPr>
            <w:r>
              <w:rPr>
                <w:rFonts w:ascii="Arial" w:cs="Arial" w:eastAsia="Arial" w:hAnsi="Arial"/>
                <w:sz w:val="15"/>
                <w:szCs w:val="15"/>
                <w:color w:val="auto"/>
                <w:w w:val="71"/>
              </w:rPr>
              <w:t>$</w:t>
            </w: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300" w:type="dxa"/>
            <w:vAlign w:val="bottom"/>
            <w:gridSpan w:val="2"/>
            <w:shd w:val="clear" w:color="auto" w:fill="CCEEFF"/>
          </w:tcPr>
          <w:p>
            <w:pPr>
              <w:jc w:val="right"/>
              <w:ind w:right="83"/>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ind w:left="42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5740" w:type="dxa"/>
            <w:vAlign w:val="bottom"/>
            <w:gridSpan w:val="4"/>
          </w:tcPr>
          <w:p>
            <w:pPr>
              <w:spacing w:after="0"/>
              <w:rPr>
                <w:sz w:val="20"/>
                <w:szCs w:val="20"/>
                <w:color w:val="auto"/>
              </w:rPr>
            </w:pPr>
            <w:r>
              <w:rPr>
                <w:rFonts w:ascii="Arial" w:cs="Arial" w:eastAsia="Arial" w:hAnsi="Arial"/>
                <w:sz w:val="18"/>
                <w:szCs w:val="18"/>
                <w:color w:val="auto"/>
              </w:rPr>
              <w:t>Adjustments:</w:t>
            </w:r>
          </w:p>
        </w:tc>
        <w:tc>
          <w:tcPr>
            <w:tcW w:w="3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57"/>
        </w:trPr>
        <w:tc>
          <w:tcPr>
            <w:tcW w:w="1160" w:type="dxa"/>
            <w:vAlign w:val="bottom"/>
          </w:tcPr>
          <w:p>
            <w:pPr>
              <w:spacing w:after="0"/>
              <w:rPr>
                <w:sz w:val="22"/>
                <w:szCs w:val="22"/>
                <w:color w:val="auto"/>
              </w:rPr>
            </w:pPr>
          </w:p>
        </w:tc>
        <w:tc>
          <w:tcPr>
            <w:tcW w:w="5740" w:type="dxa"/>
            <w:vAlign w:val="bottom"/>
            <w:gridSpan w:val="4"/>
            <w:shd w:val="clear" w:color="auto" w:fill="CCEEFF"/>
          </w:tcPr>
          <w:p>
            <w:pPr>
              <w:spacing w:after="0" w:line="256" w:lineRule="exact"/>
              <w:rPr>
                <w:sz w:val="20"/>
                <w:szCs w:val="20"/>
                <w:color w:val="auto"/>
              </w:rPr>
            </w:pPr>
            <w:r>
              <w:rPr>
                <w:rFonts w:ascii="Arial" w:cs="Arial" w:eastAsia="Arial" w:hAnsi="Arial"/>
                <w:sz w:val="18"/>
                <w:szCs w:val="18"/>
                <w:color w:val="auto"/>
              </w:rPr>
              <w:t>Inventory adjustments</w:t>
            </w:r>
            <w:r>
              <w:rPr>
                <w:rFonts w:ascii="Arial" w:cs="Arial" w:eastAsia="Arial" w:hAnsi="Arial"/>
                <w:sz w:val="29"/>
                <w:szCs w:val="29"/>
                <w:color w:val="auto"/>
                <w:vertAlign w:val="superscript"/>
              </w:rPr>
              <w:t>(i)</w:t>
            </w:r>
          </w:p>
        </w:tc>
        <w:tc>
          <w:tcPr>
            <w:tcW w:w="34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1,565</w:t>
            </w:r>
          </w:p>
        </w:tc>
        <w:tc>
          <w:tcPr>
            <w:tcW w:w="16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22"/>
                <w:szCs w:val="22"/>
                <w:color w:val="auto"/>
              </w:rPr>
            </w:pPr>
          </w:p>
        </w:tc>
        <w:tc>
          <w:tcPr>
            <w:tcW w:w="240" w:type="dxa"/>
            <w:vAlign w:val="bottom"/>
            <w:shd w:val="clear" w:color="auto" w:fill="CCEEFF"/>
          </w:tcPr>
          <w:p>
            <w:pPr>
              <w:spacing w:after="0"/>
              <w:rPr>
                <w:sz w:val="22"/>
                <w:szCs w:val="22"/>
                <w:color w:val="auto"/>
              </w:rPr>
            </w:pPr>
          </w:p>
        </w:tc>
        <w:tc>
          <w:tcPr>
            <w:tcW w:w="760" w:type="dxa"/>
            <w:vAlign w:val="bottom"/>
            <w:gridSpan w:val="2"/>
            <w:shd w:val="clear" w:color="auto" w:fill="CCEEFF"/>
          </w:tcPr>
          <w:p>
            <w:pPr>
              <w:ind w:left="42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22"/>
        </w:trPr>
        <w:tc>
          <w:tcPr>
            <w:tcW w:w="1160" w:type="dxa"/>
            <w:vAlign w:val="bottom"/>
          </w:tcPr>
          <w:p>
            <w:pPr>
              <w:spacing w:after="0"/>
              <w:rPr>
                <w:sz w:val="19"/>
                <w:szCs w:val="19"/>
                <w:color w:val="auto"/>
              </w:rPr>
            </w:pPr>
          </w:p>
        </w:tc>
        <w:tc>
          <w:tcPr>
            <w:tcW w:w="5740" w:type="dxa"/>
            <w:vAlign w:val="bottom"/>
            <w:gridSpan w:val="4"/>
          </w:tcPr>
          <w:p>
            <w:pPr>
              <w:spacing w:after="0"/>
              <w:rPr>
                <w:sz w:val="20"/>
                <w:szCs w:val="20"/>
                <w:color w:val="auto"/>
              </w:rPr>
            </w:pPr>
            <w:r>
              <w:rPr>
                <w:rFonts w:ascii="Arial" w:cs="Arial" w:eastAsia="Arial" w:hAnsi="Arial"/>
                <w:sz w:val="18"/>
                <w:szCs w:val="18"/>
                <w:color w:val="auto"/>
              </w:rPr>
              <w:t>Non-cash reclamation provision</w:t>
            </w:r>
          </w:p>
        </w:tc>
        <w:tc>
          <w:tcPr>
            <w:tcW w:w="3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(254)</w:t>
            </w:r>
          </w:p>
        </w:tc>
        <w:tc>
          <w:tcPr>
            <w:tcW w:w="180" w:type="dxa"/>
            <w:vAlign w:val="bottom"/>
          </w:tcPr>
          <w:p>
            <w:pPr>
              <w:spacing w:after="0"/>
              <w:rPr>
                <w:sz w:val="19"/>
                <w:szCs w:val="19"/>
                <w:color w:val="auto"/>
              </w:rPr>
            </w:pPr>
          </w:p>
        </w:tc>
        <w:tc>
          <w:tcPr>
            <w:tcW w:w="7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760" w:type="dxa"/>
            <w:vAlign w:val="bottom"/>
            <w:gridSpan w:val="2"/>
          </w:tcPr>
          <w:p>
            <w:pPr>
              <w:ind w:left="42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
        </w:trPr>
        <w:tc>
          <w:tcPr>
            <w:tcW w:w="1160" w:type="dxa"/>
            <w:vAlign w:val="bottom"/>
          </w:tcPr>
          <w:p>
            <w:pPr>
              <w:spacing w:after="0" w:line="20" w:lineRule="exact"/>
              <w:rPr>
                <w:sz w:val="1"/>
                <w:szCs w:val="1"/>
                <w:color w:val="auto"/>
              </w:rPr>
            </w:pPr>
          </w:p>
        </w:tc>
        <w:tc>
          <w:tcPr>
            <w:tcW w:w="1880" w:type="dxa"/>
            <w:vAlign w:val="bottom"/>
            <w:gridSpan w:val="2"/>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5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10"/>
        </w:trPr>
        <w:tc>
          <w:tcPr>
            <w:tcW w:w="1160" w:type="dxa"/>
            <w:vAlign w:val="bottom"/>
          </w:tcPr>
          <w:p>
            <w:pPr>
              <w:spacing w:after="0"/>
              <w:rPr>
                <w:sz w:val="18"/>
                <w:szCs w:val="18"/>
                <w:color w:val="auto"/>
              </w:rPr>
            </w:pPr>
          </w:p>
        </w:tc>
        <w:tc>
          <w:tcPr>
            <w:tcW w:w="5740" w:type="dxa"/>
            <w:vAlign w:val="bottom"/>
            <w:gridSpan w:val="4"/>
            <w:shd w:val="clear" w:color="auto" w:fill="CCEEFF"/>
          </w:tcPr>
          <w:p>
            <w:pPr>
              <w:spacing w:after="0"/>
              <w:rPr>
                <w:sz w:val="20"/>
                <w:szCs w:val="20"/>
                <w:color w:val="auto"/>
              </w:rPr>
            </w:pPr>
            <w:r>
              <w:rPr>
                <w:rFonts w:ascii="Arial" w:cs="Arial" w:eastAsia="Arial" w:hAnsi="Arial"/>
                <w:sz w:val="18"/>
                <w:szCs w:val="18"/>
                <w:color w:val="auto"/>
              </w:rPr>
              <w:t>Cash operating costs</w:t>
            </w:r>
          </w:p>
        </w:tc>
        <w:tc>
          <w:tcPr>
            <w:tcW w:w="5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43,775</w:t>
            </w: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jc w:val="right"/>
              <w:ind w:right="23"/>
              <w:spacing w:after="0"/>
              <w:rPr>
                <w:sz w:val="20"/>
                <w:szCs w:val="20"/>
                <w:color w:val="auto"/>
              </w:rPr>
            </w:pPr>
            <w:r>
              <w:rPr>
                <w:rFonts w:ascii="Arial" w:cs="Arial" w:eastAsia="Arial" w:hAnsi="Arial"/>
                <w:sz w:val="15"/>
                <w:szCs w:val="15"/>
                <w:color w:val="auto"/>
                <w:w w:val="71"/>
              </w:rPr>
              <w:t>$</w:t>
            </w: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300" w:type="dxa"/>
            <w:vAlign w:val="bottom"/>
            <w:gridSpan w:val="2"/>
            <w:shd w:val="clear" w:color="auto" w:fill="CCEEFF"/>
          </w:tcPr>
          <w:p>
            <w:pPr>
              <w:jc w:val="right"/>
              <w:ind w:right="83"/>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ind w:left="42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1160" w:type="dxa"/>
            <w:vAlign w:val="bottom"/>
          </w:tcPr>
          <w:p>
            <w:pPr>
              <w:spacing w:after="0"/>
              <w:rPr>
                <w:sz w:val="19"/>
                <w:szCs w:val="19"/>
                <w:color w:val="auto"/>
              </w:rPr>
            </w:pPr>
          </w:p>
        </w:tc>
        <w:tc>
          <w:tcPr>
            <w:tcW w:w="5740" w:type="dxa"/>
            <w:vAlign w:val="bottom"/>
            <w:gridSpan w:val="4"/>
          </w:tcPr>
          <w:p>
            <w:pPr>
              <w:spacing w:after="0"/>
              <w:rPr>
                <w:sz w:val="20"/>
                <w:szCs w:val="20"/>
                <w:color w:val="auto"/>
              </w:rPr>
            </w:pPr>
            <w:r>
              <w:rPr>
                <w:rFonts w:ascii="Arial" w:cs="Arial" w:eastAsia="Arial" w:hAnsi="Arial"/>
                <w:sz w:val="18"/>
                <w:szCs w:val="18"/>
                <w:color w:val="auto"/>
              </w:rPr>
              <w:t>Gold production (ounces)</w:t>
            </w:r>
          </w:p>
        </w:tc>
        <w:tc>
          <w:tcPr>
            <w:tcW w:w="3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80" w:type="dxa"/>
            <w:vAlign w:val="bottom"/>
          </w:tcPr>
          <w:p>
            <w:pPr>
              <w:jc w:val="right"/>
              <w:spacing w:after="0"/>
              <w:rPr>
                <w:sz w:val="20"/>
                <w:szCs w:val="20"/>
                <w:color w:val="auto"/>
              </w:rPr>
            </w:pPr>
            <w:r>
              <w:rPr>
                <w:rFonts w:ascii="Arial" w:cs="Arial" w:eastAsia="Arial" w:hAnsi="Arial"/>
                <w:sz w:val="18"/>
                <w:szCs w:val="18"/>
                <w:color w:val="auto"/>
              </w:rPr>
              <w:t>65,547</w:t>
            </w:r>
          </w:p>
        </w:tc>
        <w:tc>
          <w:tcPr>
            <w:tcW w:w="1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760" w:type="dxa"/>
            <w:vAlign w:val="bottom"/>
            <w:gridSpan w:val="2"/>
          </w:tcPr>
          <w:p>
            <w:pPr>
              <w:ind w:left="42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
        </w:trPr>
        <w:tc>
          <w:tcPr>
            <w:tcW w:w="1160" w:type="dxa"/>
            <w:vAlign w:val="bottom"/>
          </w:tcPr>
          <w:p>
            <w:pPr>
              <w:spacing w:after="0" w:line="20" w:lineRule="exact"/>
              <w:rPr>
                <w:sz w:val="1"/>
                <w:szCs w:val="1"/>
                <w:color w:val="auto"/>
              </w:rPr>
            </w:pPr>
          </w:p>
        </w:tc>
        <w:tc>
          <w:tcPr>
            <w:tcW w:w="1880" w:type="dxa"/>
            <w:vAlign w:val="bottom"/>
            <w:gridSpan w:val="2"/>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5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300" w:type="dxa"/>
            <w:vAlign w:val="bottom"/>
            <w:gridSpan w:val="2"/>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50"/>
        </w:trPr>
        <w:tc>
          <w:tcPr>
            <w:tcW w:w="1160" w:type="dxa"/>
            <w:vAlign w:val="bottom"/>
          </w:tcPr>
          <w:p>
            <w:pPr>
              <w:spacing w:after="0"/>
              <w:rPr>
                <w:sz w:val="21"/>
                <w:szCs w:val="21"/>
                <w:color w:val="auto"/>
              </w:rPr>
            </w:pPr>
          </w:p>
        </w:tc>
        <w:tc>
          <w:tcPr>
            <w:tcW w:w="5740" w:type="dxa"/>
            <w:vAlign w:val="bottom"/>
            <w:gridSpan w:val="4"/>
            <w:shd w:val="clear" w:color="auto" w:fill="CCEEFF"/>
          </w:tcPr>
          <w:p>
            <w:pPr>
              <w:spacing w:after="0" w:line="250" w:lineRule="exact"/>
              <w:rPr>
                <w:sz w:val="20"/>
                <w:szCs w:val="20"/>
                <w:color w:val="auto"/>
              </w:rPr>
            </w:pPr>
            <w:r>
              <w:rPr>
                <w:rFonts w:ascii="Arial" w:cs="Arial" w:eastAsia="Arial" w:hAnsi="Arial"/>
                <w:sz w:val="17"/>
                <w:szCs w:val="17"/>
                <w:color w:val="auto"/>
              </w:rPr>
              <w:t>Total cash costs (per ounce)</w:t>
            </w:r>
            <w:r>
              <w:rPr>
                <w:rFonts w:ascii="Arial" w:cs="Arial" w:eastAsia="Arial" w:hAnsi="Arial"/>
                <w:sz w:val="28"/>
                <w:szCs w:val="28"/>
                <w:color w:val="auto"/>
                <w:vertAlign w:val="superscript"/>
              </w:rPr>
              <w:t>(ii)</w:t>
            </w:r>
          </w:p>
        </w:tc>
        <w:tc>
          <w:tcPr>
            <w:tcW w:w="5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668</w:t>
            </w:r>
          </w:p>
        </w:tc>
        <w:tc>
          <w:tcPr>
            <w:tcW w:w="160" w:type="dxa"/>
            <w:vAlign w:val="bottom"/>
            <w:shd w:val="clear" w:color="auto" w:fill="CCEEFF"/>
          </w:tcPr>
          <w:p>
            <w:pPr>
              <w:spacing w:after="0"/>
              <w:rPr>
                <w:sz w:val="21"/>
                <w:szCs w:val="21"/>
                <w:color w:val="auto"/>
              </w:rPr>
            </w:pPr>
          </w:p>
        </w:tc>
        <w:tc>
          <w:tcPr>
            <w:tcW w:w="180" w:type="dxa"/>
            <w:vAlign w:val="bottom"/>
            <w:shd w:val="clear" w:color="auto" w:fill="CCEEFF"/>
          </w:tcPr>
          <w:p>
            <w:pPr>
              <w:jc w:val="right"/>
              <w:ind w:right="23"/>
              <w:spacing w:after="0"/>
              <w:rPr>
                <w:sz w:val="20"/>
                <w:szCs w:val="20"/>
                <w:color w:val="auto"/>
              </w:rPr>
            </w:pPr>
            <w:r>
              <w:rPr>
                <w:rFonts w:ascii="Arial" w:cs="Arial" w:eastAsia="Arial" w:hAnsi="Arial"/>
                <w:sz w:val="15"/>
                <w:szCs w:val="15"/>
                <w:color w:val="auto"/>
                <w:w w:val="71"/>
              </w:rPr>
              <w:t>$</w:t>
            </w: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300" w:type="dxa"/>
            <w:vAlign w:val="bottom"/>
            <w:gridSpan w:val="2"/>
            <w:shd w:val="clear" w:color="auto" w:fill="CCEEFF"/>
          </w:tcPr>
          <w:p>
            <w:pPr>
              <w:jc w:val="right"/>
              <w:ind w:right="83"/>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ind w:left="42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7"/>
        </w:trPr>
        <w:tc>
          <w:tcPr>
            <w:tcW w:w="3340" w:type="dxa"/>
            <w:vAlign w:val="bottom"/>
            <w:gridSpan w:val="4"/>
          </w:tcPr>
          <w:p>
            <w:pPr>
              <w:spacing w:after="0"/>
              <w:rPr>
                <w:sz w:val="2"/>
                <w:szCs w:val="2"/>
                <w:color w:val="auto"/>
              </w:rPr>
            </w:pPr>
          </w:p>
        </w:tc>
        <w:tc>
          <w:tcPr>
            <w:tcW w:w="35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68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68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1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3340" w:type="dxa"/>
            <w:vAlign w:val="bottom"/>
            <w:gridSpan w:val="4"/>
          </w:tcPr>
          <w:p>
            <w:pPr>
              <w:spacing w:after="0" w:line="20" w:lineRule="exact"/>
              <w:rPr>
                <w:sz w:val="1"/>
                <w:szCs w:val="1"/>
                <w:color w:val="auto"/>
              </w:rPr>
            </w:pPr>
          </w:p>
        </w:tc>
        <w:tc>
          <w:tcPr>
            <w:tcW w:w="35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777"/>
        </w:trPr>
        <w:tc>
          <w:tcPr>
            <w:tcW w:w="6900" w:type="dxa"/>
            <w:vAlign w:val="bottom"/>
            <w:gridSpan w:val="5"/>
          </w:tcPr>
          <w:p>
            <w:pPr>
              <w:ind w:left="1140"/>
              <w:spacing w:after="0"/>
              <w:rPr>
                <w:sz w:val="20"/>
                <w:szCs w:val="20"/>
                <w:color w:val="auto"/>
              </w:rPr>
            </w:pPr>
            <w:r>
              <w:rPr>
                <w:rFonts w:ascii="Arial" w:cs="Arial" w:eastAsia="Arial" w:hAnsi="Arial"/>
                <w:sz w:val="14"/>
                <w:szCs w:val="14"/>
                <w:b w:val="1"/>
                <w:bCs w:val="1"/>
                <w:color w:val="auto"/>
              </w:rPr>
              <w:t>Pinos Altos Cash Costs per Ounce</w:t>
            </w:r>
          </w:p>
        </w:tc>
        <w:tc>
          <w:tcPr>
            <w:tcW w:w="3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80" w:type="dxa"/>
            <w:vAlign w:val="bottom"/>
          </w:tcPr>
          <w:p>
            <w:pPr>
              <w:jc w:val="right"/>
              <w:ind w:right="217"/>
              <w:spacing w:after="0"/>
              <w:rPr>
                <w:sz w:val="20"/>
                <w:szCs w:val="20"/>
                <w:color w:val="auto"/>
              </w:rPr>
            </w:pPr>
            <w:r>
              <w:rPr>
                <w:rFonts w:ascii="Arial" w:cs="Arial" w:eastAsia="Arial" w:hAnsi="Arial"/>
                <w:sz w:val="14"/>
                <w:szCs w:val="14"/>
                <w:b w:val="1"/>
                <w:bCs w:val="1"/>
                <w:color w:val="auto"/>
              </w:rPr>
              <w:t>2009</w:t>
            </w:r>
          </w:p>
        </w:tc>
        <w:tc>
          <w:tcPr>
            <w:tcW w:w="1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80" w:type="dxa"/>
            <w:vAlign w:val="bottom"/>
          </w:tcPr>
          <w:p>
            <w:pPr>
              <w:jc w:val="center"/>
              <w:ind w:right="115"/>
              <w:spacing w:after="0"/>
              <w:rPr>
                <w:sz w:val="20"/>
                <w:szCs w:val="20"/>
                <w:color w:val="auto"/>
              </w:rPr>
            </w:pPr>
            <w:r>
              <w:rPr>
                <w:rFonts w:ascii="Arial" w:cs="Arial" w:eastAsia="Arial" w:hAnsi="Arial"/>
                <w:sz w:val="14"/>
                <w:szCs w:val="14"/>
                <w:b w:val="1"/>
                <w:bCs w:val="1"/>
                <w:color w:val="auto"/>
                <w:w w:val="89"/>
              </w:rPr>
              <w:t>2008</w:t>
            </w: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00" w:type="dxa"/>
            <w:vAlign w:val="bottom"/>
          </w:tcPr>
          <w:p>
            <w:pPr>
              <w:ind w:left="40"/>
              <w:spacing w:after="0"/>
              <w:rPr>
                <w:sz w:val="20"/>
                <w:szCs w:val="20"/>
                <w:color w:val="auto"/>
              </w:rPr>
            </w:pPr>
            <w:r>
              <w:rPr>
                <w:rFonts w:ascii="Arial" w:cs="Arial" w:eastAsia="Arial" w:hAnsi="Arial"/>
                <w:sz w:val="14"/>
                <w:szCs w:val="14"/>
                <w:b w:val="1"/>
                <w:bCs w:val="1"/>
                <w:color w:val="auto"/>
              </w:rPr>
              <w:t>2007</w:t>
            </w:r>
          </w:p>
        </w:tc>
        <w:tc>
          <w:tcPr>
            <w:tcW w:w="16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160" w:type="dxa"/>
            <w:vAlign w:val="bottom"/>
          </w:tcPr>
          <w:p>
            <w:pPr>
              <w:spacing w:after="0" w:line="20" w:lineRule="exact"/>
              <w:rPr>
                <w:sz w:val="1"/>
                <w:szCs w:val="1"/>
                <w:color w:val="auto"/>
              </w:rPr>
            </w:pPr>
          </w:p>
        </w:tc>
        <w:tc>
          <w:tcPr>
            <w:tcW w:w="180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00" w:type="dxa"/>
            <w:vAlign w:val="bottom"/>
            <w:tcBorders>
              <w:left w:val="single" w:sz="8" w:color="auto"/>
            </w:tcBorders>
            <w:shd w:val="clear" w:color="auto" w:fill="000000"/>
          </w:tcPr>
          <w:p>
            <w:pPr>
              <w:spacing w:after="0" w:line="20" w:lineRule="exact"/>
              <w:rPr>
                <w:sz w:val="1"/>
                <w:szCs w:val="1"/>
                <w:color w:val="auto"/>
              </w:rPr>
            </w:pPr>
          </w:p>
        </w:tc>
        <w:tc>
          <w:tcPr>
            <w:tcW w:w="35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60" w:type="dxa"/>
            <w:vAlign w:val="bottom"/>
            <w:gridSpan w:val="2"/>
            <w:shd w:val="clear" w:color="auto" w:fill="000000"/>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2"/>
        </w:trPr>
        <w:tc>
          <w:tcPr>
            <w:tcW w:w="1160" w:type="dxa"/>
            <w:vAlign w:val="bottom"/>
          </w:tcPr>
          <w:p>
            <w:pPr>
              <w:spacing w:after="0"/>
              <w:rPr>
                <w:sz w:val="12"/>
                <w:szCs w:val="12"/>
                <w:color w:val="auto"/>
              </w:rPr>
            </w:pPr>
          </w:p>
        </w:tc>
        <w:tc>
          <w:tcPr>
            <w:tcW w:w="18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35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2100" w:type="dxa"/>
            <w:vAlign w:val="bottom"/>
            <w:gridSpan w:val="7"/>
          </w:tcPr>
          <w:p>
            <w:pPr>
              <w:jc w:val="center"/>
              <w:ind w:left="317"/>
              <w:spacing w:after="0" w:line="142" w:lineRule="exact"/>
              <w:rPr>
                <w:sz w:val="20"/>
                <w:szCs w:val="20"/>
                <w:color w:val="auto"/>
              </w:rPr>
            </w:pPr>
            <w:r>
              <w:rPr>
                <w:rFonts w:ascii="Arial" w:cs="Arial" w:eastAsia="Arial" w:hAnsi="Arial"/>
                <w:sz w:val="14"/>
                <w:szCs w:val="14"/>
                <w:b w:val="1"/>
                <w:bCs w:val="1"/>
                <w:color w:val="auto"/>
                <w:w w:val="83"/>
              </w:rPr>
              <w:t>(thousands, except as noted)</w:t>
            </w: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1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08"/>
        </w:trPr>
        <w:tc>
          <w:tcPr>
            <w:tcW w:w="1160" w:type="dxa"/>
            <w:vAlign w:val="bottom"/>
          </w:tcPr>
          <w:p>
            <w:pPr>
              <w:spacing w:after="0"/>
              <w:rPr>
                <w:sz w:val="18"/>
                <w:szCs w:val="18"/>
                <w:color w:val="auto"/>
              </w:rPr>
            </w:pPr>
          </w:p>
        </w:tc>
        <w:tc>
          <w:tcPr>
            <w:tcW w:w="5740" w:type="dxa"/>
            <w:vAlign w:val="bottom"/>
            <w:gridSpan w:val="4"/>
            <w:shd w:val="clear" w:color="auto" w:fill="CCEEFF"/>
          </w:tcPr>
          <w:p>
            <w:pPr>
              <w:spacing w:after="0"/>
              <w:rPr>
                <w:sz w:val="20"/>
                <w:szCs w:val="20"/>
                <w:color w:val="auto"/>
              </w:rPr>
            </w:pPr>
            <w:r>
              <w:rPr>
                <w:rFonts w:ascii="Arial" w:cs="Arial" w:eastAsia="Arial" w:hAnsi="Arial"/>
                <w:sz w:val="18"/>
                <w:szCs w:val="18"/>
                <w:color w:val="auto"/>
                <w:w w:val="92"/>
              </w:rPr>
              <w:t>Production costs per Consolidated Statements of Income and Comprehensive</w:t>
            </w:r>
          </w:p>
        </w:tc>
        <w:tc>
          <w:tcPr>
            <w:tcW w:w="3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1160" w:type="dxa"/>
            <w:vAlign w:val="bottom"/>
          </w:tcPr>
          <w:p>
            <w:pPr>
              <w:spacing w:after="0"/>
              <w:rPr>
                <w:sz w:val="19"/>
                <w:szCs w:val="19"/>
                <w:color w:val="auto"/>
              </w:rPr>
            </w:pPr>
          </w:p>
        </w:tc>
        <w:tc>
          <w:tcPr>
            <w:tcW w:w="5740" w:type="dxa"/>
            <w:vAlign w:val="bottom"/>
            <w:gridSpan w:val="4"/>
            <w:shd w:val="clear" w:color="auto" w:fill="CCEEFF"/>
          </w:tcPr>
          <w:p>
            <w:pPr>
              <w:ind w:left="160"/>
              <w:spacing w:after="0"/>
              <w:rPr>
                <w:sz w:val="20"/>
                <w:szCs w:val="20"/>
                <w:color w:val="auto"/>
              </w:rPr>
            </w:pPr>
            <w:r>
              <w:rPr>
                <w:rFonts w:ascii="Arial" w:cs="Arial" w:eastAsia="Arial" w:hAnsi="Arial"/>
                <w:sz w:val="18"/>
                <w:szCs w:val="18"/>
                <w:color w:val="auto"/>
              </w:rPr>
              <w:t>Income</w:t>
            </w:r>
          </w:p>
        </w:tc>
        <w:tc>
          <w:tcPr>
            <w:tcW w:w="5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11,819</w:t>
            </w:r>
          </w:p>
        </w:tc>
        <w:tc>
          <w:tcPr>
            <w:tcW w:w="160" w:type="dxa"/>
            <w:vAlign w:val="bottom"/>
            <w:shd w:val="clear" w:color="auto" w:fill="CCEEFF"/>
          </w:tcPr>
          <w:p>
            <w:pPr>
              <w:spacing w:after="0"/>
              <w:rPr>
                <w:sz w:val="19"/>
                <w:szCs w:val="19"/>
                <w:color w:val="auto"/>
              </w:rPr>
            </w:pPr>
          </w:p>
        </w:tc>
        <w:tc>
          <w:tcPr>
            <w:tcW w:w="180" w:type="dxa"/>
            <w:vAlign w:val="bottom"/>
            <w:shd w:val="clear" w:color="auto" w:fill="CCEEFF"/>
          </w:tcPr>
          <w:p>
            <w:pPr>
              <w:jc w:val="right"/>
              <w:ind w:right="23"/>
              <w:spacing w:after="0"/>
              <w:rPr>
                <w:sz w:val="20"/>
                <w:szCs w:val="20"/>
                <w:color w:val="auto"/>
              </w:rPr>
            </w:pPr>
            <w:r>
              <w:rPr>
                <w:rFonts w:ascii="Arial" w:cs="Arial" w:eastAsia="Arial" w:hAnsi="Arial"/>
                <w:sz w:val="15"/>
                <w:szCs w:val="15"/>
                <w:color w:val="auto"/>
                <w:w w:val="71"/>
              </w:rPr>
              <w:t>$</w:t>
            </w: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300" w:type="dxa"/>
            <w:vAlign w:val="bottom"/>
            <w:gridSpan w:val="2"/>
            <w:shd w:val="clear" w:color="auto" w:fill="CCEEFF"/>
          </w:tcPr>
          <w:p>
            <w:pPr>
              <w:jc w:val="right"/>
              <w:ind w:right="83"/>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ind w:left="42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5740" w:type="dxa"/>
            <w:vAlign w:val="bottom"/>
            <w:gridSpan w:val="4"/>
          </w:tcPr>
          <w:p>
            <w:pPr>
              <w:spacing w:after="0"/>
              <w:rPr>
                <w:sz w:val="20"/>
                <w:szCs w:val="20"/>
                <w:color w:val="auto"/>
              </w:rPr>
            </w:pPr>
            <w:r>
              <w:rPr>
                <w:rFonts w:ascii="Arial" w:cs="Arial" w:eastAsia="Arial" w:hAnsi="Arial"/>
                <w:sz w:val="18"/>
                <w:szCs w:val="18"/>
                <w:color w:val="auto"/>
              </w:rPr>
              <w:t>Adjustments:</w:t>
            </w:r>
          </w:p>
        </w:tc>
        <w:tc>
          <w:tcPr>
            <w:tcW w:w="3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5740" w:type="dxa"/>
            <w:vAlign w:val="bottom"/>
            <w:gridSpan w:val="4"/>
            <w:shd w:val="clear" w:color="auto" w:fill="CCEEFF"/>
          </w:tcPr>
          <w:p>
            <w:pPr>
              <w:spacing w:after="0"/>
              <w:rPr>
                <w:sz w:val="20"/>
                <w:szCs w:val="20"/>
                <w:color w:val="auto"/>
              </w:rPr>
            </w:pPr>
            <w:r>
              <w:rPr>
                <w:rFonts w:ascii="Arial" w:cs="Arial" w:eastAsia="Arial" w:hAnsi="Arial"/>
                <w:sz w:val="18"/>
                <w:szCs w:val="18"/>
                <w:color w:val="auto"/>
                <w:w w:val="96"/>
              </w:rPr>
              <w:t>Byproduct metal revenues, net of smelting, refining and marketing charges</w:t>
            </w:r>
          </w:p>
        </w:tc>
        <w:tc>
          <w:tcPr>
            <w:tcW w:w="3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(625)</w:t>
            </w:r>
          </w:p>
        </w:tc>
        <w:tc>
          <w:tcPr>
            <w:tcW w:w="18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760" w:type="dxa"/>
            <w:vAlign w:val="bottom"/>
            <w:gridSpan w:val="2"/>
            <w:shd w:val="clear" w:color="auto" w:fill="CCEEFF"/>
          </w:tcPr>
          <w:p>
            <w:pPr>
              <w:ind w:left="42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57"/>
        </w:trPr>
        <w:tc>
          <w:tcPr>
            <w:tcW w:w="1160" w:type="dxa"/>
            <w:vAlign w:val="bottom"/>
          </w:tcPr>
          <w:p>
            <w:pPr>
              <w:spacing w:after="0"/>
              <w:rPr>
                <w:sz w:val="22"/>
                <w:szCs w:val="22"/>
                <w:color w:val="auto"/>
              </w:rPr>
            </w:pPr>
          </w:p>
        </w:tc>
        <w:tc>
          <w:tcPr>
            <w:tcW w:w="5740" w:type="dxa"/>
            <w:vAlign w:val="bottom"/>
            <w:gridSpan w:val="4"/>
          </w:tcPr>
          <w:p>
            <w:pPr>
              <w:spacing w:after="0" w:line="256" w:lineRule="exact"/>
              <w:rPr>
                <w:sz w:val="20"/>
                <w:szCs w:val="20"/>
                <w:color w:val="auto"/>
              </w:rPr>
            </w:pPr>
            <w:r>
              <w:rPr>
                <w:rFonts w:ascii="Arial" w:cs="Arial" w:eastAsia="Arial" w:hAnsi="Arial"/>
                <w:sz w:val="18"/>
                <w:szCs w:val="18"/>
                <w:color w:val="auto"/>
              </w:rPr>
              <w:t>Inventory adjustments</w:t>
            </w:r>
            <w:r>
              <w:rPr>
                <w:rFonts w:ascii="Arial" w:cs="Arial" w:eastAsia="Arial" w:hAnsi="Arial"/>
                <w:sz w:val="29"/>
                <w:szCs w:val="29"/>
                <w:color w:val="auto"/>
                <w:vertAlign w:val="superscript"/>
              </w:rPr>
              <w:t>(i)</w:t>
            </w:r>
          </w:p>
        </w:tc>
        <w:tc>
          <w:tcPr>
            <w:tcW w:w="3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(5,356)</w:t>
            </w:r>
          </w:p>
        </w:tc>
        <w:tc>
          <w:tcPr>
            <w:tcW w:w="180" w:type="dxa"/>
            <w:vAlign w:val="bottom"/>
          </w:tcPr>
          <w:p>
            <w:pPr>
              <w:spacing w:after="0"/>
              <w:rPr>
                <w:sz w:val="22"/>
                <w:szCs w:val="22"/>
                <w:color w:val="auto"/>
              </w:rPr>
            </w:pPr>
          </w:p>
        </w:tc>
        <w:tc>
          <w:tcPr>
            <w:tcW w:w="7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1900" w:type="dxa"/>
            <w:vAlign w:val="bottom"/>
            <w:gridSpan w:val="3"/>
          </w:tcPr>
          <w:p>
            <w:pPr>
              <w:ind w:left="4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5740" w:type="dxa"/>
            <w:vAlign w:val="bottom"/>
            <w:gridSpan w:val="4"/>
            <w:shd w:val="clear" w:color="auto" w:fill="CCEEFF"/>
          </w:tcPr>
          <w:p>
            <w:pPr>
              <w:spacing w:after="0"/>
              <w:rPr>
                <w:sz w:val="20"/>
                <w:szCs w:val="20"/>
                <w:color w:val="auto"/>
              </w:rPr>
            </w:pPr>
            <w:r>
              <w:rPr>
                <w:rFonts w:ascii="Arial" w:cs="Arial" w:eastAsia="Arial" w:hAnsi="Arial"/>
                <w:sz w:val="18"/>
                <w:szCs w:val="18"/>
                <w:color w:val="auto"/>
              </w:rPr>
              <w:t>Non-cash reclamation provision</w:t>
            </w:r>
          </w:p>
        </w:tc>
        <w:tc>
          <w:tcPr>
            <w:tcW w:w="3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(100)</w:t>
            </w:r>
          </w:p>
        </w:tc>
        <w:tc>
          <w:tcPr>
            <w:tcW w:w="18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760" w:type="dxa"/>
            <w:vAlign w:val="bottom"/>
            <w:gridSpan w:val="2"/>
            <w:shd w:val="clear" w:color="auto" w:fill="CCEEFF"/>
          </w:tcPr>
          <w:p>
            <w:pPr>
              <w:ind w:left="42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6900" w:type="dxa"/>
            <w:vAlign w:val="bottom"/>
            <w:gridSpan w:val="5"/>
            <w:vMerge w:val="restart"/>
          </w:tcPr>
          <w:p>
            <w:pPr>
              <w:ind w:left="1140"/>
              <w:spacing w:after="0"/>
              <w:rPr>
                <w:sz w:val="20"/>
                <w:szCs w:val="20"/>
                <w:color w:val="auto"/>
              </w:rPr>
            </w:pPr>
            <w:r>
              <w:rPr>
                <w:rFonts w:ascii="Arial" w:cs="Arial" w:eastAsia="Arial" w:hAnsi="Arial"/>
                <w:sz w:val="18"/>
                <w:szCs w:val="18"/>
                <w:color w:val="auto"/>
              </w:rPr>
              <w:t>Cash operating costs</w:t>
            </w:r>
          </w:p>
        </w:tc>
        <w:tc>
          <w:tcPr>
            <w:tcW w:w="520" w:type="dxa"/>
            <w:vAlign w:val="bottom"/>
            <w:gridSpan w:val="2"/>
          </w:tcPr>
          <w:p>
            <w:pPr>
              <w:spacing w:after="0"/>
              <w:rPr>
                <w:sz w:val="2"/>
                <w:szCs w:val="2"/>
                <w:color w:val="auto"/>
              </w:rPr>
            </w:pPr>
          </w:p>
        </w:tc>
        <w:tc>
          <w:tcPr>
            <w:tcW w:w="680" w:type="dxa"/>
            <w:vAlign w:val="bottom"/>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Pr>
          <w:p>
            <w:pPr>
              <w:spacing w:after="0"/>
              <w:rPr>
                <w:sz w:val="2"/>
                <w:szCs w:val="2"/>
                <w:color w:val="auto"/>
              </w:rPr>
            </w:pPr>
          </w:p>
        </w:tc>
        <w:tc>
          <w:tcPr>
            <w:tcW w:w="780" w:type="dxa"/>
            <w:vAlign w:val="bottom"/>
            <w:gridSpan w:val="2"/>
          </w:tcPr>
          <w:p>
            <w:pPr>
              <w:spacing w:after="0"/>
              <w:rPr>
                <w:sz w:val="2"/>
                <w:szCs w:val="2"/>
                <w:color w:val="auto"/>
              </w:rPr>
            </w:pPr>
          </w:p>
        </w:tc>
        <w:tc>
          <w:tcPr>
            <w:tcW w:w="300" w:type="dxa"/>
            <w:vAlign w:val="bottom"/>
            <w:gridSpan w:val="2"/>
          </w:tcPr>
          <w:p>
            <w:pPr>
              <w:spacing w:after="0"/>
              <w:rPr>
                <w:sz w:val="2"/>
                <w:szCs w:val="2"/>
                <w:color w:val="auto"/>
              </w:rPr>
            </w:pPr>
          </w:p>
        </w:tc>
        <w:tc>
          <w:tcPr>
            <w:tcW w:w="1900" w:type="dxa"/>
            <w:vAlign w:val="bottom"/>
            <w:gridSpan w:val="3"/>
          </w:tcPr>
          <w:p>
            <w:pPr>
              <w:spacing w:after="0"/>
              <w:rPr>
                <w:sz w:val="2"/>
                <w:szCs w:val="2"/>
                <w:color w:val="auto"/>
              </w:rPr>
            </w:pPr>
          </w:p>
        </w:tc>
        <w:tc>
          <w:tcPr>
            <w:tcW w:w="0" w:type="dxa"/>
            <w:vAlign w:val="bottom"/>
          </w:tcPr>
          <w:p>
            <w:pPr>
              <w:spacing w:after="0"/>
              <w:rPr>
                <w:sz w:val="1"/>
                <w:szCs w:val="1"/>
                <w:color w:val="auto"/>
              </w:rPr>
            </w:pPr>
          </w:p>
        </w:tc>
      </w:tr>
      <w:tr>
        <w:trPr>
          <w:trHeight w:val="210"/>
        </w:trPr>
        <w:tc>
          <w:tcPr>
            <w:tcW w:w="6900" w:type="dxa"/>
            <w:vAlign w:val="bottom"/>
            <w:gridSpan w:val="5"/>
            <w:vMerge w:val="continue"/>
          </w:tcPr>
          <w:p>
            <w:pPr>
              <w:spacing w:after="0"/>
              <w:rPr>
                <w:sz w:val="18"/>
                <w:szCs w:val="18"/>
                <w:color w:val="auto"/>
              </w:rPr>
            </w:pPr>
          </w:p>
        </w:tc>
        <w:tc>
          <w:tcPr>
            <w:tcW w:w="340" w:type="dxa"/>
            <w:vAlign w:val="bottom"/>
          </w:tcPr>
          <w:p>
            <w:pPr>
              <w:spacing w:after="0"/>
              <w:rPr>
                <w:sz w:val="18"/>
                <w:szCs w:val="18"/>
                <w:color w:val="auto"/>
              </w:rPr>
            </w:pPr>
          </w:p>
        </w:tc>
        <w:tc>
          <w:tcPr>
            <w:tcW w:w="1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6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5,738</w:t>
            </w:r>
          </w:p>
        </w:tc>
        <w:tc>
          <w:tcPr>
            <w:tcW w:w="160" w:type="dxa"/>
            <w:vAlign w:val="bottom"/>
          </w:tcPr>
          <w:p>
            <w:pPr>
              <w:spacing w:after="0"/>
              <w:rPr>
                <w:sz w:val="18"/>
                <w:szCs w:val="18"/>
                <w:color w:val="auto"/>
              </w:rPr>
            </w:pPr>
          </w:p>
        </w:tc>
        <w:tc>
          <w:tcPr>
            <w:tcW w:w="180" w:type="dxa"/>
            <w:vAlign w:val="bottom"/>
            <w:tcBorders>
              <w:top w:val="single" w:sz="8" w:color="auto"/>
            </w:tcBorders>
          </w:tcPr>
          <w:p>
            <w:pPr>
              <w:jc w:val="right"/>
              <w:ind w:right="23"/>
              <w:spacing w:after="0"/>
              <w:rPr>
                <w:sz w:val="20"/>
                <w:szCs w:val="20"/>
                <w:color w:val="auto"/>
              </w:rPr>
            </w:pPr>
            <w:r>
              <w:rPr>
                <w:rFonts w:ascii="Arial" w:cs="Arial" w:eastAsia="Arial" w:hAnsi="Arial"/>
                <w:sz w:val="15"/>
                <w:szCs w:val="15"/>
                <w:color w:val="auto"/>
                <w:w w:val="71"/>
              </w:rPr>
              <w:t>$</w:t>
            </w:r>
          </w:p>
        </w:tc>
        <w:tc>
          <w:tcPr>
            <w:tcW w:w="6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40" w:type="dxa"/>
            <w:vAlign w:val="bottom"/>
            <w:tcBorders>
              <w:top w:val="single" w:sz="8" w:color="auto"/>
            </w:tcBorders>
          </w:tcPr>
          <w:p>
            <w:pPr>
              <w:jc w:val="right"/>
              <w:ind w:right="83"/>
              <w:spacing w:after="0"/>
              <w:rPr>
                <w:sz w:val="20"/>
                <w:szCs w:val="20"/>
                <w:color w:val="auto"/>
              </w:rPr>
            </w:pPr>
            <w:r>
              <w:rPr>
                <w:rFonts w:ascii="Arial" w:cs="Arial" w:eastAsia="Arial" w:hAnsi="Arial"/>
                <w:sz w:val="15"/>
                <w:szCs w:val="15"/>
                <w:color w:val="auto"/>
                <w:w w:val="71"/>
              </w:rPr>
              <w:t>$</w:t>
            </w:r>
          </w:p>
        </w:tc>
        <w:tc>
          <w:tcPr>
            <w:tcW w:w="600" w:type="dxa"/>
            <w:vAlign w:val="bottom"/>
            <w:tcBorders>
              <w:top w:val="single" w:sz="8" w:color="auto"/>
            </w:tcBorders>
          </w:tcPr>
          <w:p>
            <w:pPr>
              <w:ind w:left="420"/>
              <w:spacing w:after="0"/>
              <w:rPr>
                <w:sz w:val="20"/>
                <w:szCs w:val="20"/>
                <w:color w:val="auto"/>
              </w:rPr>
            </w:pPr>
            <w:r>
              <w:rPr>
                <w:rFonts w:ascii="Arial" w:cs="Arial" w:eastAsia="Arial" w:hAnsi="Arial"/>
                <w:sz w:val="18"/>
                <w:szCs w:val="18"/>
                <w:color w:val="auto"/>
                <w:w w:val="88"/>
              </w:rPr>
              <w:t>—</w:t>
            </w:r>
          </w:p>
        </w:tc>
        <w:tc>
          <w:tcPr>
            <w:tcW w:w="1300" w:type="dxa"/>
            <w:vAlign w:val="bottom"/>
            <w:gridSpan w:val="2"/>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5740" w:type="dxa"/>
            <w:vAlign w:val="bottom"/>
            <w:gridSpan w:val="4"/>
            <w:shd w:val="clear" w:color="auto" w:fill="CCEEFF"/>
          </w:tcPr>
          <w:p>
            <w:pPr>
              <w:spacing w:after="0"/>
              <w:rPr>
                <w:sz w:val="20"/>
                <w:szCs w:val="20"/>
                <w:color w:val="auto"/>
              </w:rPr>
            </w:pPr>
            <w:r>
              <w:rPr>
                <w:rFonts w:ascii="Arial" w:cs="Arial" w:eastAsia="Arial" w:hAnsi="Arial"/>
                <w:sz w:val="18"/>
                <w:szCs w:val="18"/>
                <w:color w:val="auto"/>
              </w:rPr>
              <w:t>Gold production (ounces)</w:t>
            </w:r>
          </w:p>
        </w:tc>
        <w:tc>
          <w:tcPr>
            <w:tcW w:w="3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9,634</w:t>
            </w: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760" w:type="dxa"/>
            <w:vAlign w:val="bottom"/>
            <w:gridSpan w:val="2"/>
            <w:shd w:val="clear" w:color="auto" w:fill="CCEEFF"/>
          </w:tcPr>
          <w:p>
            <w:pPr>
              <w:ind w:left="42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6900" w:type="dxa"/>
            <w:vAlign w:val="bottom"/>
            <w:gridSpan w:val="5"/>
            <w:vMerge w:val="restart"/>
          </w:tcPr>
          <w:p>
            <w:pPr>
              <w:ind w:left="1140"/>
              <w:spacing w:after="0" w:line="324" w:lineRule="exact"/>
              <w:rPr>
                <w:sz w:val="20"/>
                <w:szCs w:val="20"/>
                <w:color w:val="auto"/>
              </w:rPr>
            </w:pPr>
            <w:r>
              <w:rPr>
                <w:rFonts w:ascii="Arial" w:cs="Arial" w:eastAsia="Arial" w:hAnsi="Arial"/>
                <w:sz w:val="18"/>
                <w:szCs w:val="18"/>
                <w:color w:val="auto"/>
              </w:rPr>
              <w:t>Total cash costs (per ounce)</w:t>
            </w:r>
            <w:r>
              <w:rPr>
                <w:rFonts w:ascii="Arial" w:cs="Arial" w:eastAsia="Arial" w:hAnsi="Arial"/>
                <w:sz w:val="29"/>
                <w:szCs w:val="29"/>
                <w:color w:val="auto"/>
                <w:vertAlign w:val="superscript"/>
              </w:rPr>
              <w:t>(ii)</w:t>
            </w:r>
          </w:p>
        </w:tc>
        <w:tc>
          <w:tcPr>
            <w:tcW w:w="34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68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68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300" w:type="dxa"/>
            <w:vAlign w:val="bottom"/>
            <w:gridSpan w:val="2"/>
          </w:tcPr>
          <w:p>
            <w:pPr>
              <w:spacing w:after="0"/>
              <w:rPr>
                <w:sz w:val="2"/>
                <w:szCs w:val="2"/>
                <w:color w:val="auto"/>
              </w:rPr>
            </w:pPr>
          </w:p>
        </w:tc>
        <w:tc>
          <w:tcPr>
            <w:tcW w:w="0" w:type="dxa"/>
            <w:vAlign w:val="bottom"/>
          </w:tcPr>
          <w:p>
            <w:pPr>
              <w:spacing w:after="0"/>
              <w:rPr>
                <w:sz w:val="1"/>
                <w:szCs w:val="1"/>
                <w:color w:val="auto"/>
              </w:rPr>
            </w:pPr>
          </w:p>
        </w:tc>
      </w:tr>
      <w:tr>
        <w:trPr>
          <w:trHeight w:val="277"/>
        </w:trPr>
        <w:tc>
          <w:tcPr>
            <w:tcW w:w="6900" w:type="dxa"/>
            <w:vAlign w:val="bottom"/>
            <w:gridSpan w:val="5"/>
            <w:vMerge w:val="continue"/>
          </w:tcPr>
          <w:p>
            <w:pPr>
              <w:spacing w:after="0"/>
              <w:rPr>
                <w:sz w:val="24"/>
                <w:szCs w:val="24"/>
                <w:color w:val="auto"/>
              </w:rPr>
            </w:pPr>
          </w:p>
        </w:tc>
        <w:tc>
          <w:tcPr>
            <w:tcW w:w="5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80" w:type="dxa"/>
            <w:vAlign w:val="bottom"/>
          </w:tcPr>
          <w:p>
            <w:pPr>
              <w:jc w:val="right"/>
              <w:spacing w:after="0"/>
              <w:rPr>
                <w:sz w:val="20"/>
                <w:szCs w:val="20"/>
                <w:color w:val="auto"/>
              </w:rPr>
            </w:pPr>
            <w:r>
              <w:rPr>
                <w:rFonts w:ascii="Arial" w:cs="Arial" w:eastAsia="Arial" w:hAnsi="Arial"/>
                <w:sz w:val="18"/>
                <w:szCs w:val="18"/>
                <w:color w:val="auto"/>
              </w:rPr>
              <w:t>596</w:t>
            </w:r>
          </w:p>
        </w:tc>
        <w:tc>
          <w:tcPr>
            <w:tcW w:w="160" w:type="dxa"/>
            <w:vAlign w:val="bottom"/>
          </w:tcPr>
          <w:p>
            <w:pPr>
              <w:spacing w:after="0"/>
              <w:rPr>
                <w:sz w:val="24"/>
                <w:szCs w:val="24"/>
                <w:color w:val="auto"/>
              </w:rPr>
            </w:pPr>
          </w:p>
        </w:tc>
        <w:tc>
          <w:tcPr>
            <w:tcW w:w="180" w:type="dxa"/>
            <w:vAlign w:val="bottom"/>
          </w:tcPr>
          <w:p>
            <w:pPr>
              <w:jc w:val="right"/>
              <w:ind w:right="23"/>
              <w:spacing w:after="0"/>
              <w:rPr>
                <w:sz w:val="20"/>
                <w:szCs w:val="20"/>
                <w:color w:val="auto"/>
              </w:rPr>
            </w:pPr>
            <w:r>
              <w:rPr>
                <w:rFonts w:ascii="Arial" w:cs="Arial" w:eastAsia="Arial" w:hAnsi="Arial"/>
                <w:sz w:val="15"/>
                <w:szCs w:val="15"/>
                <w:color w:val="auto"/>
                <w:w w:val="71"/>
              </w:rPr>
              <w:t>$</w:t>
            </w:r>
          </w:p>
        </w:tc>
        <w:tc>
          <w:tcPr>
            <w:tcW w:w="7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300" w:type="dxa"/>
            <w:vAlign w:val="bottom"/>
            <w:gridSpan w:val="2"/>
          </w:tcPr>
          <w:p>
            <w:pPr>
              <w:jc w:val="right"/>
              <w:ind w:right="83"/>
              <w:spacing w:after="0"/>
              <w:rPr>
                <w:sz w:val="20"/>
                <w:szCs w:val="20"/>
                <w:color w:val="auto"/>
              </w:rPr>
            </w:pPr>
            <w:r>
              <w:rPr>
                <w:rFonts w:ascii="Arial" w:cs="Arial" w:eastAsia="Arial" w:hAnsi="Arial"/>
                <w:sz w:val="18"/>
                <w:szCs w:val="18"/>
                <w:color w:val="auto"/>
              </w:rPr>
              <w:t>$</w:t>
            </w:r>
          </w:p>
        </w:tc>
        <w:tc>
          <w:tcPr>
            <w:tcW w:w="1900" w:type="dxa"/>
            <w:vAlign w:val="bottom"/>
            <w:gridSpan w:val="3"/>
          </w:tcPr>
          <w:p>
            <w:pPr>
              <w:ind w:left="4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6900" w:type="dxa"/>
            <w:vAlign w:val="bottom"/>
            <w:gridSpan w:val="5"/>
            <w:vMerge w:val="restart"/>
          </w:tcPr>
          <w:p>
            <w:pPr>
              <w:ind w:left="5620"/>
              <w:spacing w:after="0"/>
              <w:rPr>
                <w:sz w:val="20"/>
                <w:szCs w:val="20"/>
                <w:color w:val="auto"/>
              </w:rPr>
            </w:pPr>
            <w:r>
              <w:rPr>
                <w:rFonts w:ascii="Arial" w:cs="Arial" w:eastAsia="Arial" w:hAnsi="Arial"/>
                <w:sz w:val="18"/>
                <w:szCs w:val="18"/>
                <w:color w:val="auto"/>
              </w:rPr>
              <w:t>77</w:t>
            </w:r>
          </w:p>
        </w:tc>
        <w:tc>
          <w:tcPr>
            <w:tcW w:w="34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1"/>
        </w:trPr>
        <w:tc>
          <w:tcPr>
            <w:tcW w:w="6900" w:type="dxa"/>
            <w:vAlign w:val="bottom"/>
            <w:gridSpan w:val="5"/>
            <w:vMerge w:val="continue"/>
          </w:tcPr>
          <w:p>
            <w:pPr>
              <w:spacing w:after="0"/>
              <w:rPr>
                <w:sz w:val="24"/>
                <w:szCs w:val="24"/>
                <w:color w:val="auto"/>
              </w:rPr>
            </w:pPr>
          </w:p>
        </w:tc>
        <w:tc>
          <w:tcPr>
            <w:tcW w:w="3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1160" w:type="dxa"/>
            <w:vAlign w:val="bottom"/>
            <w:tcBorders>
              <w:bottom w:val="single" w:sz="8" w:color="808080"/>
            </w:tcBorders>
          </w:tcPr>
          <w:p>
            <w:pPr>
              <w:spacing w:after="0"/>
              <w:rPr>
                <w:sz w:val="19"/>
                <w:szCs w:val="19"/>
                <w:color w:val="auto"/>
              </w:rPr>
            </w:pPr>
          </w:p>
        </w:tc>
        <w:tc>
          <w:tcPr>
            <w:tcW w:w="1800" w:type="dxa"/>
            <w:vAlign w:val="bottom"/>
            <w:tcBorders>
              <w:bottom w:val="single" w:sz="8" w:color="808080"/>
            </w:tcBorders>
          </w:tcPr>
          <w:p>
            <w:pPr>
              <w:spacing w:after="0"/>
              <w:rPr>
                <w:sz w:val="19"/>
                <w:szCs w:val="19"/>
                <w:color w:val="auto"/>
              </w:rPr>
            </w:pPr>
          </w:p>
        </w:tc>
        <w:tc>
          <w:tcPr>
            <w:tcW w:w="80" w:type="dxa"/>
            <w:vAlign w:val="bottom"/>
            <w:tcBorders>
              <w:bottom w:val="single" w:sz="8" w:color="808080"/>
            </w:tcBorders>
          </w:tcPr>
          <w:p>
            <w:pPr>
              <w:spacing w:after="0"/>
              <w:rPr>
                <w:sz w:val="19"/>
                <w:szCs w:val="19"/>
                <w:color w:val="auto"/>
              </w:rPr>
            </w:pPr>
          </w:p>
        </w:tc>
        <w:tc>
          <w:tcPr>
            <w:tcW w:w="300" w:type="dxa"/>
            <w:vAlign w:val="bottom"/>
            <w:tcBorders>
              <w:bottom w:val="single" w:sz="8" w:color="808080"/>
            </w:tcBorders>
          </w:tcPr>
          <w:p>
            <w:pPr>
              <w:spacing w:after="0"/>
              <w:rPr>
                <w:sz w:val="19"/>
                <w:szCs w:val="19"/>
                <w:color w:val="auto"/>
              </w:rPr>
            </w:pPr>
          </w:p>
        </w:tc>
        <w:tc>
          <w:tcPr>
            <w:tcW w:w="3560" w:type="dxa"/>
            <w:vAlign w:val="bottom"/>
            <w:tcBorders>
              <w:bottom w:val="single" w:sz="8" w:color="808080"/>
            </w:tcBorders>
          </w:tcPr>
          <w:p>
            <w:pPr>
              <w:spacing w:after="0"/>
              <w:rPr>
                <w:sz w:val="19"/>
                <w:szCs w:val="19"/>
                <w:color w:val="auto"/>
              </w:rPr>
            </w:pPr>
          </w:p>
        </w:tc>
        <w:tc>
          <w:tcPr>
            <w:tcW w:w="340" w:type="dxa"/>
            <w:vAlign w:val="bottom"/>
            <w:tcBorders>
              <w:bottom w:val="single" w:sz="8" w:color="808080"/>
            </w:tcBorders>
          </w:tcPr>
          <w:p>
            <w:pPr>
              <w:spacing w:after="0"/>
              <w:rPr>
                <w:sz w:val="19"/>
                <w:szCs w:val="19"/>
                <w:color w:val="auto"/>
              </w:rPr>
            </w:pPr>
          </w:p>
        </w:tc>
        <w:tc>
          <w:tcPr>
            <w:tcW w:w="180" w:type="dxa"/>
            <w:vAlign w:val="bottom"/>
            <w:tcBorders>
              <w:bottom w:val="single" w:sz="8" w:color="808080"/>
            </w:tcBorders>
          </w:tcPr>
          <w:p>
            <w:pPr>
              <w:spacing w:after="0"/>
              <w:rPr>
                <w:sz w:val="19"/>
                <w:szCs w:val="19"/>
                <w:color w:val="auto"/>
              </w:rPr>
            </w:pPr>
          </w:p>
        </w:tc>
        <w:tc>
          <w:tcPr>
            <w:tcW w:w="68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80" w:type="dxa"/>
            <w:vAlign w:val="bottom"/>
            <w:tcBorders>
              <w:bottom w:val="single" w:sz="8" w:color="808080"/>
            </w:tcBorders>
          </w:tcPr>
          <w:p>
            <w:pPr>
              <w:spacing w:after="0"/>
              <w:rPr>
                <w:sz w:val="19"/>
                <w:szCs w:val="19"/>
                <w:color w:val="auto"/>
              </w:rPr>
            </w:pPr>
          </w:p>
        </w:tc>
        <w:tc>
          <w:tcPr>
            <w:tcW w:w="680" w:type="dxa"/>
            <w:vAlign w:val="bottom"/>
            <w:tcBorders>
              <w:bottom w:val="single" w:sz="8" w:color="808080"/>
            </w:tcBorders>
          </w:tcPr>
          <w:p>
            <w:pPr>
              <w:spacing w:after="0"/>
              <w:rPr>
                <w:sz w:val="19"/>
                <w:szCs w:val="19"/>
                <w:color w:val="auto"/>
              </w:rPr>
            </w:pPr>
          </w:p>
        </w:tc>
        <w:tc>
          <w:tcPr>
            <w:tcW w:w="100" w:type="dxa"/>
            <w:vAlign w:val="bottom"/>
            <w:tcBorders>
              <w:bottom w:val="single" w:sz="8" w:color="808080"/>
            </w:tcBorders>
          </w:tcPr>
          <w:p>
            <w:pPr>
              <w:spacing w:after="0"/>
              <w:rPr>
                <w:sz w:val="19"/>
                <w:szCs w:val="19"/>
                <w:color w:val="auto"/>
              </w:rPr>
            </w:pPr>
          </w:p>
        </w:tc>
        <w:tc>
          <w:tcPr>
            <w:tcW w:w="60" w:type="dxa"/>
            <w:vAlign w:val="bottom"/>
            <w:tcBorders>
              <w:bottom w:val="single" w:sz="8" w:color="808080"/>
            </w:tcBorders>
          </w:tcPr>
          <w:p>
            <w:pPr>
              <w:spacing w:after="0"/>
              <w:rPr>
                <w:sz w:val="19"/>
                <w:szCs w:val="19"/>
                <w:color w:val="auto"/>
              </w:rPr>
            </w:pPr>
          </w:p>
        </w:tc>
        <w:tc>
          <w:tcPr>
            <w:tcW w:w="240" w:type="dxa"/>
            <w:vAlign w:val="bottom"/>
            <w:tcBorders>
              <w:bottom w:val="single" w:sz="8" w:color="808080"/>
            </w:tcBorders>
          </w:tcPr>
          <w:p>
            <w:pPr>
              <w:spacing w:after="0"/>
              <w:rPr>
                <w:sz w:val="19"/>
                <w:szCs w:val="19"/>
                <w:color w:val="auto"/>
              </w:rPr>
            </w:pPr>
          </w:p>
        </w:tc>
        <w:tc>
          <w:tcPr>
            <w:tcW w:w="60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14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27" w:right="239" w:bottom="1440" w:gutter="0" w:footer="0" w:header="0"/>
        </w:sectPr>
      </w:pPr>
    </w:p>
    <w:bookmarkStart w:id="120" w:name="page121"/>
    <w:bookmarkEnd w:id="120"/>
    <w:p>
      <w:pPr>
        <w:spacing w:after="0"/>
        <w:rPr>
          <w:sz w:val="20"/>
          <w:szCs w:val="20"/>
          <w:color w:val="auto"/>
        </w:rPr>
      </w:pPr>
      <w:r>
        <w:rPr>
          <w:rFonts w:ascii="Arial" w:cs="Arial" w:eastAsia="Arial" w:hAnsi="Arial"/>
          <w:sz w:val="18"/>
          <w:szCs w:val="18"/>
          <w:u w:val="single" w:color="auto"/>
          <w:color w:val="auto"/>
        </w:rPr>
        <w:t>Reconciliation of Minesite Costs per Tonne to Production Costs by Mine</w:t>
      </w:r>
    </w:p>
    <w:p>
      <w:pPr>
        <w:spacing w:after="0" w:line="22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4620" w:type="dxa"/>
            <w:vAlign w:val="bottom"/>
            <w:gridSpan w:val="5"/>
          </w:tcPr>
          <w:p>
            <w:pPr>
              <w:ind w:left="1140"/>
              <w:spacing w:after="0"/>
              <w:rPr>
                <w:sz w:val="20"/>
                <w:szCs w:val="20"/>
                <w:color w:val="auto"/>
              </w:rPr>
            </w:pPr>
            <w:r>
              <w:rPr>
                <w:rFonts w:ascii="Arial" w:cs="Arial" w:eastAsia="Arial" w:hAnsi="Arial"/>
                <w:sz w:val="14"/>
                <w:szCs w:val="14"/>
                <w:b w:val="1"/>
                <w:bCs w:val="1"/>
                <w:color w:val="auto"/>
              </w:rPr>
              <w:t>LaRonde Minesite Costs per Tonne</w:t>
            </w:r>
          </w:p>
        </w:tc>
        <w:tc>
          <w:tcPr>
            <w:tcW w:w="28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40" w:type="dxa"/>
            <w:vAlign w:val="bottom"/>
          </w:tcPr>
          <w:p>
            <w:pPr>
              <w:jc w:val="right"/>
              <w:ind w:right="195"/>
              <w:spacing w:after="0"/>
              <w:rPr>
                <w:sz w:val="20"/>
                <w:szCs w:val="20"/>
                <w:color w:val="auto"/>
              </w:rPr>
            </w:pPr>
            <w:r>
              <w:rPr>
                <w:rFonts w:ascii="Arial" w:cs="Arial" w:eastAsia="Arial" w:hAnsi="Arial"/>
                <w:sz w:val="14"/>
                <w:szCs w:val="14"/>
                <w:b w:val="1"/>
                <w:bCs w:val="1"/>
                <w:color w:val="auto"/>
              </w:rPr>
              <w:t>2009</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40" w:type="dxa"/>
            <w:vAlign w:val="bottom"/>
          </w:tcPr>
          <w:p>
            <w:pPr>
              <w:jc w:val="right"/>
              <w:ind w:right="175"/>
              <w:spacing w:after="0"/>
              <w:rPr>
                <w:sz w:val="20"/>
                <w:szCs w:val="20"/>
                <w:color w:val="auto"/>
              </w:rPr>
            </w:pPr>
            <w:r>
              <w:rPr>
                <w:rFonts w:ascii="Arial" w:cs="Arial" w:eastAsia="Arial" w:hAnsi="Arial"/>
                <w:sz w:val="14"/>
                <w:szCs w:val="14"/>
                <w:b w:val="1"/>
                <w:bCs w:val="1"/>
                <w:color w:val="auto"/>
              </w:rPr>
              <w:t>2008</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40" w:type="dxa"/>
            <w:vAlign w:val="bottom"/>
          </w:tcPr>
          <w:p>
            <w:pPr>
              <w:jc w:val="right"/>
              <w:ind w:right="175"/>
              <w:spacing w:after="0"/>
              <w:rPr>
                <w:sz w:val="20"/>
                <w:szCs w:val="20"/>
                <w:color w:val="auto"/>
              </w:rPr>
            </w:pPr>
            <w:r>
              <w:rPr>
                <w:rFonts w:ascii="Arial" w:cs="Arial" w:eastAsia="Arial" w:hAnsi="Arial"/>
                <w:sz w:val="14"/>
                <w:szCs w:val="14"/>
                <w:b w:val="1"/>
                <w:bCs w:val="1"/>
                <w:color w:val="auto"/>
              </w:rPr>
              <w:t>2007</w:t>
            </w:r>
          </w:p>
        </w:tc>
        <w:tc>
          <w:tcPr>
            <w:tcW w:w="16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1160" w:type="dxa"/>
            <w:vAlign w:val="bottom"/>
          </w:tcPr>
          <w:p>
            <w:pPr>
              <w:spacing w:after="0" w:line="20" w:lineRule="exact"/>
              <w:rPr>
                <w:sz w:val="1"/>
                <w:szCs w:val="1"/>
                <w:color w:val="auto"/>
              </w:rPr>
            </w:pPr>
          </w:p>
        </w:tc>
        <w:tc>
          <w:tcPr>
            <w:tcW w:w="200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60" w:type="dxa"/>
            <w:vAlign w:val="bottom"/>
            <w:tcBorders>
              <w:left w:val="single" w:sz="8" w:color="auto"/>
            </w:tcBorders>
            <w:shd w:val="clear" w:color="auto" w:fill="000000"/>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282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780" w:type="dxa"/>
            <w:vAlign w:val="bottom"/>
            <w:gridSpan w:val="2"/>
            <w:shd w:val="clear" w:color="auto" w:fill="000000"/>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780" w:type="dxa"/>
            <w:vAlign w:val="bottom"/>
            <w:gridSpan w:val="2"/>
            <w:shd w:val="clear" w:color="auto" w:fill="000000"/>
          </w:tcPr>
          <w:p>
            <w:pPr>
              <w:spacing w:after="0" w:line="20" w:lineRule="exact"/>
              <w:rPr>
                <w:sz w:val="1"/>
                <w:szCs w:val="1"/>
                <w:color w:val="auto"/>
              </w:rPr>
            </w:pPr>
          </w:p>
        </w:tc>
        <w:tc>
          <w:tcPr>
            <w:tcW w:w="13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2"/>
        </w:trPr>
        <w:tc>
          <w:tcPr>
            <w:tcW w:w="1160" w:type="dxa"/>
            <w:vAlign w:val="bottom"/>
          </w:tcPr>
          <w:p>
            <w:pPr>
              <w:spacing w:after="0"/>
              <w:rPr>
                <w:sz w:val="12"/>
                <w:szCs w:val="12"/>
                <w:color w:val="auto"/>
              </w:rPr>
            </w:pPr>
          </w:p>
        </w:tc>
        <w:tc>
          <w:tcPr>
            <w:tcW w:w="20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220" w:type="dxa"/>
            <w:vAlign w:val="bottom"/>
          </w:tcPr>
          <w:p>
            <w:pPr>
              <w:spacing w:after="0"/>
              <w:rPr>
                <w:sz w:val="12"/>
                <w:szCs w:val="12"/>
                <w:color w:val="auto"/>
              </w:rPr>
            </w:pPr>
          </w:p>
        </w:tc>
        <w:tc>
          <w:tcPr>
            <w:tcW w:w="28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3820" w:type="dxa"/>
            <w:vAlign w:val="bottom"/>
            <w:gridSpan w:val="11"/>
          </w:tcPr>
          <w:p>
            <w:pPr>
              <w:ind w:left="360"/>
              <w:spacing w:after="0" w:line="142" w:lineRule="exact"/>
              <w:rPr>
                <w:sz w:val="20"/>
                <w:szCs w:val="20"/>
                <w:color w:val="auto"/>
              </w:rPr>
            </w:pPr>
            <w:r>
              <w:rPr>
                <w:rFonts w:ascii="Arial" w:cs="Arial" w:eastAsia="Arial" w:hAnsi="Arial"/>
                <w:sz w:val="14"/>
                <w:szCs w:val="14"/>
                <w:b w:val="1"/>
                <w:bCs w:val="1"/>
                <w:color w:val="auto"/>
              </w:rPr>
              <w:t>(thousands, except as noted)</w:t>
            </w: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3460" w:type="dxa"/>
            <w:vAlign w:val="bottom"/>
            <w:gridSpan w:val="4"/>
            <w:shd w:val="clear" w:color="auto" w:fill="CCEEFF"/>
          </w:tcPr>
          <w:p>
            <w:pPr>
              <w:spacing w:after="0"/>
              <w:rPr>
                <w:sz w:val="20"/>
                <w:szCs w:val="20"/>
                <w:color w:val="auto"/>
              </w:rPr>
            </w:pPr>
            <w:r>
              <w:rPr>
                <w:rFonts w:ascii="Arial" w:cs="Arial" w:eastAsia="Arial" w:hAnsi="Arial"/>
                <w:sz w:val="18"/>
                <w:szCs w:val="18"/>
                <w:color w:val="auto"/>
              </w:rPr>
              <w:t>Production costs</w:t>
            </w:r>
          </w:p>
        </w:tc>
        <w:tc>
          <w:tcPr>
            <w:tcW w:w="29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2"/>
              </w:rPr>
              <w:t>164,221</w:t>
            </w:r>
          </w:p>
        </w:tc>
        <w:tc>
          <w:tcPr>
            <w:tcW w:w="100" w:type="dxa"/>
            <w:vAlign w:val="bottom"/>
            <w:shd w:val="clear" w:color="auto" w:fill="CCEEFF"/>
          </w:tcPr>
          <w:p>
            <w:pPr>
              <w:spacing w:after="0"/>
              <w:rPr>
                <w:sz w:val="18"/>
                <w:szCs w:val="18"/>
                <w:color w:val="auto"/>
              </w:rPr>
            </w:pP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166,496</w:t>
            </w:r>
          </w:p>
        </w:tc>
        <w:tc>
          <w:tcPr>
            <w:tcW w:w="100" w:type="dxa"/>
            <w:vAlign w:val="bottom"/>
            <w:shd w:val="clear" w:color="auto" w:fill="CCEEFF"/>
          </w:tcPr>
          <w:p>
            <w:pPr>
              <w:spacing w:after="0"/>
              <w:rPr>
                <w:sz w:val="18"/>
                <w:szCs w:val="18"/>
                <w:color w:val="auto"/>
              </w:rPr>
            </w:pP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166,104</w:t>
            </w:r>
          </w:p>
        </w:tc>
        <w:tc>
          <w:tcPr>
            <w:tcW w:w="16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3460" w:type="dxa"/>
            <w:vAlign w:val="bottom"/>
            <w:gridSpan w:val="4"/>
          </w:tcPr>
          <w:p>
            <w:pPr>
              <w:spacing w:after="0"/>
              <w:rPr>
                <w:sz w:val="20"/>
                <w:szCs w:val="20"/>
                <w:color w:val="auto"/>
              </w:rPr>
            </w:pPr>
            <w:r>
              <w:rPr>
                <w:rFonts w:ascii="Arial" w:cs="Arial" w:eastAsia="Arial" w:hAnsi="Arial"/>
                <w:sz w:val="18"/>
                <w:szCs w:val="18"/>
                <w:color w:val="auto"/>
              </w:rPr>
              <w:t>Adjustments:</w:t>
            </w:r>
          </w:p>
        </w:tc>
        <w:tc>
          <w:tcPr>
            <w:tcW w:w="28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57"/>
        </w:trPr>
        <w:tc>
          <w:tcPr>
            <w:tcW w:w="1160" w:type="dxa"/>
            <w:vAlign w:val="bottom"/>
          </w:tcPr>
          <w:p>
            <w:pPr>
              <w:spacing w:after="0"/>
              <w:rPr>
                <w:sz w:val="22"/>
                <w:szCs w:val="22"/>
                <w:color w:val="auto"/>
              </w:rPr>
            </w:pPr>
          </w:p>
        </w:tc>
        <w:tc>
          <w:tcPr>
            <w:tcW w:w="3460" w:type="dxa"/>
            <w:vAlign w:val="bottom"/>
            <w:gridSpan w:val="4"/>
            <w:shd w:val="clear" w:color="auto" w:fill="CCEEFF"/>
          </w:tcPr>
          <w:p>
            <w:pPr>
              <w:spacing w:after="0" w:line="256" w:lineRule="exact"/>
              <w:rPr>
                <w:sz w:val="20"/>
                <w:szCs w:val="20"/>
                <w:color w:val="auto"/>
              </w:rPr>
            </w:pPr>
            <w:r>
              <w:rPr>
                <w:rFonts w:ascii="Arial" w:cs="Arial" w:eastAsia="Arial" w:hAnsi="Arial"/>
                <w:sz w:val="18"/>
                <w:szCs w:val="18"/>
                <w:color w:val="auto"/>
              </w:rPr>
              <w:t>Inventory adjustments</w:t>
            </w:r>
            <w:r>
              <w:rPr>
                <w:rFonts w:ascii="Arial" w:cs="Arial" w:eastAsia="Arial" w:hAnsi="Arial"/>
                <w:sz w:val="29"/>
                <w:szCs w:val="29"/>
                <w:color w:val="auto"/>
                <w:vertAlign w:val="superscript"/>
              </w:rPr>
              <w:t>(iii)</w:t>
            </w:r>
          </w:p>
        </w:tc>
        <w:tc>
          <w:tcPr>
            <w:tcW w:w="282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234</w:t>
            </w:r>
          </w:p>
        </w:tc>
        <w:tc>
          <w:tcPr>
            <w:tcW w:w="100" w:type="dxa"/>
            <w:vAlign w:val="bottom"/>
            <w:shd w:val="clear" w:color="auto" w:fill="CCEEFF"/>
          </w:tcPr>
          <w:p>
            <w:pPr>
              <w:spacing w:after="0"/>
              <w:rPr>
                <w:sz w:val="22"/>
                <w:szCs w:val="22"/>
                <w:color w:val="auto"/>
              </w:rPr>
            </w:pPr>
          </w:p>
        </w:tc>
        <w:tc>
          <w:tcPr>
            <w:tcW w:w="60" w:type="dxa"/>
            <w:vAlign w:val="bottom"/>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45</w:t>
            </w:r>
          </w:p>
        </w:tc>
        <w:tc>
          <w:tcPr>
            <w:tcW w:w="100" w:type="dxa"/>
            <w:vAlign w:val="bottom"/>
            <w:shd w:val="clear" w:color="auto" w:fill="CCEEFF"/>
          </w:tcPr>
          <w:p>
            <w:pPr>
              <w:spacing w:after="0"/>
              <w:rPr>
                <w:sz w:val="22"/>
                <w:szCs w:val="22"/>
                <w:color w:val="auto"/>
              </w:rPr>
            </w:pPr>
          </w:p>
        </w:tc>
        <w:tc>
          <w:tcPr>
            <w:tcW w:w="60" w:type="dxa"/>
            <w:vAlign w:val="bottom"/>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916</w:t>
            </w:r>
          </w:p>
        </w:tc>
        <w:tc>
          <w:tcPr>
            <w:tcW w:w="160" w:type="dxa"/>
            <w:vAlign w:val="bottom"/>
            <w:shd w:val="clear" w:color="auto" w:fill="CCEEFF"/>
          </w:tcPr>
          <w:p>
            <w:pPr>
              <w:spacing w:after="0"/>
              <w:rPr>
                <w:sz w:val="22"/>
                <w:szCs w:val="22"/>
                <w:color w:val="auto"/>
              </w:rPr>
            </w:pPr>
          </w:p>
        </w:tc>
        <w:tc>
          <w:tcPr>
            <w:tcW w:w="1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22"/>
        </w:trPr>
        <w:tc>
          <w:tcPr>
            <w:tcW w:w="1160" w:type="dxa"/>
            <w:vAlign w:val="bottom"/>
          </w:tcPr>
          <w:p>
            <w:pPr>
              <w:spacing w:after="0"/>
              <w:rPr>
                <w:sz w:val="19"/>
                <w:szCs w:val="19"/>
                <w:color w:val="auto"/>
              </w:rPr>
            </w:pPr>
          </w:p>
        </w:tc>
        <w:tc>
          <w:tcPr>
            <w:tcW w:w="3460" w:type="dxa"/>
            <w:vAlign w:val="bottom"/>
            <w:gridSpan w:val="4"/>
          </w:tcPr>
          <w:p>
            <w:pPr>
              <w:spacing w:after="0"/>
              <w:rPr>
                <w:sz w:val="20"/>
                <w:szCs w:val="20"/>
                <w:color w:val="auto"/>
              </w:rPr>
            </w:pPr>
            <w:r>
              <w:rPr>
                <w:rFonts w:ascii="Arial" w:cs="Arial" w:eastAsia="Arial" w:hAnsi="Arial"/>
                <w:sz w:val="18"/>
                <w:szCs w:val="18"/>
                <w:color w:val="auto"/>
              </w:rPr>
              <w:t>Non-cash reclamation provision</w:t>
            </w:r>
          </w:p>
        </w:tc>
        <w:tc>
          <w:tcPr>
            <w:tcW w:w="28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40" w:type="dxa"/>
            <w:vAlign w:val="bottom"/>
            <w:gridSpan w:val="2"/>
          </w:tcPr>
          <w:p>
            <w:pPr>
              <w:jc w:val="right"/>
              <w:ind w:right="60"/>
              <w:spacing w:after="0"/>
              <w:rPr>
                <w:sz w:val="20"/>
                <w:szCs w:val="20"/>
                <w:color w:val="auto"/>
              </w:rPr>
            </w:pPr>
            <w:r>
              <w:rPr>
                <w:rFonts w:ascii="Arial" w:cs="Arial" w:eastAsia="Arial" w:hAnsi="Arial"/>
                <w:sz w:val="18"/>
                <w:szCs w:val="18"/>
                <w:color w:val="auto"/>
              </w:rPr>
              <w:t>(1,198)</w:t>
            </w:r>
          </w:p>
        </w:tc>
        <w:tc>
          <w:tcPr>
            <w:tcW w:w="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40" w:type="dxa"/>
            <w:vAlign w:val="bottom"/>
            <w:gridSpan w:val="2"/>
          </w:tcPr>
          <w:p>
            <w:pPr>
              <w:jc w:val="right"/>
              <w:ind w:right="60"/>
              <w:spacing w:after="0"/>
              <w:rPr>
                <w:sz w:val="20"/>
                <w:szCs w:val="20"/>
                <w:color w:val="auto"/>
              </w:rPr>
            </w:pPr>
            <w:r>
              <w:rPr>
                <w:rFonts w:ascii="Arial" w:cs="Arial" w:eastAsia="Arial" w:hAnsi="Arial"/>
                <w:sz w:val="18"/>
                <w:szCs w:val="18"/>
                <w:color w:val="auto"/>
              </w:rPr>
              <w:t>(1,194)</w:t>
            </w:r>
          </w:p>
        </w:tc>
        <w:tc>
          <w:tcPr>
            <w:tcW w:w="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00" w:type="dxa"/>
            <w:vAlign w:val="bottom"/>
            <w:gridSpan w:val="2"/>
          </w:tcPr>
          <w:p>
            <w:pPr>
              <w:jc w:val="right"/>
              <w:ind w:right="100"/>
              <w:spacing w:after="0"/>
              <w:rPr>
                <w:sz w:val="20"/>
                <w:szCs w:val="20"/>
                <w:color w:val="auto"/>
              </w:rPr>
            </w:pPr>
            <w:r>
              <w:rPr>
                <w:rFonts w:ascii="Arial" w:cs="Arial" w:eastAsia="Arial" w:hAnsi="Arial"/>
                <w:sz w:val="18"/>
                <w:szCs w:val="18"/>
                <w:color w:val="auto"/>
              </w:rPr>
              <w:t>(1,264)</w:t>
            </w:r>
          </w:p>
        </w:tc>
        <w:tc>
          <w:tcPr>
            <w:tcW w:w="1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
        </w:trPr>
        <w:tc>
          <w:tcPr>
            <w:tcW w:w="1160" w:type="dxa"/>
            <w:vAlign w:val="bottom"/>
          </w:tcPr>
          <w:p>
            <w:pPr>
              <w:spacing w:after="0" w:line="20" w:lineRule="exact"/>
              <w:rPr>
                <w:sz w:val="1"/>
                <w:szCs w:val="1"/>
                <w:color w:val="auto"/>
              </w:rPr>
            </w:pPr>
          </w:p>
        </w:tc>
        <w:tc>
          <w:tcPr>
            <w:tcW w:w="20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282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10"/>
        </w:trPr>
        <w:tc>
          <w:tcPr>
            <w:tcW w:w="1160" w:type="dxa"/>
            <w:vAlign w:val="bottom"/>
          </w:tcPr>
          <w:p>
            <w:pPr>
              <w:spacing w:after="0"/>
              <w:rPr>
                <w:sz w:val="18"/>
                <w:szCs w:val="18"/>
                <w:color w:val="auto"/>
              </w:rPr>
            </w:pPr>
          </w:p>
        </w:tc>
        <w:tc>
          <w:tcPr>
            <w:tcW w:w="3460" w:type="dxa"/>
            <w:vAlign w:val="bottom"/>
            <w:gridSpan w:val="4"/>
            <w:shd w:val="clear" w:color="auto" w:fill="CCEEFF"/>
          </w:tcPr>
          <w:p>
            <w:pPr>
              <w:spacing w:after="0"/>
              <w:rPr>
                <w:sz w:val="20"/>
                <w:szCs w:val="20"/>
                <w:color w:val="auto"/>
              </w:rPr>
            </w:pPr>
            <w:r>
              <w:rPr>
                <w:rFonts w:ascii="Arial" w:cs="Arial" w:eastAsia="Arial" w:hAnsi="Arial"/>
                <w:sz w:val="18"/>
                <w:szCs w:val="18"/>
                <w:color w:val="auto"/>
              </w:rPr>
              <w:t>Minesite operating costs (US$)</w:t>
            </w:r>
          </w:p>
        </w:tc>
        <w:tc>
          <w:tcPr>
            <w:tcW w:w="29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2"/>
              </w:rPr>
              <w:t>163,257</w:t>
            </w:r>
          </w:p>
        </w:tc>
        <w:tc>
          <w:tcPr>
            <w:tcW w:w="100" w:type="dxa"/>
            <w:vAlign w:val="bottom"/>
            <w:shd w:val="clear" w:color="auto" w:fill="CCEEFF"/>
          </w:tcPr>
          <w:p>
            <w:pPr>
              <w:spacing w:after="0"/>
              <w:rPr>
                <w:sz w:val="18"/>
                <w:szCs w:val="18"/>
                <w:color w:val="auto"/>
              </w:rPr>
            </w:pP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165,347</w:t>
            </w:r>
          </w:p>
        </w:tc>
        <w:tc>
          <w:tcPr>
            <w:tcW w:w="100" w:type="dxa"/>
            <w:vAlign w:val="bottom"/>
            <w:shd w:val="clear" w:color="auto" w:fill="CCEEFF"/>
          </w:tcPr>
          <w:p>
            <w:pPr>
              <w:spacing w:after="0"/>
              <w:rPr>
                <w:sz w:val="18"/>
                <w:szCs w:val="18"/>
                <w:color w:val="auto"/>
              </w:rPr>
            </w:pP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165,756</w:t>
            </w:r>
          </w:p>
        </w:tc>
        <w:tc>
          <w:tcPr>
            <w:tcW w:w="16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3460" w:type="dxa"/>
            <w:vAlign w:val="bottom"/>
            <w:gridSpan w:val="4"/>
          </w:tcPr>
          <w:p>
            <w:pPr>
              <w:spacing w:after="0"/>
              <w:rPr>
                <w:sz w:val="20"/>
                <w:szCs w:val="20"/>
                <w:color w:val="auto"/>
              </w:rPr>
            </w:pPr>
            <w:r>
              <w:rPr>
                <w:rFonts w:ascii="Arial" w:cs="Arial" w:eastAsia="Arial" w:hAnsi="Arial"/>
                <w:sz w:val="18"/>
                <w:szCs w:val="18"/>
                <w:color w:val="auto"/>
              </w:rPr>
              <w:t>Minesite operating costs (C$)</w:t>
            </w:r>
          </w:p>
        </w:tc>
        <w:tc>
          <w:tcPr>
            <w:tcW w:w="29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40" w:type="dxa"/>
            <w:vAlign w:val="bottom"/>
          </w:tcPr>
          <w:p>
            <w:pPr>
              <w:jc w:val="right"/>
              <w:spacing w:after="0"/>
              <w:rPr>
                <w:sz w:val="20"/>
                <w:szCs w:val="20"/>
                <w:color w:val="auto"/>
              </w:rPr>
            </w:pPr>
            <w:r>
              <w:rPr>
                <w:rFonts w:ascii="Arial" w:cs="Arial" w:eastAsia="Arial" w:hAnsi="Arial"/>
                <w:sz w:val="18"/>
                <w:szCs w:val="18"/>
                <w:color w:val="auto"/>
                <w:w w:val="92"/>
              </w:rPr>
              <w:t>184,233</w:t>
            </w:r>
          </w:p>
        </w:tc>
        <w:tc>
          <w:tcPr>
            <w:tcW w:w="100" w:type="dxa"/>
            <w:vAlign w:val="bottom"/>
          </w:tcPr>
          <w:p>
            <w:pPr>
              <w:spacing w:after="0"/>
              <w:rPr>
                <w:sz w:val="18"/>
                <w:szCs w:val="18"/>
                <w:color w:val="auto"/>
              </w:rPr>
            </w:pPr>
          </w:p>
        </w:tc>
        <w:tc>
          <w:tcPr>
            <w:tcW w:w="20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tcPr>
          <w:p>
            <w:pPr>
              <w:jc w:val="right"/>
              <w:spacing w:after="0"/>
              <w:rPr>
                <w:sz w:val="20"/>
                <w:szCs w:val="20"/>
                <w:color w:val="auto"/>
              </w:rPr>
            </w:pPr>
            <w:r>
              <w:rPr>
                <w:rFonts w:ascii="Arial" w:cs="Arial" w:eastAsia="Arial" w:hAnsi="Arial"/>
                <w:sz w:val="18"/>
                <w:szCs w:val="18"/>
                <w:color w:val="auto"/>
                <w:w w:val="95"/>
              </w:rPr>
              <w:t>176,893</w:t>
            </w:r>
          </w:p>
        </w:tc>
        <w:tc>
          <w:tcPr>
            <w:tcW w:w="100" w:type="dxa"/>
            <w:vAlign w:val="bottom"/>
          </w:tcPr>
          <w:p>
            <w:pPr>
              <w:spacing w:after="0"/>
              <w:rPr>
                <w:sz w:val="18"/>
                <w:szCs w:val="18"/>
                <w:color w:val="auto"/>
              </w:rPr>
            </w:pPr>
          </w:p>
        </w:tc>
        <w:tc>
          <w:tcPr>
            <w:tcW w:w="20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tcPr>
          <w:p>
            <w:pPr>
              <w:jc w:val="right"/>
              <w:spacing w:after="0"/>
              <w:rPr>
                <w:sz w:val="20"/>
                <w:szCs w:val="20"/>
                <w:color w:val="auto"/>
              </w:rPr>
            </w:pPr>
            <w:r>
              <w:rPr>
                <w:rFonts w:ascii="Arial" w:cs="Arial" w:eastAsia="Arial" w:hAnsi="Arial"/>
                <w:sz w:val="18"/>
                <w:szCs w:val="18"/>
                <w:color w:val="auto"/>
                <w:w w:val="95"/>
              </w:rPr>
              <w:t>177,735</w:t>
            </w:r>
          </w:p>
        </w:tc>
        <w:tc>
          <w:tcPr>
            <w:tcW w:w="16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3460" w:type="dxa"/>
            <w:vAlign w:val="bottom"/>
            <w:gridSpan w:val="4"/>
            <w:shd w:val="clear" w:color="auto" w:fill="CCEEFF"/>
          </w:tcPr>
          <w:p>
            <w:pPr>
              <w:spacing w:after="0"/>
              <w:rPr>
                <w:sz w:val="20"/>
                <w:szCs w:val="20"/>
                <w:color w:val="auto"/>
              </w:rPr>
            </w:pPr>
            <w:r>
              <w:rPr>
                <w:rFonts w:ascii="Arial" w:cs="Arial" w:eastAsia="Arial" w:hAnsi="Arial"/>
                <w:sz w:val="18"/>
                <w:szCs w:val="18"/>
                <w:color w:val="auto"/>
              </w:rPr>
              <w:t>Tonnes of ore milled (000s tonnes)</w:t>
            </w:r>
          </w:p>
        </w:tc>
        <w:tc>
          <w:tcPr>
            <w:tcW w:w="28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2,546</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2,639</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2,673</w:t>
            </w:r>
          </w:p>
        </w:tc>
        <w:tc>
          <w:tcPr>
            <w:tcW w:w="16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4620" w:type="dxa"/>
            <w:vAlign w:val="bottom"/>
            <w:gridSpan w:val="5"/>
            <w:vMerge w:val="restart"/>
          </w:tcPr>
          <w:p>
            <w:pPr>
              <w:ind w:left="1140"/>
              <w:spacing w:after="0" w:line="324" w:lineRule="exact"/>
              <w:rPr>
                <w:sz w:val="20"/>
                <w:szCs w:val="20"/>
                <w:color w:val="auto"/>
              </w:rPr>
            </w:pPr>
            <w:r>
              <w:rPr>
                <w:rFonts w:ascii="Arial" w:cs="Arial" w:eastAsia="Arial" w:hAnsi="Arial"/>
                <w:sz w:val="18"/>
                <w:szCs w:val="18"/>
                <w:color w:val="auto"/>
              </w:rPr>
              <w:t>Minesite costs per tonne (C$)</w:t>
            </w:r>
            <w:r>
              <w:rPr>
                <w:rFonts w:ascii="Arial" w:cs="Arial" w:eastAsia="Arial" w:hAnsi="Arial"/>
                <w:sz w:val="29"/>
                <w:szCs w:val="29"/>
                <w:color w:val="auto"/>
                <w:vertAlign w:val="superscript"/>
              </w:rPr>
              <w:t>(iv)</w:t>
            </w:r>
          </w:p>
        </w:tc>
        <w:tc>
          <w:tcPr>
            <w:tcW w:w="282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1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77"/>
        </w:trPr>
        <w:tc>
          <w:tcPr>
            <w:tcW w:w="4620" w:type="dxa"/>
            <w:vAlign w:val="bottom"/>
            <w:gridSpan w:val="5"/>
            <w:vMerge w:val="continue"/>
          </w:tcPr>
          <w:p>
            <w:pPr>
              <w:spacing w:after="0"/>
              <w:rPr>
                <w:sz w:val="24"/>
                <w:szCs w:val="24"/>
                <w:color w:val="auto"/>
              </w:rPr>
            </w:pPr>
          </w:p>
        </w:tc>
        <w:tc>
          <w:tcPr>
            <w:tcW w:w="29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40" w:type="dxa"/>
            <w:vAlign w:val="bottom"/>
          </w:tcPr>
          <w:p>
            <w:pPr>
              <w:jc w:val="right"/>
              <w:spacing w:after="0"/>
              <w:rPr>
                <w:sz w:val="20"/>
                <w:szCs w:val="20"/>
                <w:color w:val="auto"/>
              </w:rPr>
            </w:pPr>
            <w:r>
              <w:rPr>
                <w:rFonts w:ascii="Arial" w:cs="Arial" w:eastAsia="Arial" w:hAnsi="Arial"/>
                <w:sz w:val="18"/>
                <w:szCs w:val="18"/>
                <w:color w:val="auto"/>
              </w:rPr>
              <w:t>72</w:t>
            </w:r>
          </w:p>
        </w:tc>
        <w:tc>
          <w:tcPr>
            <w:tcW w:w="100" w:type="dxa"/>
            <w:vAlign w:val="bottom"/>
          </w:tcPr>
          <w:p>
            <w:pPr>
              <w:spacing w:after="0"/>
              <w:rPr>
                <w:sz w:val="24"/>
                <w:szCs w:val="24"/>
                <w:color w:val="auto"/>
              </w:rPr>
            </w:pPr>
          </w:p>
        </w:tc>
        <w:tc>
          <w:tcPr>
            <w:tcW w:w="20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tcPr>
          <w:p>
            <w:pPr>
              <w:jc w:val="right"/>
              <w:spacing w:after="0"/>
              <w:rPr>
                <w:sz w:val="20"/>
                <w:szCs w:val="20"/>
                <w:color w:val="auto"/>
              </w:rPr>
            </w:pPr>
            <w:r>
              <w:rPr>
                <w:rFonts w:ascii="Arial" w:cs="Arial" w:eastAsia="Arial" w:hAnsi="Arial"/>
                <w:sz w:val="18"/>
                <w:szCs w:val="18"/>
                <w:color w:val="auto"/>
              </w:rPr>
              <w:t>67</w:t>
            </w:r>
          </w:p>
        </w:tc>
        <w:tc>
          <w:tcPr>
            <w:tcW w:w="100" w:type="dxa"/>
            <w:vAlign w:val="bottom"/>
          </w:tcPr>
          <w:p>
            <w:pPr>
              <w:spacing w:after="0"/>
              <w:rPr>
                <w:sz w:val="24"/>
                <w:szCs w:val="24"/>
                <w:color w:val="auto"/>
              </w:rPr>
            </w:pPr>
          </w:p>
        </w:tc>
        <w:tc>
          <w:tcPr>
            <w:tcW w:w="20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tcPr>
          <w:p>
            <w:pPr>
              <w:jc w:val="right"/>
              <w:spacing w:after="0"/>
              <w:rPr>
                <w:sz w:val="20"/>
                <w:szCs w:val="20"/>
                <w:color w:val="auto"/>
              </w:rPr>
            </w:pPr>
            <w:r>
              <w:rPr>
                <w:rFonts w:ascii="Arial" w:cs="Arial" w:eastAsia="Arial" w:hAnsi="Arial"/>
                <w:sz w:val="18"/>
                <w:szCs w:val="18"/>
                <w:color w:val="auto"/>
              </w:rPr>
              <w:t>66</w:t>
            </w:r>
          </w:p>
        </w:tc>
        <w:tc>
          <w:tcPr>
            <w:tcW w:w="16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316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380" w:type="dxa"/>
            <w:vAlign w:val="bottom"/>
            <w:gridSpan w:val="2"/>
          </w:tcPr>
          <w:p>
            <w:pPr>
              <w:spacing w:after="0" w:line="20" w:lineRule="exact"/>
              <w:rPr>
                <w:sz w:val="1"/>
                <w:szCs w:val="1"/>
                <w:color w:val="auto"/>
              </w:rPr>
            </w:pPr>
          </w:p>
        </w:tc>
        <w:tc>
          <w:tcPr>
            <w:tcW w:w="28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72"/>
        </w:trPr>
        <w:tc>
          <w:tcPr>
            <w:tcW w:w="4620" w:type="dxa"/>
            <w:vAlign w:val="bottom"/>
            <w:gridSpan w:val="5"/>
          </w:tcPr>
          <w:p>
            <w:pPr>
              <w:ind w:left="1140"/>
              <w:spacing w:after="0"/>
              <w:rPr>
                <w:sz w:val="20"/>
                <w:szCs w:val="20"/>
                <w:color w:val="auto"/>
              </w:rPr>
            </w:pPr>
            <w:r>
              <w:rPr>
                <w:rFonts w:ascii="Arial" w:cs="Arial" w:eastAsia="Arial" w:hAnsi="Arial"/>
                <w:sz w:val="14"/>
                <w:szCs w:val="14"/>
                <w:b w:val="1"/>
                <w:bCs w:val="1"/>
                <w:color w:val="auto"/>
              </w:rPr>
              <w:t>Goldex Minesite Costs per Tonne</w:t>
            </w:r>
          </w:p>
        </w:tc>
        <w:tc>
          <w:tcPr>
            <w:tcW w:w="28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40" w:type="dxa"/>
            <w:vAlign w:val="bottom"/>
          </w:tcPr>
          <w:p>
            <w:pPr>
              <w:jc w:val="right"/>
              <w:ind w:right="195"/>
              <w:spacing w:after="0"/>
              <w:rPr>
                <w:sz w:val="20"/>
                <w:szCs w:val="20"/>
                <w:color w:val="auto"/>
              </w:rPr>
            </w:pPr>
            <w:r>
              <w:rPr>
                <w:rFonts w:ascii="Arial" w:cs="Arial" w:eastAsia="Arial" w:hAnsi="Arial"/>
                <w:sz w:val="14"/>
                <w:szCs w:val="14"/>
                <w:b w:val="1"/>
                <w:bCs w:val="1"/>
                <w:color w:val="auto"/>
              </w:rPr>
              <w:t>2009</w:t>
            </w: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40" w:type="dxa"/>
            <w:vAlign w:val="bottom"/>
          </w:tcPr>
          <w:p>
            <w:pPr>
              <w:jc w:val="right"/>
              <w:ind w:right="175"/>
              <w:spacing w:after="0"/>
              <w:rPr>
                <w:sz w:val="20"/>
                <w:szCs w:val="20"/>
                <w:color w:val="auto"/>
              </w:rPr>
            </w:pPr>
            <w:r>
              <w:rPr>
                <w:rFonts w:ascii="Arial" w:cs="Arial" w:eastAsia="Arial" w:hAnsi="Arial"/>
                <w:sz w:val="14"/>
                <w:szCs w:val="14"/>
                <w:b w:val="1"/>
                <w:bCs w:val="1"/>
                <w:color w:val="auto"/>
              </w:rPr>
              <w:t>2008</w:t>
            </w: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40" w:type="dxa"/>
            <w:vAlign w:val="bottom"/>
          </w:tcPr>
          <w:p>
            <w:pPr>
              <w:jc w:val="right"/>
              <w:ind w:right="175"/>
              <w:spacing w:after="0"/>
              <w:rPr>
                <w:sz w:val="20"/>
                <w:szCs w:val="20"/>
                <w:color w:val="auto"/>
              </w:rPr>
            </w:pPr>
            <w:r>
              <w:rPr>
                <w:rFonts w:ascii="Arial" w:cs="Arial" w:eastAsia="Arial" w:hAnsi="Arial"/>
                <w:sz w:val="14"/>
                <w:szCs w:val="14"/>
                <w:b w:val="1"/>
                <w:bCs w:val="1"/>
                <w:color w:val="auto"/>
              </w:rPr>
              <w:t>2007</w:t>
            </w:r>
          </w:p>
        </w:tc>
        <w:tc>
          <w:tcPr>
            <w:tcW w:w="16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160" w:type="dxa"/>
            <w:vAlign w:val="bottom"/>
            <w:vMerge w:val="restart"/>
          </w:tcPr>
          <w:p>
            <w:pPr>
              <w:spacing w:after="0" w:line="20" w:lineRule="exact"/>
              <w:rPr>
                <w:sz w:val="1"/>
                <w:szCs w:val="1"/>
                <w:color w:val="auto"/>
              </w:rPr>
            </w:pPr>
          </w:p>
        </w:tc>
        <w:tc>
          <w:tcPr>
            <w:tcW w:w="200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60" w:type="dxa"/>
            <w:vAlign w:val="bottom"/>
            <w:tcBorders>
              <w:left w:val="single" w:sz="8" w:color="auto"/>
            </w:tcBorders>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282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40" w:type="dxa"/>
            <w:vAlign w:val="bottom"/>
            <w:vMerge w:val="restart"/>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1160" w:type="dxa"/>
            <w:vAlign w:val="bottom"/>
            <w:vMerge w:val="continue"/>
          </w:tcPr>
          <w:p>
            <w:pPr>
              <w:spacing w:after="0"/>
              <w:rPr>
                <w:sz w:val="18"/>
                <w:szCs w:val="18"/>
                <w:color w:val="auto"/>
              </w:rPr>
            </w:pPr>
          </w:p>
        </w:tc>
        <w:tc>
          <w:tcPr>
            <w:tcW w:w="2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Production costs</w:t>
            </w:r>
          </w:p>
        </w:tc>
        <w:tc>
          <w:tcPr>
            <w:tcW w:w="1380" w:type="dxa"/>
            <w:vAlign w:val="bottom"/>
            <w:tcBorders>
              <w:left w:val="single" w:sz="8" w:color="CCEEFF"/>
            </w:tcBorders>
            <w:gridSpan w:val="2"/>
            <w:shd w:val="clear" w:color="auto" w:fill="CCEEFF"/>
          </w:tcPr>
          <w:p>
            <w:pPr>
              <w:spacing w:after="0"/>
              <w:rPr>
                <w:sz w:val="18"/>
                <w:szCs w:val="18"/>
                <w:color w:val="auto"/>
              </w:rPr>
            </w:pPr>
          </w:p>
        </w:tc>
        <w:tc>
          <w:tcPr>
            <w:tcW w:w="2820" w:type="dxa"/>
            <w:vAlign w:val="bottom"/>
            <w:shd w:val="clear" w:color="auto" w:fill="CCEEFF"/>
          </w:tcPr>
          <w:p>
            <w:pPr>
              <w:spacing w:after="0"/>
              <w:rPr>
                <w:sz w:val="18"/>
                <w:szCs w:val="18"/>
                <w:color w:val="auto"/>
              </w:rPr>
            </w:pP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54,342</w:t>
            </w:r>
          </w:p>
        </w:tc>
        <w:tc>
          <w:tcPr>
            <w:tcW w:w="100" w:type="dxa"/>
            <w:vAlign w:val="bottom"/>
            <w:shd w:val="clear" w:color="auto" w:fill="CCEEFF"/>
          </w:tcPr>
          <w:p>
            <w:pPr>
              <w:spacing w:after="0"/>
              <w:rPr>
                <w:sz w:val="18"/>
                <w:szCs w:val="18"/>
                <w:color w:val="auto"/>
              </w:rPr>
            </w:pP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20,366</w:t>
            </w:r>
          </w:p>
        </w:tc>
        <w:tc>
          <w:tcPr>
            <w:tcW w:w="100" w:type="dxa"/>
            <w:vAlign w:val="bottom"/>
            <w:shd w:val="clear" w:color="auto" w:fill="CCEEFF"/>
          </w:tcPr>
          <w:p>
            <w:pPr>
              <w:spacing w:after="0"/>
              <w:rPr>
                <w:sz w:val="18"/>
                <w:szCs w:val="18"/>
                <w:color w:val="auto"/>
              </w:rPr>
            </w:pP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14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3460" w:type="dxa"/>
            <w:vAlign w:val="bottom"/>
            <w:gridSpan w:val="4"/>
          </w:tcPr>
          <w:p>
            <w:pPr>
              <w:spacing w:after="0"/>
              <w:rPr>
                <w:sz w:val="20"/>
                <w:szCs w:val="20"/>
                <w:color w:val="auto"/>
              </w:rPr>
            </w:pPr>
            <w:r>
              <w:rPr>
                <w:rFonts w:ascii="Arial" w:cs="Arial" w:eastAsia="Arial" w:hAnsi="Arial"/>
                <w:sz w:val="18"/>
                <w:szCs w:val="18"/>
                <w:color w:val="auto"/>
              </w:rPr>
              <w:t>Adjustments:</w:t>
            </w:r>
          </w:p>
        </w:tc>
        <w:tc>
          <w:tcPr>
            <w:tcW w:w="28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57"/>
        </w:trPr>
        <w:tc>
          <w:tcPr>
            <w:tcW w:w="1160" w:type="dxa"/>
            <w:vAlign w:val="bottom"/>
          </w:tcPr>
          <w:p>
            <w:pPr>
              <w:spacing w:after="0"/>
              <w:rPr>
                <w:sz w:val="22"/>
                <w:szCs w:val="22"/>
                <w:color w:val="auto"/>
              </w:rPr>
            </w:pPr>
          </w:p>
        </w:tc>
        <w:tc>
          <w:tcPr>
            <w:tcW w:w="3460" w:type="dxa"/>
            <w:vAlign w:val="bottom"/>
            <w:gridSpan w:val="4"/>
            <w:shd w:val="clear" w:color="auto" w:fill="CCEEFF"/>
          </w:tcPr>
          <w:p>
            <w:pPr>
              <w:spacing w:after="0" w:line="256" w:lineRule="exact"/>
              <w:rPr>
                <w:sz w:val="20"/>
                <w:szCs w:val="20"/>
                <w:color w:val="auto"/>
              </w:rPr>
            </w:pPr>
            <w:r>
              <w:rPr>
                <w:rFonts w:ascii="Arial" w:cs="Arial" w:eastAsia="Arial" w:hAnsi="Arial"/>
                <w:sz w:val="18"/>
                <w:szCs w:val="18"/>
                <w:color w:val="auto"/>
              </w:rPr>
              <w:t>Inventory adjustments</w:t>
            </w:r>
            <w:r>
              <w:rPr>
                <w:rFonts w:ascii="Arial" w:cs="Arial" w:eastAsia="Arial" w:hAnsi="Arial"/>
                <w:sz w:val="29"/>
                <w:szCs w:val="29"/>
                <w:color w:val="auto"/>
                <w:vertAlign w:val="superscript"/>
              </w:rPr>
              <w:t>(iii)</w:t>
            </w:r>
          </w:p>
        </w:tc>
        <w:tc>
          <w:tcPr>
            <w:tcW w:w="282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383</w:t>
            </w:r>
          </w:p>
        </w:tc>
        <w:tc>
          <w:tcPr>
            <w:tcW w:w="100" w:type="dxa"/>
            <w:vAlign w:val="bottom"/>
            <w:shd w:val="clear" w:color="auto" w:fill="CCEEFF"/>
          </w:tcPr>
          <w:p>
            <w:pPr>
              <w:spacing w:after="0"/>
              <w:rPr>
                <w:sz w:val="22"/>
                <w:szCs w:val="22"/>
                <w:color w:val="auto"/>
              </w:rPr>
            </w:pPr>
          </w:p>
        </w:tc>
        <w:tc>
          <w:tcPr>
            <w:tcW w:w="60" w:type="dxa"/>
            <w:vAlign w:val="bottom"/>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7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(448)</w:t>
            </w:r>
          </w:p>
        </w:tc>
        <w:tc>
          <w:tcPr>
            <w:tcW w:w="60" w:type="dxa"/>
            <w:vAlign w:val="bottom"/>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22"/>
        </w:trPr>
        <w:tc>
          <w:tcPr>
            <w:tcW w:w="1160" w:type="dxa"/>
            <w:vAlign w:val="bottom"/>
          </w:tcPr>
          <w:p>
            <w:pPr>
              <w:spacing w:after="0"/>
              <w:rPr>
                <w:sz w:val="19"/>
                <w:szCs w:val="19"/>
                <w:color w:val="auto"/>
              </w:rPr>
            </w:pPr>
          </w:p>
        </w:tc>
        <w:tc>
          <w:tcPr>
            <w:tcW w:w="3460" w:type="dxa"/>
            <w:vAlign w:val="bottom"/>
            <w:gridSpan w:val="4"/>
          </w:tcPr>
          <w:p>
            <w:pPr>
              <w:spacing w:after="0"/>
              <w:rPr>
                <w:sz w:val="20"/>
                <w:szCs w:val="20"/>
                <w:color w:val="auto"/>
              </w:rPr>
            </w:pPr>
            <w:r>
              <w:rPr>
                <w:rFonts w:ascii="Arial" w:cs="Arial" w:eastAsia="Arial" w:hAnsi="Arial"/>
                <w:sz w:val="18"/>
                <w:szCs w:val="18"/>
                <w:color w:val="auto"/>
              </w:rPr>
              <w:t>Non-cash reclamation provision</w:t>
            </w:r>
          </w:p>
        </w:tc>
        <w:tc>
          <w:tcPr>
            <w:tcW w:w="28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40" w:type="dxa"/>
            <w:vAlign w:val="bottom"/>
            <w:gridSpan w:val="2"/>
          </w:tcPr>
          <w:p>
            <w:pPr>
              <w:jc w:val="right"/>
              <w:ind w:right="60"/>
              <w:spacing w:after="0"/>
              <w:rPr>
                <w:sz w:val="20"/>
                <w:szCs w:val="20"/>
                <w:color w:val="auto"/>
              </w:rPr>
            </w:pPr>
            <w:r>
              <w:rPr>
                <w:rFonts w:ascii="Arial" w:cs="Arial" w:eastAsia="Arial" w:hAnsi="Arial"/>
                <w:sz w:val="18"/>
                <w:szCs w:val="18"/>
                <w:color w:val="auto"/>
              </w:rPr>
              <w:t>(196)</w:t>
            </w:r>
          </w:p>
        </w:tc>
        <w:tc>
          <w:tcPr>
            <w:tcW w:w="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40" w:type="dxa"/>
            <w:vAlign w:val="bottom"/>
            <w:gridSpan w:val="2"/>
          </w:tcPr>
          <w:p>
            <w:pPr>
              <w:jc w:val="right"/>
              <w:ind w:right="60"/>
              <w:spacing w:after="0"/>
              <w:rPr>
                <w:sz w:val="20"/>
                <w:szCs w:val="20"/>
                <w:color w:val="auto"/>
              </w:rPr>
            </w:pPr>
            <w:r>
              <w:rPr>
                <w:rFonts w:ascii="Arial" w:cs="Arial" w:eastAsia="Arial" w:hAnsi="Arial"/>
                <w:sz w:val="18"/>
                <w:szCs w:val="18"/>
                <w:color w:val="auto"/>
              </w:rPr>
              <w:t>(72)</w:t>
            </w:r>
          </w:p>
        </w:tc>
        <w:tc>
          <w:tcPr>
            <w:tcW w:w="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
        </w:trPr>
        <w:tc>
          <w:tcPr>
            <w:tcW w:w="1160" w:type="dxa"/>
            <w:vAlign w:val="bottom"/>
          </w:tcPr>
          <w:p>
            <w:pPr>
              <w:spacing w:after="0" w:line="20" w:lineRule="exact"/>
              <w:rPr>
                <w:sz w:val="1"/>
                <w:szCs w:val="1"/>
                <w:color w:val="auto"/>
              </w:rPr>
            </w:pPr>
          </w:p>
        </w:tc>
        <w:tc>
          <w:tcPr>
            <w:tcW w:w="20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282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10"/>
        </w:trPr>
        <w:tc>
          <w:tcPr>
            <w:tcW w:w="1160" w:type="dxa"/>
            <w:vAlign w:val="bottom"/>
          </w:tcPr>
          <w:p>
            <w:pPr>
              <w:spacing w:after="0"/>
              <w:rPr>
                <w:sz w:val="18"/>
                <w:szCs w:val="18"/>
                <w:color w:val="auto"/>
              </w:rPr>
            </w:pPr>
          </w:p>
        </w:tc>
        <w:tc>
          <w:tcPr>
            <w:tcW w:w="3460" w:type="dxa"/>
            <w:vAlign w:val="bottom"/>
            <w:gridSpan w:val="4"/>
            <w:shd w:val="clear" w:color="auto" w:fill="CCEEFF"/>
          </w:tcPr>
          <w:p>
            <w:pPr>
              <w:spacing w:after="0"/>
              <w:rPr>
                <w:sz w:val="20"/>
                <w:szCs w:val="20"/>
                <w:color w:val="auto"/>
              </w:rPr>
            </w:pPr>
            <w:r>
              <w:rPr>
                <w:rFonts w:ascii="Arial" w:cs="Arial" w:eastAsia="Arial" w:hAnsi="Arial"/>
                <w:sz w:val="18"/>
                <w:szCs w:val="18"/>
                <w:color w:val="auto"/>
              </w:rPr>
              <w:t>Minesite operating costs (US$)</w:t>
            </w:r>
          </w:p>
        </w:tc>
        <w:tc>
          <w:tcPr>
            <w:tcW w:w="29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54,529</w:t>
            </w:r>
          </w:p>
        </w:tc>
        <w:tc>
          <w:tcPr>
            <w:tcW w:w="100" w:type="dxa"/>
            <w:vAlign w:val="bottom"/>
            <w:shd w:val="clear" w:color="auto" w:fill="CCEEFF"/>
          </w:tcPr>
          <w:p>
            <w:pPr>
              <w:spacing w:after="0"/>
              <w:rPr>
                <w:sz w:val="18"/>
                <w:szCs w:val="18"/>
                <w:color w:val="auto"/>
              </w:rPr>
            </w:pP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19,846</w:t>
            </w:r>
          </w:p>
        </w:tc>
        <w:tc>
          <w:tcPr>
            <w:tcW w:w="100" w:type="dxa"/>
            <w:vAlign w:val="bottom"/>
            <w:shd w:val="clear" w:color="auto" w:fill="CCEEFF"/>
          </w:tcPr>
          <w:p>
            <w:pPr>
              <w:spacing w:after="0"/>
              <w:rPr>
                <w:sz w:val="18"/>
                <w:szCs w:val="18"/>
                <w:color w:val="auto"/>
              </w:rPr>
            </w:pP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3460" w:type="dxa"/>
            <w:vAlign w:val="bottom"/>
            <w:gridSpan w:val="4"/>
          </w:tcPr>
          <w:p>
            <w:pPr>
              <w:spacing w:after="0"/>
              <w:rPr>
                <w:sz w:val="20"/>
                <w:szCs w:val="20"/>
                <w:color w:val="auto"/>
              </w:rPr>
            </w:pPr>
            <w:r>
              <w:rPr>
                <w:rFonts w:ascii="Arial" w:cs="Arial" w:eastAsia="Arial" w:hAnsi="Arial"/>
                <w:sz w:val="18"/>
                <w:szCs w:val="18"/>
                <w:color w:val="auto"/>
              </w:rPr>
              <w:t>Minesite operating costs (C$)</w:t>
            </w:r>
          </w:p>
        </w:tc>
        <w:tc>
          <w:tcPr>
            <w:tcW w:w="29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40" w:type="dxa"/>
            <w:vAlign w:val="bottom"/>
          </w:tcPr>
          <w:p>
            <w:pPr>
              <w:jc w:val="right"/>
              <w:spacing w:after="0"/>
              <w:rPr>
                <w:sz w:val="20"/>
                <w:szCs w:val="20"/>
                <w:color w:val="auto"/>
              </w:rPr>
            </w:pPr>
            <w:r>
              <w:rPr>
                <w:rFonts w:ascii="Arial" w:cs="Arial" w:eastAsia="Arial" w:hAnsi="Arial"/>
                <w:sz w:val="18"/>
                <w:szCs w:val="18"/>
                <w:color w:val="auto"/>
              </w:rPr>
              <w:t>60,986</w:t>
            </w:r>
          </w:p>
        </w:tc>
        <w:tc>
          <w:tcPr>
            <w:tcW w:w="100" w:type="dxa"/>
            <w:vAlign w:val="bottom"/>
          </w:tcPr>
          <w:p>
            <w:pPr>
              <w:spacing w:after="0"/>
              <w:rPr>
                <w:sz w:val="18"/>
                <w:szCs w:val="18"/>
                <w:color w:val="auto"/>
              </w:rPr>
            </w:pPr>
          </w:p>
        </w:tc>
        <w:tc>
          <w:tcPr>
            <w:tcW w:w="20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tcPr>
          <w:p>
            <w:pPr>
              <w:jc w:val="right"/>
              <w:spacing w:after="0"/>
              <w:rPr>
                <w:sz w:val="20"/>
                <w:szCs w:val="20"/>
                <w:color w:val="auto"/>
              </w:rPr>
            </w:pPr>
            <w:r>
              <w:rPr>
                <w:rFonts w:ascii="Arial" w:cs="Arial" w:eastAsia="Arial" w:hAnsi="Arial"/>
                <w:sz w:val="18"/>
                <w:szCs w:val="18"/>
                <w:color w:val="auto"/>
              </w:rPr>
              <w:t>23,224</w:t>
            </w:r>
          </w:p>
        </w:tc>
        <w:tc>
          <w:tcPr>
            <w:tcW w:w="100" w:type="dxa"/>
            <w:vAlign w:val="bottom"/>
          </w:tcPr>
          <w:p>
            <w:pPr>
              <w:spacing w:after="0"/>
              <w:rPr>
                <w:sz w:val="18"/>
                <w:szCs w:val="18"/>
                <w:color w:val="auto"/>
              </w:rPr>
            </w:pPr>
          </w:p>
        </w:tc>
        <w:tc>
          <w:tcPr>
            <w:tcW w:w="20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3460" w:type="dxa"/>
            <w:vAlign w:val="bottom"/>
            <w:gridSpan w:val="4"/>
            <w:shd w:val="clear" w:color="auto" w:fill="CCEEFF"/>
          </w:tcPr>
          <w:p>
            <w:pPr>
              <w:spacing w:after="0"/>
              <w:rPr>
                <w:sz w:val="20"/>
                <w:szCs w:val="20"/>
                <w:color w:val="auto"/>
              </w:rPr>
            </w:pPr>
            <w:r>
              <w:rPr>
                <w:rFonts w:ascii="Arial" w:cs="Arial" w:eastAsia="Arial" w:hAnsi="Arial"/>
                <w:sz w:val="18"/>
                <w:szCs w:val="18"/>
                <w:color w:val="auto"/>
              </w:rPr>
              <w:t>Tonnes of ore milled (000s tonnes)</w:t>
            </w:r>
          </w:p>
        </w:tc>
        <w:tc>
          <w:tcPr>
            <w:tcW w:w="28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2,615</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851</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4620" w:type="dxa"/>
            <w:vAlign w:val="bottom"/>
            <w:gridSpan w:val="5"/>
            <w:vMerge w:val="restart"/>
          </w:tcPr>
          <w:p>
            <w:pPr>
              <w:ind w:left="1140"/>
              <w:spacing w:after="0" w:line="324" w:lineRule="exact"/>
              <w:rPr>
                <w:sz w:val="20"/>
                <w:szCs w:val="20"/>
                <w:color w:val="auto"/>
              </w:rPr>
            </w:pPr>
            <w:r>
              <w:rPr>
                <w:rFonts w:ascii="Arial" w:cs="Arial" w:eastAsia="Arial" w:hAnsi="Arial"/>
                <w:sz w:val="18"/>
                <w:szCs w:val="18"/>
                <w:color w:val="auto"/>
              </w:rPr>
              <w:t>Minesite costs per tonne (C$)</w:t>
            </w:r>
            <w:r>
              <w:rPr>
                <w:rFonts w:ascii="Arial" w:cs="Arial" w:eastAsia="Arial" w:hAnsi="Arial"/>
                <w:sz w:val="29"/>
                <w:szCs w:val="29"/>
                <w:color w:val="auto"/>
                <w:vertAlign w:val="superscript"/>
              </w:rPr>
              <w:t>(iv)</w:t>
            </w:r>
          </w:p>
        </w:tc>
        <w:tc>
          <w:tcPr>
            <w:tcW w:w="282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300" w:type="dxa"/>
            <w:vAlign w:val="bottom"/>
            <w:gridSpan w:val="2"/>
          </w:tcPr>
          <w:p>
            <w:pPr>
              <w:spacing w:after="0"/>
              <w:rPr>
                <w:sz w:val="2"/>
                <w:szCs w:val="2"/>
                <w:color w:val="auto"/>
              </w:rPr>
            </w:pPr>
          </w:p>
        </w:tc>
        <w:tc>
          <w:tcPr>
            <w:tcW w:w="0" w:type="dxa"/>
            <w:vAlign w:val="bottom"/>
          </w:tcPr>
          <w:p>
            <w:pPr>
              <w:spacing w:after="0"/>
              <w:rPr>
                <w:sz w:val="1"/>
                <w:szCs w:val="1"/>
                <w:color w:val="auto"/>
              </w:rPr>
            </w:pPr>
          </w:p>
        </w:tc>
      </w:tr>
      <w:tr>
        <w:trPr>
          <w:trHeight w:val="277"/>
        </w:trPr>
        <w:tc>
          <w:tcPr>
            <w:tcW w:w="4620" w:type="dxa"/>
            <w:vAlign w:val="bottom"/>
            <w:gridSpan w:val="5"/>
            <w:vMerge w:val="continue"/>
          </w:tcPr>
          <w:p>
            <w:pPr>
              <w:spacing w:after="0"/>
              <w:rPr>
                <w:sz w:val="24"/>
                <w:szCs w:val="24"/>
                <w:color w:val="auto"/>
              </w:rPr>
            </w:pPr>
          </w:p>
        </w:tc>
        <w:tc>
          <w:tcPr>
            <w:tcW w:w="29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40" w:type="dxa"/>
            <w:vAlign w:val="bottom"/>
          </w:tcPr>
          <w:p>
            <w:pPr>
              <w:jc w:val="right"/>
              <w:spacing w:after="0"/>
              <w:rPr>
                <w:sz w:val="20"/>
                <w:szCs w:val="20"/>
                <w:color w:val="auto"/>
              </w:rPr>
            </w:pPr>
            <w:r>
              <w:rPr>
                <w:rFonts w:ascii="Arial" w:cs="Arial" w:eastAsia="Arial" w:hAnsi="Arial"/>
                <w:sz w:val="18"/>
                <w:szCs w:val="18"/>
                <w:color w:val="auto"/>
              </w:rPr>
              <w:t>23</w:t>
            </w:r>
          </w:p>
        </w:tc>
        <w:tc>
          <w:tcPr>
            <w:tcW w:w="100" w:type="dxa"/>
            <w:vAlign w:val="bottom"/>
          </w:tcPr>
          <w:p>
            <w:pPr>
              <w:spacing w:after="0"/>
              <w:rPr>
                <w:sz w:val="24"/>
                <w:szCs w:val="24"/>
                <w:color w:val="auto"/>
              </w:rPr>
            </w:pPr>
          </w:p>
        </w:tc>
        <w:tc>
          <w:tcPr>
            <w:tcW w:w="20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tcPr>
          <w:p>
            <w:pPr>
              <w:jc w:val="right"/>
              <w:spacing w:after="0"/>
              <w:rPr>
                <w:sz w:val="20"/>
                <w:szCs w:val="20"/>
                <w:color w:val="auto"/>
              </w:rPr>
            </w:pPr>
            <w:r>
              <w:rPr>
                <w:rFonts w:ascii="Arial" w:cs="Arial" w:eastAsia="Arial" w:hAnsi="Arial"/>
                <w:sz w:val="18"/>
                <w:szCs w:val="18"/>
                <w:color w:val="auto"/>
              </w:rPr>
              <w:t>27</w:t>
            </w:r>
          </w:p>
        </w:tc>
        <w:tc>
          <w:tcPr>
            <w:tcW w:w="100" w:type="dxa"/>
            <w:vAlign w:val="bottom"/>
          </w:tcPr>
          <w:p>
            <w:pPr>
              <w:spacing w:after="0"/>
              <w:rPr>
                <w:sz w:val="24"/>
                <w:szCs w:val="24"/>
                <w:color w:val="auto"/>
              </w:rPr>
            </w:pPr>
          </w:p>
        </w:tc>
        <w:tc>
          <w:tcPr>
            <w:tcW w:w="20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1940" w:type="dxa"/>
            <w:vAlign w:val="bottom"/>
            <w:gridSpan w:val="3"/>
          </w:tcPr>
          <w:p>
            <w:pPr>
              <w:jc w:val="right"/>
              <w:ind w:right="13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316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380" w:type="dxa"/>
            <w:vAlign w:val="bottom"/>
            <w:gridSpan w:val="2"/>
          </w:tcPr>
          <w:p>
            <w:pPr>
              <w:spacing w:after="0" w:line="20" w:lineRule="exact"/>
              <w:rPr>
                <w:sz w:val="1"/>
                <w:szCs w:val="1"/>
                <w:color w:val="auto"/>
              </w:rPr>
            </w:pPr>
          </w:p>
        </w:tc>
        <w:tc>
          <w:tcPr>
            <w:tcW w:w="28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72"/>
        </w:trPr>
        <w:tc>
          <w:tcPr>
            <w:tcW w:w="4620" w:type="dxa"/>
            <w:vAlign w:val="bottom"/>
            <w:gridSpan w:val="5"/>
          </w:tcPr>
          <w:p>
            <w:pPr>
              <w:ind w:left="1140"/>
              <w:spacing w:after="0"/>
              <w:rPr>
                <w:sz w:val="20"/>
                <w:szCs w:val="20"/>
                <w:color w:val="auto"/>
              </w:rPr>
            </w:pPr>
            <w:r>
              <w:rPr>
                <w:rFonts w:ascii="Arial" w:cs="Arial" w:eastAsia="Arial" w:hAnsi="Arial"/>
                <w:sz w:val="14"/>
                <w:szCs w:val="14"/>
                <w:b w:val="1"/>
                <w:bCs w:val="1"/>
                <w:color w:val="auto"/>
              </w:rPr>
              <w:t>Lapa Minesite Costs per Tonne</w:t>
            </w:r>
          </w:p>
        </w:tc>
        <w:tc>
          <w:tcPr>
            <w:tcW w:w="28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40" w:type="dxa"/>
            <w:vAlign w:val="bottom"/>
          </w:tcPr>
          <w:p>
            <w:pPr>
              <w:jc w:val="right"/>
              <w:ind w:right="195"/>
              <w:spacing w:after="0"/>
              <w:rPr>
                <w:sz w:val="20"/>
                <w:szCs w:val="20"/>
                <w:color w:val="auto"/>
              </w:rPr>
            </w:pPr>
            <w:r>
              <w:rPr>
                <w:rFonts w:ascii="Arial" w:cs="Arial" w:eastAsia="Arial" w:hAnsi="Arial"/>
                <w:sz w:val="14"/>
                <w:szCs w:val="14"/>
                <w:b w:val="1"/>
                <w:bCs w:val="1"/>
                <w:color w:val="auto"/>
              </w:rPr>
              <w:t>2009</w:t>
            </w: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40" w:type="dxa"/>
            <w:vAlign w:val="bottom"/>
          </w:tcPr>
          <w:p>
            <w:pPr>
              <w:jc w:val="right"/>
              <w:ind w:right="175"/>
              <w:spacing w:after="0"/>
              <w:rPr>
                <w:sz w:val="20"/>
                <w:szCs w:val="20"/>
                <w:color w:val="auto"/>
              </w:rPr>
            </w:pPr>
            <w:r>
              <w:rPr>
                <w:rFonts w:ascii="Arial" w:cs="Arial" w:eastAsia="Arial" w:hAnsi="Arial"/>
                <w:sz w:val="14"/>
                <w:szCs w:val="14"/>
                <w:b w:val="1"/>
                <w:bCs w:val="1"/>
                <w:color w:val="auto"/>
              </w:rPr>
              <w:t>2008</w:t>
            </w: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40" w:type="dxa"/>
            <w:vAlign w:val="bottom"/>
          </w:tcPr>
          <w:p>
            <w:pPr>
              <w:jc w:val="right"/>
              <w:ind w:right="175"/>
              <w:spacing w:after="0"/>
              <w:rPr>
                <w:sz w:val="20"/>
                <w:szCs w:val="20"/>
                <w:color w:val="auto"/>
              </w:rPr>
            </w:pPr>
            <w:r>
              <w:rPr>
                <w:rFonts w:ascii="Arial" w:cs="Arial" w:eastAsia="Arial" w:hAnsi="Arial"/>
                <w:sz w:val="14"/>
                <w:szCs w:val="14"/>
                <w:b w:val="1"/>
                <w:bCs w:val="1"/>
                <w:color w:val="auto"/>
              </w:rPr>
              <w:t>2007</w:t>
            </w:r>
          </w:p>
        </w:tc>
        <w:tc>
          <w:tcPr>
            <w:tcW w:w="16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160" w:type="dxa"/>
            <w:vAlign w:val="bottom"/>
            <w:vMerge w:val="restart"/>
          </w:tcPr>
          <w:p>
            <w:pPr>
              <w:spacing w:after="0" w:line="20" w:lineRule="exact"/>
              <w:rPr>
                <w:sz w:val="1"/>
                <w:szCs w:val="1"/>
                <w:color w:val="auto"/>
              </w:rPr>
            </w:pPr>
          </w:p>
        </w:tc>
        <w:tc>
          <w:tcPr>
            <w:tcW w:w="200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282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40" w:type="dxa"/>
            <w:vAlign w:val="bottom"/>
            <w:vMerge w:val="restart"/>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1160" w:type="dxa"/>
            <w:vAlign w:val="bottom"/>
            <w:vMerge w:val="continue"/>
          </w:tcPr>
          <w:p>
            <w:pPr>
              <w:spacing w:after="0"/>
              <w:rPr>
                <w:sz w:val="18"/>
                <w:szCs w:val="18"/>
                <w:color w:val="auto"/>
              </w:rPr>
            </w:pPr>
          </w:p>
        </w:tc>
        <w:tc>
          <w:tcPr>
            <w:tcW w:w="2000" w:type="dxa"/>
            <w:vAlign w:val="bottom"/>
            <w:shd w:val="clear" w:color="auto" w:fill="CCEEFF"/>
          </w:tcPr>
          <w:p>
            <w:pPr>
              <w:spacing w:after="0"/>
              <w:rPr>
                <w:sz w:val="20"/>
                <w:szCs w:val="20"/>
                <w:color w:val="auto"/>
              </w:rPr>
            </w:pPr>
            <w:r>
              <w:rPr>
                <w:rFonts w:ascii="Arial" w:cs="Arial" w:eastAsia="Arial" w:hAnsi="Arial"/>
                <w:sz w:val="18"/>
                <w:szCs w:val="18"/>
                <w:color w:val="auto"/>
              </w:rPr>
              <w:t>Production costs</w:t>
            </w:r>
          </w:p>
        </w:tc>
        <w:tc>
          <w:tcPr>
            <w:tcW w:w="1460" w:type="dxa"/>
            <w:vAlign w:val="bottom"/>
            <w:gridSpan w:val="3"/>
            <w:shd w:val="clear" w:color="auto" w:fill="CCEEFF"/>
          </w:tcPr>
          <w:p>
            <w:pPr>
              <w:spacing w:after="0"/>
              <w:rPr>
                <w:sz w:val="18"/>
                <w:szCs w:val="18"/>
                <w:color w:val="auto"/>
              </w:rPr>
            </w:pPr>
          </w:p>
        </w:tc>
        <w:tc>
          <w:tcPr>
            <w:tcW w:w="2820" w:type="dxa"/>
            <w:vAlign w:val="bottom"/>
            <w:shd w:val="clear" w:color="auto" w:fill="CCEEFF"/>
          </w:tcPr>
          <w:p>
            <w:pPr>
              <w:spacing w:after="0"/>
              <w:rPr>
                <w:sz w:val="18"/>
                <w:szCs w:val="18"/>
                <w:color w:val="auto"/>
              </w:rPr>
            </w:pP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33,472</w:t>
            </w:r>
          </w:p>
        </w:tc>
        <w:tc>
          <w:tcPr>
            <w:tcW w:w="100" w:type="dxa"/>
            <w:vAlign w:val="bottom"/>
            <w:shd w:val="clear" w:color="auto" w:fill="CCEEFF"/>
          </w:tcPr>
          <w:p>
            <w:pPr>
              <w:spacing w:after="0"/>
              <w:rPr>
                <w:sz w:val="18"/>
                <w:szCs w:val="18"/>
                <w:color w:val="auto"/>
              </w:rPr>
            </w:pP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14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3460" w:type="dxa"/>
            <w:vAlign w:val="bottom"/>
            <w:gridSpan w:val="4"/>
          </w:tcPr>
          <w:p>
            <w:pPr>
              <w:spacing w:after="0"/>
              <w:rPr>
                <w:sz w:val="20"/>
                <w:szCs w:val="20"/>
                <w:color w:val="auto"/>
              </w:rPr>
            </w:pPr>
            <w:r>
              <w:rPr>
                <w:rFonts w:ascii="Arial" w:cs="Arial" w:eastAsia="Arial" w:hAnsi="Arial"/>
                <w:sz w:val="18"/>
                <w:szCs w:val="18"/>
                <w:color w:val="auto"/>
              </w:rPr>
              <w:t>Adjustments:</w:t>
            </w:r>
          </w:p>
        </w:tc>
        <w:tc>
          <w:tcPr>
            <w:tcW w:w="28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57"/>
        </w:trPr>
        <w:tc>
          <w:tcPr>
            <w:tcW w:w="1160" w:type="dxa"/>
            <w:vAlign w:val="bottom"/>
          </w:tcPr>
          <w:p>
            <w:pPr>
              <w:spacing w:after="0"/>
              <w:rPr>
                <w:sz w:val="22"/>
                <w:szCs w:val="22"/>
                <w:color w:val="auto"/>
              </w:rPr>
            </w:pPr>
          </w:p>
        </w:tc>
        <w:tc>
          <w:tcPr>
            <w:tcW w:w="3460" w:type="dxa"/>
            <w:vAlign w:val="bottom"/>
            <w:gridSpan w:val="4"/>
            <w:shd w:val="clear" w:color="auto" w:fill="CCEEFF"/>
          </w:tcPr>
          <w:p>
            <w:pPr>
              <w:spacing w:after="0" w:line="256" w:lineRule="exact"/>
              <w:rPr>
                <w:sz w:val="20"/>
                <w:szCs w:val="20"/>
                <w:color w:val="auto"/>
              </w:rPr>
            </w:pPr>
            <w:r>
              <w:rPr>
                <w:rFonts w:ascii="Arial" w:cs="Arial" w:eastAsia="Arial" w:hAnsi="Arial"/>
                <w:sz w:val="18"/>
                <w:szCs w:val="18"/>
                <w:color w:val="auto"/>
              </w:rPr>
              <w:t>Inventory adjustments</w:t>
            </w:r>
            <w:r>
              <w:rPr>
                <w:rFonts w:ascii="Arial" w:cs="Arial" w:eastAsia="Arial" w:hAnsi="Arial"/>
                <w:sz w:val="29"/>
                <w:szCs w:val="29"/>
                <w:color w:val="auto"/>
                <w:vertAlign w:val="superscript"/>
              </w:rPr>
              <w:t>(iii)</w:t>
            </w:r>
          </w:p>
        </w:tc>
        <w:tc>
          <w:tcPr>
            <w:tcW w:w="282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6,072</w:t>
            </w:r>
          </w:p>
        </w:tc>
        <w:tc>
          <w:tcPr>
            <w:tcW w:w="100" w:type="dxa"/>
            <w:vAlign w:val="bottom"/>
            <w:shd w:val="clear" w:color="auto" w:fill="CCEEFF"/>
          </w:tcPr>
          <w:p>
            <w:pPr>
              <w:spacing w:after="0"/>
              <w:rPr>
                <w:sz w:val="22"/>
                <w:szCs w:val="22"/>
                <w:color w:val="auto"/>
              </w:rPr>
            </w:pPr>
          </w:p>
        </w:tc>
        <w:tc>
          <w:tcPr>
            <w:tcW w:w="60" w:type="dxa"/>
            <w:vAlign w:val="bottom"/>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22"/>
        </w:trPr>
        <w:tc>
          <w:tcPr>
            <w:tcW w:w="1160" w:type="dxa"/>
            <w:vAlign w:val="bottom"/>
          </w:tcPr>
          <w:p>
            <w:pPr>
              <w:spacing w:after="0"/>
              <w:rPr>
                <w:sz w:val="19"/>
                <w:szCs w:val="19"/>
                <w:color w:val="auto"/>
              </w:rPr>
            </w:pPr>
          </w:p>
        </w:tc>
        <w:tc>
          <w:tcPr>
            <w:tcW w:w="3460" w:type="dxa"/>
            <w:vAlign w:val="bottom"/>
            <w:gridSpan w:val="4"/>
          </w:tcPr>
          <w:p>
            <w:pPr>
              <w:spacing w:after="0"/>
              <w:rPr>
                <w:sz w:val="20"/>
                <w:szCs w:val="20"/>
                <w:color w:val="auto"/>
              </w:rPr>
            </w:pPr>
            <w:r>
              <w:rPr>
                <w:rFonts w:ascii="Arial" w:cs="Arial" w:eastAsia="Arial" w:hAnsi="Arial"/>
                <w:sz w:val="18"/>
                <w:szCs w:val="18"/>
                <w:color w:val="auto"/>
              </w:rPr>
              <w:t>Non-cash reclamation provision</w:t>
            </w:r>
          </w:p>
        </w:tc>
        <w:tc>
          <w:tcPr>
            <w:tcW w:w="28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40" w:type="dxa"/>
            <w:vAlign w:val="bottom"/>
            <w:gridSpan w:val="2"/>
          </w:tcPr>
          <w:p>
            <w:pPr>
              <w:jc w:val="right"/>
              <w:ind w:right="60"/>
              <w:spacing w:after="0"/>
              <w:rPr>
                <w:sz w:val="20"/>
                <w:szCs w:val="20"/>
                <w:color w:val="auto"/>
              </w:rPr>
            </w:pPr>
            <w:r>
              <w:rPr>
                <w:rFonts w:ascii="Arial" w:cs="Arial" w:eastAsia="Arial" w:hAnsi="Arial"/>
                <w:sz w:val="18"/>
                <w:szCs w:val="18"/>
                <w:color w:val="auto"/>
              </w:rPr>
              <w:t>(26)</w:t>
            </w:r>
          </w:p>
        </w:tc>
        <w:tc>
          <w:tcPr>
            <w:tcW w:w="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
        </w:trPr>
        <w:tc>
          <w:tcPr>
            <w:tcW w:w="1160" w:type="dxa"/>
            <w:vAlign w:val="bottom"/>
          </w:tcPr>
          <w:p>
            <w:pPr>
              <w:spacing w:after="0" w:line="20" w:lineRule="exact"/>
              <w:rPr>
                <w:sz w:val="1"/>
                <w:szCs w:val="1"/>
                <w:color w:val="auto"/>
              </w:rPr>
            </w:pPr>
          </w:p>
        </w:tc>
        <w:tc>
          <w:tcPr>
            <w:tcW w:w="20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282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10"/>
        </w:trPr>
        <w:tc>
          <w:tcPr>
            <w:tcW w:w="1160" w:type="dxa"/>
            <w:vAlign w:val="bottom"/>
          </w:tcPr>
          <w:p>
            <w:pPr>
              <w:spacing w:after="0"/>
              <w:rPr>
                <w:sz w:val="18"/>
                <w:szCs w:val="18"/>
                <w:color w:val="auto"/>
              </w:rPr>
            </w:pPr>
          </w:p>
        </w:tc>
        <w:tc>
          <w:tcPr>
            <w:tcW w:w="3460" w:type="dxa"/>
            <w:vAlign w:val="bottom"/>
            <w:gridSpan w:val="4"/>
            <w:shd w:val="clear" w:color="auto" w:fill="CCEEFF"/>
          </w:tcPr>
          <w:p>
            <w:pPr>
              <w:spacing w:after="0"/>
              <w:rPr>
                <w:sz w:val="20"/>
                <w:szCs w:val="20"/>
                <w:color w:val="auto"/>
              </w:rPr>
            </w:pPr>
            <w:r>
              <w:rPr>
                <w:rFonts w:ascii="Arial" w:cs="Arial" w:eastAsia="Arial" w:hAnsi="Arial"/>
                <w:sz w:val="18"/>
                <w:szCs w:val="18"/>
                <w:color w:val="auto"/>
              </w:rPr>
              <w:t>Minesite operating costs (US$)</w:t>
            </w:r>
          </w:p>
        </w:tc>
        <w:tc>
          <w:tcPr>
            <w:tcW w:w="29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39,518</w:t>
            </w:r>
          </w:p>
        </w:tc>
        <w:tc>
          <w:tcPr>
            <w:tcW w:w="100" w:type="dxa"/>
            <w:vAlign w:val="bottom"/>
            <w:shd w:val="clear" w:color="auto" w:fill="CCEEFF"/>
          </w:tcPr>
          <w:p>
            <w:pPr>
              <w:spacing w:after="0"/>
              <w:rPr>
                <w:sz w:val="18"/>
                <w:szCs w:val="18"/>
                <w:color w:val="auto"/>
              </w:rPr>
            </w:pP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3460" w:type="dxa"/>
            <w:vAlign w:val="bottom"/>
            <w:gridSpan w:val="4"/>
          </w:tcPr>
          <w:p>
            <w:pPr>
              <w:spacing w:after="0"/>
              <w:rPr>
                <w:sz w:val="20"/>
                <w:szCs w:val="20"/>
                <w:color w:val="auto"/>
              </w:rPr>
            </w:pPr>
            <w:r>
              <w:rPr>
                <w:rFonts w:ascii="Arial" w:cs="Arial" w:eastAsia="Arial" w:hAnsi="Arial"/>
                <w:sz w:val="18"/>
                <w:szCs w:val="18"/>
                <w:color w:val="auto"/>
              </w:rPr>
              <w:t>Minesite operating costs (C$)</w:t>
            </w:r>
          </w:p>
        </w:tc>
        <w:tc>
          <w:tcPr>
            <w:tcW w:w="29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40" w:type="dxa"/>
            <w:vAlign w:val="bottom"/>
          </w:tcPr>
          <w:p>
            <w:pPr>
              <w:jc w:val="right"/>
              <w:spacing w:after="0"/>
              <w:rPr>
                <w:sz w:val="20"/>
                <w:szCs w:val="20"/>
                <w:color w:val="auto"/>
              </w:rPr>
            </w:pPr>
            <w:r>
              <w:rPr>
                <w:rFonts w:ascii="Arial" w:cs="Arial" w:eastAsia="Arial" w:hAnsi="Arial"/>
                <w:sz w:val="18"/>
                <w:szCs w:val="18"/>
                <w:color w:val="auto"/>
              </w:rPr>
              <w:t>42,055</w:t>
            </w:r>
          </w:p>
        </w:tc>
        <w:tc>
          <w:tcPr>
            <w:tcW w:w="100" w:type="dxa"/>
            <w:vAlign w:val="bottom"/>
          </w:tcPr>
          <w:p>
            <w:pPr>
              <w:spacing w:after="0"/>
              <w:rPr>
                <w:sz w:val="18"/>
                <w:szCs w:val="18"/>
                <w:color w:val="auto"/>
              </w:rPr>
            </w:pPr>
          </w:p>
        </w:tc>
        <w:tc>
          <w:tcPr>
            <w:tcW w:w="20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20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3460" w:type="dxa"/>
            <w:vAlign w:val="bottom"/>
            <w:gridSpan w:val="4"/>
            <w:shd w:val="clear" w:color="auto" w:fill="CCEEFF"/>
          </w:tcPr>
          <w:p>
            <w:pPr>
              <w:spacing w:after="0"/>
              <w:rPr>
                <w:sz w:val="20"/>
                <w:szCs w:val="20"/>
                <w:color w:val="auto"/>
              </w:rPr>
            </w:pPr>
            <w:r>
              <w:rPr>
                <w:rFonts w:ascii="Arial" w:cs="Arial" w:eastAsia="Arial" w:hAnsi="Arial"/>
                <w:sz w:val="18"/>
                <w:szCs w:val="18"/>
                <w:color w:val="auto"/>
              </w:rPr>
              <w:t>Tonnes of ore milled (000s tonnes)</w:t>
            </w:r>
          </w:p>
        </w:tc>
        <w:tc>
          <w:tcPr>
            <w:tcW w:w="28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299</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4620" w:type="dxa"/>
            <w:vAlign w:val="bottom"/>
            <w:gridSpan w:val="5"/>
            <w:vMerge w:val="restart"/>
          </w:tcPr>
          <w:p>
            <w:pPr>
              <w:ind w:left="1140"/>
              <w:spacing w:after="0" w:line="324" w:lineRule="exact"/>
              <w:rPr>
                <w:sz w:val="20"/>
                <w:szCs w:val="20"/>
                <w:color w:val="auto"/>
              </w:rPr>
            </w:pPr>
            <w:r>
              <w:rPr>
                <w:rFonts w:ascii="Arial" w:cs="Arial" w:eastAsia="Arial" w:hAnsi="Arial"/>
                <w:sz w:val="18"/>
                <w:szCs w:val="18"/>
                <w:color w:val="auto"/>
              </w:rPr>
              <w:t>Minesite costs per tonne (C$)</w:t>
            </w:r>
            <w:r>
              <w:rPr>
                <w:rFonts w:ascii="Arial" w:cs="Arial" w:eastAsia="Arial" w:hAnsi="Arial"/>
                <w:sz w:val="29"/>
                <w:szCs w:val="29"/>
                <w:color w:val="auto"/>
                <w:vertAlign w:val="superscript"/>
              </w:rPr>
              <w:t>(iv)</w:t>
            </w:r>
          </w:p>
        </w:tc>
        <w:tc>
          <w:tcPr>
            <w:tcW w:w="282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300" w:type="dxa"/>
            <w:vAlign w:val="bottom"/>
            <w:gridSpan w:val="2"/>
          </w:tcPr>
          <w:p>
            <w:pPr>
              <w:spacing w:after="0"/>
              <w:rPr>
                <w:sz w:val="2"/>
                <w:szCs w:val="2"/>
                <w:color w:val="auto"/>
              </w:rPr>
            </w:pPr>
          </w:p>
        </w:tc>
        <w:tc>
          <w:tcPr>
            <w:tcW w:w="0" w:type="dxa"/>
            <w:vAlign w:val="bottom"/>
          </w:tcPr>
          <w:p>
            <w:pPr>
              <w:spacing w:after="0"/>
              <w:rPr>
                <w:sz w:val="1"/>
                <w:szCs w:val="1"/>
                <w:color w:val="auto"/>
              </w:rPr>
            </w:pPr>
          </w:p>
        </w:tc>
      </w:tr>
      <w:tr>
        <w:trPr>
          <w:trHeight w:val="277"/>
        </w:trPr>
        <w:tc>
          <w:tcPr>
            <w:tcW w:w="4620" w:type="dxa"/>
            <w:vAlign w:val="bottom"/>
            <w:gridSpan w:val="5"/>
            <w:vMerge w:val="continue"/>
          </w:tcPr>
          <w:p>
            <w:pPr>
              <w:spacing w:after="0"/>
              <w:rPr>
                <w:sz w:val="24"/>
                <w:szCs w:val="24"/>
                <w:color w:val="auto"/>
              </w:rPr>
            </w:pPr>
          </w:p>
        </w:tc>
        <w:tc>
          <w:tcPr>
            <w:tcW w:w="29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40" w:type="dxa"/>
            <w:vAlign w:val="bottom"/>
          </w:tcPr>
          <w:p>
            <w:pPr>
              <w:jc w:val="right"/>
              <w:spacing w:after="0"/>
              <w:rPr>
                <w:sz w:val="20"/>
                <w:szCs w:val="20"/>
                <w:color w:val="auto"/>
              </w:rPr>
            </w:pPr>
            <w:r>
              <w:rPr>
                <w:rFonts w:ascii="Arial" w:cs="Arial" w:eastAsia="Arial" w:hAnsi="Arial"/>
                <w:sz w:val="18"/>
                <w:szCs w:val="18"/>
                <w:color w:val="auto"/>
              </w:rPr>
              <w:t>140</w:t>
            </w:r>
          </w:p>
        </w:tc>
        <w:tc>
          <w:tcPr>
            <w:tcW w:w="100" w:type="dxa"/>
            <w:vAlign w:val="bottom"/>
          </w:tcPr>
          <w:p>
            <w:pPr>
              <w:spacing w:after="0"/>
              <w:rPr>
                <w:sz w:val="24"/>
                <w:szCs w:val="24"/>
                <w:color w:val="auto"/>
              </w:rPr>
            </w:pPr>
          </w:p>
        </w:tc>
        <w:tc>
          <w:tcPr>
            <w:tcW w:w="20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20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1940" w:type="dxa"/>
            <w:vAlign w:val="bottom"/>
            <w:gridSpan w:val="3"/>
          </w:tcPr>
          <w:p>
            <w:pPr>
              <w:jc w:val="right"/>
              <w:ind w:right="13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3240" w:type="dxa"/>
            <w:vAlign w:val="bottom"/>
            <w:gridSpan w:val="3"/>
          </w:tcPr>
          <w:p>
            <w:pPr>
              <w:spacing w:after="0" w:line="20" w:lineRule="exact"/>
              <w:rPr>
                <w:sz w:val="1"/>
                <w:szCs w:val="1"/>
                <w:color w:val="auto"/>
              </w:rPr>
            </w:pPr>
          </w:p>
        </w:tc>
        <w:tc>
          <w:tcPr>
            <w:tcW w:w="1380" w:type="dxa"/>
            <w:vAlign w:val="bottom"/>
            <w:gridSpan w:val="2"/>
          </w:tcPr>
          <w:p>
            <w:pPr>
              <w:spacing w:after="0" w:line="20" w:lineRule="exact"/>
              <w:rPr>
                <w:sz w:val="1"/>
                <w:szCs w:val="1"/>
                <w:color w:val="auto"/>
              </w:rPr>
            </w:pPr>
          </w:p>
        </w:tc>
        <w:tc>
          <w:tcPr>
            <w:tcW w:w="28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72"/>
        </w:trPr>
        <w:tc>
          <w:tcPr>
            <w:tcW w:w="4620" w:type="dxa"/>
            <w:vAlign w:val="bottom"/>
            <w:gridSpan w:val="5"/>
          </w:tcPr>
          <w:p>
            <w:pPr>
              <w:ind w:left="1140"/>
              <w:spacing w:after="0"/>
              <w:rPr>
                <w:sz w:val="20"/>
                <w:szCs w:val="20"/>
                <w:color w:val="auto"/>
              </w:rPr>
            </w:pPr>
            <w:r>
              <w:rPr>
                <w:rFonts w:ascii="Arial" w:cs="Arial" w:eastAsia="Arial" w:hAnsi="Arial"/>
                <w:sz w:val="14"/>
                <w:szCs w:val="14"/>
                <w:b w:val="1"/>
                <w:bCs w:val="1"/>
                <w:color w:val="auto"/>
              </w:rPr>
              <w:t>Kittila Minesite Costs per Tonne</w:t>
            </w:r>
          </w:p>
        </w:tc>
        <w:tc>
          <w:tcPr>
            <w:tcW w:w="28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40" w:type="dxa"/>
            <w:vAlign w:val="bottom"/>
          </w:tcPr>
          <w:p>
            <w:pPr>
              <w:jc w:val="right"/>
              <w:ind w:right="195"/>
              <w:spacing w:after="0"/>
              <w:rPr>
                <w:sz w:val="20"/>
                <w:szCs w:val="20"/>
                <w:color w:val="auto"/>
              </w:rPr>
            </w:pPr>
            <w:r>
              <w:rPr>
                <w:rFonts w:ascii="Arial" w:cs="Arial" w:eastAsia="Arial" w:hAnsi="Arial"/>
                <w:sz w:val="14"/>
                <w:szCs w:val="14"/>
                <w:b w:val="1"/>
                <w:bCs w:val="1"/>
                <w:color w:val="auto"/>
              </w:rPr>
              <w:t>2009</w:t>
            </w: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40" w:type="dxa"/>
            <w:vAlign w:val="bottom"/>
          </w:tcPr>
          <w:p>
            <w:pPr>
              <w:jc w:val="right"/>
              <w:ind w:right="175"/>
              <w:spacing w:after="0"/>
              <w:rPr>
                <w:sz w:val="20"/>
                <w:szCs w:val="20"/>
                <w:color w:val="auto"/>
              </w:rPr>
            </w:pPr>
            <w:r>
              <w:rPr>
                <w:rFonts w:ascii="Arial" w:cs="Arial" w:eastAsia="Arial" w:hAnsi="Arial"/>
                <w:sz w:val="14"/>
                <w:szCs w:val="14"/>
                <w:b w:val="1"/>
                <w:bCs w:val="1"/>
                <w:color w:val="auto"/>
              </w:rPr>
              <w:t>2008</w:t>
            </w: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40" w:type="dxa"/>
            <w:vAlign w:val="bottom"/>
          </w:tcPr>
          <w:p>
            <w:pPr>
              <w:jc w:val="right"/>
              <w:ind w:right="175"/>
              <w:spacing w:after="0"/>
              <w:rPr>
                <w:sz w:val="20"/>
                <w:szCs w:val="20"/>
                <w:color w:val="auto"/>
              </w:rPr>
            </w:pPr>
            <w:r>
              <w:rPr>
                <w:rFonts w:ascii="Arial" w:cs="Arial" w:eastAsia="Arial" w:hAnsi="Arial"/>
                <w:sz w:val="14"/>
                <w:szCs w:val="14"/>
                <w:b w:val="1"/>
                <w:bCs w:val="1"/>
                <w:color w:val="auto"/>
              </w:rPr>
              <w:t>2007</w:t>
            </w:r>
          </w:p>
        </w:tc>
        <w:tc>
          <w:tcPr>
            <w:tcW w:w="16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160" w:type="dxa"/>
            <w:vAlign w:val="bottom"/>
            <w:vMerge w:val="restart"/>
          </w:tcPr>
          <w:p>
            <w:pPr>
              <w:spacing w:after="0" w:line="20" w:lineRule="exact"/>
              <w:rPr>
                <w:sz w:val="1"/>
                <w:szCs w:val="1"/>
                <w:color w:val="auto"/>
              </w:rPr>
            </w:pPr>
          </w:p>
        </w:tc>
        <w:tc>
          <w:tcPr>
            <w:tcW w:w="200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282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40" w:type="dxa"/>
            <w:vAlign w:val="bottom"/>
            <w:vMerge w:val="restart"/>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1160" w:type="dxa"/>
            <w:vAlign w:val="bottom"/>
            <w:vMerge w:val="continue"/>
          </w:tcPr>
          <w:p>
            <w:pPr>
              <w:spacing w:after="0"/>
              <w:rPr>
                <w:sz w:val="18"/>
                <w:szCs w:val="18"/>
                <w:color w:val="auto"/>
              </w:rPr>
            </w:pPr>
          </w:p>
        </w:tc>
        <w:tc>
          <w:tcPr>
            <w:tcW w:w="2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Production costs</w:t>
            </w:r>
          </w:p>
        </w:tc>
        <w:tc>
          <w:tcPr>
            <w:tcW w:w="1380" w:type="dxa"/>
            <w:vAlign w:val="bottom"/>
            <w:tcBorders>
              <w:left w:val="single" w:sz="8" w:color="CCEEFF"/>
            </w:tcBorders>
            <w:gridSpan w:val="2"/>
            <w:shd w:val="clear" w:color="auto" w:fill="CCEEFF"/>
          </w:tcPr>
          <w:p>
            <w:pPr>
              <w:spacing w:after="0"/>
              <w:rPr>
                <w:sz w:val="18"/>
                <w:szCs w:val="18"/>
                <w:color w:val="auto"/>
              </w:rPr>
            </w:pPr>
          </w:p>
        </w:tc>
        <w:tc>
          <w:tcPr>
            <w:tcW w:w="2820" w:type="dxa"/>
            <w:vAlign w:val="bottom"/>
            <w:shd w:val="clear" w:color="auto" w:fill="CCEEFF"/>
          </w:tcPr>
          <w:p>
            <w:pPr>
              <w:spacing w:after="0"/>
              <w:rPr>
                <w:sz w:val="18"/>
                <w:szCs w:val="18"/>
                <w:color w:val="auto"/>
              </w:rPr>
            </w:pP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42,464</w:t>
            </w:r>
          </w:p>
        </w:tc>
        <w:tc>
          <w:tcPr>
            <w:tcW w:w="100" w:type="dxa"/>
            <w:vAlign w:val="bottom"/>
            <w:shd w:val="clear" w:color="auto" w:fill="CCEEFF"/>
          </w:tcPr>
          <w:p>
            <w:pPr>
              <w:spacing w:after="0"/>
              <w:rPr>
                <w:sz w:val="18"/>
                <w:szCs w:val="18"/>
                <w:color w:val="auto"/>
              </w:rPr>
            </w:pP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14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3460" w:type="dxa"/>
            <w:vAlign w:val="bottom"/>
            <w:gridSpan w:val="4"/>
          </w:tcPr>
          <w:p>
            <w:pPr>
              <w:spacing w:after="0"/>
              <w:rPr>
                <w:sz w:val="20"/>
                <w:szCs w:val="20"/>
                <w:color w:val="auto"/>
              </w:rPr>
            </w:pPr>
            <w:r>
              <w:rPr>
                <w:rFonts w:ascii="Arial" w:cs="Arial" w:eastAsia="Arial" w:hAnsi="Arial"/>
                <w:sz w:val="18"/>
                <w:szCs w:val="18"/>
                <w:color w:val="auto"/>
              </w:rPr>
              <w:t>Adjustments:</w:t>
            </w:r>
          </w:p>
        </w:tc>
        <w:tc>
          <w:tcPr>
            <w:tcW w:w="28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57"/>
        </w:trPr>
        <w:tc>
          <w:tcPr>
            <w:tcW w:w="1160" w:type="dxa"/>
            <w:vAlign w:val="bottom"/>
          </w:tcPr>
          <w:p>
            <w:pPr>
              <w:spacing w:after="0"/>
              <w:rPr>
                <w:sz w:val="22"/>
                <w:szCs w:val="22"/>
                <w:color w:val="auto"/>
              </w:rPr>
            </w:pPr>
          </w:p>
        </w:tc>
        <w:tc>
          <w:tcPr>
            <w:tcW w:w="3460" w:type="dxa"/>
            <w:vAlign w:val="bottom"/>
            <w:gridSpan w:val="4"/>
            <w:shd w:val="clear" w:color="auto" w:fill="CCEEFF"/>
          </w:tcPr>
          <w:p>
            <w:pPr>
              <w:spacing w:after="0" w:line="256" w:lineRule="exact"/>
              <w:rPr>
                <w:sz w:val="20"/>
                <w:szCs w:val="20"/>
                <w:color w:val="auto"/>
              </w:rPr>
            </w:pPr>
            <w:r>
              <w:rPr>
                <w:rFonts w:ascii="Arial" w:cs="Arial" w:eastAsia="Arial" w:hAnsi="Arial"/>
                <w:sz w:val="18"/>
                <w:szCs w:val="18"/>
                <w:color w:val="auto"/>
              </w:rPr>
              <w:t>Inventory adjustments</w:t>
            </w:r>
            <w:r>
              <w:rPr>
                <w:rFonts w:ascii="Arial" w:cs="Arial" w:eastAsia="Arial" w:hAnsi="Arial"/>
                <w:sz w:val="29"/>
                <w:szCs w:val="29"/>
                <w:color w:val="auto"/>
                <w:vertAlign w:val="superscript"/>
              </w:rPr>
              <w:t>(iii)</w:t>
            </w:r>
          </w:p>
        </w:tc>
        <w:tc>
          <w:tcPr>
            <w:tcW w:w="282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1,565</w:t>
            </w:r>
          </w:p>
        </w:tc>
        <w:tc>
          <w:tcPr>
            <w:tcW w:w="100" w:type="dxa"/>
            <w:vAlign w:val="bottom"/>
            <w:shd w:val="clear" w:color="auto" w:fill="CCEEFF"/>
          </w:tcPr>
          <w:p>
            <w:pPr>
              <w:spacing w:after="0"/>
              <w:rPr>
                <w:sz w:val="22"/>
                <w:szCs w:val="22"/>
                <w:color w:val="auto"/>
              </w:rPr>
            </w:pPr>
          </w:p>
        </w:tc>
        <w:tc>
          <w:tcPr>
            <w:tcW w:w="60" w:type="dxa"/>
            <w:vAlign w:val="bottom"/>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22"/>
        </w:trPr>
        <w:tc>
          <w:tcPr>
            <w:tcW w:w="1160" w:type="dxa"/>
            <w:vAlign w:val="bottom"/>
          </w:tcPr>
          <w:p>
            <w:pPr>
              <w:spacing w:after="0"/>
              <w:rPr>
                <w:sz w:val="19"/>
                <w:szCs w:val="19"/>
                <w:color w:val="auto"/>
              </w:rPr>
            </w:pPr>
          </w:p>
        </w:tc>
        <w:tc>
          <w:tcPr>
            <w:tcW w:w="3460" w:type="dxa"/>
            <w:vAlign w:val="bottom"/>
            <w:gridSpan w:val="4"/>
          </w:tcPr>
          <w:p>
            <w:pPr>
              <w:spacing w:after="0"/>
              <w:rPr>
                <w:sz w:val="20"/>
                <w:szCs w:val="20"/>
                <w:color w:val="auto"/>
              </w:rPr>
            </w:pPr>
            <w:r>
              <w:rPr>
                <w:rFonts w:ascii="Arial" w:cs="Arial" w:eastAsia="Arial" w:hAnsi="Arial"/>
                <w:sz w:val="18"/>
                <w:szCs w:val="18"/>
                <w:color w:val="auto"/>
              </w:rPr>
              <w:t>Non-cash reclamation provision</w:t>
            </w:r>
          </w:p>
        </w:tc>
        <w:tc>
          <w:tcPr>
            <w:tcW w:w="28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40" w:type="dxa"/>
            <w:vAlign w:val="bottom"/>
            <w:gridSpan w:val="2"/>
          </w:tcPr>
          <w:p>
            <w:pPr>
              <w:jc w:val="right"/>
              <w:ind w:right="60"/>
              <w:spacing w:after="0"/>
              <w:rPr>
                <w:sz w:val="20"/>
                <w:szCs w:val="20"/>
                <w:color w:val="auto"/>
              </w:rPr>
            </w:pPr>
            <w:r>
              <w:rPr>
                <w:rFonts w:ascii="Arial" w:cs="Arial" w:eastAsia="Arial" w:hAnsi="Arial"/>
                <w:sz w:val="18"/>
                <w:szCs w:val="18"/>
                <w:color w:val="auto"/>
              </w:rPr>
              <w:t>(254)</w:t>
            </w:r>
          </w:p>
        </w:tc>
        <w:tc>
          <w:tcPr>
            <w:tcW w:w="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
        </w:trPr>
        <w:tc>
          <w:tcPr>
            <w:tcW w:w="1160" w:type="dxa"/>
            <w:vAlign w:val="bottom"/>
          </w:tcPr>
          <w:p>
            <w:pPr>
              <w:spacing w:after="0" w:line="20" w:lineRule="exact"/>
              <w:rPr>
                <w:sz w:val="1"/>
                <w:szCs w:val="1"/>
                <w:color w:val="auto"/>
              </w:rPr>
            </w:pPr>
          </w:p>
        </w:tc>
        <w:tc>
          <w:tcPr>
            <w:tcW w:w="20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282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10"/>
        </w:trPr>
        <w:tc>
          <w:tcPr>
            <w:tcW w:w="1160" w:type="dxa"/>
            <w:vAlign w:val="bottom"/>
          </w:tcPr>
          <w:p>
            <w:pPr>
              <w:spacing w:after="0"/>
              <w:rPr>
                <w:sz w:val="18"/>
                <w:szCs w:val="18"/>
                <w:color w:val="auto"/>
              </w:rPr>
            </w:pPr>
          </w:p>
        </w:tc>
        <w:tc>
          <w:tcPr>
            <w:tcW w:w="3460" w:type="dxa"/>
            <w:vAlign w:val="bottom"/>
            <w:gridSpan w:val="4"/>
            <w:shd w:val="clear" w:color="auto" w:fill="CCEEFF"/>
          </w:tcPr>
          <w:p>
            <w:pPr>
              <w:spacing w:after="0"/>
              <w:rPr>
                <w:sz w:val="20"/>
                <w:szCs w:val="20"/>
                <w:color w:val="auto"/>
              </w:rPr>
            </w:pPr>
            <w:r>
              <w:rPr>
                <w:rFonts w:ascii="Arial" w:cs="Arial" w:eastAsia="Arial" w:hAnsi="Arial"/>
                <w:sz w:val="18"/>
                <w:szCs w:val="18"/>
                <w:color w:val="auto"/>
              </w:rPr>
              <w:t>Minesite operating costs (US$)</w:t>
            </w:r>
          </w:p>
        </w:tc>
        <w:tc>
          <w:tcPr>
            <w:tcW w:w="29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43,775</w:t>
            </w:r>
          </w:p>
        </w:tc>
        <w:tc>
          <w:tcPr>
            <w:tcW w:w="100" w:type="dxa"/>
            <w:vAlign w:val="bottom"/>
            <w:shd w:val="clear" w:color="auto" w:fill="CCEEFF"/>
          </w:tcPr>
          <w:p>
            <w:pPr>
              <w:spacing w:after="0"/>
              <w:rPr>
                <w:sz w:val="18"/>
                <w:szCs w:val="18"/>
                <w:color w:val="auto"/>
              </w:rPr>
            </w:pP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3460" w:type="dxa"/>
            <w:vAlign w:val="bottom"/>
            <w:gridSpan w:val="4"/>
          </w:tcPr>
          <w:p>
            <w:pPr>
              <w:spacing w:after="0"/>
              <w:rPr>
                <w:sz w:val="20"/>
                <w:szCs w:val="20"/>
                <w:color w:val="auto"/>
              </w:rPr>
            </w:pPr>
            <w:r>
              <w:rPr>
                <w:rFonts w:ascii="Arial" w:cs="Arial" w:eastAsia="Arial" w:hAnsi="Arial"/>
                <w:sz w:val="18"/>
                <w:szCs w:val="18"/>
                <w:color w:val="auto"/>
              </w:rPr>
              <w:t>Minesite operating costs (€)</w:t>
            </w:r>
          </w:p>
        </w:tc>
        <w:tc>
          <w:tcPr>
            <w:tcW w:w="29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40" w:type="dxa"/>
            <w:vAlign w:val="bottom"/>
          </w:tcPr>
          <w:p>
            <w:pPr>
              <w:jc w:val="right"/>
              <w:spacing w:after="0"/>
              <w:rPr>
                <w:sz w:val="20"/>
                <w:szCs w:val="20"/>
                <w:color w:val="auto"/>
              </w:rPr>
            </w:pPr>
            <w:r>
              <w:rPr>
                <w:rFonts w:ascii="Arial" w:cs="Arial" w:eastAsia="Arial" w:hAnsi="Arial"/>
                <w:sz w:val="18"/>
                <w:szCs w:val="18"/>
                <w:color w:val="auto"/>
              </w:rPr>
              <w:t>30,568</w:t>
            </w:r>
          </w:p>
        </w:tc>
        <w:tc>
          <w:tcPr>
            <w:tcW w:w="100" w:type="dxa"/>
            <w:vAlign w:val="bottom"/>
          </w:tcPr>
          <w:p>
            <w:pPr>
              <w:spacing w:after="0"/>
              <w:rPr>
                <w:sz w:val="18"/>
                <w:szCs w:val="18"/>
                <w:color w:val="auto"/>
              </w:rPr>
            </w:pPr>
          </w:p>
        </w:tc>
        <w:tc>
          <w:tcPr>
            <w:tcW w:w="20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20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3460" w:type="dxa"/>
            <w:vAlign w:val="bottom"/>
            <w:gridSpan w:val="4"/>
            <w:shd w:val="clear" w:color="auto" w:fill="CCEEFF"/>
          </w:tcPr>
          <w:p>
            <w:pPr>
              <w:spacing w:after="0"/>
              <w:rPr>
                <w:sz w:val="20"/>
                <w:szCs w:val="20"/>
                <w:color w:val="auto"/>
              </w:rPr>
            </w:pPr>
            <w:r>
              <w:rPr>
                <w:rFonts w:ascii="Arial" w:cs="Arial" w:eastAsia="Arial" w:hAnsi="Arial"/>
                <w:sz w:val="18"/>
                <w:szCs w:val="18"/>
                <w:color w:val="auto"/>
              </w:rPr>
              <w:t>Tonnes of ore milled (000s tonnes)</w:t>
            </w:r>
          </w:p>
        </w:tc>
        <w:tc>
          <w:tcPr>
            <w:tcW w:w="28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563</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4620" w:type="dxa"/>
            <w:vAlign w:val="bottom"/>
            <w:gridSpan w:val="5"/>
            <w:vMerge w:val="restart"/>
          </w:tcPr>
          <w:p>
            <w:pPr>
              <w:ind w:left="1140"/>
              <w:spacing w:after="0" w:line="324" w:lineRule="exact"/>
              <w:rPr>
                <w:sz w:val="20"/>
                <w:szCs w:val="20"/>
                <w:color w:val="auto"/>
              </w:rPr>
            </w:pPr>
            <w:r>
              <w:rPr>
                <w:rFonts w:ascii="Arial" w:cs="Arial" w:eastAsia="Arial" w:hAnsi="Arial"/>
                <w:sz w:val="18"/>
                <w:szCs w:val="18"/>
                <w:color w:val="auto"/>
              </w:rPr>
              <w:t>Minesite costs per tonne (€)</w:t>
            </w:r>
            <w:r>
              <w:rPr>
                <w:rFonts w:ascii="Arial" w:cs="Arial" w:eastAsia="Arial" w:hAnsi="Arial"/>
                <w:sz w:val="29"/>
                <w:szCs w:val="29"/>
                <w:color w:val="auto"/>
                <w:vertAlign w:val="superscript"/>
              </w:rPr>
              <w:t>(iv)</w:t>
            </w:r>
          </w:p>
        </w:tc>
        <w:tc>
          <w:tcPr>
            <w:tcW w:w="282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300" w:type="dxa"/>
            <w:vAlign w:val="bottom"/>
            <w:gridSpan w:val="2"/>
          </w:tcPr>
          <w:p>
            <w:pPr>
              <w:spacing w:after="0"/>
              <w:rPr>
                <w:sz w:val="2"/>
                <w:szCs w:val="2"/>
                <w:color w:val="auto"/>
              </w:rPr>
            </w:pPr>
          </w:p>
        </w:tc>
        <w:tc>
          <w:tcPr>
            <w:tcW w:w="0" w:type="dxa"/>
            <w:vAlign w:val="bottom"/>
          </w:tcPr>
          <w:p>
            <w:pPr>
              <w:spacing w:after="0"/>
              <w:rPr>
                <w:sz w:val="1"/>
                <w:szCs w:val="1"/>
                <w:color w:val="auto"/>
              </w:rPr>
            </w:pPr>
          </w:p>
        </w:tc>
      </w:tr>
      <w:tr>
        <w:trPr>
          <w:trHeight w:val="277"/>
        </w:trPr>
        <w:tc>
          <w:tcPr>
            <w:tcW w:w="4620" w:type="dxa"/>
            <w:vAlign w:val="bottom"/>
            <w:gridSpan w:val="5"/>
            <w:vMerge w:val="continue"/>
          </w:tcPr>
          <w:p>
            <w:pPr>
              <w:spacing w:after="0"/>
              <w:rPr>
                <w:sz w:val="24"/>
                <w:szCs w:val="24"/>
                <w:color w:val="auto"/>
              </w:rPr>
            </w:pPr>
          </w:p>
        </w:tc>
        <w:tc>
          <w:tcPr>
            <w:tcW w:w="29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40" w:type="dxa"/>
            <w:vAlign w:val="bottom"/>
          </w:tcPr>
          <w:p>
            <w:pPr>
              <w:jc w:val="right"/>
              <w:spacing w:after="0"/>
              <w:rPr>
                <w:sz w:val="20"/>
                <w:szCs w:val="20"/>
                <w:color w:val="auto"/>
              </w:rPr>
            </w:pPr>
            <w:r>
              <w:rPr>
                <w:rFonts w:ascii="Arial" w:cs="Arial" w:eastAsia="Arial" w:hAnsi="Arial"/>
                <w:sz w:val="18"/>
                <w:szCs w:val="18"/>
                <w:color w:val="auto"/>
              </w:rPr>
              <w:t>54</w:t>
            </w:r>
          </w:p>
        </w:tc>
        <w:tc>
          <w:tcPr>
            <w:tcW w:w="100" w:type="dxa"/>
            <w:vAlign w:val="bottom"/>
          </w:tcPr>
          <w:p>
            <w:pPr>
              <w:spacing w:after="0"/>
              <w:rPr>
                <w:sz w:val="24"/>
                <w:szCs w:val="24"/>
                <w:color w:val="auto"/>
              </w:rPr>
            </w:pPr>
          </w:p>
        </w:tc>
        <w:tc>
          <w:tcPr>
            <w:tcW w:w="20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20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1940" w:type="dxa"/>
            <w:vAlign w:val="bottom"/>
            <w:gridSpan w:val="3"/>
          </w:tcPr>
          <w:p>
            <w:pPr>
              <w:jc w:val="right"/>
              <w:ind w:right="13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1160" w:type="dxa"/>
            <w:vAlign w:val="bottom"/>
          </w:tcPr>
          <w:p>
            <w:pPr>
              <w:spacing w:after="0" w:line="20" w:lineRule="exact"/>
              <w:rPr>
                <w:sz w:val="1"/>
                <w:szCs w:val="1"/>
                <w:color w:val="auto"/>
              </w:rPr>
            </w:pPr>
          </w:p>
        </w:tc>
        <w:tc>
          <w:tcPr>
            <w:tcW w:w="20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2820" w:type="dxa"/>
            <w:vAlign w:val="bottom"/>
            <w:vMerge w:val="restart"/>
          </w:tcPr>
          <w:p>
            <w:pPr>
              <w:jc w:val="right"/>
              <w:ind w:right="1552"/>
              <w:spacing w:after="0"/>
              <w:rPr>
                <w:sz w:val="20"/>
                <w:szCs w:val="20"/>
                <w:color w:val="auto"/>
              </w:rPr>
            </w:pPr>
            <w:r>
              <w:rPr>
                <w:rFonts w:ascii="Arial" w:cs="Arial" w:eastAsia="Arial" w:hAnsi="Arial"/>
                <w:sz w:val="18"/>
                <w:szCs w:val="18"/>
                <w:color w:val="auto"/>
              </w:rPr>
              <w:t>78</w:t>
            </w:r>
          </w:p>
        </w:tc>
        <w:tc>
          <w:tcPr>
            <w:tcW w:w="1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1"/>
        </w:trPr>
        <w:tc>
          <w:tcPr>
            <w:tcW w:w="1160" w:type="dxa"/>
            <w:vAlign w:val="bottom"/>
          </w:tcPr>
          <w:p>
            <w:pPr>
              <w:spacing w:after="0"/>
              <w:rPr>
                <w:sz w:val="24"/>
                <w:szCs w:val="24"/>
                <w:color w:val="auto"/>
              </w:rPr>
            </w:pPr>
          </w:p>
        </w:tc>
        <w:tc>
          <w:tcPr>
            <w:tcW w:w="20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2820" w:type="dxa"/>
            <w:vAlign w:val="bottom"/>
            <w:vMerge w:val="continue"/>
          </w:tcPr>
          <w:p>
            <w:pPr>
              <w:spacing w:after="0"/>
              <w:rPr>
                <w:sz w:val="24"/>
                <w:szCs w:val="24"/>
                <w:color w:val="auto"/>
              </w:rPr>
            </w:pPr>
          </w:p>
        </w:tc>
        <w:tc>
          <w:tcPr>
            <w:tcW w:w="1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1160" w:type="dxa"/>
            <w:vAlign w:val="bottom"/>
            <w:tcBorders>
              <w:bottom w:val="single" w:sz="8" w:color="808080"/>
            </w:tcBorders>
          </w:tcPr>
          <w:p>
            <w:pPr>
              <w:spacing w:after="0"/>
              <w:rPr>
                <w:sz w:val="19"/>
                <w:szCs w:val="19"/>
                <w:color w:val="auto"/>
              </w:rPr>
            </w:pPr>
          </w:p>
        </w:tc>
        <w:tc>
          <w:tcPr>
            <w:tcW w:w="2000" w:type="dxa"/>
            <w:vAlign w:val="bottom"/>
            <w:tcBorders>
              <w:bottom w:val="single" w:sz="8" w:color="808080"/>
            </w:tcBorders>
          </w:tcPr>
          <w:p>
            <w:pPr>
              <w:spacing w:after="0"/>
              <w:rPr>
                <w:sz w:val="19"/>
                <w:szCs w:val="19"/>
                <w:color w:val="auto"/>
              </w:rPr>
            </w:pPr>
          </w:p>
        </w:tc>
        <w:tc>
          <w:tcPr>
            <w:tcW w:w="8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220" w:type="dxa"/>
            <w:vAlign w:val="bottom"/>
            <w:tcBorders>
              <w:bottom w:val="single" w:sz="8" w:color="808080"/>
            </w:tcBorders>
          </w:tcPr>
          <w:p>
            <w:pPr>
              <w:spacing w:after="0"/>
              <w:rPr>
                <w:sz w:val="19"/>
                <w:szCs w:val="19"/>
                <w:color w:val="auto"/>
              </w:rPr>
            </w:pPr>
          </w:p>
        </w:tc>
        <w:tc>
          <w:tcPr>
            <w:tcW w:w="282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640" w:type="dxa"/>
            <w:vAlign w:val="bottom"/>
            <w:tcBorders>
              <w:bottom w:val="single" w:sz="8" w:color="808080"/>
            </w:tcBorders>
          </w:tcPr>
          <w:p>
            <w:pPr>
              <w:spacing w:after="0"/>
              <w:rPr>
                <w:sz w:val="19"/>
                <w:szCs w:val="19"/>
                <w:color w:val="auto"/>
              </w:rPr>
            </w:pPr>
          </w:p>
        </w:tc>
        <w:tc>
          <w:tcPr>
            <w:tcW w:w="100" w:type="dxa"/>
            <w:vAlign w:val="bottom"/>
            <w:tcBorders>
              <w:bottom w:val="single" w:sz="8" w:color="808080"/>
            </w:tcBorders>
          </w:tcPr>
          <w:p>
            <w:pPr>
              <w:spacing w:after="0"/>
              <w:rPr>
                <w:sz w:val="19"/>
                <w:szCs w:val="19"/>
                <w:color w:val="auto"/>
              </w:rPr>
            </w:pPr>
          </w:p>
        </w:tc>
        <w:tc>
          <w:tcPr>
            <w:tcW w:w="60" w:type="dxa"/>
            <w:vAlign w:val="bottom"/>
            <w:tcBorders>
              <w:bottom w:val="single" w:sz="8" w:color="808080"/>
            </w:tcBorders>
          </w:tcPr>
          <w:p>
            <w:pPr>
              <w:spacing w:after="0"/>
              <w:rPr>
                <w:sz w:val="19"/>
                <w:szCs w:val="19"/>
                <w:color w:val="auto"/>
              </w:rPr>
            </w:pPr>
          </w:p>
        </w:tc>
        <w:tc>
          <w:tcPr>
            <w:tcW w:w="140" w:type="dxa"/>
            <w:vAlign w:val="bottom"/>
            <w:tcBorders>
              <w:bottom w:val="single" w:sz="8" w:color="808080"/>
            </w:tcBorders>
          </w:tcPr>
          <w:p>
            <w:pPr>
              <w:spacing w:after="0"/>
              <w:rPr>
                <w:sz w:val="19"/>
                <w:szCs w:val="19"/>
                <w:color w:val="auto"/>
              </w:rPr>
            </w:pPr>
          </w:p>
        </w:tc>
        <w:tc>
          <w:tcPr>
            <w:tcW w:w="640" w:type="dxa"/>
            <w:vAlign w:val="bottom"/>
            <w:tcBorders>
              <w:bottom w:val="single" w:sz="8" w:color="808080"/>
            </w:tcBorders>
          </w:tcPr>
          <w:p>
            <w:pPr>
              <w:spacing w:after="0"/>
              <w:rPr>
                <w:sz w:val="19"/>
                <w:szCs w:val="19"/>
                <w:color w:val="auto"/>
              </w:rPr>
            </w:pPr>
          </w:p>
        </w:tc>
        <w:tc>
          <w:tcPr>
            <w:tcW w:w="100" w:type="dxa"/>
            <w:vAlign w:val="bottom"/>
            <w:tcBorders>
              <w:bottom w:val="single" w:sz="8" w:color="808080"/>
            </w:tcBorders>
          </w:tcPr>
          <w:p>
            <w:pPr>
              <w:spacing w:after="0"/>
              <w:rPr>
                <w:sz w:val="19"/>
                <w:szCs w:val="19"/>
                <w:color w:val="auto"/>
              </w:rPr>
            </w:pPr>
          </w:p>
        </w:tc>
        <w:tc>
          <w:tcPr>
            <w:tcW w:w="60" w:type="dxa"/>
            <w:vAlign w:val="bottom"/>
            <w:tcBorders>
              <w:bottom w:val="single" w:sz="8" w:color="808080"/>
            </w:tcBorders>
          </w:tcPr>
          <w:p>
            <w:pPr>
              <w:spacing w:after="0"/>
              <w:rPr>
                <w:sz w:val="19"/>
                <w:szCs w:val="19"/>
                <w:color w:val="auto"/>
              </w:rPr>
            </w:pPr>
          </w:p>
        </w:tc>
        <w:tc>
          <w:tcPr>
            <w:tcW w:w="140" w:type="dxa"/>
            <w:vAlign w:val="bottom"/>
            <w:tcBorders>
              <w:bottom w:val="single" w:sz="8" w:color="808080"/>
            </w:tcBorders>
          </w:tcPr>
          <w:p>
            <w:pPr>
              <w:spacing w:after="0"/>
              <w:rPr>
                <w:sz w:val="19"/>
                <w:szCs w:val="19"/>
                <w:color w:val="auto"/>
              </w:rPr>
            </w:pPr>
          </w:p>
        </w:tc>
        <w:tc>
          <w:tcPr>
            <w:tcW w:w="64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14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21" w:name="page122"/>
    <w:bookmarkEnd w:id="121"/>
    <w:tbl>
      <w:tblPr>
        <w:tblLayout w:type="fixed"/>
        <w:tblInd w:w="1140" w:type="dxa"/>
        <w:tblCellMar>
          <w:top w:w="0" w:type="dxa"/>
          <w:left w:w="0" w:type="dxa"/>
          <w:bottom w:w="0" w:type="dxa"/>
          <w:right w:w="0" w:type="dxa"/>
        </w:tblCellMar>
      </w:tblPr>
      <w:tr>
        <w:trPr>
          <w:trHeight w:val="161"/>
        </w:trPr>
        <w:tc>
          <w:tcPr>
            <w:tcW w:w="4380" w:type="dxa"/>
            <w:vAlign w:val="bottom"/>
            <w:gridSpan w:val="4"/>
          </w:tcPr>
          <w:p>
            <w:pPr>
              <w:spacing w:after="0"/>
              <w:rPr>
                <w:sz w:val="20"/>
                <w:szCs w:val="20"/>
                <w:color w:val="auto"/>
              </w:rPr>
            </w:pPr>
            <w:r>
              <w:rPr>
                <w:rFonts w:ascii="Arial" w:cs="Arial" w:eastAsia="Arial" w:hAnsi="Arial"/>
                <w:sz w:val="14"/>
                <w:szCs w:val="14"/>
                <w:b w:val="1"/>
                <w:bCs w:val="1"/>
                <w:color w:val="auto"/>
              </w:rPr>
              <w:t>Pinos Altos Minesite Costs per Tonne</w:t>
            </w:r>
          </w:p>
        </w:tc>
        <w:tc>
          <w:tcPr>
            <w:tcW w:w="19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20" w:type="dxa"/>
            <w:vAlign w:val="bottom"/>
          </w:tcPr>
          <w:p>
            <w:pPr>
              <w:jc w:val="right"/>
              <w:ind w:right="195"/>
              <w:spacing w:after="0"/>
              <w:rPr>
                <w:sz w:val="20"/>
                <w:szCs w:val="20"/>
                <w:color w:val="auto"/>
              </w:rPr>
            </w:pPr>
            <w:r>
              <w:rPr>
                <w:rFonts w:ascii="Arial" w:cs="Arial" w:eastAsia="Arial" w:hAnsi="Arial"/>
                <w:sz w:val="14"/>
                <w:szCs w:val="14"/>
                <w:b w:val="1"/>
                <w:bCs w:val="1"/>
                <w:color w:val="auto"/>
              </w:rPr>
              <w:t>2009</w:t>
            </w:r>
          </w:p>
        </w:tc>
        <w:tc>
          <w:tcPr>
            <w:tcW w:w="1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20" w:type="dxa"/>
            <w:vAlign w:val="bottom"/>
          </w:tcPr>
          <w:p>
            <w:pPr>
              <w:ind w:left="80"/>
              <w:spacing w:after="0"/>
              <w:rPr>
                <w:sz w:val="20"/>
                <w:szCs w:val="20"/>
                <w:color w:val="auto"/>
              </w:rPr>
            </w:pPr>
            <w:r>
              <w:rPr>
                <w:rFonts w:ascii="Arial" w:cs="Arial" w:eastAsia="Arial" w:hAnsi="Arial"/>
                <w:sz w:val="14"/>
                <w:szCs w:val="14"/>
                <w:b w:val="1"/>
                <w:bCs w:val="1"/>
                <w:color w:val="auto"/>
              </w:rPr>
              <w:t>2008</w:t>
            </w:r>
          </w:p>
        </w:tc>
        <w:tc>
          <w:tcPr>
            <w:tcW w:w="1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20" w:type="dxa"/>
            <w:vAlign w:val="bottom"/>
          </w:tcPr>
          <w:p>
            <w:pPr>
              <w:ind w:left="100"/>
              <w:spacing w:after="0"/>
              <w:rPr>
                <w:sz w:val="20"/>
                <w:szCs w:val="20"/>
                <w:color w:val="auto"/>
              </w:rPr>
            </w:pPr>
            <w:r>
              <w:rPr>
                <w:rFonts w:ascii="Arial" w:cs="Arial" w:eastAsia="Arial" w:hAnsi="Arial"/>
                <w:sz w:val="14"/>
                <w:szCs w:val="14"/>
                <w:b w:val="1"/>
                <w:bCs w:val="1"/>
                <w:color w:val="auto"/>
              </w:rPr>
              <w:t>2007</w:t>
            </w:r>
          </w:p>
        </w:tc>
        <w:tc>
          <w:tcPr>
            <w:tcW w:w="160" w:type="dxa"/>
            <w:vAlign w:val="bottom"/>
          </w:tcPr>
          <w:p>
            <w:pPr>
              <w:spacing w:after="0"/>
              <w:rPr>
                <w:sz w:val="14"/>
                <w:szCs w:val="14"/>
                <w:color w:val="auto"/>
              </w:rPr>
            </w:pPr>
          </w:p>
        </w:tc>
      </w:tr>
      <w:tr>
        <w:trPr>
          <w:trHeight w:val="210"/>
        </w:trPr>
        <w:tc>
          <w:tcPr>
            <w:tcW w:w="20" w:type="dxa"/>
            <w:vAlign w:val="bottom"/>
          </w:tcPr>
          <w:p>
            <w:pPr>
              <w:spacing w:after="0"/>
              <w:rPr>
                <w:sz w:val="18"/>
                <w:szCs w:val="18"/>
                <w:color w:val="auto"/>
              </w:rPr>
            </w:pPr>
          </w:p>
        </w:tc>
        <w:tc>
          <w:tcPr>
            <w:tcW w:w="2380" w:type="dxa"/>
            <w:vAlign w:val="bottom"/>
            <w:tcBorders>
              <w:top w:val="single" w:sz="8" w:color="auto"/>
            </w:tcBorders>
            <w:gridSpan w:val="2"/>
            <w:shd w:val="clear" w:color="auto" w:fill="CCEEFF"/>
          </w:tcPr>
          <w:p>
            <w:pPr>
              <w:spacing w:after="0"/>
              <w:rPr>
                <w:sz w:val="20"/>
                <w:szCs w:val="20"/>
                <w:color w:val="auto"/>
              </w:rPr>
            </w:pPr>
            <w:r>
              <w:rPr>
                <w:rFonts w:ascii="Arial" w:cs="Arial" w:eastAsia="Arial" w:hAnsi="Arial"/>
                <w:sz w:val="18"/>
                <w:szCs w:val="18"/>
                <w:color w:val="auto"/>
              </w:rPr>
              <w:t>Production costs</w:t>
            </w:r>
          </w:p>
        </w:tc>
        <w:tc>
          <w:tcPr>
            <w:tcW w:w="1980" w:type="dxa"/>
            <w:vAlign w:val="bottom"/>
            <w:shd w:val="clear" w:color="auto" w:fill="CCEEFF"/>
          </w:tcPr>
          <w:p>
            <w:pPr>
              <w:spacing w:after="0"/>
              <w:rPr>
                <w:sz w:val="18"/>
                <w:szCs w:val="18"/>
                <w:color w:val="auto"/>
              </w:rPr>
            </w:pPr>
          </w:p>
        </w:tc>
        <w:tc>
          <w:tcPr>
            <w:tcW w:w="1920" w:type="dxa"/>
            <w:vAlign w:val="bottom"/>
            <w:shd w:val="clear" w:color="auto" w:fill="CCEEFF"/>
          </w:tcPr>
          <w:p>
            <w:pPr>
              <w:spacing w:after="0"/>
              <w:rPr>
                <w:sz w:val="18"/>
                <w:szCs w:val="18"/>
                <w:color w:val="auto"/>
              </w:rPr>
            </w:pPr>
          </w:p>
        </w:tc>
        <w:tc>
          <w:tcPr>
            <w:tcW w:w="1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11,819</w:t>
            </w:r>
          </w:p>
        </w:tc>
        <w:tc>
          <w:tcPr>
            <w:tcW w:w="160" w:type="dxa"/>
            <w:vAlign w:val="bottom"/>
            <w:shd w:val="clear" w:color="auto" w:fill="CCEEFF"/>
          </w:tcPr>
          <w:p>
            <w:pPr>
              <w:spacing w:after="0"/>
              <w:rPr>
                <w:sz w:val="18"/>
                <w:szCs w:val="18"/>
                <w:color w:val="auto"/>
              </w:rPr>
            </w:pPr>
          </w:p>
        </w:tc>
        <w:tc>
          <w:tcPr>
            <w:tcW w:w="160" w:type="dxa"/>
            <w:vAlign w:val="bottom"/>
            <w:tcBorders>
              <w:top w:val="single" w:sz="8" w:color="auto"/>
            </w:tcBorders>
            <w:shd w:val="clear" w:color="auto" w:fill="CCEEFF"/>
          </w:tcPr>
          <w:p>
            <w:pPr>
              <w:jc w:val="right"/>
              <w:ind w:right="3"/>
              <w:spacing w:after="0"/>
              <w:rPr>
                <w:sz w:val="20"/>
                <w:szCs w:val="20"/>
                <w:color w:val="auto"/>
              </w:rPr>
            </w:pPr>
            <w:r>
              <w:rPr>
                <w:rFonts w:ascii="Arial" w:cs="Arial" w:eastAsia="Arial" w:hAnsi="Arial"/>
                <w:sz w:val="15"/>
                <w:szCs w:val="15"/>
                <w:color w:val="auto"/>
                <w:w w:val="71"/>
              </w:rPr>
              <w:t>$</w:t>
            </w:r>
          </w:p>
        </w:tc>
        <w:tc>
          <w:tcPr>
            <w:tcW w:w="620" w:type="dxa"/>
            <w:vAlign w:val="bottom"/>
            <w:tcBorders>
              <w:top w:val="single" w:sz="8" w:color="auto"/>
            </w:tcBorders>
            <w:shd w:val="clear" w:color="auto" w:fill="CCEEFF"/>
          </w:tcPr>
          <w:p>
            <w:pPr>
              <w:ind w:left="440"/>
              <w:spacing w:after="0"/>
              <w:rPr>
                <w:sz w:val="20"/>
                <w:szCs w:val="20"/>
                <w:color w:val="auto"/>
              </w:rPr>
            </w:pPr>
            <w:r>
              <w:rPr>
                <w:rFonts w:ascii="Arial" w:cs="Arial" w:eastAsia="Arial" w:hAnsi="Arial"/>
                <w:sz w:val="18"/>
                <w:szCs w:val="18"/>
                <w:color w:val="auto"/>
                <w:w w:val="88"/>
              </w:rPr>
              <w:t>—</w:t>
            </w:r>
          </w:p>
        </w:tc>
        <w:tc>
          <w:tcPr>
            <w:tcW w:w="160" w:type="dxa"/>
            <w:vAlign w:val="bottom"/>
            <w:shd w:val="clear" w:color="auto" w:fill="CCEEFF"/>
          </w:tcPr>
          <w:p>
            <w:pPr>
              <w:spacing w:after="0"/>
              <w:rPr>
                <w:sz w:val="18"/>
                <w:szCs w:val="18"/>
                <w:color w:val="auto"/>
              </w:rPr>
            </w:pPr>
          </w:p>
        </w:tc>
        <w:tc>
          <w:tcPr>
            <w:tcW w:w="160" w:type="dxa"/>
            <w:vAlign w:val="bottom"/>
            <w:tcBorders>
              <w:top w:val="single" w:sz="8" w:color="auto"/>
            </w:tcBorders>
            <w:shd w:val="clear" w:color="auto" w:fill="CCEEFF"/>
          </w:tcPr>
          <w:p>
            <w:pPr>
              <w:jc w:val="right"/>
              <w:ind w:right="3"/>
              <w:spacing w:after="0"/>
              <w:rPr>
                <w:sz w:val="20"/>
                <w:szCs w:val="20"/>
                <w:color w:val="auto"/>
              </w:rPr>
            </w:pPr>
            <w:r>
              <w:rPr>
                <w:rFonts w:ascii="Arial" w:cs="Arial" w:eastAsia="Arial" w:hAnsi="Arial"/>
                <w:sz w:val="15"/>
                <w:szCs w:val="15"/>
                <w:color w:val="auto"/>
                <w:w w:val="71"/>
              </w:rPr>
              <w:t>$</w:t>
            </w:r>
          </w:p>
        </w:tc>
        <w:tc>
          <w:tcPr>
            <w:tcW w:w="620" w:type="dxa"/>
            <w:vAlign w:val="bottom"/>
            <w:tcBorders>
              <w:top w:val="single" w:sz="8" w:color="auto"/>
            </w:tcBorders>
            <w:shd w:val="clear" w:color="auto" w:fill="CCEEFF"/>
          </w:tcPr>
          <w:p>
            <w:pPr>
              <w:ind w:left="440"/>
              <w:spacing w:after="0"/>
              <w:rPr>
                <w:sz w:val="20"/>
                <w:szCs w:val="20"/>
                <w:color w:val="auto"/>
              </w:rPr>
            </w:pPr>
            <w:r>
              <w:rPr>
                <w:rFonts w:ascii="Arial" w:cs="Arial" w:eastAsia="Arial" w:hAnsi="Arial"/>
                <w:sz w:val="18"/>
                <w:szCs w:val="18"/>
                <w:color w:val="auto"/>
                <w:w w:val="88"/>
              </w:rPr>
              <w:t>—</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360" w:type="dxa"/>
            <w:vAlign w:val="bottom"/>
            <w:gridSpan w:val="3"/>
          </w:tcPr>
          <w:p>
            <w:pPr>
              <w:spacing w:after="0"/>
              <w:rPr>
                <w:sz w:val="20"/>
                <w:szCs w:val="20"/>
                <w:color w:val="auto"/>
              </w:rPr>
            </w:pPr>
            <w:r>
              <w:rPr>
                <w:rFonts w:ascii="Arial" w:cs="Arial" w:eastAsia="Arial" w:hAnsi="Arial"/>
                <w:sz w:val="18"/>
                <w:szCs w:val="18"/>
                <w:color w:val="auto"/>
              </w:rPr>
              <w:t>Adjustments:</w:t>
            </w:r>
          </w:p>
        </w:tc>
        <w:tc>
          <w:tcPr>
            <w:tcW w:w="19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r>
      <w:tr>
        <w:trPr>
          <w:trHeight w:val="257"/>
        </w:trPr>
        <w:tc>
          <w:tcPr>
            <w:tcW w:w="20" w:type="dxa"/>
            <w:vAlign w:val="bottom"/>
          </w:tcPr>
          <w:p>
            <w:pPr>
              <w:spacing w:after="0"/>
              <w:rPr>
                <w:sz w:val="22"/>
                <w:szCs w:val="22"/>
                <w:color w:val="auto"/>
              </w:rPr>
            </w:pPr>
          </w:p>
        </w:tc>
        <w:tc>
          <w:tcPr>
            <w:tcW w:w="4360" w:type="dxa"/>
            <w:vAlign w:val="bottom"/>
            <w:gridSpan w:val="3"/>
            <w:shd w:val="clear" w:color="auto" w:fill="CCEEFF"/>
          </w:tcPr>
          <w:p>
            <w:pPr>
              <w:spacing w:after="0" w:line="256" w:lineRule="exact"/>
              <w:rPr>
                <w:sz w:val="20"/>
                <w:szCs w:val="20"/>
                <w:color w:val="auto"/>
              </w:rPr>
            </w:pPr>
            <w:r>
              <w:rPr>
                <w:rFonts w:ascii="Arial" w:cs="Arial" w:eastAsia="Arial" w:hAnsi="Arial"/>
                <w:sz w:val="18"/>
                <w:szCs w:val="18"/>
                <w:color w:val="auto"/>
              </w:rPr>
              <w:t>Inventory adjustments</w:t>
            </w:r>
            <w:r>
              <w:rPr>
                <w:rFonts w:ascii="Arial" w:cs="Arial" w:eastAsia="Arial" w:hAnsi="Arial"/>
                <w:sz w:val="29"/>
                <w:szCs w:val="29"/>
                <w:color w:val="auto"/>
                <w:vertAlign w:val="superscript"/>
              </w:rPr>
              <w:t>(iii)</w:t>
            </w:r>
          </w:p>
        </w:tc>
        <w:tc>
          <w:tcPr>
            <w:tcW w:w="192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(5,356)</w:t>
            </w:r>
          </w:p>
        </w:tc>
        <w:tc>
          <w:tcPr>
            <w:tcW w:w="160" w:type="dxa"/>
            <w:vAlign w:val="bottom"/>
            <w:shd w:val="clear" w:color="auto" w:fill="CCEEFF"/>
          </w:tcPr>
          <w:p>
            <w:pPr>
              <w:spacing w:after="0"/>
              <w:rPr>
                <w:sz w:val="22"/>
                <w:szCs w:val="22"/>
                <w:color w:val="auto"/>
              </w:rPr>
            </w:pPr>
          </w:p>
        </w:tc>
        <w:tc>
          <w:tcPr>
            <w:tcW w:w="620" w:type="dxa"/>
            <w:vAlign w:val="bottom"/>
            <w:shd w:val="clear" w:color="auto" w:fill="CCEEFF"/>
          </w:tcPr>
          <w:p>
            <w:pPr>
              <w:ind w:left="440"/>
              <w:spacing w:after="0"/>
              <w:rPr>
                <w:sz w:val="20"/>
                <w:szCs w:val="20"/>
                <w:color w:val="auto"/>
              </w:rPr>
            </w:pPr>
            <w:r>
              <w:rPr>
                <w:rFonts w:ascii="Arial" w:cs="Arial" w:eastAsia="Arial" w:hAnsi="Arial"/>
                <w:sz w:val="18"/>
                <w:szCs w:val="18"/>
                <w:color w:val="auto"/>
                <w:w w:val="88"/>
              </w:rPr>
              <w:t>—</w:t>
            </w:r>
          </w:p>
        </w:tc>
        <w:tc>
          <w:tcPr>
            <w:tcW w:w="16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780" w:type="dxa"/>
            <w:vAlign w:val="bottom"/>
            <w:gridSpan w:val="2"/>
            <w:shd w:val="clear" w:color="auto" w:fill="CCEEFF"/>
          </w:tcPr>
          <w:p>
            <w:pPr>
              <w:ind w:left="440"/>
              <w:spacing w:after="0"/>
              <w:rPr>
                <w:sz w:val="20"/>
                <w:szCs w:val="20"/>
                <w:color w:val="auto"/>
              </w:rPr>
            </w:pPr>
            <w:r>
              <w:rPr>
                <w:rFonts w:ascii="Arial" w:cs="Arial" w:eastAsia="Arial" w:hAnsi="Arial"/>
                <w:sz w:val="18"/>
                <w:szCs w:val="18"/>
                <w:color w:val="auto"/>
              </w:rPr>
              <w:t>—</w:t>
            </w:r>
          </w:p>
        </w:tc>
      </w:tr>
      <w:tr>
        <w:trPr>
          <w:trHeight w:val="222"/>
        </w:trPr>
        <w:tc>
          <w:tcPr>
            <w:tcW w:w="20" w:type="dxa"/>
            <w:vAlign w:val="bottom"/>
          </w:tcPr>
          <w:p>
            <w:pPr>
              <w:spacing w:after="0"/>
              <w:rPr>
                <w:sz w:val="19"/>
                <w:szCs w:val="19"/>
                <w:color w:val="auto"/>
              </w:rPr>
            </w:pPr>
          </w:p>
        </w:tc>
        <w:tc>
          <w:tcPr>
            <w:tcW w:w="4360" w:type="dxa"/>
            <w:vAlign w:val="bottom"/>
            <w:gridSpan w:val="3"/>
          </w:tcPr>
          <w:p>
            <w:pPr>
              <w:spacing w:after="0"/>
              <w:rPr>
                <w:sz w:val="20"/>
                <w:szCs w:val="20"/>
                <w:color w:val="auto"/>
              </w:rPr>
            </w:pPr>
            <w:r>
              <w:rPr>
                <w:rFonts w:ascii="Arial" w:cs="Arial" w:eastAsia="Arial" w:hAnsi="Arial"/>
                <w:sz w:val="18"/>
                <w:szCs w:val="18"/>
                <w:color w:val="auto"/>
              </w:rPr>
              <w:t>Non-cash reclamation provision</w:t>
            </w:r>
          </w:p>
        </w:tc>
        <w:tc>
          <w:tcPr>
            <w:tcW w:w="19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80" w:type="dxa"/>
            <w:vAlign w:val="bottom"/>
            <w:gridSpan w:val="2"/>
          </w:tcPr>
          <w:p>
            <w:pPr>
              <w:jc w:val="right"/>
              <w:ind w:right="120"/>
              <w:spacing w:after="0"/>
              <w:rPr>
                <w:sz w:val="20"/>
                <w:szCs w:val="20"/>
                <w:color w:val="auto"/>
              </w:rPr>
            </w:pPr>
            <w:r>
              <w:rPr>
                <w:rFonts w:ascii="Arial" w:cs="Arial" w:eastAsia="Arial" w:hAnsi="Arial"/>
                <w:sz w:val="18"/>
                <w:szCs w:val="18"/>
                <w:color w:val="auto"/>
              </w:rPr>
              <w:t>(100)</w:t>
            </w:r>
          </w:p>
        </w:tc>
        <w:tc>
          <w:tcPr>
            <w:tcW w:w="160" w:type="dxa"/>
            <w:vAlign w:val="bottom"/>
          </w:tcPr>
          <w:p>
            <w:pPr>
              <w:spacing w:after="0"/>
              <w:rPr>
                <w:sz w:val="19"/>
                <w:szCs w:val="19"/>
                <w:color w:val="auto"/>
              </w:rPr>
            </w:pPr>
          </w:p>
        </w:tc>
        <w:tc>
          <w:tcPr>
            <w:tcW w:w="620" w:type="dxa"/>
            <w:vAlign w:val="bottom"/>
          </w:tcPr>
          <w:p>
            <w:pPr>
              <w:ind w:left="440"/>
              <w:spacing w:after="0"/>
              <w:rPr>
                <w:sz w:val="20"/>
                <w:szCs w:val="20"/>
                <w:color w:val="auto"/>
              </w:rPr>
            </w:pPr>
            <w:r>
              <w:rPr>
                <w:rFonts w:ascii="Arial" w:cs="Arial" w:eastAsia="Arial" w:hAnsi="Arial"/>
                <w:sz w:val="18"/>
                <w:szCs w:val="18"/>
                <w:color w:val="auto"/>
                <w:w w:val="88"/>
              </w:rPr>
              <w:t>—</w:t>
            </w:r>
          </w:p>
        </w:tc>
        <w:tc>
          <w:tcPr>
            <w:tcW w:w="1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80" w:type="dxa"/>
            <w:vAlign w:val="bottom"/>
            <w:gridSpan w:val="2"/>
          </w:tcPr>
          <w:p>
            <w:pPr>
              <w:ind w:left="440"/>
              <w:spacing w:after="0"/>
              <w:rPr>
                <w:sz w:val="20"/>
                <w:szCs w:val="20"/>
                <w:color w:val="auto"/>
              </w:rPr>
            </w:pPr>
            <w:r>
              <w:rPr>
                <w:rFonts w:ascii="Arial" w:cs="Arial" w:eastAsia="Arial" w:hAnsi="Arial"/>
                <w:sz w:val="18"/>
                <w:szCs w:val="18"/>
                <w:color w:val="auto"/>
              </w:rPr>
              <w:t>—</w:t>
            </w:r>
          </w:p>
        </w:tc>
      </w:tr>
      <w:tr>
        <w:trPr>
          <w:trHeight w:val="21"/>
        </w:trPr>
        <w:tc>
          <w:tcPr>
            <w:tcW w:w="2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c>
          <w:tcPr>
            <w:tcW w:w="1980" w:type="dxa"/>
            <w:vAlign w:val="bottom"/>
          </w:tcPr>
          <w:p>
            <w:pPr>
              <w:spacing w:after="0" w:line="20" w:lineRule="exact"/>
              <w:rPr>
                <w:sz w:val="1"/>
                <w:szCs w:val="1"/>
                <w:color w:val="auto"/>
              </w:rPr>
            </w:pPr>
          </w:p>
        </w:tc>
        <w:tc>
          <w:tcPr>
            <w:tcW w:w="192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210"/>
        </w:trPr>
        <w:tc>
          <w:tcPr>
            <w:tcW w:w="20" w:type="dxa"/>
            <w:vAlign w:val="bottom"/>
          </w:tcPr>
          <w:p>
            <w:pPr>
              <w:spacing w:after="0"/>
              <w:rPr>
                <w:sz w:val="18"/>
                <w:szCs w:val="18"/>
                <w:color w:val="auto"/>
              </w:rPr>
            </w:pPr>
          </w:p>
        </w:tc>
        <w:tc>
          <w:tcPr>
            <w:tcW w:w="43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Minesite operating costs (US$)</w:t>
            </w:r>
          </w:p>
        </w:tc>
        <w:tc>
          <w:tcPr>
            <w:tcW w:w="2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6,363</w:t>
            </w: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jc w:val="right"/>
              <w:ind w:right="3"/>
              <w:spacing w:after="0"/>
              <w:rPr>
                <w:sz w:val="20"/>
                <w:szCs w:val="20"/>
                <w:color w:val="auto"/>
              </w:rPr>
            </w:pPr>
            <w:r>
              <w:rPr>
                <w:rFonts w:ascii="Arial" w:cs="Arial" w:eastAsia="Arial" w:hAnsi="Arial"/>
                <w:sz w:val="15"/>
                <w:szCs w:val="15"/>
                <w:color w:val="auto"/>
                <w:w w:val="71"/>
              </w:rPr>
              <w:t>$</w:t>
            </w:r>
          </w:p>
        </w:tc>
        <w:tc>
          <w:tcPr>
            <w:tcW w:w="620" w:type="dxa"/>
            <w:vAlign w:val="bottom"/>
            <w:shd w:val="clear" w:color="auto" w:fill="CCEEFF"/>
          </w:tcPr>
          <w:p>
            <w:pPr>
              <w:ind w:left="440"/>
              <w:spacing w:after="0"/>
              <w:rPr>
                <w:sz w:val="20"/>
                <w:szCs w:val="20"/>
                <w:color w:val="auto"/>
              </w:rPr>
            </w:pPr>
            <w:r>
              <w:rPr>
                <w:rFonts w:ascii="Arial" w:cs="Arial" w:eastAsia="Arial" w:hAnsi="Arial"/>
                <w:sz w:val="18"/>
                <w:szCs w:val="18"/>
                <w:color w:val="auto"/>
                <w:w w:val="88"/>
              </w:rPr>
              <w:t>—</w:t>
            </w:r>
          </w:p>
        </w:tc>
        <w:tc>
          <w:tcPr>
            <w:tcW w:w="320" w:type="dxa"/>
            <w:vAlign w:val="bottom"/>
            <w:gridSpan w:val="2"/>
            <w:shd w:val="clear" w:color="auto" w:fill="CCEEFF"/>
          </w:tcPr>
          <w:p>
            <w:pPr>
              <w:jc w:val="right"/>
              <w:ind w:right="3"/>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ind w:left="440"/>
              <w:spacing w:after="0"/>
              <w:rPr>
                <w:sz w:val="20"/>
                <w:szCs w:val="20"/>
                <w:color w:val="auto"/>
              </w:rPr>
            </w:pPr>
            <w:r>
              <w:rPr>
                <w:rFonts w:ascii="Arial" w:cs="Arial" w:eastAsia="Arial" w:hAnsi="Arial"/>
                <w:sz w:val="18"/>
                <w:szCs w:val="18"/>
                <w:color w:val="auto"/>
              </w:rPr>
              <w:t>—</w:t>
            </w:r>
          </w:p>
        </w:tc>
      </w:tr>
      <w:tr>
        <w:trPr>
          <w:trHeight w:val="222"/>
        </w:trPr>
        <w:tc>
          <w:tcPr>
            <w:tcW w:w="20" w:type="dxa"/>
            <w:vAlign w:val="bottom"/>
          </w:tcPr>
          <w:p>
            <w:pPr>
              <w:spacing w:after="0"/>
              <w:rPr>
                <w:sz w:val="19"/>
                <w:szCs w:val="19"/>
                <w:color w:val="auto"/>
              </w:rPr>
            </w:pPr>
          </w:p>
        </w:tc>
        <w:tc>
          <w:tcPr>
            <w:tcW w:w="4360" w:type="dxa"/>
            <w:vAlign w:val="bottom"/>
            <w:gridSpan w:val="3"/>
          </w:tcPr>
          <w:p>
            <w:pPr>
              <w:spacing w:after="0"/>
              <w:rPr>
                <w:sz w:val="20"/>
                <w:szCs w:val="20"/>
                <w:color w:val="auto"/>
              </w:rPr>
            </w:pPr>
            <w:r>
              <w:rPr>
                <w:rFonts w:ascii="Arial" w:cs="Arial" w:eastAsia="Arial" w:hAnsi="Arial"/>
                <w:sz w:val="18"/>
                <w:szCs w:val="18"/>
                <w:color w:val="auto"/>
              </w:rPr>
              <w:t>Tonnes of ore milled (000s tonnes)</w:t>
            </w:r>
          </w:p>
        </w:tc>
        <w:tc>
          <w:tcPr>
            <w:tcW w:w="19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227</w:t>
            </w:r>
          </w:p>
        </w:tc>
        <w:tc>
          <w:tcPr>
            <w:tcW w:w="1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20" w:type="dxa"/>
            <w:vAlign w:val="bottom"/>
          </w:tcPr>
          <w:p>
            <w:pPr>
              <w:ind w:left="440"/>
              <w:spacing w:after="0"/>
              <w:rPr>
                <w:sz w:val="20"/>
                <w:szCs w:val="20"/>
                <w:color w:val="auto"/>
              </w:rPr>
            </w:pPr>
            <w:r>
              <w:rPr>
                <w:rFonts w:ascii="Arial" w:cs="Arial" w:eastAsia="Arial" w:hAnsi="Arial"/>
                <w:sz w:val="18"/>
                <w:szCs w:val="18"/>
                <w:color w:val="auto"/>
                <w:w w:val="88"/>
              </w:rPr>
              <w:t>—</w:t>
            </w:r>
          </w:p>
        </w:tc>
        <w:tc>
          <w:tcPr>
            <w:tcW w:w="1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80" w:type="dxa"/>
            <w:vAlign w:val="bottom"/>
            <w:gridSpan w:val="2"/>
          </w:tcPr>
          <w:p>
            <w:pPr>
              <w:ind w:left="440"/>
              <w:spacing w:after="0"/>
              <w:rPr>
                <w:sz w:val="20"/>
                <w:szCs w:val="20"/>
                <w:color w:val="auto"/>
              </w:rPr>
            </w:pPr>
            <w:r>
              <w:rPr>
                <w:rFonts w:ascii="Arial" w:cs="Arial" w:eastAsia="Arial" w:hAnsi="Arial"/>
                <w:sz w:val="18"/>
                <w:szCs w:val="18"/>
                <w:color w:val="auto"/>
              </w:rPr>
              <w:t>—</w:t>
            </w:r>
          </w:p>
        </w:tc>
      </w:tr>
      <w:tr>
        <w:trPr>
          <w:trHeight w:val="21"/>
        </w:trPr>
        <w:tc>
          <w:tcPr>
            <w:tcW w:w="2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c>
          <w:tcPr>
            <w:tcW w:w="1980" w:type="dxa"/>
            <w:vAlign w:val="bottom"/>
          </w:tcPr>
          <w:p>
            <w:pPr>
              <w:spacing w:after="0" w:line="20" w:lineRule="exact"/>
              <w:rPr>
                <w:sz w:val="1"/>
                <w:szCs w:val="1"/>
                <w:color w:val="auto"/>
              </w:rPr>
            </w:pPr>
          </w:p>
        </w:tc>
        <w:tc>
          <w:tcPr>
            <w:tcW w:w="192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250"/>
        </w:trPr>
        <w:tc>
          <w:tcPr>
            <w:tcW w:w="20" w:type="dxa"/>
            <w:vAlign w:val="bottom"/>
          </w:tcPr>
          <w:p>
            <w:pPr>
              <w:spacing w:after="0"/>
              <w:rPr>
                <w:sz w:val="21"/>
                <w:szCs w:val="21"/>
                <w:color w:val="auto"/>
              </w:rPr>
            </w:pPr>
          </w:p>
        </w:tc>
        <w:tc>
          <w:tcPr>
            <w:tcW w:w="4360" w:type="dxa"/>
            <w:vAlign w:val="bottom"/>
            <w:gridSpan w:val="3"/>
            <w:shd w:val="clear" w:color="auto" w:fill="CCEEFF"/>
          </w:tcPr>
          <w:p>
            <w:pPr>
              <w:spacing w:after="0" w:line="250" w:lineRule="exact"/>
              <w:rPr>
                <w:sz w:val="20"/>
                <w:szCs w:val="20"/>
                <w:color w:val="auto"/>
              </w:rPr>
            </w:pPr>
            <w:r>
              <w:rPr>
                <w:rFonts w:ascii="Arial" w:cs="Arial" w:eastAsia="Arial" w:hAnsi="Arial"/>
                <w:sz w:val="17"/>
                <w:szCs w:val="17"/>
                <w:color w:val="auto"/>
              </w:rPr>
              <w:t>Minesite costs per tonne (US $)</w:t>
            </w:r>
            <w:r>
              <w:rPr>
                <w:rFonts w:ascii="Arial" w:cs="Arial" w:eastAsia="Arial" w:hAnsi="Arial"/>
                <w:sz w:val="28"/>
                <w:szCs w:val="28"/>
                <w:color w:val="auto"/>
                <w:vertAlign w:val="superscript"/>
              </w:rPr>
              <w:t>(iv)</w:t>
            </w:r>
          </w:p>
        </w:tc>
        <w:tc>
          <w:tcPr>
            <w:tcW w:w="2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28</w:t>
            </w:r>
          </w:p>
        </w:tc>
        <w:tc>
          <w:tcPr>
            <w:tcW w:w="160" w:type="dxa"/>
            <w:vAlign w:val="bottom"/>
            <w:shd w:val="clear" w:color="auto" w:fill="CCEEFF"/>
          </w:tcPr>
          <w:p>
            <w:pPr>
              <w:spacing w:after="0"/>
              <w:rPr>
                <w:sz w:val="21"/>
                <w:szCs w:val="21"/>
                <w:color w:val="auto"/>
              </w:rPr>
            </w:pPr>
          </w:p>
        </w:tc>
        <w:tc>
          <w:tcPr>
            <w:tcW w:w="160" w:type="dxa"/>
            <w:vAlign w:val="bottom"/>
            <w:shd w:val="clear" w:color="auto" w:fill="CCEEFF"/>
          </w:tcPr>
          <w:p>
            <w:pPr>
              <w:jc w:val="right"/>
              <w:ind w:right="3"/>
              <w:spacing w:after="0"/>
              <w:rPr>
                <w:sz w:val="20"/>
                <w:szCs w:val="20"/>
                <w:color w:val="auto"/>
              </w:rPr>
            </w:pPr>
            <w:r>
              <w:rPr>
                <w:rFonts w:ascii="Arial" w:cs="Arial" w:eastAsia="Arial" w:hAnsi="Arial"/>
                <w:sz w:val="15"/>
                <w:szCs w:val="15"/>
                <w:color w:val="auto"/>
                <w:w w:val="71"/>
              </w:rPr>
              <w:t>$</w:t>
            </w:r>
          </w:p>
        </w:tc>
        <w:tc>
          <w:tcPr>
            <w:tcW w:w="620" w:type="dxa"/>
            <w:vAlign w:val="bottom"/>
            <w:shd w:val="clear" w:color="auto" w:fill="CCEEFF"/>
          </w:tcPr>
          <w:p>
            <w:pPr>
              <w:ind w:left="440"/>
              <w:spacing w:after="0"/>
              <w:rPr>
                <w:sz w:val="20"/>
                <w:szCs w:val="20"/>
                <w:color w:val="auto"/>
              </w:rPr>
            </w:pPr>
            <w:r>
              <w:rPr>
                <w:rFonts w:ascii="Arial" w:cs="Arial" w:eastAsia="Arial" w:hAnsi="Arial"/>
                <w:sz w:val="18"/>
                <w:szCs w:val="18"/>
                <w:color w:val="auto"/>
                <w:w w:val="88"/>
              </w:rPr>
              <w:t>—</w:t>
            </w:r>
          </w:p>
        </w:tc>
        <w:tc>
          <w:tcPr>
            <w:tcW w:w="320" w:type="dxa"/>
            <w:vAlign w:val="bottom"/>
            <w:gridSpan w:val="2"/>
            <w:shd w:val="clear" w:color="auto" w:fill="CCEEFF"/>
          </w:tcPr>
          <w:p>
            <w:pPr>
              <w:jc w:val="right"/>
              <w:ind w:right="3"/>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ind w:left="440"/>
              <w:spacing w:after="0"/>
              <w:rPr>
                <w:sz w:val="20"/>
                <w:szCs w:val="20"/>
                <w:color w:val="auto"/>
              </w:rPr>
            </w:pPr>
            <w:r>
              <w:rPr>
                <w:rFonts w:ascii="Arial" w:cs="Arial" w:eastAsia="Arial" w:hAnsi="Arial"/>
                <w:sz w:val="18"/>
                <w:szCs w:val="18"/>
                <w:color w:val="auto"/>
              </w:rPr>
              <w:t>—</w:t>
            </w:r>
          </w:p>
        </w:tc>
      </w:tr>
      <w:tr>
        <w:trPr>
          <w:trHeight w:val="27"/>
        </w:trPr>
        <w:tc>
          <w:tcPr>
            <w:tcW w:w="20" w:type="dxa"/>
            <w:vAlign w:val="bottom"/>
          </w:tcPr>
          <w:p>
            <w:pPr>
              <w:spacing w:after="0"/>
              <w:rPr>
                <w:sz w:val="2"/>
                <w:szCs w:val="2"/>
                <w:color w:val="auto"/>
              </w:rPr>
            </w:pPr>
          </w:p>
        </w:tc>
        <w:tc>
          <w:tcPr>
            <w:tcW w:w="1260" w:type="dxa"/>
            <w:vAlign w:val="bottom"/>
          </w:tcPr>
          <w:p>
            <w:pPr>
              <w:spacing w:after="0"/>
              <w:rPr>
                <w:sz w:val="2"/>
                <w:szCs w:val="2"/>
                <w:color w:val="auto"/>
              </w:rPr>
            </w:pPr>
          </w:p>
        </w:tc>
        <w:tc>
          <w:tcPr>
            <w:tcW w:w="1120" w:type="dxa"/>
            <w:vAlign w:val="bottom"/>
          </w:tcPr>
          <w:p>
            <w:pPr>
              <w:spacing w:after="0"/>
              <w:rPr>
                <w:sz w:val="2"/>
                <w:szCs w:val="2"/>
                <w:color w:val="auto"/>
              </w:rPr>
            </w:pPr>
          </w:p>
        </w:tc>
        <w:tc>
          <w:tcPr>
            <w:tcW w:w="1980" w:type="dxa"/>
            <w:vAlign w:val="bottom"/>
          </w:tcPr>
          <w:p>
            <w:pPr>
              <w:spacing w:after="0"/>
              <w:rPr>
                <w:sz w:val="2"/>
                <w:szCs w:val="2"/>
                <w:color w:val="auto"/>
              </w:rPr>
            </w:pPr>
          </w:p>
        </w:tc>
        <w:tc>
          <w:tcPr>
            <w:tcW w:w="192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r>
      <w:tr>
        <w:trPr>
          <w:trHeight w:val="20"/>
        </w:trPr>
        <w:tc>
          <w:tcPr>
            <w:tcW w:w="2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c>
          <w:tcPr>
            <w:tcW w:w="1980" w:type="dxa"/>
            <w:vAlign w:val="bottom"/>
          </w:tcPr>
          <w:p>
            <w:pPr>
              <w:spacing w:after="0" w:line="20" w:lineRule="exact"/>
              <w:rPr>
                <w:sz w:val="1"/>
                <w:szCs w:val="1"/>
                <w:color w:val="auto"/>
              </w:rPr>
            </w:pPr>
          </w:p>
        </w:tc>
        <w:tc>
          <w:tcPr>
            <w:tcW w:w="192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89"/>
        </w:trPr>
        <w:tc>
          <w:tcPr>
            <w:tcW w:w="20" w:type="dxa"/>
            <w:vAlign w:val="bottom"/>
          </w:tcPr>
          <w:p>
            <w:pPr>
              <w:spacing w:after="0"/>
              <w:rPr>
                <w:sz w:val="7"/>
                <w:szCs w:val="7"/>
                <w:color w:val="auto"/>
              </w:rPr>
            </w:pPr>
          </w:p>
        </w:tc>
        <w:tc>
          <w:tcPr>
            <w:tcW w:w="1260" w:type="dxa"/>
            <w:vAlign w:val="bottom"/>
            <w:tcBorders>
              <w:bottom w:val="single" w:sz="8" w:color="auto"/>
            </w:tcBorders>
          </w:tcPr>
          <w:p>
            <w:pPr>
              <w:spacing w:after="0"/>
              <w:rPr>
                <w:sz w:val="7"/>
                <w:szCs w:val="7"/>
                <w:color w:val="auto"/>
              </w:rPr>
            </w:pPr>
          </w:p>
        </w:tc>
        <w:tc>
          <w:tcPr>
            <w:tcW w:w="1120" w:type="dxa"/>
            <w:vAlign w:val="bottom"/>
          </w:tcPr>
          <w:p>
            <w:pPr>
              <w:spacing w:after="0"/>
              <w:rPr>
                <w:sz w:val="7"/>
                <w:szCs w:val="7"/>
                <w:color w:val="auto"/>
              </w:rPr>
            </w:pPr>
          </w:p>
        </w:tc>
        <w:tc>
          <w:tcPr>
            <w:tcW w:w="1980" w:type="dxa"/>
            <w:vAlign w:val="bottom"/>
          </w:tcPr>
          <w:p>
            <w:pPr>
              <w:spacing w:after="0"/>
              <w:rPr>
                <w:sz w:val="7"/>
                <w:szCs w:val="7"/>
                <w:color w:val="auto"/>
              </w:rPr>
            </w:pPr>
          </w:p>
        </w:tc>
        <w:tc>
          <w:tcPr>
            <w:tcW w:w="1920" w:type="dxa"/>
            <w:vAlign w:val="bottom"/>
          </w:tcPr>
          <w:p>
            <w:pPr>
              <w:spacing w:after="0"/>
              <w:rPr>
                <w:sz w:val="7"/>
                <w:szCs w:val="7"/>
                <w:color w:val="auto"/>
              </w:rPr>
            </w:pPr>
          </w:p>
        </w:tc>
        <w:tc>
          <w:tcPr>
            <w:tcW w:w="180" w:type="dxa"/>
            <w:vAlign w:val="bottom"/>
          </w:tcPr>
          <w:p>
            <w:pPr>
              <w:spacing w:after="0"/>
              <w:rPr>
                <w:sz w:val="7"/>
                <w:szCs w:val="7"/>
                <w:color w:val="auto"/>
              </w:rPr>
            </w:pPr>
          </w:p>
        </w:tc>
        <w:tc>
          <w:tcPr>
            <w:tcW w:w="620" w:type="dxa"/>
            <w:vAlign w:val="bottom"/>
          </w:tcPr>
          <w:p>
            <w:pPr>
              <w:spacing w:after="0"/>
              <w:rPr>
                <w:sz w:val="7"/>
                <w:szCs w:val="7"/>
                <w:color w:val="auto"/>
              </w:rPr>
            </w:pPr>
          </w:p>
        </w:tc>
        <w:tc>
          <w:tcPr>
            <w:tcW w:w="160" w:type="dxa"/>
            <w:vAlign w:val="bottom"/>
          </w:tcPr>
          <w:p>
            <w:pPr>
              <w:spacing w:after="0"/>
              <w:rPr>
                <w:sz w:val="7"/>
                <w:szCs w:val="7"/>
                <w:color w:val="auto"/>
              </w:rPr>
            </w:pPr>
          </w:p>
        </w:tc>
        <w:tc>
          <w:tcPr>
            <w:tcW w:w="160" w:type="dxa"/>
            <w:vAlign w:val="bottom"/>
          </w:tcPr>
          <w:p>
            <w:pPr>
              <w:spacing w:after="0"/>
              <w:rPr>
                <w:sz w:val="7"/>
                <w:szCs w:val="7"/>
                <w:color w:val="auto"/>
              </w:rPr>
            </w:pPr>
          </w:p>
        </w:tc>
        <w:tc>
          <w:tcPr>
            <w:tcW w:w="620" w:type="dxa"/>
            <w:vAlign w:val="bottom"/>
          </w:tcPr>
          <w:p>
            <w:pPr>
              <w:spacing w:after="0"/>
              <w:rPr>
                <w:sz w:val="7"/>
                <w:szCs w:val="7"/>
                <w:color w:val="auto"/>
              </w:rPr>
            </w:pPr>
          </w:p>
        </w:tc>
        <w:tc>
          <w:tcPr>
            <w:tcW w:w="160" w:type="dxa"/>
            <w:vAlign w:val="bottom"/>
          </w:tcPr>
          <w:p>
            <w:pPr>
              <w:spacing w:after="0"/>
              <w:rPr>
                <w:sz w:val="7"/>
                <w:szCs w:val="7"/>
                <w:color w:val="auto"/>
              </w:rPr>
            </w:pPr>
          </w:p>
        </w:tc>
        <w:tc>
          <w:tcPr>
            <w:tcW w:w="160" w:type="dxa"/>
            <w:vAlign w:val="bottom"/>
          </w:tcPr>
          <w:p>
            <w:pPr>
              <w:spacing w:after="0"/>
              <w:rPr>
                <w:sz w:val="7"/>
                <w:szCs w:val="7"/>
                <w:color w:val="auto"/>
              </w:rPr>
            </w:pPr>
          </w:p>
        </w:tc>
        <w:tc>
          <w:tcPr>
            <w:tcW w:w="620" w:type="dxa"/>
            <w:vAlign w:val="bottom"/>
          </w:tcPr>
          <w:p>
            <w:pPr>
              <w:spacing w:after="0"/>
              <w:rPr>
                <w:sz w:val="7"/>
                <w:szCs w:val="7"/>
                <w:color w:val="auto"/>
              </w:rPr>
            </w:pPr>
          </w:p>
        </w:tc>
        <w:tc>
          <w:tcPr>
            <w:tcW w:w="160" w:type="dxa"/>
            <w:vAlign w:val="bottom"/>
          </w:tcPr>
          <w:p>
            <w:pPr>
              <w:spacing w:after="0"/>
              <w:rPr>
                <w:sz w:val="7"/>
                <w:szCs w:val="7"/>
                <w:color w:val="auto"/>
              </w:rPr>
            </w:pPr>
          </w:p>
        </w:tc>
      </w:tr>
    </w:tbl>
    <w:p>
      <w:pPr>
        <w:spacing w:after="0" w:line="205" w:lineRule="exact"/>
        <w:rPr>
          <w:sz w:val="20"/>
          <w:szCs w:val="20"/>
          <w:color w:val="auto"/>
        </w:rPr>
      </w:pPr>
    </w:p>
    <w:p>
      <w:pPr>
        <w:ind w:left="1140"/>
        <w:spacing w:after="0"/>
        <w:rPr>
          <w:sz w:val="20"/>
          <w:szCs w:val="20"/>
          <w:color w:val="auto"/>
        </w:rPr>
      </w:pPr>
      <w:r>
        <w:rPr>
          <w:rFonts w:ascii="Arial" w:cs="Arial" w:eastAsia="Arial" w:hAnsi="Arial"/>
          <w:sz w:val="14"/>
          <w:szCs w:val="14"/>
          <w:color w:val="auto"/>
        </w:rPr>
        <w:t>Notes:</w:t>
      </w:r>
    </w:p>
    <w:p>
      <w:pPr>
        <w:spacing w:after="0" w:line="190" w:lineRule="exact"/>
        <w:rPr>
          <w:sz w:val="20"/>
          <w:szCs w:val="20"/>
          <w:color w:val="auto"/>
        </w:rPr>
      </w:pPr>
    </w:p>
    <w:p>
      <w:pPr>
        <w:ind w:left="1680" w:hanging="531"/>
        <w:spacing w:after="0" w:line="318" w:lineRule="auto"/>
        <w:tabs>
          <w:tab w:leader="none" w:pos="1680" w:val="left"/>
        </w:tabs>
        <w:numPr>
          <w:ilvl w:val="0"/>
          <w:numId w:val="25"/>
        </w:numPr>
        <w:rPr>
          <w:rFonts w:ascii="Arial" w:cs="Arial" w:eastAsia="Arial" w:hAnsi="Arial"/>
          <w:sz w:val="12"/>
          <w:szCs w:val="12"/>
          <w:color w:val="auto"/>
        </w:rPr>
      </w:pPr>
      <w:r>
        <w:rPr>
          <w:rFonts w:ascii="Arial" w:cs="Arial" w:eastAsia="Arial" w:hAnsi="Arial"/>
          <w:sz w:val="12"/>
          <w:szCs w:val="12"/>
          <w:color w:val="auto"/>
        </w:rPr>
        <w:t>Under the Company's revenue recognition policy, revenue is recognized on concentrates when legal title passes. Since total cash costs per ounce are calculated on a production basis, this inventory adjustment reflects the sales margin on the portion of concentrate production for which revenue has not been recognized in the period.</w:t>
      </w:r>
    </w:p>
    <w:p>
      <w:pPr>
        <w:spacing w:after="0" w:line="66" w:lineRule="exact"/>
        <w:rPr>
          <w:rFonts w:ascii="Arial" w:cs="Arial" w:eastAsia="Arial" w:hAnsi="Arial"/>
          <w:sz w:val="12"/>
          <w:szCs w:val="12"/>
          <w:color w:val="auto"/>
        </w:rPr>
      </w:pPr>
    </w:p>
    <w:p>
      <w:pPr>
        <w:jc w:val="both"/>
        <w:ind w:left="1680" w:hanging="531"/>
        <w:spacing w:after="0" w:line="265" w:lineRule="auto"/>
        <w:tabs>
          <w:tab w:leader="none" w:pos="1680" w:val="left"/>
        </w:tabs>
        <w:numPr>
          <w:ilvl w:val="0"/>
          <w:numId w:val="25"/>
        </w:numPr>
        <w:rPr>
          <w:rFonts w:ascii="Arial" w:cs="Arial" w:eastAsia="Arial" w:hAnsi="Arial"/>
          <w:sz w:val="12"/>
          <w:szCs w:val="12"/>
          <w:color w:val="auto"/>
        </w:rPr>
      </w:pPr>
      <w:r>
        <w:rPr>
          <w:rFonts w:ascii="Arial" w:cs="Arial" w:eastAsia="Arial" w:hAnsi="Arial"/>
          <w:sz w:val="12"/>
          <w:szCs w:val="12"/>
          <w:color w:val="auto"/>
        </w:rPr>
        <w:t>Total cash costs per ounce is not a recognized measure under US GAAP and this data may not be comparable to data presented by other gold producers. The Company believes that this generally accepted industry measure is a realistic indication of operating performance and is useful in allowing year over year comparisons. As illustrated in the table above, this measure is calculated by adjusting Production Costs as shown in the Consolidated Statements of Income and Comprehensive Income for net byproduct metals revenues, royalties, inventory adjustments and asset retirement provisions. This measure is intended to provide investors with information about the cash generating capabilities of the Company's mining operations. Management uses this measure to monitor the performance of the Company's mining operations. Since market prices for gold are quoted on a per ounce basis, using this per ounce measure allows management to assess the mine's cash generating capabilities at various gold prices. Management is aware that this per ounce measure of performance can be impacted by fluctuations in byproduct metal prices and exchange rates. Management compensates for the limitation inherent with this measure by using it in conjunction with the minesite costs per tonne measure (discussed below) as well as other data prepared in accordance with US GAAP. Management also performs sensitivity analyses in order to quantify the effects of fluctuating metal prices and exchange rates.</w:t>
      </w:r>
    </w:p>
    <w:p>
      <w:pPr>
        <w:spacing w:after="0" w:line="100" w:lineRule="exact"/>
        <w:rPr>
          <w:rFonts w:ascii="Arial" w:cs="Arial" w:eastAsia="Arial" w:hAnsi="Arial"/>
          <w:sz w:val="12"/>
          <w:szCs w:val="12"/>
          <w:color w:val="auto"/>
        </w:rPr>
      </w:pPr>
    </w:p>
    <w:p>
      <w:pPr>
        <w:ind w:left="1680" w:hanging="531"/>
        <w:spacing w:after="0"/>
        <w:tabs>
          <w:tab w:leader="none" w:pos="1680" w:val="left"/>
        </w:tabs>
        <w:numPr>
          <w:ilvl w:val="0"/>
          <w:numId w:val="25"/>
        </w:numPr>
        <w:rPr>
          <w:rFonts w:ascii="Arial" w:cs="Arial" w:eastAsia="Arial" w:hAnsi="Arial"/>
          <w:sz w:val="14"/>
          <w:szCs w:val="14"/>
          <w:color w:val="auto"/>
        </w:rPr>
      </w:pPr>
      <w:r>
        <w:rPr>
          <w:rFonts w:ascii="Arial" w:cs="Arial" w:eastAsia="Arial" w:hAnsi="Arial"/>
          <w:sz w:val="14"/>
          <w:szCs w:val="14"/>
          <w:color w:val="auto"/>
        </w:rPr>
        <w:t>This inventory adjustment reflects production costs associated with unsold concentrates.</w:t>
      </w:r>
    </w:p>
    <w:p>
      <w:pPr>
        <w:spacing w:after="0" w:line="122" w:lineRule="exact"/>
        <w:rPr>
          <w:rFonts w:ascii="Arial" w:cs="Arial" w:eastAsia="Arial" w:hAnsi="Arial"/>
          <w:sz w:val="14"/>
          <w:szCs w:val="14"/>
          <w:color w:val="auto"/>
        </w:rPr>
      </w:pPr>
    </w:p>
    <w:p>
      <w:pPr>
        <w:jc w:val="both"/>
        <w:ind w:left="1680" w:hanging="531"/>
        <w:spacing w:after="0" w:line="265" w:lineRule="auto"/>
        <w:tabs>
          <w:tab w:leader="none" w:pos="1680" w:val="left"/>
        </w:tabs>
        <w:numPr>
          <w:ilvl w:val="0"/>
          <w:numId w:val="25"/>
        </w:numPr>
        <w:rPr>
          <w:rFonts w:ascii="Arial" w:cs="Arial" w:eastAsia="Arial" w:hAnsi="Arial"/>
          <w:sz w:val="12"/>
          <w:szCs w:val="12"/>
          <w:color w:val="auto"/>
        </w:rPr>
      </w:pPr>
      <w:r>
        <w:rPr>
          <w:rFonts w:ascii="Arial" w:cs="Arial" w:eastAsia="Arial" w:hAnsi="Arial"/>
          <w:sz w:val="12"/>
          <w:szCs w:val="12"/>
          <w:color w:val="auto"/>
        </w:rPr>
        <w:t>Minesite costs per tonne is not a recognized measure under US GAAP and this data may not be comparable to data presented by other gold producers. As illustrated in the table above, this measure is calculated by adjusting Production Costs as shown in the Consolidated Statements of Income and Comprehensive Income for inventory and hedging adjustments and asset retirement provisions and then dividing by tonnes processed through the mill. Since total cash costs per ounce data can be affected by fluctuations in byproduct metals prices and exchange rates, management believes minesite costs per tonne provides additional information regarding the performance of mining operations and allows management to monitor operating costs on a more consistent basis as the per tonne measure eliminates the cost variability associated with varying production levels. Management also uses this measure to determine the economic viability of mining blocks. As each mining block is evaluated based on the net realizable value of each tonne mined, in order to be economically viable the estimated revenue on a per tonne basis must be in excess of the minesite costs per tonne. Management is aware that this per tonne measure is impacted by fluctuations in production levels and thus uses this evaluation tool in conjunction with production costs prepared in accordance with US GAAP. This measure supplements production cost information prepared in accordance with US GAAP and allows investors to distinguish between changes in production costs resulting from changes in production versus changes in operating performance.</w:t>
      </w:r>
    </w:p>
    <w:p>
      <w:pPr>
        <w:spacing w:after="0" w:line="180" w:lineRule="exact"/>
        <w:rPr>
          <w:sz w:val="20"/>
          <w:szCs w:val="20"/>
          <w:color w:val="auto"/>
        </w:rPr>
      </w:pPr>
    </w:p>
    <w:p>
      <w:pPr>
        <w:jc w:val="both"/>
        <w:ind w:firstLine="423"/>
        <w:spacing w:after="0" w:line="291" w:lineRule="auto"/>
        <w:rPr>
          <w:sz w:val="20"/>
          <w:szCs w:val="20"/>
          <w:color w:val="auto"/>
        </w:rPr>
      </w:pPr>
      <w:r>
        <w:rPr>
          <w:rFonts w:ascii="Arial" w:cs="Arial" w:eastAsia="Arial" w:hAnsi="Arial"/>
          <w:sz w:val="16"/>
          <w:szCs w:val="16"/>
          <w:color w:val="auto"/>
        </w:rPr>
        <w:t>The Company's operating results and cash flow are significantly affected by changes in the US dollar/Canadian dollar exchange rate since three operating mines are located in Canada. Exchange rate movements can have a significant impact as all of the Company's revenues are earned in US dollars but most of its operating costs and a substantial portion of its capital costs are in Canadian dollars. The US dollar/Canadian dollar exchange rate has varied significantly over the past several years. During the period from January 1, 2005 to December 31, 2009, the Noon Buying Rate fluctuated from C$1.30 per US$1.00 to C$0.91 per US$1.00. In addition, a significant portion of the Company's expenditures at the Kittila Mine and the Pinos Altos Mine are denominated in Euros and Mexican pesos, respectively. Each of these currencies has varied significantly against the US dollar over the past several years as well.</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Exploration and Corporate Development Expense</w:t>
      </w:r>
    </w:p>
    <w:p>
      <w:pPr>
        <w:spacing w:after="0" w:line="225" w:lineRule="exact"/>
        <w:rPr>
          <w:sz w:val="20"/>
          <w:szCs w:val="20"/>
          <w:color w:val="auto"/>
        </w:rPr>
      </w:pPr>
    </w:p>
    <w:p>
      <w:pPr>
        <w:jc w:val="both"/>
        <w:ind w:firstLine="358"/>
        <w:spacing w:after="0" w:line="306" w:lineRule="auto"/>
        <w:rPr>
          <w:sz w:val="20"/>
          <w:szCs w:val="20"/>
          <w:color w:val="auto"/>
        </w:rPr>
      </w:pPr>
      <w:r>
        <w:rPr>
          <w:rFonts w:ascii="Arial" w:cs="Arial" w:eastAsia="Arial" w:hAnsi="Arial"/>
          <w:sz w:val="16"/>
          <w:szCs w:val="16"/>
          <w:color w:val="auto"/>
        </w:rPr>
        <w:t>Exploration drilling during 2009 resulted in 0.8 million ounces of gold being converted from the mineral resource category into the mineral reserve category. In spite of this conversion, the mineral resources continued to grow at several of the mines and mine projects. Gold mineral resources rose approximately 28% in 2009 versus 2008. The largest contributor was the Meadowbank Mine where mineral resources increased by</w:t>
      </w:r>
    </w:p>
    <w:p>
      <w:pPr>
        <w:spacing w:after="0" w:line="16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59" w:right="239" w:bottom="1440" w:gutter="0" w:footer="0" w:header="0"/>
        </w:sectPr>
      </w:pPr>
    </w:p>
    <w:bookmarkStart w:id="122" w:name="page123"/>
    <w:bookmarkEnd w:id="122"/>
    <w:p>
      <w:pPr>
        <w:spacing w:after="0" w:line="268" w:lineRule="auto"/>
        <w:rPr>
          <w:sz w:val="20"/>
          <w:szCs w:val="20"/>
          <w:color w:val="auto"/>
        </w:rPr>
      </w:pPr>
      <w:r>
        <w:rPr>
          <w:rFonts w:ascii="Arial" w:cs="Arial" w:eastAsia="Arial" w:hAnsi="Arial"/>
          <w:sz w:val="18"/>
          <w:szCs w:val="18"/>
          <w:color w:val="auto"/>
        </w:rPr>
        <w:t>approximately 100%, largely from the southern end of the deposit. An approximately 89% increase in mineral resources was realized at the Pinos Altos Mine and mineral resources at the LaRonde Mine increased by 35%.</w:t>
      </w:r>
    </w:p>
    <w:p>
      <w:pPr>
        <w:spacing w:after="0" w:line="186" w:lineRule="exact"/>
        <w:rPr>
          <w:sz w:val="20"/>
          <w:szCs w:val="20"/>
          <w:color w:val="auto"/>
        </w:rPr>
      </w:pPr>
    </w:p>
    <w:p>
      <w:pPr>
        <w:ind w:left="360"/>
        <w:spacing w:after="0"/>
        <w:rPr>
          <w:sz w:val="20"/>
          <w:szCs w:val="20"/>
          <w:color w:val="auto"/>
        </w:rPr>
      </w:pPr>
      <w:r>
        <w:rPr>
          <w:rFonts w:ascii="Arial" w:cs="Arial" w:eastAsia="Arial" w:hAnsi="Arial"/>
          <w:sz w:val="18"/>
          <w:szCs w:val="18"/>
          <w:color w:val="auto"/>
        </w:rPr>
        <w:t>Set out below is a summary of the significant exploration and corporate development activities undertaken in 2009:</w:t>
      </w:r>
    </w:p>
    <w:p>
      <w:pPr>
        <w:spacing w:after="0" w:line="239" w:lineRule="exact"/>
        <w:rPr>
          <w:sz w:val="20"/>
          <w:szCs w:val="20"/>
          <w:color w:val="auto"/>
        </w:rPr>
      </w:pPr>
    </w:p>
    <w:p>
      <w:pPr>
        <w:jc w:val="both"/>
        <w:ind w:left="1080" w:hanging="532"/>
        <w:spacing w:after="0" w:line="259" w:lineRule="auto"/>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Canadian grassroots exploration expenditure was $11.2 million in 2009, an increase of $3.2 million compared to 2008. The Company's Canadian exploration activities were focused on the Bousquet and Lapa mining camps and in Nunavut at the Meadowbank Mine where the activities were conducted both within the mining lease and outside of the remaining mining claims.</w:t>
      </w:r>
    </w:p>
    <w:p>
      <w:pPr>
        <w:spacing w:after="0" w:line="221" w:lineRule="exact"/>
        <w:rPr>
          <w:rFonts w:ascii="Arial" w:cs="Arial" w:eastAsia="Arial" w:hAnsi="Arial"/>
          <w:sz w:val="18"/>
          <w:szCs w:val="18"/>
          <w:color w:val="auto"/>
        </w:rPr>
      </w:pPr>
    </w:p>
    <w:p>
      <w:pPr>
        <w:jc w:val="both"/>
        <w:ind w:left="1080" w:hanging="532"/>
        <w:spacing w:after="0" w:line="314" w:lineRule="auto"/>
        <w:tabs>
          <w:tab w:leader="none" w:pos="1080" w:val="left"/>
        </w:tabs>
        <w:numPr>
          <w:ilvl w:val="0"/>
          <w:numId w:val="26"/>
        </w:numPr>
        <w:rPr>
          <w:rFonts w:ascii="Arial" w:cs="Arial" w:eastAsia="Arial" w:hAnsi="Arial"/>
          <w:sz w:val="15"/>
          <w:szCs w:val="15"/>
          <w:color w:val="auto"/>
        </w:rPr>
      </w:pPr>
      <w:r>
        <w:rPr>
          <w:rFonts w:ascii="Arial" w:cs="Arial" w:eastAsia="Arial" w:hAnsi="Arial"/>
          <w:sz w:val="15"/>
          <w:szCs w:val="15"/>
          <w:color w:val="auto"/>
        </w:rPr>
        <w:t>During 2009, approximately $9.2 million of exploration expenses were incurred at the Pinos Altos Mine in Mexico. At the Pinos Altos Mine, the Company continued several aggressive exploration programs. The most costly activities were concentrated drilling programs near the mine infrastructure along previously recognized gold trends. For 2009, proven and probable mineral reserves, including the stand-alone Creston Mascota deposit, total 3.4 million ounces of gold and 94 million ounces of silver from 42.0 million tonnes grading 2.5 grams of gold per tonne and 69 grams of silver per tonne. While the gold reserves are down 5% compared to the previous year, the overall mineral reserve and mineral resource base at the Pinos Altos Mine increased by approximately 8% largely due to exploration success at the Sinter and Cubiro satellite deposits.</w:t>
      </w:r>
    </w:p>
    <w:p>
      <w:pPr>
        <w:spacing w:after="0" w:line="172" w:lineRule="exact"/>
        <w:rPr>
          <w:rFonts w:ascii="Arial" w:cs="Arial" w:eastAsia="Arial" w:hAnsi="Arial"/>
          <w:sz w:val="15"/>
          <w:szCs w:val="15"/>
          <w:color w:val="auto"/>
        </w:rPr>
      </w:pPr>
    </w:p>
    <w:p>
      <w:pPr>
        <w:jc w:val="both"/>
        <w:ind w:left="1080" w:hanging="532"/>
        <w:spacing w:after="0" w:line="259" w:lineRule="auto"/>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The Company is currently conducting exploration activities in Nevada and incurred exploration expenditures of $7.2 million during 2009, a decrease of $2.2 million compared to 2008. In Nevada, exploration activities during 2009 were concentrated on West Pequop located in the northeastern region of the State.</w:t>
      </w:r>
    </w:p>
    <w:p>
      <w:pPr>
        <w:spacing w:after="0" w:line="207" w:lineRule="exact"/>
        <w:rPr>
          <w:rFonts w:ascii="Arial" w:cs="Arial" w:eastAsia="Arial" w:hAnsi="Arial"/>
          <w:sz w:val="18"/>
          <w:szCs w:val="18"/>
          <w:color w:val="auto"/>
        </w:rPr>
      </w:pPr>
    </w:p>
    <w:p>
      <w:pPr>
        <w:jc w:val="both"/>
        <w:ind w:left="1080" w:hanging="532"/>
        <w:spacing w:after="0" w:line="290" w:lineRule="auto"/>
        <w:tabs>
          <w:tab w:leader="none" w:pos="1080" w:val="left"/>
        </w:tabs>
        <w:numPr>
          <w:ilvl w:val="0"/>
          <w:numId w:val="26"/>
        </w:numPr>
        <w:rPr>
          <w:rFonts w:ascii="Arial" w:cs="Arial" w:eastAsia="Arial" w:hAnsi="Arial"/>
          <w:sz w:val="16"/>
          <w:szCs w:val="16"/>
          <w:color w:val="auto"/>
        </w:rPr>
      </w:pPr>
      <w:r>
        <w:rPr>
          <w:rFonts w:ascii="Arial" w:cs="Arial" w:eastAsia="Arial" w:hAnsi="Arial"/>
          <w:sz w:val="16"/>
          <w:szCs w:val="16"/>
          <w:color w:val="auto"/>
        </w:rPr>
        <w:t>During 2009, exploration expenditures at the Kittila Mine in northern Finland were $5.3 million, a decrease of $1.7 million compared to 2008. At the Kittila Mine, the Company continued several aggressive exploration programs. The most costly activities were concentrated drilling programs near the existing mine infrastructure along previously recognized gold trends. As at December 31, 2009, proven and probable gold reserves totalled approximately 4.0 million ounces of gold from 26.0 million tonnes grading 4.8 grams of gold per tonne. This increased approximately 25%, or 0.8 million ounces, from the 2008 level largely as a result of successful conversion drilling below the Suuri and Roura orebodies. Overall, the combined mineral reserves and mineral resources were essentially unchanged year over year as the focus during 2009 was on mineral resource to mineral reserve conversion of the Suuri and Roura resource at depth.</w:t>
      </w:r>
    </w:p>
    <w:p>
      <w:pPr>
        <w:spacing w:after="0" w:line="172"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table below sets out exploration expense by region and total corporate development expense:</w:t>
      </w:r>
    </w:p>
    <w:p>
      <w:pPr>
        <w:spacing w:after="0" w:line="275"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654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jc w:val="right"/>
              <w:ind w:right="135"/>
              <w:spacing w:after="0"/>
              <w:rPr>
                <w:sz w:val="20"/>
                <w:szCs w:val="20"/>
                <w:color w:val="auto"/>
              </w:rPr>
            </w:pPr>
            <w:r>
              <w:rPr>
                <w:rFonts w:ascii="Arial" w:cs="Arial" w:eastAsia="Arial" w:hAnsi="Arial"/>
                <w:sz w:val="14"/>
                <w:szCs w:val="14"/>
                <w:b w:val="1"/>
                <w:bCs w:val="1"/>
                <w:color w:val="auto"/>
              </w:rPr>
              <w:t>2009</w:t>
            </w:r>
          </w:p>
        </w:tc>
        <w:tc>
          <w:tcPr>
            <w:tcW w:w="16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jc w:val="right"/>
              <w:ind w:right="135"/>
              <w:spacing w:after="0"/>
              <w:rPr>
                <w:sz w:val="20"/>
                <w:szCs w:val="20"/>
                <w:color w:val="auto"/>
              </w:rPr>
            </w:pPr>
            <w:r>
              <w:rPr>
                <w:rFonts w:ascii="Arial" w:cs="Arial" w:eastAsia="Arial" w:hAnsi="Arial"/>
                <w:sz w:val="14"/>
                <w:szCs w:val="14"/>
                <w:b w:val="1"/>
                <w:bCs w:val="1"/>
                <w:color w:val="auto"/>
              </w:rPr>
              <w:t>2008</w:t>
            </w:r>
          </w:p>
        </w:tc>
        <w:tc>
          <w:tcPr>
            <w:tcW w:w="16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jc w:val="right"/>
              <w:ind w:right="135"/>
              <w:spacing w:after="0"/>
              <w:rPr>
                <w:sz w:val="20"/>
                <w:szCs w:val="20"/>
                <w:color w:val="auto"/>
              </w:rPr>
            </w:pPr>
            <w:r>
              <w:rPr>
                <w:rFonts w:ascii="Arial" w:cs="Arial" w:eastAsia="Arial" w:hAnsi="Arial"/>
                <w:sz w:val="14"/>
                <w:szCs w:val="14"/>
                <w:b w:val="1"/>
                <w:bCs w:val="1"/>
                <w:color w:val="auto"/>
              </w:rPr>
              <w:t>2007</w:t>
            </w:r>
          </w:p>
        </w:tc>
        <w:tc>
          <w:tcPr>
            <w:tcW w:w="160" w:type="dxa"/>
            <w:vAlign w:val="bottom"/>
          </w:tcPr>
          <w:p>
            <w:pPr>
              <w:spacing w:after="0"/>
              <w:rPr>
                <w:sz w:val="14"/>
                <w:szCs w:val="14"/>
                <w:color w:val="auto"/>
              </w:rPr>
            </w:pPr>
          </w:p>
        </w:tc>
      </w:tr>
      <w:tr>
        <w:trPr>
          <w:trHeight w:val="142"/>
        </w:trPr>
        <w:tc>
          <w:tcPr>
            <w:tcW w:w="20" w:type="dxa"/>
            <w:vAlign w:val="bottom"/>
          </w:tcPr>
          <w:p>
            <w:pPr>
              <w:spacing w:after="0"/>
              <w:rPr>
                <w:sz w:val="12"/>
                <w:szCs w:val="12"/>
                <w:color w:val="auto"/>
              </w:rPr>
            </w:pPr>
          </w:p>
        </w:tc>
        <w:tc>
          <w:tcPr>
            <w:tcW w:w="65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00" w:type="dxa"/>
            <w:vAlign w:val="bottom"/>
            <w:gridSpan w:val="2"/>
          </w:tcPr>
          <w:p>
            <w:pPr>
              <w:spacing w:after="0" w:line="142" w:lineRule="exact"/>
              <w:rPr>
                <w:sz w:val="20"/>
                <w:szCs w:val="20"/>
                <w:color w:val="auto"/>
              </w:rPr>
            </w:pPr>
            <w:r>
              <w:rPr>
                <w:rFonts w:ascii="Arial" w:cs="Arial" w:eastAsia="Arial" w:hAnsi="Arial"/>
                <w:sz w:val="14"/>
                <w:szCs w:val="14"/>
                <w:b w:val="1"/>
                <w:bCs w:val="1"/>
                <w:color w:val="auto"/>
                <w:w w:val="84"/>
              </w:rPr>
              <w:t>(thousands)</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60" w:type="dxa"/>
            <w:vAlign w:val="bottom"/>
          </w:tcPr>
          <w:p>
            <w:pPr>
              <w:spacing w:after="0"/>
              <w:rPr>
                <w:sz w:val="12"/>
                <w:szCs w:val="12"/>
                <w:color w:val="auto"/>
              </w:rPr>
            </w:pPr>
          </w:p>
        </w:tc>
      </w:tr>
      <w:tr>
        <w:trPr>
          <w:trHeight w:val="216"/>
        </w:trPr>
        <w:tc>
          <w:tcPr>
            <w:tcW w:w="20" w:type="dxa"/>
            <w:vAlign w:val="bottom"/>
          </w:tcPr>
          <w:p>
            <w:pPr>
              <w:spacing w:after="0"/>
              <w:rPr>
                <w:sz w:val="18"/>
                <w:szCs w:val="18"/>
                <w:color w:val="auto"/>
              </w:rPr>
            </w:pPr>
          </w:p>
        </w:tc>
        <w:tc>
          <w:tcPr>
            <w:tcW w:w="6540" w:type="dxa"/>
            <w:vAlign w:val="bottom"/>
            <w:shd w:val="clear" w:color="auto" w:fill="CCEEFF"/>
          </w:tcPr>
          <w:p>
            <w:pPr>
              <w:spacing w:after="0"/>
              <w:rPr>
                <w:sz w:val="20"/>
                <w:szCs w:val="20"/>
                <w:color w:val="auto"/>
              </w:rPr>
            </w:pPr>
            <w:r>
              <w:rPr>
                <w:rFonts w:ascii="Arial" w:cs="Arial" w:eastAsia="Arial" w:hAnsi="Arial"/>
                <w:sz w:val="18"/>
                <w:szCs w:val="18"/>
                <w:color w:val="auto"/>
              </w:rPr>
              <w:t>Canada</w:t>
            </w: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4"/>
              </w:rPr>
              <w:t>11,194</w:t>
            </w:r>
          </w:p>
        </w:tc>
        <w:tc>
          <w:tcPr>
            <w:tcW w:w="30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w:t>
            </w: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7,966</w:t>
            </w: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5,276</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6540" w:type="dxa"/>
            <w:vAlign w:val="bottom"/>
          </w:tcPr>
          <w:p>
            <w:pPr>
              <w:spacing w:after="0"/>
              <w:rPr>
                <w:sz w:val="20"/>
                <w:szCs w:val="20"/>
                <w:color w:val="auto"/>
              </w:rPr>
            </w:pPr>
            <w:r>
              <w:rPr>
                <w:rFonts w:ascii="Arial" w:cs="Arial" w:eastAsia="Arial" w:hAnsi="Arial"/>
                <w:sz w:val="18"/>
                <w:szCs w:val="18"/>
                <w:color w:val="auto"/>
              </w:rPr>
              <w:t>Latin America</w:t>
            </w:r>
          </w:p>
        </w:tc>
        <w:tc>
          <w:tcPr>
            <w:tcW w:w="140" w:type="dxa"/>
            <w:vAlign w:val="bottom"/>
          </w:tcPr>
          <w:p>
            <w:pPr>
              <w:spacing w:after="0"/>
              <w:rPr>
                <w:sz w:val="18"/>
                <w:szCs w:val="18"/>
                <w:color w:val="auto"/>
              </w:rPr>
            </w:pPr>
          </w:p>
        </w:tc>
        <w:tc>
          <w:tcPr>
            <w:tcW w:w="560" w:type="dxa"/>
            <w:vAlign w:val="bottom"/>
          </w:tcPr>
          <w:p>
            <w:pPr>
              <w:jc w:val="right"/>
              <w:spacing w:after="0"/>
              <w:rPr>
                <w:sz w:val="20"/>
                <w:szCs w:val="20"/>
                <w:color w:val="auto"/>
              </w:rPr>
            </w:pPr>
            <w:r>
              <w:rPr>
                <w:rFonts w:ascii="Arial" w:cs="Arial" w:eastAsia="Arial" w:hAnsi="Arial"/>
                <w:sz w:val="18"/>
                <w:szCs w:val="18"/>
                <w:color w:val="auto"/>
              </w:rPr>
              <w:t>9,212</w:t>
            </w: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560" w:type="dxa"/>
            <w:vAlign w:val="bottom"/>
          </w:tcPr>
          <w:p>
            <w:pPr>
              <w:jc w:val="right"/>
              <w:spacing w:after="0"/>
              <w:rPr>
                <w:sz w:val="20"/>
                <w:szCs w:val="20"/>
                <w:color w:val="auto"/>
              </w:rPr>
            </w:pPr>
            <w:r>
              <w:rPr>
                <w:rFonts w:ascii="Arial" w:cs="Arial" w:eastAsia="Arial" w:hAnsi="Arial"/>
                <w:sz w:val="18"/>
                <w:szCs w:val="18"/>
                <w:color w:val="auto"/>
              </w:rPr>
              <w:t>7,426</w:t>
            </w: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560" w:type="dxa"/>
            <w:vAlign w:val="bottom"/>
          </w:tcPr>
          <w:p>
            <w:pPr>
              <w:jc w:val="right"/>
              <w:spacing w:after="0"/>
              <w:rPr>
                <w:sz w:val="20"/>
                <w:szCs w:val="20"/>
                <w:color w:val="auto"/>
              </w:rPr>
            </w:pPr>
            <w:r>
              <w:rPr>
                <w:rFonts w:ascii="Arial" w:cs="Arial" w:eastAsia="Arial" w:hAnsi="Arial"/>
                <w:sz w:val="18"/>
                <w:szCs w:val="18"/>
                <w:color w:val="auto"/>
              </w:rPr>
              <w:t>6,047</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6540" w:type="dxa"/>
            <w:vAlign w:val="bottom"/>
            <w:shd w:val="clear" w:color="auto" w:fill="CCEEFF"/>
          </w:tcPr>
          <w:p>
            <w:pPr>
              <w:spacing w:after="0"/>
              <w:rPr>
                <w:sz w:val="20"/>
                <w:szCs w:val="20"/>
                <w:color w:val="auto"/>
              </w:rPr>
            </w:pPr>
            <w:r>
              <w:rPr>
                <w:rFonts w:ascii="Arial" w:cs="Arial" w:eastAsia="Arial" w:hAnsi="Arial"/>
                <w:sz w:val="18"/>
                <w:szCs w:val="18"/>
                <w:color w:val="auto"/>
              </w:rPr>
              <w:t>United States</w:t>
            </w:r>
          </w:p>
        </w:tc>
        <w:tc>
          <w:tcPr>
            <w:tcW w:w="140" w:type="dxa"/>
            <w:vAlign w:val="bottom"/>
            <w:shd w:val="clear" w:color="auto" w:fill="CCEEFF"/>
          </w:tcPr>
          <w:p>
            <w:pPr>
              <w:spacing w:after="0"/>
              <w:rPr>
                <w:sz w:val="18"/>
                <w:szCs w:val="18"/>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7,176</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9,347</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5,084</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6540" w:type="dxa"/>
            <w:vAlign w:val="bottom"/>
          </w:tcPr>
          <w:p>
            <w:pPr>
              <w:spacing w:after="0"/>
              <w:rPr>
                <w:sz w:val="20"/>
                <w:szCs w:val="20"/>
                <w:color w:val="auto"/>
              </w:rPr>
            </w:pPr>
            <w:r>
              <w:rPr>
                <w:rFonts w:ascii="Arial" w:cs="Arial" w:eastAsia="Arial" w:hAnsi="Arial"/>
                <w:sz w:val="18"/>
                <w:szCs w:val="18"/>
                <w:color w:val="auto"/>
              </w:rPr>
              <w:t>Europe</w:t>
            </w:r>
          </w:p>
        </w:tc>
        <w:tc>
          <w:tcPr>
            <w:tcW w:w="140" w:type="dxa"/>
            <w:vAlign w:val="bottom"/>
          </w:tcPr>
          <w:p>
            <w:pPr>
              <w:spacing w:after="0"/>
              <w:rPr>
                <w:sz w:val="18"/>
                <w:szCs w:val="18"/>
                <w:color w:val="auto"/>
              </w:rPr>
            </w:pPr>
          </w:p>
        </w:tc>
        <w:tc>
          <w:tcPr>
            <w:tcW w:w="560" w:type="dxa"/>
            <w:vAlign w:val="bottom"/>
          </w:tcPr>
          <w:p>
            <w:pPr>
              <w:jc w:val="right"/>
              <w:spacing w:after="0"/>
              <w:rPr>
                <w:sz w:val="20"/>
                <w:szCs w:val="20"/>
                <w:color w:val="auto"/>
              </w:rPr>
            </w:pPr>
            <w:r>
              <w:rPr>
                <w:rFonts w:ascii="Arial" w:cs="Arial" w:eastAsia="Arial" w:hAnsi="Arial"/>
                <w:sz w:val="18"/>
                <w:szCs w:val="18"/>
                <w:color w:val="auto"/>
              </w:rPr>
              <w:t>5,325</w:t>
            </w: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560" w:type="dxa"/>
            <w:vAlign w:val="bottom"/>
          </w:tcPr>
          <w:p>
            <w:pPr>
              <w:jc w:val="right"/>
              <w:spacing w:after="0"/>
              <w:rPr>
                <w:sz w:val="20"/>
                <w:szCs w:val="20"/>
                <w:color w:val="auto"/>
              </w:rPr>
            </w:pPr>
            <w:r>
              <w:rPr>
                <w:rFonts w:ascii="Arial" w:cs="Arial" w:eastAsia="Arial" w:hAnsi="Arial"/>
                <w:sz w:val="18"/>
                <w:szCs w:val="18"/>
                <w:color w:val="auto"/>
              </w:rPr>
              <w:t>7,017</w:t>
            </w: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560" w:type="dxa"/>
            <w:vAlign w:val="bottom"/>
          </w:tcPr>
          <w:p>
            <w:pPr>
              <w:jc w:val="right"/>
              <w:spacing w:after="0"/>
              <w:rPr>
                <w:sz w:val="20"/>
                <w:szCs w:val="20"/>
                <w:color w:val="auto"/>
              </w:rPr>
            </w:pPr>
            <w:r>
              <w:rPr>
                <w:rFonts w:ascii="Arial" w:cs="Arial" w:eastAsia="Arial" w:hAnsi="Arial"/>
                <w:sz w:val="18"/>
                <w:szCs w:val="18"/>
                <w:color w:val="auto"/>
              </w:rPr>
              <w:t>5,719</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6540" w:type="dxa"/>
            <w:vAlign w:val="bottom"/>
            <w:shd w:val="clear" w:color="auto" w:fill="CCEEFF"/>
          </w:tcPr>
          <w:p>
            <w:pPr>
              <w:spacing w:after="0"/>
              <w:rPr>
                <w:sz w:val="20"/>
                <w:szCs w:val="20"/>
                <w:color w:val="auto"/>
              </w:rPr>
            </w:pPr>
            <w:r>
              <w:rPr>
                <w:rFonts w:ascii="Arial" w:cs="Arial" w:eastAsia="Arial" w:hAnsi="Arial"/>
                <w:sz w:val="18"/>
                <w:szCs w:val="18"/>
                <w:color w:val="auto"/>
              </w:rPr>
              <w:t>Corporate development expense</w:t>
            </w:r>
          </w:p>
        </w:tc>
        <w:tc>
          <w:tcPr>
            <w:tcW w:w="140" w:type="dxa"/>
            <w:vAlign w:val="bottom"/>
            <w:shd w:val="clear" w:color="auto" w:fill="CCEEFF"/>
          </w:tcPr>
          <w:p>
            <w:pPr>
              <w:spacing w:after="0"/>
              <w:rPr>
                <w:sz w:val="18"/>
                <w:szCs w:val="18"/>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3,372</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2,948</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3,381</w:t>
            </w:r>
          </w:p>
        </w:tc>
        <w:tc>
          <w:tcPr>
            <w:tcW w:w="160" w:type="dxa"/>
            <w:vAlign w:val="bottom"/>
            <w:shd w:val="clear" w:color="auto" w:fill="CCEEFF"/>
          </w:tcPr>
          <w:p>
            <w:pPr>
              <w:spacing w:after="0"/>
              <w:rPr>
                <w:sz w:val="18"/>
                <w:szCs w:val="18"/>
                <w:color w:val="auto"/>
              </w:rPr>
            </w:pPr>
          </w:p>
        </w:tc>
      </w:tr>
      <w:tr>
        <w:trPr>
          <w:trHeight w:val="27"/>
        </w:trPr>
        <w:tc>
          <w:tcPr>
            <w:tcW w:w="20" w:type="dxa"/>
            <w:vAlign w:val="bottom"/>
          </w:tcPr>
          <w:p>
            <w:pPr>
              <w:spacing w:after="0"/>
              <w:rPr>
                <w:sz w:val="2"/>
                <w:szCs w:val="2"/>
                <w:color w:val="auto"/>
              </w:rPr>
            </w:pPr>
          </w:p>
        </w:tc>
        <w:tc>
          <w:tcPr>
            <w:tcW w:w="6540" w:type="dxa"/>
            <w:vAlign w:val="bottom"/>
          </w:tcPr>
          <w:p>
            <w:pPr>
              <w:spacing w:after="0"/>
              <w:rPr>
                <w:sz w:val="2"/>
                <w:szCs w:val="2"/>
                <w:color w:val="auto"/>
              </w:rPr>
            </w:pPr>
          </w:p>
        </w:tc>
        <w:tc>
          <w:tcPr>
            <w:tcW w:w="140" w:type="dxa"/>
            <w:vAlign w:val="bottom"/>
          </w:tcPr>
          <w:p>
            <w:pPr>
              <w:spacing w:after="0"/>
              <w:rPr>
                <w:sz w:val="2"/>
                <w:szCs w:val="2"/>
                <w:color w:val="auto"/>
              </w:rPr>
            </w:pPr>
          </w:p>
        </w:tc>
        <w:tc>
          <w:tcPr>
            <w:tcW w:w="560" w:type="dxa"/>
            <w:vAlign w:val="bottom"/>
          </w:tcPr>
          <w:p>
            <w:pPr>
              <w:spacing w:after="0"/>
              <w:rPr>
                <w:sz w:val="2"/>
                <w:szCs w:val="2"/>
                <w:color w:val="auto"/>
              </w:rPr>
            </w:pPr>
          </w:p>
        </w:tc>
        <w:tc>
          <w:tcPr>
            <w:tcW w:w="300" w:type="dxa"/>
            <w:vAlign w:val="bottom"/>
            <w:gridSpan w:val="2"/>
          </w:tcPr>
          <w:p>
            <w:pPr>
              <w:spacing w:after="0"/>
              <w:rPr>
                <w:sz w:val="2"/>
                <w:szCs w:val="2"/>
                <w:color w:val="auto"/>
              </w:rPr>
            </w:pPr>
          </w:p>
        </w:tc>
        <w:tc>
          <w:tcPr>
            <w:tcW w:w="560" w:type="dxa"/>
            <w:vAlign w:val="bottom"/>
          </w:tcPr>
          <w:p>
            <w:pPr>
              <w:spacing w:after="0"/>
              <w:rPr>
                <w:sz w:val="2"/>
                <w:szCs w:val="2"/>
                <w:color w:val="auto"/>
              </w:rPr>
            </w:pPr>
          </w:p>
        </w:tc>
        <w:tc>
          <w:tcPr>
            <w:tcW w:w="300" w:type="dxa"/>
            <w:vAlign w:val="bottom"/>
            <w:gridSpan w:val="2"/>
          </w:tcPr>
          <w:p>
            <w:pPr>
              <w:spacing w:after="0"/>
              <w:rPr>
                <w:sz w:val="2"/>
                <w:szCs w:val="2"/>
                <w:color w:val="auto"/>
              </w:rPr>
            </w:pPr>
          </w:p>
        </w:tc>
        <w:tc>
          <w:tcPr>
            <w:tcW w:w="560" w:type="dxa"/>
            <w:vAlign w:val="bottom"/>
          </w:tcPr>
          <w:p>
            <w:pPr>
              <w:spacing w:after="0"/>
              <w:rPr>
                <w:sz w:val="2"/>
                <w:szCs w:val="2"/>
                <w:color w:val="auto"/>
              </w:rPr>
            </w:pPr>
          </w:p>
        </w:tc>
        <w:tc>
          <w:tcPr>
            <w:tcW w:w="160" w:type="dxa"/>
            <w:vAlign w:val="bottom"/>
          </w:tcPr>
          <w:p>
            <w:pPr>
              <w:spacing w:after="0"/>
              <w:rPr>
                <w:sz w:val="2"/>
                <w:szCs w:val="2"/>
                <w:color w:val="auto"/>
              </w:rPr>
            </w:pPr>
          </w:p>
        </w:tc>
      </w:tr>
      <w:tr>
        <w:trPr>
          <w:trHeight w:val="216"/>
        </w:trPr>
        <w:tc>
          <w:tcPr>
            <w:tcW w:w="20" w:type="dxa"/>
            <w:vAlign w:val="bottom"/>
          </w:tcPr>
          <w:p>
            <w:pPr>
              <w:spacing w:after="0"/>
              <w:rPr>
                <w:sz w:val="18"/>
                <w:szCs w:val="18"/>
                <w:color w:val="auto"/>
              </w:rPr>
            </w:pPr>
          </w:p>
        </w:tc>
        <w:tc>
          <w:tcPr>
            <w:tcW w:w="6540" w:type="dxa"/>
            <w:vAlign w:val="bottom"/>
          </w:tcPr>
          <w:p>
            <w:pPr>
              <w:spacing w:after="0"/>
              <w:rPr>
                <w:sz w:val="18"/>
                <w:szCs w:val="18"/>
                <w:color w:val="auto"/>
              </w:rPr>
            </w:pPr>
          </w:p>
        </w:tc>
        <w:tc>
          <w:tcPr>
            <w:tcW w:w="14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5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94"/>
              </w:rPr>
              <w:t>36,279</w:t>
            </w:r>
          </w:p>
        </w:tc>
        <w:tc>
          <w:tcPr>
            <w:tcW w:w="160" w:type="dxa"/>
            <w:vAlign w:val="bottom"/>
          </w:tcPr>
          <w:p>
            <w:pPr>
              <w:spacing w:after="0"/>
              <w:rPr>
                <w:sz w:val="18"/>
                <w:szCs w:val="18"/>
                <w:color w:val="auto"/>
              </w:rPr>
            </w:pPr>
          </w:p>
        </w:tc>
        <w:tc>
          <w:tcPr>
            <w:tcW w:w="140" w:type="dxa"/>
            <w:vAlign w:val="bottom"/>
            <w:tcBorders>
              <w:top w:val="single" w:sz="8" w:color="auto"/>
            </w:tcBorders>
          </w:tcPr>
          <w:p>
            <w:pPr>
              <w:spacing w:after="0"/>
              <w:rPr>
                <w:sz w:val="20"/>
                <w:szCs w:val="20"/>
                <w:color w:val="auto"/>
              </w:rPr>
            </w:pPr>
            <w:r>
              <w:rPr>
                <w:rFonts w:ascii="Arial" w:cs="Arial" w:eastAsia="Arial" w:hAnsi="Arial"/>
                <w:sz w:val="18"/>
                <w:szCs w:val="18"/>
                <w:color w:val="auto"/>
              </w:rPr>
              <w:t>$</w:t>
            </w:r>
          </w:p>
        </w:tc>
        <w:tc>
          <w:tcPr>
            <w:tcW w:w="5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98"/>
              </w:rPr>
              <w:t>34,704</w:t>
            </w:r>
          </w:p>
        </w:tc>
        <w:tc>
          <w:tcPr>
            <w:tcW w:w="160" w:type="dxa"/>
            <w:vAlign w:val="bottom"/>
          </w:tcPr>
          <w:p>
            <w:pPr>
              <w:spacing w:after="0"/>
              <w:rPr>
                <w:sz w:val="18"/>
                <w:szCs w:val="18"/>
                <w:color w:val="auto"/>
              </w:rPr>
            </w:pPr>
          </w:p>
        </w:tc>
        <w:tc>
          <w:tcPr>
            <w:tcW w:w="14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5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98"/>
              </w:rPr>
              <w:t>25,507</w:t>
            </w:r>
          </w:p>
        </w:tc>
        <w:tc>
          <w:tcPr>
            <w:tcW w:w="160" w:type="dxa"/>
            <w:vAlign w:val="bottom"/>
          </w:tcPr>
          <w:p>
            <w:pPr>
              <w:spacing w:after="0"/>
              <w:rPr>
                <w:sz w:val="18"/>
                <w:szCs w:val="18"/>
                <w:color w:val="auto"/>
              </w:rPr>
            </w:pPr>
          </w:p>
        </w:tc>
      </w:tr>
      <w:tr>
        <w:trPr>
          <w:trHeight w:val="21"/>
        </w:trPr>
        <w:tc>
          <w:tcPr>
            <w:tcW w:w="20" w:type="dxa"/>
            <w:vAlign w:val="bottom"/>
          </w:tcPr>
          <w:p>
            <w:pPr>
              <w:spacing w:after="0" w:line="20" w:lineRule="exact"/>
              <w:rPr>
                <w:sz w:val="1"/>
                <w:szCs w:val="1"/>
                <w:color w:val="auto"/>
              </w:rPr>
            </w:pPr>
          </w:p>
        </w:tc>
        <w:tc>
          <w:tcPr>
            <w:tcW w:w="65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20"/>
        </w:trPr>
        <w:tc>
          <w:tcPr>
            <w:tcW w:w="20" w:type="dxa"/>
            <w:vAlign w:val="bottom"/>
          </w:tcPr>
          <w:p>
            <w:pPr>
              <w:spacing w:after="0" w:line="20" w:lineRule="exact"/>
              <w:rPr>
                <w:sz w:val="1"/>
                <w:szCs w:val="1"/>
                <w:color w:val="auto"/>
              </w:rPr>
            </w:pPr>
          </w:p>
        </w:tc>
        <w:tc>
          <w:tcPr>
            <w:tcW w:w="65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General and Administrative Expenses</w:t>
      </w:r>
    </w:p>
    <w:p>
      <w:pPr>
        <w:spacing w:after="0" w:line="225" w:lineRule="exact"/>
        <w:rPr>
          <w:sz w:val="20"/>
          <w:szCs w:val="20"/>
          <w:color w:val="auto"/>
        </w:rPr>
      </w:pPr>
    </w:p>
    <w:p>
      <w:pPr>
        <w:jc w:val="both"/>
        <w:ind w:firstLine="355"/>
        <w:spacing w:after="0" w:line="306" w:lineRule="auto"/>
        <w:rPr>
          <w:sz w:val="20"/>
          <w:szCs w:val="20"/>
          <w:color w:val="auto"/>
        </w:rPr>
      </w:pPr>
      <w:r>
        <w:rPr>
          <w:rFonts w:ascii="Arial" w:cs="Arial" w:eastAsia="Arial" w:hAnsi="Arial"/>
          <w:sz w:val="16"/>
          <w:szCs w:val="16"/>
          <w:color w:val="auto"/>
        </w:rPr>
        <w:t>General and administrative expenses increased to $63.7 million in 2009 from $47.2 million in 2008. The main driver was an increase in stock option expense due to an increase in number of options granted and an increase in the Black-Scholes calculated value of the options granted. Of the total general and administrative expenses, stock-based compensation was $27.7 million and $15.3 million in 2009 and 2008, respectively.</w:t>
      </w:r>
    </w:p>
    <w:p>
      <w:pPr>
        <w:spacing w:after="0" w:line="16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23" w:name="page124"/>
    <w:bookmarkEnd w:id="123"/>
    <w:p>
      <w:pPr>
        <w:spacing w:after="0"/>
        <w:rPr>
          <w:sz w:val="20"/>
          <w:szCs w:val="20"/>
          <w:color w:val="auto"/>
        </w:rPr>
      </w:pPr>
      <w:r>
        <w:rPr>
          <w:rFonts w:ascii="Arial" w:cs="Arial" w:eastAsia="Arial" w:hAnsi="Arial"/>
          <w:sz w:val="18"/>
          <w:szCs w:val="18"/>
          <w:b w:val="1"/>
          <w:bCs w:val="1"/>
          <w:i w:val="1"/>
          <w:iCs w:val="1"/>
          <w:color w:val="auto"/>
        </w:rPr>
        <w:t>Provincial Capital Taxes</w:t>
      </w:r>
    </w:p>
    <w:p>
      <w:pPr>
        <w:spacing w:after="0" w:line="225" w:lineRule="exact"/>
        <w:rPr>
          <w:sz w:val="20"/>
          <w:szCs w:val="20"/>
          <w:color w:val="auto"/>
        </w:rPr>
      </w:pPr>
    </w:p>
    <w:p>
      <w:pPr>
        <w:jc w:val="both"/>
        <w:ind w:firstLine="491"/>
        <w:spacing w:after="0" w:line="256" w:lineRule="auto"/>
        <w:rPr>
          <w:sz w:val="20"/>
          <w:szCs w:val="20"/>
          <w:color w:val="auto"/>
        </w:rPr>
      </w:pPr>
      <w:r>
        <w:rPr>
          <w:rFonts w:ascii="Arial" w:cs="Arial" w:eastAsia="Arial" w:hAnsi="Arial"/>
          <w:sz w:val="18"/>
          <w:szCs w:val="18"/>
          <w:color w:val="auto"/>
        </w:rPr>
        <w:t>Provincial capital taxes were relatively constant at $5.0 million in 2009 compared to $5.3 million in 2008. These taxes are assessed on the Company's capitalization (paid-up capital and debt) less certain allowances and tax credits for exploration expenses incurred. Ontario capital tax will be eliminated on July 1, 2010, while Quebec capital tax will be eliminated at the end of 2010. Therefore, the provincial capital tax expense in 2010 is expected to be substantially less than that incurred in 2009 and zero in following years.</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Amortization Expense</w:t>
      </w:r>
    </w:p>
    <w:p>
      <w:pPr>
        <w:spacing w:after="0" w:line="225" w:lineRule="exact"/>
        <w:rPr>
          <w:sz w:val="20"/>
          <w:szCs w:val="20"/>
          <w:color w:val="auto"/>
        </w:rPr>
      </w:pPr>
    </w:p>
    <w:p>
      <w:pPr>
        <w:jc w:val="both"/>
        <w:ind w:firstLine="537"/>
        <w:spacing w:after="0" w:line="306" w:lineRule="auto"/>
        <w:rPr>
          <w:sz w:val="20"/>
          <w:szCs w:val="20"/>
          <w:color w:val="auto"/>
        </w:rPr>
      </w:pPr>
      <w:r>
        <w:rPr>
          <w:rFonts w:ascii="Arial" w:cs="Arial" w:eastAsia="Arial" w:hAnsi="Arial"/>
          <w:sz w:val="16"/>
          <w:szCs w:val="16"/>
          <w:color w:val="auto"/>
        </w:rPr>
        <w:t>The consolidated amortization expense for the year increased to $72.5 million in 2009 compared to $36.1 million in 2008, largely as a result of the commencement of commercial production at the Kittila, Lapa and Pinos Altos Mines during 2009. In addition, a full year of amortization expense was recognized at the Goldex Mine during 2009 compared to only five months of amortization expense during 2008 after commercial production was achieved in August 2008.</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Interest Expense</w:t>
      </w:r>
    </w:p>
    <w:p>
      <w:pPr>
        <w:spacing w:after="0" w:line="225" w:lineRule="exact"/>
        <w:rPr>
          <w:sz w:val="20"/>
          <w:szCs w:val="20"/>
          <w:color w:val="auto"/>
        </w:rPr>
      </w:pPr>
    </w:p>
    <w:p>
      <w:pPr>
        <w:jc w:val="both"/>
        <w:ind w:firstLine="417"/>
        <w:spacing w:after="0" w:line="268" w:lineRule="auto"/>
        <w:rPr>
          <w:sz w:val="20"/>
          <w:szCs w:val="20"/>
          <w:color w:val="auto"/>
        </w:rPr>
      </w:pPr>
      <w:r>
        <w:rPr>
          <w:rFonts w:ascii="Arial" w:cs="Arial" w:eastAsia="Arial" w:hAnsi="Arial"/>
          <w:sz w:val="18"/>
          <w:szCs w:val="18"/>
          <w:color w:val="auto"/>
        </w:rPr>
        <w:t>In 2009, interest expense increased to $8.4 million from $3.0 million in 2008 and $3.3 million in 2007. The table below shows the components of interest expense.</w:t>
      </w:r>
    </w:p>
    <w:p>
      <w:pPr>
        <w:spacing w:after="0" w:line="236"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6560" w:type="dxa"/>
            <w:vAlign w:val="bottom"/>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jc w:val="right"/>
              <w:ind w:right="155"/>
              <w:spacing w:after="0"/>
              <w:rPr>
                <w:sz w:val="20"/>
                <w:szCs w:val="20"/>
                <w:color w:val="auto"/>
              </w:rPr>
            </w:pPr>
            <w:r>
              <w:rPr>
                <w:rFonts w:ascii="Arial" w:cs="Arial" w:eastAsia="Arial" w:hAnsi="Arial"/>
                <w:sz w:val="14"/>
                <w:szCs w:val="14"/>
                <w:b w:val="1"/>
                <w:bCs w:val="1"/>
                <w:color w:val="auto"/>
              </w:rPr>
              <w:t>2009</w:t>
            </w: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540" w:type="dxa"/>
            <w:vAlign w:val="bottom"/>
            <w:tcBorders>
              <w:bottom w:val="single" w:sz="8" w:color="auto"/>
            </w:tcBorders>
          </w:tcPr>
          <w:p>
            <w:pPr>
              <w:jc w:val="right"/>
              <w:ind w:right="135"/>
              <w:spacing w:after="0"/>
              <w:rPr>
                <w:sz w:val="20"/>
                <w:szCs w:val="20"/>
                <w:color w:val="auto"/>
              </w:rPr>
            </w:pPr>
            <w:r>
              <w:rPr>
                <w:rFonts w:ascii="Arial" w:cs="Arial" w:eastAsia="Arial" w:hAnsi="Arial"/>
                <w:sz w:val="14"/>
                <w:szCs w:val="14"/>
                <w:b w:val="1"/>
                <w:bCs w:val="1"/>
                <w:color w:val="auto"/>
                <w:w w:val="96"/>
              </w:rPr>
              <w:t>2008</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480" w:type="dxa"/>
            <w:vAlign w:val="bottom"/>
            <w:tcBorders>
              <w:bottom w:val="single" w:sz="8" w:color="auto"/>
            </w:tcBorders>
          </w:tcPr>
          <w:p>
            <w:pPr>
              <w:jc w:val="right"/>
              <w:ind w:right="95"/>
              <w:spacing w:after="0"/>
              <w:rPr>
                <w:sz w:val="20"/>
                <w:szCs w:val="20"/>
                <w:color w:val="auto"/>
              </w:rPr>
            </w:pPr>
            <w:r>
              <w:rPr>
                <w:rFonts w:ascii="Arial" w:cs="Arial" w:eastAsia="Arial" w:hAnsi="Arial"/>
                <w:sz w:val="14"/>
                <w:szCs w:val="14"/>
                <w:b w:val="1"/>
                <w:bCs w:val="1"/>
                <w:color w:val="auto"/>
                <w:w w:val="89"/>
              </w:rPr>
              <w:t>2007</w:t>
            </w:r>
          </w:p>
        </w:tc>
        <w:tc>
          <w:tcPr>
            <w:tcW w:w="160" w:type="dxa"/>
            <w:vAlign w:val="bottom"/>
          </w:tcPr>
          <w:p>
            <w:pPr>
              <w:spacing w:after="0"/>
              <w:rPr>
                <w:sz w:val="14"/>
                <w:szCs w:val="14"/>
                <w:color w:val="auto"/>
              </w:rPr>
            </w:pPr>
          </w:p>
        </w:tc>
      </w:tr>
      <w:tr>
        <w:trPr>
          <w:trHeight w:val="142"/>
        </w:trPr>
        <w:tc>
          <w:tcPr>
            <w:tcW w:w="20" w:type="dxa"/>
            <w:vAlign w:val="bottom"/>
          </w:tcPr>
          <w:p>
            <w:pPr>
              <w:spacing w:after="0"/>
              <w:rPr>
                <w:sz w:val="12"/>
                <w:szCs w:val="12"/>
                <w:color w:val="auto"/>
              </w:rPr>
            </w:pPr>
          </w:p>
        </w:tc>
        <w:tc>
          <w:tcPr>
            <w:tcW w:w="65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gridSpan w:val="2"/>
          </w:tcPr>
          <w:p>
            <w:pPr>
              <w:jc w:val="right"/>
              <w:spacing w:after="0" w:line="142" w:lineRule="exact"/>
              <w:rPr>
                <w:sz w:val="20"/>
                <w:szCs w:val="20"/>
                <w:color w:val="auto"/>
              </w:rPr>
            </w:pPr>
            <w:r>
              <w:rPr>
                <w:rFonts w:ascii="Arial" w:cs="Arial" w:eastAsia="Arial" w:hAnsi="Arial"/>
                <w:sz w:val="14"/>
                <w:szCs w:val="14"/>
                <w:b w:val="1"/>
                <w:bCs w:val="1"/>
                <w:color w:val="auto"/>
                <w:w w:val="72"/>
              </w:rPr>
              <w:t>(thousands)</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60" w:type="dxa"/>
            <w:vAlign w:val="bottom"/>
          </w:tcPr>
          <w:p>
            <w:pPr>
              <w:spacing w:after="0"/>
              <w:rPr>
                <w:sz w:val="12"/>
                <w:szCs w:val="12"/>
                <w:color w:val="auto"/>
              </w:rPr>
            </w:pPr>
          </w:p>
        </w:tc>
      </w:tr>
      <w:tr>
        <w:trPr>
          <w:trHeight w:val="216"/>
        </w:trPr>
        <w:tc>
          <w:tcPr>
            <w:tcW w:w="20" w:type="dxa"/>
            <w:vAlign w:val="bottom"/>
          </w:tcPr>
          <w:p>
            <w:pPr>
              <w:spacing w:after="0"/>
              <w:rPr>
                <w:sz w:val="18"/>
                <w:szCs w:val="18"/>
                <w:color w:val="auto"/>
              </w:rPr>
            </w:pPr>
          </w:p>
        </w:tc>
        <w:tc>
          <w:tcPr>
            <w:tcW w:w="6560" w:type="dxa"/>
            <w:vAlign w:val="bottom"/>
            <w:shd w:val="clear" w:color="auto" w:fill="CCEEFF"/>
          </w:tcPr>
          <w:p>
            <w:pPr>
              <w:spacing w:after="0"/>
              <w:rPr>
                <w:sz w:val="20"/>
                <w:szCs w:val="20"/>
                <w:color w:val="auto"/>
              </w:rPr>
            </w:pPr>
            <w:r>
              <w:rPr>
                <w:rFonts w:ascii="Arial" w:cs="Arial" w:eastAsia="Arial" w:hAnsi="Arial"/>
                <w:sz w:val="18"/>
                <w:szCs w:val="18"/>
                <w:color w:val="auto"/>
              </w:rPr>
              <w:t>Stand-by fees on credit facilities</w:t>
            </w:r>
          </w:p>
        </w:tc>
        <w:tc>
          <w:tcPr>
            <w:tcW w:w="160" w:type="dxa"/>
            <w:vAlign w:val="bottom"/>
            <w:shd w:val="clear" w:color="auto" w:fill="CCEEFF"/>
          </w:tcPr>
          <w:p>
            <w:pPr>
              <w:jc w:val="right"/>
              <w:ind w:right="3"/>
              <w:spacing w:after="0"/>
              <w:rPr>
                <w:sz w:val="20"/>
                <w:szCs w:val="20"/>
                <w:color w:val="auto"/>
              </w:rPr>
            </w:pPr>
            <w:r>
              <w:rPr>
                <w:rFonts w:ascii="Arial" w:cs="Arial" w:eastAsia="Arial" w:hAnsi="Arial"/>
                <w:sz w:val="15"/>
                <w:szCs w:val="15"/>
                <w:color w:val="auto"/>
                <w:w w:val="71"/>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2,730</w:t>
            </w:r>
          </w:p>
        </w:tc>
        <w:tc>
          <w:tcPr>
            <w:tcW w:w="80" w:type="dxa"/>
            <w:vAlign w:val="bottom"/>
            <w:shd w:val="clear" w:color="auto" w:fill="CCEEFF"/>
          </w:tcPr>
          <w:p>
            <w:pPr>
              <w:spacing w:after="0"/>
              <w:rPr>
                <w:sz w:val="18"/>
                <w:szCs w:val="18"/>
                <w:color w:val="auto"/>
              </w:rPr>
            </w:pP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1,163</w:t>
            </w:r>
          </w:p>
        </w:tc>
        <w:tc>
          <w:tcPr>
            <w:tcW w:w="100" w:type="dxa"/>
            <w:vAlign w:val="bottom"/>
            <w:shd w:val="clear" w:color="auto" w:fill="CCEEFF"/>
          </w:tcPr>
          <w:p>
            <w:pPr>
              <w:spacing w:after="0"/>
              <w:rPr>
                <w:sz w:val="18"/>
                <w:szCs w:val="18"/>
                <w:color w:val="auto"/>
              </w:rPr>
            </w:pP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2,289</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6560" w:type="dxa"/>
            <w:vAlign w:val="bottom"/>
          </w:tcPr>
          <w:p>
            <w:pPr>
              <w:spacing w:after="0"/>
              <w:rPr>
                <w:sz w:val="20"/>
                <w:szCs w:val="20"/>
                <w:color w:val="auto"/>
              </w:rPr>
            </w:pPr>
            <w:r>
              <w:rPr>
                <w:rFonts w:ascii="Arial" w:cs="Arial" w:eastAsia="Arial" w:hAnsi="Arial"/>
                <w:sz w:val="18"/>
                <w:szCs w:val="18"/>
                <w:color w:val="auto"/>
              </w:rPr>
              <w:t>Amortization of credit facilities financing costs</w:t>
            </w:r>
          </w:p>
        </w:tc>
        <w:tc>
          <w:tcPr>
            <w:tcW w:w="160" w:type="dxa"/>
            <w:vAlign w:val="bottom"/>
          </w:tcPr>
          <w:p>
            <w:pPr>
              <w:spacing w:after="0"/>
              <w:rPr>
                <w:sz w:val="18"/>
                <w:szCs w:val="18"/>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rPr>
              <w:t>2,392</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1,192</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480" w:type="dxa"/>
            <w:vAlign w:val="bottom"/>
          </w:tcPr>
          <w:p>
            <w:pPr>
              <w:jc w:val="right"/>
              <w:spacing w:after="0"/>
              <w:rPr>
                <w:sz w:val="20"/>
                <w:szCs w:val="20"/>
                <w:color w:val="auto"/>
              </w:rPr>
            </w:pPr>
            <w:r>
              <w:rPr>
                <w:rFonts w:ascii="Arial" w:cs="Arial" w:eastAsia="Arial" w:hAnsi="Arial"/>
                <w:sz w:val="18"/>
                <w:szCs w:val="18"/>
                <w:color w:val="auto"/>
              </w:rPr>
              <w:t>806</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6560" w:type="dxa"/>
            <w:vAlign w:val="bottom"/>
            <w:shd w:val="clear" w:color="auto" w:fill="CCEEFF"/>
          </w:tcPr>
          <w:p>
            <w:pPr>
              <w:spacing w:after="0"/>
              <w:rPr>
                <w:sz w:val="20"/>
                <w:szCs w:val="20"/>
                <w:color w:val="auto"/>
              </w:rPr>
            </w:pPr>
            <w:r>
              <w:rPr>
                <w:rFonts w:ascii="Arial" w:cs="Arial" w:eastAsia="Arial" w:hAnsi="Arial"/>
                <w:sz w:val="18"/>
                <w:szCs w:val="18"/>
                <w:color w:val="auto"/>
              </w:rPr>
              <w:t>Government interest, penalties and other</w:t>
            </w:r>
          </w:p>
        </w:tc>
        <w:tc>
          <w:tcPr>
            <w:tcW w:w="160" w:type="dxa"/>
            <w:vAlign w:val="bottom"/>
            <w:shd w:val="clear" w:color="auto" w:fill="CCEEFF"/>
          </w:tcPr>
          <w:p>
            <w:pPr>
              <w:spacing w:after="0"/>
              <w:rPr>
                <w:sz w:val="18"/>
                <w:szCs w:val="18"/>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3,326</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597</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4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199</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6560" w:type="dxa"/>
            <w:vAlign w:val="bottom"/>
          </w:tcPr>
          <w:p>
            <w:pPr>
              <w:spacing w:after="0"/>
              <w:rPr>
                <w:sz w:val="20"/>
                <w:szCs w:val="20"/>
                <w:color w:val="auto"/>
              </w:rPr>
            </w:pPr>
            <w:r>
              <w:rPr>
                <w:rFonts w:ascii="Arial" w:cs="Arial" w:eastAsia="Arial" w:hAnsi="Arial"/>
                <w:sz w:val="18"/>
                <w:szCs w:val="18"/>
                <w:color w:val="auto"/>
              </w:rPr>
              <w:t>Interest on credit facilities</w:t>
            </w:r>
          </w:p>
        </w:tc>
        <w:tc>
          <w:tcPr>
            <w:tcW w:w="160" w:type="dxa"/>
            <w:vAlign w:val="bottom"/>
          </w:tcPr>
          <w:p>
            <w:pPr>
              <w:spacing w:after="0"/>
              <w:rPr>
                <w:sz w:val="18"/>
                <w:szCs w:val="18"/>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rPr>
              <w:t>15,470</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4,584</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20" w:type="dxa"/>
            <w:vAlign w:val="bottom"/>
          </w:tcPr>
          <w:p>
            <w:pPr>
              <w:spacing w:after="0"/>
              <w:rPr>
                <w:sz w:val="18"/>
                <w:szCs w:val="18"/>
                <w:color w:val="auto"/>
              </w:rPr>
            </w:pPr>
          </w:p>
        </w:tc>
        <w:tc>
          <w:tcPr>
            <w:tcW w:w="6560" w:type="dxa"/>
            <w:vAlign w:val="bottom"/>
            <w:shd w:val="clear" w:color="auto" w:fill="CCEEFF"/>
          </w:tcPr>
          <w:p>
            <w:pPr>
              <w:spacing w:after="0"/>
              <w:rPr>
                <w:sz w:val="20"/>
                <w:szCs w:val="20"/>
                <w:color w:val="auto"/>
              </w:rPr>
            </w:pPr>
            <w:r>
              <w:rPr>
                <w:rFonts w:ascii="Arial" w:cs="Arial" w:eastAsia="Arial" w:hAnsi="Arial"/>
                <w:sz w:val="18"/>
                <w:szCs w:val="18"/>
                <w:color w:val="auto"/>
              </w:rPr>
              <w:t>Interest capitalized to construction in progress</w:t>
            </w:r>
          </w:p>
        </w:tc>
        <w:tc>
          <w:tcPr>
            <w:tcW w:w="16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w w:val="95"/>
              </w:rPr>
              <w:t>(15,470)</w:t>
            </w:r>
          </w:p>
        </w:tc>
        <w:tc>
          <w:tcPr>
            <w:tcW w:w="1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(4,584)</w:t>
            </w: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r>
      <w:tr>
        <w:trPr>
          <w:trHeight w:val="27"/>
        </w:trPr>
        <w:tc>
          <w:tcPr>
            <w:tcW w:w="20" w:type="dxa"/>
            <w:vAlign w:val="bottom"/>
          </w:tcPr>
          <w:p>
            <w:pPr>
              <w:spacing w:after="0"/>
              <w:rPr>
                <w:sz w:val="2"/>
                <w:szCs w:val="2"/>
                <w:color w:val="auto"/>
              </w:rPr>
            </w:pPr>
          </w:p>
        </w:tc>
        <w:tc>
          <w:tcPr>
            <w:tcW w:w="6560" w:type="dxa"/>
            <w:vAlign w:val="bottom"/>
          </w:tcPr>
          <w:p>
            <w:pPr>
              <w:spacing w:after="0"/>
              <w:rPr>
                <w:sz w:val="2"/>
                <w:szCs w:val="2"/>
                <w:color w:val="auto"/>
              </w:rPr>
            </w:pPr>
          </w:p>
        </w:tc>
        <w:tc>
          <w:tcPr>
            <w:tcW w:w="160" w:type="dxa"/>
            <w:vAlign w:val="bottom"/>
          </w:tcPr>
          <w:p>
            <w:pPr>
              <w:spacing w:after="0"/>
              <w:rPr>
                <w:sz w:val="2"/>
                <w:szCs w:val="2"/>
                <w:color w:val="auto"/>
              </w:rPr>
            </w:pPr>
          </w:p>
        </w:tc>
        <w:tc>
          <w:tcPr>
            <w:tcW w:w="600" w:type="dxa"/>
            <w:vAlign w:val="bottom"/>
          </w:tcPr>
          <w:p>
            <w:pPr>
              <w:spacing w:after="0"/>
              <w:rPr>
                <w:sz w:val="2"/>
                <w:szCs w:val="2"/>
                <w:color w:val="auto"/>
              </w:rPr>
            </w:pPr>
          </w:p>
        </w:tc>
        <w:tc>
          <w:tcPr>
            <w:tcW w:w="80" w:type="dxa"/>
            <w:vAlign w:val="bottom"/>
          </w:tcPr>
          <w:p>
            <w:pPr>
              <w:spacing w:after="0"/>
              <w:rPr>
                <w:sz w:val="2"/>
                <w:szCs w:val="2"/>
                <w:color w:val="auto"/>
              </w:rPr>
            </w:pPr>
          </w:p>
        </w:tc>
        <w:tc>
          <w:tcPr>
            <w:tcW w:w="240" w:type="dxa"/>
            <w:vAlign w:val="bottom"/>
            <w:gridSpan w:val="2"/>
          </w:tcPr>
          <w:p>
            <w:pPr>
              <w:spacing w:after="0"/>
              <w:rPr>
                <w:sz w:val="2"/>
                <w:szCs w:val="2"/>
                <w:color w:val="auto"/>
              </w:rPr>
            </w:pPr>
          </w:p>
        </w:tc>
        <w:tc>
          <w:tcPr>
            <w:tcW w:w="540" w:type="dxa"/>
            <w:vAlign w:val="bottom"/>
          </w:tcPr>
          <w:p>
            <w:pPr>
              <w:spacing w:after="0"/>
              <w:rPr>
                <w:sz w:val="2"/>
                <w:szCs w:val="2"/>
                <w:color w:val="auto"/>
              </w:rPr>
            </w:pPr>
          </w:p>
        </w:tc>
        <w:tc>
          <w:tcPr>
            <w:tcW w:w="100" w:type="dxa"/>
            <w:vAlign w:val="bottom"/>
          </w:tcPr>
          <w:p>
            <w:pPr>
              <w:spacing w:after="0"/>
              <w:rPr>
                <w:sz w:val="2"/>
                <w:szCs w:val="2"/>
                <w:color w:val="auto"/>
              </w:rPr>
            </w:pPr>
          </w:p>
        </w:tc>
        <w:tc>
          <w:tcPr>
            <w:tcW w:w="200" w:type="dxa"/>
            <w:vAlign w:val="bottom"/>
            <w:gridSpan w:val="2"/>
          </w:tcPr>
          <w:p>
            <w:pPr>
              <w:spacing w:after="0"/>
              <w:rPr>
                <w:sz w:val="2"/>
                <w:szCs w:val="2"/>
                <w:color w:val="auto"/>
              </w:rPr>
            </w:pPr>
          </w:p>
        </w:tc>
        <w:tc>
          <w:tcPr>
            <w:tcW w:w="480" w:type="dxa"/>
            <w:vAlign w:val="bottom"/>
          </w:tcPr>
          <w:p>
            <w:pPr>
              <w:spacing w:after="0"/>
              <w:rPr>
                <w:sz w:val="2"/>
                <w:szCs w:val="2"/>
                <w:color w:val="auto"/>
              </w:rPr>
            </w:pPr>
          </w:p>
        </w:tc>
        <w:tc>
          <w:tcPr>
            <w:tcW w:w="160" w:type="dxa"/>
            <w:vAlign w:val="bottom"/>
          </w:tcPr>
          <w:p>
            <w:pPr>
              <w:spacing w:after="0"/>
              <w:rPr>
                <w:sz w:val="2"/>
                <w:szCs w:val="2"/>
                <w:color w:val="auto"/>
              </w:rPr>
            </w:pPr>
          </w:p>
        </w:tc>
      </w:tr>
      <w:tr>
        <w:trPr>
          <w:trHeight w:val="216"/>
        </w:trPr>
        <w:tc>
          <w:tcPr>
            <w:tcW w:w="20" w:type="dxa"/>
            <w:vAlign w:val="bottom"/>
          </w:tcPr>
          <w:p>
            <w:pPr>
              <w:spacing w:after="0"/>
              <w:rPr>
                <w:sz w:val="18"/>
                <w:szCs w:val="18"/>
                <w:color w:val="auto"/>
              </w:rPr>
            </w:pPr>
          </w:p>
        </w:tc>
        <w:tc>
          <w:tcPr>
            <w:tcW w:w="6560" w:type="dxa"/>
            <w:vAlign w:val="bottom"/>
          </w:tcPr>
          <w:p>
            <w:pPr>
              <w:spacing w:after="0"/>
              <w:rPr>
                <w:sz w:val="18"/>
                <w:szCs w:val="18"/>
                <w:color w:val="auto"/>
              </w:rPr>
            </w:pPr>
          </w:p>
        </w:tc>
        <w:tc>
          <w:tcPr>
            <w:tcW w:w="160" w:type="dxa"/>
            <w:vAlign w:val="bottom"/>
            <w:tcBorders>
              <w:top w:val="single" w:sz="8" w:color="auto"/>
            </w:tcBorders>
          </w:tcPr>
          <w:p>
            <w:pPr>
              <w:jc w:val="right"/>
              <w:ind w:right="3"/>
              <w:spacing w:after="0"/>
              <w:rPr>
                <w:sz w:val="20"/>
                <w:szCs w:val="20"/>
                <w:color w:val="auto"/>
              </w:rPr>
            </w:pPr>
            <w:r>
              <w:rPr>
                <w:rFonts w:ascii="Arial" w:cs="Arial" w:eastAsia="Arial" w:hAnsi="Arial"/>
                <w:sz w:val="15"/>
                <w:szCs w:val="15"/>
                <w:color w:val="auto"/>
                <w:w w:val="71"/>
              </w:rPr>
              <w:t>$</w:t>
            </w:r>
          </w:p>
        </w:tc>
        <w:tc>
          <w:tcPr>
            <w:tcW w:w="6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8,448</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4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5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2,952</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4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3,294</w:t>
            </w:r>
          </w:p>
        </w:tc>
        <w:tc>
          <w:tcPr>
            <w:tcW w:w="160" w:type="dxa"/>
            <w:vAlign w:val="bottom"/>
          </w:tcPr>
          <w:p>
            <w:pPr>
              <w:spacing w:after="0"/>
              <w:rPr>
                <w:sz w:val="18"/>
                <w:szCs w:val="18"/>
                <w:color w:val="auto"/>
              </w:rPr>
            </w:pPr>
          </w:p>
        </w:tc>
      </w:tr>
      <w:tr>
        <w:trPr>
          <w:trHeight w:val="21"/>
        </w:trPr>
        <w:tc>
          <w:tcPr>
            <w:tcW w:w="20" w:type="dxa"/>
            <w:vAlign w:val="bottom"/>
          </w:tcPr>
          <w:p>
            <w:pPr>
              <w:spacing w:after="0" w:line="20" w:lineRule="exact"/>
              <w:rPr>
                <w:sz w:val="1"/>
                <w:szCs w:val="1"/>
                <w:color w:val="auto"/>
              </w:rPr>
            </w:pPr>
          </w:p>
        </w:tc>
        <w:tc>
          <w:tcPr>
            <w:tcW w:w="65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20"/>
        </w:trPr>
        <w:tc>
          <w:tcPr>
            <w:tcW w:w="20" w:type="dxa"/>
            <w:vAlign w:val="bottom"/>
          </w:tcPr>
          <w:p>
            <w:pPr>
              <w:spacing w:after="0" w:line="20" w:lineRule="exact"/>
              <w:rPr>
                <w:sz w:val="1"/>
                <w:szCs w:val="1"/>
                <w:color w:val="auto"/>
              </w:rPr>
            </w:pPr>
          </w:p>
        </w:tc>
        <w:tc>
          <w:tcPr>
            <w:tcW w:w="65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Foreign Currency Translation Gain</w:t>
      </w:r>
    </w:p>
    <w:p>
      <w:pPr>
        <w:spacing w:after="0" w:line="225" w:lineRule="exact"/>
        <w:rPr>
          <w:sz w:val="20"/>
          <w:szCs w:val="20"/>
          <w:color w:val="auto"/>
        </w:rPr>
      </w:pPr>
    </w:p>
    <w:p>
      <w:pPr>
        <w:jc w:val="both"/>
        <w:ind w:firstLine="429"/>
        <w:spacing w:after="0" w:line="256" w:lineRule="auto"/>
        <w:rPr>
          <w:sz w:val="20"/>
          <w:szCs w:val="20"/>
          <w:color w:val="auto"/>
        </w:rPr>
      </w:pPr>
      <w:r>
        <w:rPr>
          <w:rFonts w:ascii="Arial" w:cs="Arial" w:eastAsia="Arial" w:hAnsi="Arial"/>
          <w:sz w:val="18"/>
          <w:szCs w:val="18"/>
          <w:color w:val="auto"/>
        </w:rPr>
        <w:t>The foreign currency translation loss was $39.8 million in 2009 compared to a gain of $77.7 million in 2008. The significant negative effect of exchange rates is attributable to the weakening of the US dollar against the Canadian dollar and the Euro during 2009. The loss is mainly due to the impact on the foreign currency future tax liabilities and is partially off-set by the impact on cash balances in Canadian dollars and Swedish krona, the currency in which the Company's Swedish subsidiaries pay tax.</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Income and Mining Taxes</w:t>
      </w:r>
    </w:p>
    <w:p>
      <w:pPr>
        <w:spacing w:after="0" w:line="225" w:lineRule="exact"/>
        <w:rPr>
          <w:sz w:val="20"/>
          <w:szCs w:val="20"/>
          <w:color w:val="auto"/>
        </w:rPr>
      </w:pPr>
    </w:p>
    <w:p>
      <w:pPr>
        <w:jc w:val="both"/>
        <w:ind w:firstLine="417"/>
        <w:spacing w:after="0" w:line="290" w:lineRule="auto"/>
        <w:rPr>
          <w:sz w:val="20"/>
          <w:szCs w:val="20"/>
          <w:color w:val="auto"/>
        </w:rPr>
      </w:pPr>
      <w:r>
        <w:rPr>
          <w:rFonts w:ascii="Arial" w:cs="Arial" w:eastAsia="Arial" w:hAnsi="Arial"/>
          <w:sz w:val="16"/>
          <w:szCs w:val="16"/>
          <w:color w:val="auto"/>
        </w:rPr>
        <w:t>In 2009, the effective accounting income and mining tax expense rate was 19.9% compared to 23.8% in 2008 and 12.5% in 2007. Two unusual items that were recognized in 2009 reduced the effective tax rate significantly from the statutory tax rate. First, on December 12, 2008, the Company executed a Canadian federal tax election to commence using the U.S. dollar as its functional currency for federal Canadian income tax purposes. As the related tax legislation was enacted in the first quarter of 2009, this election applies to taxation years ended December 31, 2008 and subsequent. This election resulted in a deferred tax benefit of $21.0 million for the period ended December 31, 2009. Second, the $21 million premium recognized from the $43.5 million October 2008 flow-through share offering was included in income, net of the federal (and Ontario) deferred tax cost of $7.5 million associated with renouncing to investors the tax deductions otherwise arising from spending the proceeds of this offering. The net benefit of $13.5 million was also included in the 2009 tax provision.</w:t>
      </w:r>
    </w:p>
    <w:p>
      <w:pPr>
        <w:spacing w:after="0" w:line="172" w:lineRule="exact"/>
        <w:rPr>
          <w:sz w:val="20"/>
          <w:szCs w:val="20"/>
          <w:color w:val="auto"/>
        </w:rPr>
      </w:pPr>
    </w:p>
    <w:p>
      <w:pPr>
        <w:jc w:val="both"/>
        <w:ind w:firstLine="498"/>
        <w:spacing w:after="0" w:line="259" w:lineRule="auto"/>
        <w:rPr>
          <w:sz w:val="20"/>
          <w:szCs w:val="20"/>
          <w:color w:val="auto"/>
        </w:rPr>
      </w:pPr>
      <w:r>
        <w:rPr>
          <w:rFonts w:ascii="Arial" w:cs="Arial" w:eastAsia="Arial" w:hAnsi="Arial"/>
          <w:sz w:val="18"/>
          <w:szCs w:val="18"/>
          <w:color w:val="auto"/>
        </w:rPr>
        <w:t>The two benefits above are somewhat offset by permanent differences, principally stock-based compensation that is not deductible for tax purposes in Canada and non-taxable foreign exchange losses. In addition, Quebec mining duties (current and deferred) increase the effective tax rate, net of the related federal and Quebec income tax relief.</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24" w:name="page125"/>
    <w:bookmarkEnd w:id="124"/>
    <w:p>
      <w:pPr>
        <w:spacing w:after="0"/>
        <w:rPr>
          <w:sz w:val="20"/>
          <w:szCs w:val="20"/>
          <w:color w:val="auto"/>
        </w:rPr>
      </w:pPr>
      <w:r>
        <w:rPr>
          <w:rFonts w:ascii="Arial" w:cs="Arial" w:eastAsia="Arial" w:hAnsi="Arial"/>
          <w:sz w:val="18"/>
          <w:szCs w:val="18"/>
          <w:b w:val="1"/>
          <w:bCs w:val="1"/>
          <w:i w:val="1"/>
          <w:iCs w:val="1"/>
          <w:color w:val="auto"/>
        </w:rPr>
        <w:t>Supplies Inventory</w:t>
      </w:r>
    </w:p>
    <w:p>
      <w:pPr>
        <w:spacing w:after="0" w:line="225" w:lineRule="exact"/>
        <w:rPr>
          <w:sz w:val="20"/>
          <w:szCs w:val="20"/>
          <w:color w:val="auto"/>
        </w:rPr>
      </w:pPr>
    </w:p>
    <w:p>
      <w:pPr>
        <w:jc w:val="both"/>
        <w:ind w:firstLine="485"/>
        <w:spacing w:after="0" w:line="256" w:lineRule="auto"/>
        <w:rPr>
          <w:sz w:val="20"/>
          <w:szCs w:val="20"/>
          <w:color w:val="auto"/>
        </w:rPr>
      </w:pPr>
      <w:r>
        <w:rPr>
          <w:rFonts w:ascii="Arial" w:cs="Arial" w:eastAsia="Arial" w:hAnsi="Arial"/>
          <w:sz w:val="18"/>
          <w:szCs w:val="18"/>
          <w:color w:val="auto"/>
        </w:rPr>
        <w:t>The supplies inventory balance as of December 31, 2009 had increased significantly to $100.9 million compared to the December 31, 2008 balance of $40.0 million. This is mainly attributable to the build-up of supplies inventory at Meadowbank to be consumed during the operations of this mine, the build-up of winter supplies inventory at Meadowbank brought in during the 2009 barge season and the supplies inventory required at the Company's 2009 new operating Kittila, Lapa and Pinos Altos Mines.</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Capital Expenditures</w:t>
      </w:r>
    </w:p>
    <w:p>
      <w:pPr>
        <w:spacing w:after="0" w:line="225" w:lineRule="exact"/>
        <w:rPr>
          <w:sz w:val="20"/>
          <w:szCs w:val="20"/>
          <w:color w:val="auto"/>
        </w:rPr>
      </w:pPr>
    </w:p>
    <w:p>
      <w:pPr>
        <w:jc w:val="both"/>
        <w:ind w:firstLine="379"/>
        <w:spacing w:after="0" w:line="255" w:lineRule="auto"/>
        <w:rPr>
          <w:sz w:val="20"/>
          <w:szCs w:val="20"/>
          <w:color w:val="auto"/>
        </w:rPr>
      </w:pPr>
      <w:r>
        <w:rPr>
          <w:rFonts w:ascii="Arial" w:cs="Arial" w:eastAsia="Arial" w:hAnsi="Arial"/>
          <w:sz w:val="18"/>
          <w:szCs w:val="18"/>
          <w:color w:val="auto"/>
        </w:rPr>
        <w:t>In early 2009, the Meadowbank Mine was subjected to a comprehensive review to develop a detailed forecast of the ultimate expenditure that the Company was likely to incur in order to complete its development. This revised forecast led to an increase of approximately $72 million in the projected total project costs. The revised estimates reflect a combination of the Company's further experience with developing, constructing and maintaining operations at a remote location under severe arctic conditions, costs associated with developing a project in the Arctic, availability of labour to support construction activities and additional costs related to environmentally sustainable operations.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Liquidity and Capital Resources</w:t>
      </w:r>
    </w:p>
    <w:p>
      <w:pPr>
        <w:spacing w:after="0" w:line="231" w:lineRule="exact"/>
        <w:rPr>
          <w:sz w:val="20"/>
          <w:szCs w:val="20"/>
          <w:color w:val="auto"/>
        </w:rPr>
      </w:pPr>
    </w:p>
    <w:p>
      <w:pPr>
        <w:jc w:val="both"/>
        <w:ind w:firstLine="385"/>
        <w:spacing w:after="0" w:line="288" w:lineRule="auto"/>
        <w:rPr>
          <w:sz w:val="20"/>
          <w:szCs w:val="20"/>
          <w:color w:val="auto"/>
        </w:rPr>
      </w:pPr>
      <w:r>
        <w:rPr>
          <w:rFonts w:ascii="Arial" w:cs="Arial" w:eastAsia="Arial" w:hAnsi="Arial"/>
          <w:sz w:val="16"/>
          <w:szCs w:val="16"/>
          <w:color w:val="auto"/>
        </w:rPr>
        <w:t>At the end of 2009, the Company's cash and cash equivalents, short-term investments and restricted cash totalled $163.6 million compared to $99.4 million at the end of 2008. This increase resulted from operating and financing activities which was partially offset by investing activities. In 2009, cash used in investing activities decreased to $587.6 million from $917.5 million in 2008. The investing activities in 2009 mainly consisted of project capital expenditures at the Kittila, Lapa, Pinos Altos and Meadowbank Mines and LaRonde Mine extension. Cash flow provided by operating activities decreased to $115.1 million in 2009 from $121.2 million in 2008 mainly due to the negative impact of changes in working capital. As the Company had three new mines in production during 2009, trade receivables and inventory balances have, as expected, also increased. The negative impact of changes in working capital was mostly offset by strong operating profits generated by the mines due to the substantial increase in gold production and stronger metal prices. In 2009, cash provided from financing activities remained relatively constant at $559.8 million compared to 2008 when cash provided from financing activities was $558.1 million. The cash provided from financing activities in 2009 was mainly attributable to the net bank debt drawdowns of $515 million.</w:t>
      </w:r>
    </w:p>
    <w:p>
      <w:pPr>
        <w:spacing w:after="0" w:line="174" w:lineRule="exact"/>
        <w:rPr>
          <w:sz w:val="20"/>
          <w:szCs w:val="20"/>
          <w:color w:val="auto"/>
        </w:rPr>
      </w:pPr>
    </w:p>
    <w:p>
      <w:pPr>
        <w:jc w:val="both"/>
        <w:ind w:firstLine="617"/>
        <w:spacing w:after="0" w:line="253" w:lineRule="auto"/>
        <w:rPr>
          <w:sz w:val="20"/>
          <w:szCs w:val="20"/>
          <w:color w:val="auto"/>
        </w:rPr>
      </w:pPr>
      <w:r>
        <w:rPr>
          <w:rFonts w:ascii="Arial" w:cs="Arial" w:eastAsia="Arial" w:hAnsi="Arial"/>
          <w:sz w:val="18"/>
          <w:szCs w:val="18"/>
          <w:color w:val="auto"/>
        </w:rPr>
        <w:t>In 2009, the Company invested $657.2 million of cash in new projects and sustaining capital expenditures. Major expenditures in 2009 included $288.0 million on construction at Meadowbank, $133.3 million on construction at Pinos Altos, $38.7 million on construction at the LaRonde Mine extension, $35.7 million on construction at Kittila, $22.1 million at Lapa and $137.8 million for sustaining capital expenditures at the LaRonde, Goldex, Kittila and Lapa Mines. A portion of the capital expenditures at Meadowbank relate to prepaid working capital and inventory which will be consumed and sold post-commercial production. The remaining capital expenditures to complete all of the Company's projects are expected to be funded by cash provided by operating activities, cash on hand and drawdowns from the Company's bank credit facilities. A significant portion of the Company's cash and cash equivalents are denominated in US dollars.</w:t>
      </w:r>
    </w:p>
    <w:p>
      <w:pPr>
        <w:spacing w:after="0" w:line="201" w:lineRule="exact"/>
        <w:rPr>
          <w:sz w:val="20"/>
          <w:szCs w:val="20"/>
          <w:color w:val="auto"/>
        </w:rPr>
      </w:pPr>
    </w:p>
    <w:p>
      <w:pPr>
        <w:jc w:val="both"/>
        <w:ind w:firstLine="421"/>
        <w:spacing w:after="0" w:line="259" w:lineRule="auto"/>
        <w:rPr>
          <w:sz w:val="20"/>
          <w:szCs w:val="20"/>
          <w:color w:val="auto"/>
        </w:rPr>
      </w:pPr>
      <w:r>
        <w:rPr>
          <w:rFonts w:ascii="Arial" w:cs="Arial" w:eastAsia="Arial" w:hAnsi="Arial"/>
          <w:sz w:val="18"/>
          <w:szCs w:val="18"/>
          <w:color w:val="auto"/>
        </w:rPr>
        <w:t>During 2009, the Company received net proceeds on available-for-sale securities amounting to $48.3 million compared to $43.6 million during 2008. The 2009 net proceeds on available-for-sale securities was mainly a result of the Company's sale of its entire holdings in Goldcorp shares that it acquired as a result of Goldcorp's take-over bid of Gold Eagle.</w:t>
      </w:r>
    </w:p>
    <w:p>
      <w:pPr>
        <w:spacing w:after="0" w:line="194" w:lineRule="exact"/>
        <w:rPr>
          <w:sz w:val="20"/>
          <w:szCs w:val="20"/>
          <w:color w:val="auto"/>
        </w:rPr>
      </w:pPr>
    </w:p>
    <w:p>
      <w:pPr>
        <w:jc w:val="both"/>
        <w:ind w:firstLine="407"/>
        <w:spacing w:after="0" w:line="294" w:lineRule="auto"/>
        <w:rPr>
          <w:sz w:val="20"/>
          <w:szCs w:val="20"/>
          <w:color w:val="auto"/>
        </w:rPr>
      </w:pPr>
      <w:r>
        <w:rPr>
          <w:rFonts w:ascii="Arial" w:cs="Arial" w:eastAsia="Arial" w:hAnsi="Arial"/>
          <w:sz w:val="16"/>
          <w:szCs w:val="16"/>
          <w:color w:val="auto"/>
        </w:rPr>
        <w:t>In 2009, the Company declared its 28th consecutive annual dividend. The dividend was $0.18 per share, consistent with the dividend paid in 2008. During the first quarter of 2009, the Company paid out its 2008 dividend amounting to $27.1 million. Although the Company expects to continue paying dividends, future dividends will be at the discretion of the Board and will be subject to factors such as income, financial condition and capital requirements. Also in 2009, the Company issued common shares for gross proceeds of $68.5 million. This was a result of the Company's two flow-through share issuances for gross proceeds of $25.9 million, stock option exercises and issuances under the Company's employee share purchase plan.</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25" w:name="page126"/>
    <w:bookmarkEnd w:id="125"/>
    <w:p>
      <w:pPr>
        <w:jc w:val="both"/>
        <w:ind w:firstLine="536"/>
        <w:spacing w:after="0" w:line="268" w:lineRule="auto"/>
        <w:rPr>
          <w:sz w:val="20"/>
          <w:szCs w:val="20"/>
          <w:color w:val="auto"/>
        </w:rPr>
      </w:pPr>
      <w:r>
        <w:rPr>
          <w:rFonts w:ascii="Arial" w:cs="Arial" w:eastAsia="Arial" w:hAnsi="Arial"/>
          <w:sz w:val="18"/>
          <w:szCs w:val="18"/>
          <w:color w:val="auto"/>
        </w:rPr>
        <w:t>The effect of exchange rate changes on cash and cash equivalents during 2009 resulted in increased cash balances of $4.6 million. This was mainly attributable to the strengthening Canadian dollar and Euro as the Company holds Canadian dollar and Euro cash balances.</w:t>
      </w:r>
    </w:p>
    <w:p>
      <w:pPr>
        <w:spacing w:after="0" w:line="186" w:lineRule="exact"/>
        <w:rPr>
          <w:sz w:val="20"/>
          <w:szCs w:val="20"/>
          <w:color w:val="auto"/>
        </w:rPr>
      </w:pPr>
    </w:p>
    <w:p>
      <w:pPr>
        <w:jc w:val="both"/>
        <w:ind w:firstLine="416"/>
        <w:spacing w:after="0" w:line="288" w:lineRule="auto"/>
        <w:rPr>
          <w:sz w:val="20"/>
          <w:szCs w:val="20"/>
          <w:color w:val="auto"/>
        </w:rPr>
      </w:pPr>
      <w:r>
        <w:rPr>
          <w:rFonts w:ascii="Arial" w:cs="Arial" w:eastAsia="Arial" w:hAnsi="Arial"/>
          <w:sz w:val="16"/>
          <w:szCs w:val="16"/>
          <w:color w:val="auto"/>
        </w:rPr>
        <w:t>During the second quarter of 2009, the Company amended its $300 million unsecured revolving bank credit facility (the "First Credit Facility") to, among other things, allow for the second $300 million unsecured revolving bank credit facility (the "Second Credit Facility" and together with the First Credit Facility, the "Credit Facilities") to be increased to $600 million. The First Credit Facility matures and all indebtedness thereunder is due and payable on January 10, 2013. The Second Credit Facility was amended to increase the amounts available from $300 million to $600 million. The Second Credit Facility matures and all indebtedness thereunder is due and payable on June 14, 2012. As at December 31, 2009, the Company had drawn $715 million from its credit facilities. In addition, the amount available under the Credit Facilities are reduced by letters of credit drawn under the facility. Letters of Credit outstanding under the Credit Facilities at December 31, 2009 totalled $22.5 million. Accordingly, the amount available to be borrowed as at December 31, 2009, was approximately $162.5 million. The Credit Facilities require the Company to maintain specified financial ratios and meet financial condition covenants. These financial condition covenants were met as of December 31, 2009.</w:t>
      </w:r>
    </w:p>
    <w:p>
      <w:pPr>
        <w:spacing w:after="0" w:line="174" w:lineRule="exact"/>
        <w:rPr>
          <w:sz w:val="20"/>
          <w:szCs w:val="20"/>
          <w:color w:val="auto"/>
        </w:rPr>
      </w:pPr>
    </w:p>
    <w:p>
      <w:pPr>
        <w:jc w:val="both"/>
        <w:ind w:firstLine="502"/>
        <w:spacing w:after="0" w:line="256" w:lineRule="auto"/>
        <w:rPr>
          <w:sz w:val="20"/>
          <w:szCs w:val="20"/>
          <w:color w:val="auto"/>
        </w:rPr>
      </w:pPr>
      <w:r>
        <w:rPr>
          <w:rFonts w:ascii="Arial" w:cs="Arial" w:eastAsia="Arial" w:hAnsi="Arial"/>
          <w:sz w:val="18"/>
          <w:szCs w:val="18"/>
          <w:color w:val="auto"/>
        </w:rPr>
        <w:t>In June 2009, the Company entered into a C$95 million financial security guarantee issuance agreement with Export Development Canada (the "EDC Facility"). Under the agreement, which matures in June 2014, Export Development Canada agreed to provide guarantees in respect of letters of credit issued on behalf of Agnico in favour of certain beneficiaries in respect of obligations relating to the Meadowbank Mine. As at December 31, 2009, outstanding letters of credit drawn under the EDC Facility totalled C$60.4 million.</w:t>
      </w:r>
    </w:p>
    <w:p>
      <w:pPr>
        <w:spacing w:after="0" w:line="197" w:lineRule="exact"/>
        <w:rPr>
          <w:sz w:val="20"/>
          <w:szCs w:val="20"/>
          <w:color w:val="auto"/>
        </w:rPr>
      </w:pPr>
    </w:p>
    <w:p>
      <w:pPr>
        <w:jc w:val="both"/>
        <w:ind w:firstLine="599"/>
        <w:spacing w:after="0" w:line="298" w:lineRule="auto"/>
        <w:rPr>
          <w:sz w:val="20"/>
          <w:szCs w:val="20"/>
          <w:color w:val="auto"/>
        </w:rPr>
      </w:pPr>
      <w:r>
        <w:rPr>
          <w:rFonts w:ascii="Arial" w:cs="Arial" w:eastAsia="Arial" w:hAnsi="Arial"/>
          <w:sz w:val="16"/>
          <w:szCs w:val="16"/>
          <w:color w:val="auto"/>
        </w:rPr>
        <w:t>Subsequent to year-end, on March 19, 2010 the Company announced it had received non-binding commitments from institutional investors in the United States and Canada to purchase in a private placement $600 million of guaranteed senior unsecured notes due in 2017, 2020 and 2022. The Notes are expected to have a weighted average maturity of 9.84 years and weighted average yield of 6.59%. Proceeds from the offering of Notes will be used to repay amounts under the Credit Facilities. Closing of the transaction is expected to occur in April 2010.</w:t>
      </w:r>
    </w:p>
    <w:p>
      <w:pPr>
        <w:spacing w:after="0" w:line="167" w:lineRule="exact"/>
        <w:rPr>
          <w:sz w:val="20"/>
          <w:szCs w:val="20"/>
          <w:color w:val="auto"/>
        </w:rPr>
      </w:pPr>
    </w:p>
    <w:p>
      <w:pPr>
        <w:ind w:left="340"/>
        <w:spacing w:after="0"/>
        <w:rPr>
          <w:sz w:val="20"/>
          <w:szCs w:val="20"/>
          <w:color w:val="auto"/>
        </w:rPr>
      </w:pPr>
      <w:r>
        <w:rPr>
          <w:rFonts w:ascii="Arial" w:cs="Arial" w:eastAsia="Arial" w:hAnsi="Arial"/>
          <w:sz w:val="18"/>
          <w:szCs w:val="18"/>
          <w:color w:val="auto"/>
        </w:rPr>
        <w:t>Agnico-Eagle's contractual obligations as at December 31, 2009 are set out below:</w:t>
      </w:r>
    </w:p>
    <w:p>
      <w:pPr>
        <w:spacing w:after="0" w:line="208"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2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210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40" w:type="dxa"/>
            <w:vAlign w:val="bottom"/>
            <w:gridSpan w:val="2"/>
          </w:tcPr>
          <w:p>
            <w:pPr>
              <w:jc w:val="right"/>
              <w:ind w:right="15"/>
              <w:spacing w:after="0"/>
              <w:rPr>
                <w:sz w:val="20"/>
                <w:szCs w:val="20"/>
                <w:color w:val="auto"/>
              </w:rPr>
            </w:pPr>
            <w:r>
              <w:rPr>
                <w:rFonts w:ascii="Arial" w:cs="Arial" w:eastAsia="Arial" w:hAnsi="Arial"/>
                <w:sz w:val="14"/>
                <w:szCs w:val="14"/>
                <w:b w:val="1"/>
                <w:bCs w:val="1"/>
                <w:color w:val="auto"/>
                <w:w w:val="94"/>
              </w:rPr>
              <w:t>Less than</w:t>
            </w:r>
          </w:p>
        </w:tc>
        <w:tc>
          <w:tcPr>
            <w:tcW w:w="1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180" w:type="dxa"/>
            <w:vAlign w:val="bottom"/>
          </w:tcPr>
          <w:p>
            <w:pPr>
              <w:spacing w:after="0"/>
              <w:rPr>
                <w:sz w:val="14"/>
                <w:szCs w:val="14"/>
                <w:color w:val="auto"/>
              </w:rPr>
            </w:pPr>
          </w:p>
        </w:tc>
        <w:tc>
          <w:tcPr>
            <w:tcW w:w="160" w:type="dxa"/>
            <w:vAlign w:val="bottom"/>
          </w:tcPr>
          <w:p>
            <w:pPr>
              <w:spacing w:after="0"/>
              <w:rPr>
                <w:sz w:val="14"/>
                <w:szCs w:val="14"/>
                <w:color w:val="auto"/>
              </w:rPr>
            </w:pPr>
          </w:p>
        </w:tc>
      </w:tr>
      <w:tr>
        <w:trPr>
          <w:trHeight w:val="161"/>
        </w:trPr>
        <w:tc>
          <w:tcPr>
            <w:tcW w:w="3640" w:type="dxa"/>
            <w:vAlign w:val="bottom"/>
            <w:gridSpan w:val="4"/>
          </w:tcPr>
          <w:p>
            <w:pPr>
              <w:spacing w:after="0"/>
              <w:rPr>
                <w:sz w:val="20"/>
                <w:szCs w:val="20"/>
                <w:color w:val="auto"/>
              </w:rPr>
            </w:pPr>
            <w:r>
              <w:rPr>
                <w:rFonts w:ascii="Arial" w:cs="Arial" w:eastAsia="Arial" w:hAnsi="Arial"/>
                <w:sz w:val="14"/>
                <w:szCs w:val="14"/>
                <w:b w:val="1"/>
                <w:bCs w:val="1"/>
                <w:color w:val="auto"/>
              </w:rPr>
              <w:t>Contractual Obligations</w:t>
            </w:r>
          </w:p>
        </w:tc>
        <w:tc>
          <w:tcPr>
            <w:tcW w:w="7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00" w:type="dxa"/>
            <w:vAlign w:val="bottom"/>
          </w:tcPr>
          <w:p>
            <w:pPr>
              <w:jc w:val="right"/>
              <w:ind w:right="75"/>
              <w:spacing w:after="0"/>
              <w:rPr>
                <w:sz w:val="20"/>
                <w:szCs w:val="20"/>
                <w:color w:val="auto"/>
              </w:rPr>
            </w:pPr>
            <w:r>
              <w:rPr>
                <w:rFonts w:ascii="Arial" w:cs="Arial" w:eastAsia="Arial" w:hAnsi="Arial"/>
                <w:sz w:val="14"/>
                <w:szCs w:val="14"/>
                <w:b w:val="1"/>
                <w:bCs w:val="1"/>
                <w:color w:val="auto"/>
                <w:w w:val="95"/>
              </w:rPr>
              <w:t>Total</w:t>
            </w: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00" w:type="dxa"/>
            <w:vAlign w:val="bottom"/>
          </w:tcPr>
          <w:p>
            <w:pPr>
              <w:jc w:val="right"/>
              <w:ind w:right="115"/>
              <w:spacing w:after="0"/>
              <w:rPr>
                <w:sz w:val="20"/>
                <w:szCs w:val="20"/>
                <w:color w:val="auto"/>
              </w:rPr>
            </w:pPr>
            <w:r>
              <w:rPr>
                <w:rFonts w:ascii="Arial" w:cs="Arial" w:eastAsia="Arial" w:hAnsi="Arial"/>
                <w:sz w:val="14"/>
                <w:szCs w:val="14"/>
                <w:b w:val="1"/>
                <w:bCs w:val="1"/>
                <w:color w:val="auto"/>
                <w:w w:val="90"/>
              </w:rPr>
              <w:t>1 Year</w:t>
            </w:r>
          </w:p>
        </w:tc>
        <w:tc>
          <w:tcPr>
            <w:tcW w:w="160" w:type="dxa"/>
            <w:vAlign w:val="bottom"/>
          </w:tcPr>
          <w:p>
            <w:pPr>
              <w:spacing w:after="0"/>
              <w:rPr>
                <w:sz w:val="14"/>
                <w:szCs w:val="14"/>
                <w:color w:val="auto"/>
              </w:rPr>
            </w:pPr>
          </w:p>
        </w:tc>
        <w:tc>
          <w:tcPr>
            <w:tcW w:w="680" w:type="dxa"/>
            <w:vAlign w:val="bottom"/>
            <w:gridSpan w:val="2"/>
          </w:tcPr>
          <w:p>
            <w:pPr>
              <w:jc w:val="right"/>
              <w:spacing w:after="0"/>
              <w:rPr>
                <w:sz w:val="20"/>
                <w:szCs w:val="20"/>
                <w:color w:val="auto"/>
              </w:rPr>
            </w:pPr>
            <w:r>
              <w:rPr>
                <w:rFonts w:ascii="Arial" w:cs="Arial" w:eastAsia="Arial" w:hAnsi="Arial"/>
                <w:sz w:val="14"/>
                <w:szCs w:val="14"/>
                <w:b w:val="1"/>
                <w:bCs w:val="1"/>
                <w:color w:val="auto"/>
                <w:w w:val="93"/>
              </w:rPr>
              <w:t>1-3 Years</w:t>
            </w:r>
          </w:p>
        </w:tc>
        <w:tc>
          <w:tcPr>
            <w:tcW w:w="180" w:type="dxa"/>
            <w:vAlign w:val="bottom"/>
          </w:tcPr>
          <w:p>
            <w:pPr>
              <w:spacing w:after="0"/>
              <w:rPr>
                <w:sz w:val="14"/>
                <w:szCs w:val="14"/>
                <w:color w:val="auto"/>
              </w:rPr>
            </w:pPr>
          </w:p>
        </w:tc>
        <w:tc>
          <w:tcPr>
            <w:tcW w:w="680" w:type="dxa"/>
            <w:vAlign w:val="bottom"/>
            <w:gridSpan w:val="2"/>
          </w:tcPr>
          <w:p>
            <w:pPr>
              <w:jc w:val="right"/>
              <w:spacing w:after="0"/>
              <w:rPr>
                <w:sz w:val="20"/>
                <w:szCs w:val="20"/>
                <w:color w:val="auto"/>
              </w:rPr>
            </w:pPr>
            <w:r>
              <w:rPr>
                <w:rFonts w:ascii="Arial" w:cs="Arial" w:eastAsia="Arial" w:hAnsi="Arial"/>
                <w:sz w:val="14"/>
                <w:szCs w:val="14"/>
                <w:b w:val="1"/>
                <w:bCs w:val="1"/>
                <w:color w:val="auto"/>
                <w:w w:val="93"/>
              </w:rPr>
              <w:t>4-5 Years</w:t>
            </w: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340" w:type="dxa"/>
            <w:vAlign w:val="bottom"/>
            <w:gridSpan w:val="2"/>
          </w:tcPr>
          <w:p>
            <w:pPr>
              <w:spacing w:after="0"/>
              <w:rPr>
                <w:sz w:val="20"/>
                <w:szCs w:val="20"/>
                <w:color w:val="auto"/>
              </w:rPr>
            </w:pPr>
            <w:r>
              <w:rPr>
                <w:rFonts w:ascii="Arial" w:cs="Arial" w:eastAsia="Arial" w:hAnsi="Arial"/>
                <w:sz w:val="14"/>
                <w:szCs w:val="14"/>
                <w:b w:val="1"/>
                <w:bCs w:val="1"/>
                <w:color w:val="auto"/>
              </w:rPr>
              <w:t>More than 5 Years</w:t>
            </w:r>
          </w:p>
        </w:tc>
      </w:tr>
      <w:tr>
        <w:trPr>
          <w:trHeight w:val="20"/>
        </w:trPr>
        <w:tc>
          <w:tcPr>
            <w:tcW w:w="20" w:type="dxa"/>
            <w:vAlign w:val="bottom"/>
          </w:tcPr>
          <w:p>
            <w:pPr>
              <w:spacing w:after="0" w:line="20" w:lineRule="exact"/>
              <w:rPr>
                <w:sz w:val="1"/>
                <w:szCs w:val="1"/>
                <w:color w:val="auto"/>
              </w:rPr>
            </w:pPr>
          </w:p>
        </w:tc>
        <w:tc>
          <w:tcPr>
            <w:tcW w:w="126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210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1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142"/>
        </w:trPr>
        <w:tc>
          <w:tcPr>
            <w:tcW w:w="2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210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900" w:type="dxa"/>
            <w:vAlign w:val="bottom"/>
            <w:gridSpan w:val="3"/>
          </w:tcPr>
          <w:p>
            <w:pPr>
              <w:jc w:val="right"/>
              <w:ind w:right="92"/>
              <w:spacing w:after="0" w:line="142" w:lineRule="exact"/>
              <w:rPr>
                <w:sz w:val="20"/>
                <w:szCs w:val="20"/>
                <w:color w:val="auto"/>
              </w:rPr>
            </w:pPr>
            <w:r>
              <w:rPr>
                <w:rFonts w:ascii="Arial" w:cs="Arial" w:eastAsia="Arial" w:hAnsi="Arial"/>
                <w:sz w:val="14"/>
                <w:szCs w:val="14"/>
                <w:b w:val="1"/>
                <w:bCs w:val="1"/>
                <w:color w:val="auto"/>
              </w:rPr>
              <w:t>(millions)</w:t>
            </w:r>
          </w:p>
        </w:tc>
        <w:tc>
          <w:tcPr>
            <w:tcW w:w="4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180" w:type="dxa"/>
            <w:vAlign w:val="bottom"/>
          </w:tcPr>
          <w:p>
            <w:pPr>
              <w:spacing w:after="0"/>
              <w:rPr>
                <w:sz w:val="12"/>
                <w:szCs w:val="12"/>
                <w:color w:val="auto"/>
              </w:rPr>
            </w:pPr>
          </w:p>
        </w:tc>
        <w:tc>
          <w:tcPr>
            <w:tcW w:w="160" w:type="dxa"/>
            <w:vAlign w:val="bottom"/>
          </w:tcPr>
          <w:p>
            <w:pPr>
              <w:spacing w:after="0"/>
              <w:rPr>
                <w:sz w:val="12"/>
                <w:szCs w:val="12"/>
                <w:color w:val="auto"/>
              </w:rPr>
            </w:pPr>
          </w:p>
        </w:tc>
      </w:tr>
      <w:tr>
        <w:trPr>
          <w:trHeight w:val="216"/>
        </w:trPr>
        <w:tc>
          <w:tcPr>
            <w:tcW w:w="20" w:type="dxa"/>
            <w:vAlign w:val="bottom"/>
          </w:tcPr>
          <w:p>
            <w:pPr>
              <w:spacing w:after="0"/>
              <w:rPr>
                <w:sz w:val="18"/>
                <w:szCs w:val="18"/>
                <w:color w:val="auto"/>
              </w:rPr>
            </w:pPr>
          </w:p>
        </w:tc>
        <w:tc>
          <w:tcPr>
            <w:tcW w:w="36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Letter of credit obligations</w:t>
            </w:r>
          </w:p>
        </w:tc>
        <w:tc>
          <w:tcPr>
            <w:tcW w:w="8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5.1</w:t>
            </w: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340" w:type="dxa"/>
            <w:vAlign w:val="bottom"/>
            <w:gridSpan w:val="2"/>
            <w:shd w:val="clear" w:color="auto" w:fill="CCEEFF"/>
          </w:tcPr>
          <w:p>
            <w:pPr>
              <w:jc w:val="right"/>
              <w:ind w:right="32"/>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w:t>
            </w:r>
          </w:p>
        </w:tc>
        <w:tc>
          <w:tcPr>
            <w:tcW w:w="400" w:type="dxa"/>
            <w:vAlign w:val="bottom"/>
            <w:gridSpan w:val="2"/>
            <w:shd w:val="clear" w:color="auto" w:fill="CCEEFF"/>
          </w:tcPr>
          <w:p>
            <w:pPr>
              <w:jc w:val="right"/>
              <w:ind w:right="72"/>
              <w:spacing w:after="0"/>
              <w:rPr>
                <w:sz w:val="20"/>
                <w:szCs w:val="20"/>
                <w:color w:val="auto"/>
              </w:rPr>
            </w:pPr>
            <w:r>
              <w:rPr>
                <w:rFonts w:ascii="Arial" w:cs="Arial" w:eastAsia="Arial" w:hAnsi="Arial"/>
                <w:sz w:val="18"/>
                <w:szCs w:val="18"/>
                <w:color w:val="auto"/>
              </w:rPr>
              <w:t>$</w:t>
            </w: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11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2.9</w:t>
            </w:r>
          </w:p>
        </w:tc>
        <w:tc>
          <w:tcPr>
            <w:tcW w:w="160" w:type="dxa"/>
            <w:vAlign w:val="bottom"/>
            <w:shd w:val="clear" w:color="auto" w:fill="CCEEFF"/>
          </w:tcPr>
          <w:p>
            <w:pPr>
              <w:spacing w:after="0"/>
              <w:rPr>
                <w:sz w:val="18"/>
                <w:szCs w:val="18"/>
                <w:color w:val="auto"/>
              </w:rPr>
            </w:pPr>
          </w:p>
        </w:tc>
      </w:tr>
      <w:tr>
        <w:trPr>
          <w:trHeight w:val="257"/>
        </w:trPr>
        <w:tc>
          <w:tcPr>
            <w:tcW w:w="20" w:type="dxa"/>
            <w:vAlign w:val="bottom"/>
          </w:tcPr>
          <w:p>
            <w:pPr>
              <w:spacing w:after="0"/>
              <w:rPr>
                <w:sz w:val="22"/>
                <w:szCs w:val="22"/>
                <w:color w:val="auto"/>
              </w:rPr>
            </w:pPr>
          </w:p>
        </w:tc>
        <w:tc>
          <w:tcPr>
            <w:tcW w:w="3620" w:type="dxa"/>
            <w:vAlign w:val="bottom"/>
            <w:gridSpan w:val="3"/>
          </w:tcPr>
          <w:p>
            <w:pPr>
              <w:spacing w:after="0" w:line="256" w:lineRule="exact"/>
              <w:rPr>
                <w:sz w:val="20"/>
                <w:szCs w:val="20"/>
                <w:color w:val="auto"/>
              </w:rPr>
            </w:pPr>
            <w:r>
              <w:rPr>
                <w:rFonts w:ascii="Arial" w:cs="Arial" w:eastAsia="Arial" w:hAnsi="Arial"/>
                <w:sz w:val="18"/>
                <w:szCs w:val="18"/>
                <w:color w:val="auto"/>
              </w:rPr>
              <w:t>Reclamation obligations</w:t>
            </w:r>
            <w:r>
              <w:rPr>
                <w:rFonts w:ascii="Arial" w:cs="Arial" w:eastAsia="Arial" w:hAnsi="Arial"/>
                <w:sz w:val="29"/>
                <w:szCs w:val="29"/>
                <w:color w:val="auto"/>
                <w:vertAlign w:val="superscript"/>
              </w:rPr>
              <w:t>(1)</w:t>
            </w:r>
          </w:p>
        </w:tc>
        <w:tc>
          <w:tcPr>
            <w:tcW w:w="72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rPr>
              <w:t>134.9</w:t>
            </w:r>
          </w:p>
        </w:tc>
        <w:tc>
          <w:tcPr>
            <w:tcW w:w="16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rPr>
              <w:t>2.0</w:t>
            </w:r>
          </w:p>
        </w:tc>
        <w:tc>
          <w:tcPr>
            <w:tcW w:w="16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rPr>
              <w:t>2.0</w:t>
            </w:r>
          </w:p>
        </w:tc>
        <w:tc>
          <w:tcPr>
            <w:tcW w:w="18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460" w:type="dxa"/>
            <w:vAlign w:val="bottom"/>
          </w:tcPr>
          <w:p>
            <w:pPr>
              <w:jc w:val="right"/>
              <w:spacing w:after="0"/>
              <w:rPr>
                <w:sz w:val="20"/>
                <w:szCs w:val="20"/>
                <w:color w:val="auto"/>
              </w:rPr>
            </w:pPr>
            <w:r>
              <w:rPr>
                <w:rFonts w:ascii="Arial" w:cs="Arial" w:eastAsia="Arial" w:hAnsi="Arial"/>
                <w:sz w:val="18"/>
                <w:szCs w:val="18"/>
                <w:color w:val="auto"/>
              </w:rPr>
              <w:t>5.0</w:t>
            </w:r>
          </w:p>
        </w:tc>
        <w:tc>
          <w:tcPr>
            <w:tcW w:w="16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180" w:type="dxa"/>
            <w:vAlign w:val="bottom"/>
          </w:tcPr>
          <w:p>
            <w:pPr>
              <w:jc w:val="right"/>
              <w:spacing w:after="0"/>
              <w:rPr>
                <w:sz w:val="20"/>
                <w:szCs w:val="20"/>
                <w:color w:val="auto"/>
              </w:rPr>
            </w:pPr>
            <w:r>
              <w:rPr>
                <w:rFonts w:ascii="Arial" w:cs="Arial" w:eastAsia="Arial" w:hAnsi="Arial"/>
                <w:sz w:val="18"/>
                <w:szCs w:val="18"/>
                <w:color w:val="auto"/>
              </w:rPr>
              <w:t>125.9</w:t>
            </w:r>
          </w:p>
        </w:tc>
        <w:tc>
          <w:tcPr>
            <w:tcW w:w="160" w:type="dxa"/>
            <w:vAlign w:val="bottom"/>
          </w:tcPr>
          <w:p>
            <w:pPr>
              <w:spacing w:after="0"/>
              <w:rPr>
                <w:sz w:val="22"/>
                <w:szCs w:val="22"/>
                <w:color w:val="auto"/>
              </w:rPr>
            </w:pPr>
          </w:p>
        </w:tc>
      </w:tr>
      <w:tr>
        <w:trPr>
          <w:trHeight w:val="216"/>
        </w:trPr>
        <w:tc>
          <w:tcPr>
            <w:tcW w:w="20" w:type="dxa"/>
            <w:vAlign w:val="bottom"/>
          </w:tcPr>
          <w:p>
            <w:pPr>
              <w:spacing w:after="0"/>
              <w:rPr>
                <w:sz w:val="18"/>
                <w:szCs w:val="18"/>
                <w:color w:val="auto"/>
              </w:rPr>
            </w:pPr>
          </w:p>
        </w:tc>
        <w:tc>
          <w:tcPr>
            <w:tcW w:w="36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Purchase commitments</w:t>
            </w:r>
          </w:p>
        </w:tc>
        <w:tc>
          <w:tcPr>
            <w:tcW w:w="7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61.6</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10.1</w:t>
            </w:r>
          </w:p>
        </w:tc>
        <w:tc>
          <w:tcPr>
            <w:tcW w:w="1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6.9</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34.6</w:t>
            </w:r>
          </w:p>
        </w:tc>
        <w:tc>
          <w:tcPr>
            <w:tcW w:w="160" w:type="dxa"/>
            <w:vAlign w:val="bottom"/>
            <w:shd w:val="clear" w:color="auto" w:fill="CCEEFF"/>
          </w:tcPr>
          <w:p>
            <w:pPr>
              <w:spacing w:after="0"/>
              <w:rPr>
                <w:sz w:val="18"/>
                <w:szCs w:val="18"/>
                <w:color w:val="auto"/>
              </w:rPr>
            </w:pPr>
          </w:p>
        </w:tc>
      </w:tr>
      <w:tr>
        <w:trPr>
          <w:trHeight w:val="257"/>
        </w:trPr>
        <w:tc>
          <w:tcPr>
            <w:tcW w:w="20" w:type="dxa"/>
            <w:vAlign w:val="bottom"/>
          </w:tcPr>
          <w:p>
            <w:pPr>
              <w:spacing w:after="0"/>
              <w:rPr>
                <w:sz w:val="22"/>
                <w:szCs w:val="22"/>
                <w:color w:val="auto"/>
              </w:rPr>
            </w:pPr>
          </w:p>
        </w:tc>
        <w:tc>
          <w:tcPr>
            <w:tcW w:w="3620" w:type="dxa"/>
            <w:vAlign w:val="bottom"/>
            <w:gridSpan w:val="3"/>
          </w:tcPr>
          <w:p>
            <w:pPr>
              <w:spacing w:after="0" w:line="256" w:lineRule="exact"/>
              <w:rPr>
                <w:sz w:val="20"/>
                <w:szCs w:val="20"/>
                <w:color w:val="auto"/>
              </w:rPr>
            </w:pPr>
            <w:r>
              <w:rPr>
                <w:rFonts w:ascii="Arial" w:cs="Arial" w:eastAsia="Arial" w:hAnsi="Arial"/>
                <w:sz w:val="18"/>
                <w:szCs w:val="18"/>
                <w:color w:val="auto"/>
              </w:rPr>
              <w:t>Pension obligations</w:t>
            </w:r>
            <w:r>
              <w:rPr>
                <w:rFonts w:ascii="Arial" w:cs="Arial" w:eastAsia="Arial" w:hAnsi="Arial"/>
                <w:sz w:val="29"/>
                <w:szCs w:val="29"/>
                <w:color w:val="auto"/>
                <w:vertAlign w:val="superscript"/>
              </w:rPr>
              <w:t>(2)</w:t>
            </w:r>
          </w:p>
        </w:tc>
        <w:tc>
          <w:tcPr>
            <w:tcW w:w="72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rPr>
              <w:t>4.3</w:t>
            </w:r>
          </w:p>
        </w:tc>
        <w:tc>
          <w:tcPr>
            <w:tcW w:w="16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rPr>
              <w:t>0.1</w:t>
            </w:r>
          </w:p>
        </w:tc>
        <w:tc>
          <w:tcPr>
            <w:tcW w:w="16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rPr>
              <w:t>0.5</w:t>
            </w:r>
          </w:p>
        </w:tc>
        <w:tc>
          <w:tcPr>
            <w:tcW w:w="18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460" w:type="dxa"/>
            <w:vAlign w:val="bottom"/>
          </w:tcPr>
          <w:p>
            <w:pPr>
              <w:jc w:val="right"/>
              <w:spacing w:after="0"/>
              <w:rPr>
                <w:sz w:val="20"/>
                <w:szCs w:val="20"/>
                <w:color w:val="auto"/>
              </w:rPr>
            </w:pPr>
            <w:r>
              <w:rPr>
                <w:rFonts w:ascii="Arial" w:cs="Arial" w:eastAsia="Arial" w:hAnsi="Arial"/>
                <w:sz w:val="18"/>
                <w:szCs w:val="18"/>
                <w:color w:val="auto"/>
              </w:rPr>
              <w:t>0.8</w:t>
            </w:r>
          </w:p>
        </w:tc>
        <w:tc>
          <w:tcPr>
            <w:tcW w:w="16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180" w:type="dxa"/>
            <w:vAlign w:val="bottom"/>
          </w:tcPr>
          <w:p>
            <w:pPr>
              <w:jc w:val="right"/>
              <w:spacing w:after="0"/>
              <w:rPr>
                <w:sz w:val="20"/>
                <w:szCs w:val="20"/>
                <w:color w:val="auto"/>
              </w:rPr>
            </w:pPr>
            <w:r>
              <w:rPr>
                <w:rFonts w:ascii="Arial" w:cs="Arial" w:eastAsia="Arial" w:hAnsi="Arial"/>
                <w:sz w:val="18"/>
                <w:szCs w:val="18"/>
                <w:color w:val="auto"/>
              </w:rPr>
              <w:t>2.9</w:t>
            </w:r>
          </w:p>
        </w:tc>
        <w:tc>
          <w:tcPr>
            <w:tcW w:w="160" w:type="dxa"/>
            <w:vAlign w:val="bottom"/>
          </w:tcPr>
          <w:p>
            <w:pPr>
              <w:spacing w:after="0"/>
              <w:rPr>
                <w:sz w:val="22"/>
                <w:szCs w:val="22"/>
                <w:color w:val="auto"/>
              </w:rPr>
            </w:pPr>
          </w:p>
        </w:tc>
      </w:tr>
      <w:tr>
        <w:trPr>
          <w:trHeight w:val="216"/>
        </w:trPr>
        <w:tc>
          <w:tcPr>
            <w:tcW w:w="20" w:type="dxa"/>
            <w:vAlign w:val="bottom"/>
          </w:tcPr>
          <w:p>
            <w:pPr>
              <w:spacing w:after="0"/>
              <w:rPr>
                <w:sz w:val="18"/>
                <w:szCs w:val="18"/>
                <w:color w:val="auto"/>
              </w:rPr>
            </w:pPr>
          </w:p>
        </w:tc>
        <w:tc>
          <w:tcPr>
            <w:tcW w:w="36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Capital and operating leases</w:t>
            </w:r>
          </w:p>
        </w:tc>
        <w:tc>
          <w:tcPr>
            <w:tcW w:w="7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58.2</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16.0</w:t>
            </w: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17.8</w:t>
            </w:r>
          </w:p>
        </w:tc>
        <w:tc>
          <w:tcPr>
            <w:tcW w:w="1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13.1</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11.3</w:t>
            </w:r>
          </w:p>
        </w:tc>
        <w:tc>
          <w:tcPr>
            <w:tcW w:w="160" w:type="dxa"/>
            <w:vAlign w:val="bottom"/>
            <w:shd w:val="clear" w:color="auto" w:fill="CCEEFF"/>
          </w:tcPr>
          <w:p>
            <w:pPr>
              <w:spacing w:after="0"/>
              <w:rPr>
                <w:sz w:val="18"/>
                <w:szCs w:val="18"/>
                <w:color w:val="auto"/>
              </w:rPr>
            </w:pPr>
          </w:p>
        </w:tc>
      </w:tr>
      <w:tr>
        <w:trPr>
          <w:trHeight w:val="284"/>
        </w:trPr>
        <w:tc>
          <w:tcPr>
            <w:tcW w:w="20" w:type="dxa"/>
            <w:vAlign w:val="bottom"/>
          </w:tcPr>
          <w:p>
            <w:pPr>
              <w:spacing w:after="0"/>
              <w:rPr>
                <w:sz w:val="24"/>
                <w:szCs w:val="24"/>
                <w:color w:val="auto"/>
              </w:rPr>
            </w:pPr>
          </w:p>
        </w:tc>
        <w:tc>
          <w:tcPr>
            <w:tcW w:w="3620" w:type="dxa"/>
            <w:vAlign w:val="bottom"/>
            <w:gridSpan w:val="3"/>
          </w:tcPr>
          <w:p>
            <w:pPr>
              <w:spacing w:after="0" w:line="284" w:lineRule="exact"/>
              <w:rPr>
                <w:sz w:val="20"/>
                <w:szCs w:val="20"/>
                <w:color w:val="auto"/>
              </w:rPr>
            </w:pPr>
            <w:r>
              <w:rPr>
                <w:rFonts w:ascii="Arial" w:cs="Arial" w:eastAsia="Arial" w:hAnsi="Arial"/>
                <w:sz w:val="18"/>
                <w:szCs w:val="18"/>
                <w:color w:val="auto"/>
              </w:rPr>
              <w:t>Credit Facilities repayment obligations</w:t>
            </w:r>
            <w:r>
              <w:rPr>
                <w:rFonts w:ascii="Arial" w:cs="Arial" w:eastAsia="Arial" w:hAnsi="Arial"/>
                <w:sz w:val="29"/>
                <w:szCs w:val="29"/>
                <w:color w:val="auto"/>
                <w:vertAlign w:val="superscript"/>
              </w:rPr>
              <w:t>(3)</w:t>
            </w:r>
          </w:p>
        </w:tc>
        <w:tc>
          <w:tcPr>
            <w:tcW w:w="72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715.0</w:t>
            </w:r>
          </w:p>
        </w:tc>
        <w:tc>
          <w:tcPr>
            <w:tcW w:w="160" w:type="dxa"/>
            <w:vAlign w:val="bottom"/>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715.0</w:t>
            </w:r>
          </w:p>
        </w:tc>
        <w:tc>
          <w:tcPr>
            <w:tcW w:w="180" w:type="dxa"/>
            <w:vAlign w:val="bottom"/>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4"/>
                <w:szCs w:val="24"/>
                <w:color w:val="auto"/>
              </w:rPr>
            </w:pPr>
          </w:p>
        </w:tc>
      </w:tr>
      <w:tr>
        <w:trPr>
          <w:trHeight w:val="250"/>
        </w:trPr>
        <w:tc>
          <w:tcPr>
            <w:tcW w:w="20" w:type="dxa"/>
            <w:vAlign w:val="bottom"/>
          </w:tcPr>
          <w:p>
            <w:pPr>
              <w:spacing w:after="0"/>
              <w:rPr>
                <w:sz w:val="21"/>
                <w:szCs w:val="21"/>
                <w:color w:val="auto"/>
              </w:rPr>
            </w:pPr>
          </w:p>
        </w:tc>
        <w:tc>
          <w:tcPr>
            <w:tcW w:w="3620" w:type="dxa"/>
            <w:vAlign w:val="bottom"/>
            <w:gridSpan w:val="3"/>
            <w:shd w:val="clear" w:color="auto" w:fill="CCEEFF"/>
          </w:tcPr>
          <w:p>
            <w:pPr>
              <w:spacing w:after="0" w:line="250" w:lineRule="exact"/>
              <w:rPr>
                <w:sz w:val="20"/>
                <w:szCs w:val="20"/>
                <w:color w:val="auto"/>
              </w:rPr>
            </w:pPr>
            <w:r>
              <w:rPr>
                <w:rFonts w:ascii="Arial" w:cs="Arial" w:eastAsia="Arial" w:hAnsi="Arial"/>
                <w:sz w:val="17"/>
                <w:szCs w:val="17"/>
                <w:color w:val="auto"/>
              </w:rPr>
              <w:t>Total</w:t>
            </w:r>
            <w:r>
              <w:rPr>
                <w:rFonts w:ascii="Arial" w:cs="Arial" w:eastAsia="Arial" w:hAnsi="Arial"/>
                <w:sz w:val="28"/>
                <w:szCs w:val="28"/>
                <w:color w:val="auto"/>
                <w:vertAlign w:val="superscript"/>
              </w:rPr>
              <w:t>(4)</w:t>
            </w:r>
          </w:p>
        </w:tc>
        <w:tc>
          <w:tcPr>
            <w:tcW w:w="8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979.1</w:t>
            </w: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28.1</w:t>
            </w:r>
          </w:p>
        </w:tc>
        <w:tc>
          <w:tcPr>
            <w:tcW w:w="340" w:type="dxa"/>
            <w:vAlign w:val="bottom"/>
            <w:gridSpan w:val="2"/>
            <w:shd w:val="clear" w:color="auto" w:fill="CCEEFF"/>
          </w:tcPr>
          <w:p>
            <w:pPr>
              <w:jc w:val="right"/>
              <w:ind w:right="32"/>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747.6</w:t>
            </w:r>
          </w:p>
        </w:tc>
        <w:tc>
          <w:tcPr>
            <w:tcW w:w="400" w:type="dxa"/>
            <w:vAlign w:val="bottom"/>
            <w:gridSpan w:val="2"/>
            <w:shd w:val="clear" w:color="auto" w:fill="CCEEFF"/>
          </w:tcPr>
          <w:p>
            <w:pPr>
              <w:jc w:val="right"/>
              <w:ind w:right="72"/>
              <w:spacing w:after="0"/>
              <w:rPr>
                <w:sz w:val="20"/>
                <w:szCs w:val="20"/>
                <w:color w:val="auto"/>
              </w:rPr>
            </w:pPr>
            <w:r>
              <w:rPr>
                <w:rFonts w:ascii="Arial" w:cs="Arial" w:eastAsia="Arial" w:hAnsi="Arial"/>
                <w:sz w:val="18"/>
                <w:szCs w:val="18"/>
                <w:color w:val="auto"/>
              </w:rPr>
              <w:t>$</w:t>
            </w: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25.8</w:t>
            </w:r>
          </w:p>
        </w:tc>
        <w:tc>
          <w:tcPr>
            <w:tcW w:w="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11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177.6</w:t>
            </w:r>
          </w:p>
        </w:tc>
        <w:tc>
          <w:tcPr>
            <w:tcW w:w="160" w:type="dxa"/>
            <w:vAlign w:val="bottom"/>
            <w:shd w:val="clear" w:color="auto" w:fill="CCEEFF"/>
          </w:tcPr>
          <w:p>
            <w:pPr>
              <w:spacing w:after="0"/>
              <w:rPr>
                <w:sz w:val="21"/>
                <w:szCs w:val="21"/>
                <w:color w:val="auto"/>
              </w:rPr>
            </w:pPr>
          </w:p>
        </w:tc>
      </w:tr>
      <w:tr>
        <w:trPr>
          <w:trHeight w:val="27"/>
        </w:trPr>
        <w:tc>
          <w:tcPr>
            <w:tcW w:w="20" w:type="dxa"/>
            <w:vAlign w:val="bottom"/>
          </w:tcPr>
          <w:p>
            <w:pPr>
              <w:spacing w:after="0"/>
              <w:rPr>
                <w:sz w:val="2"/>
                <w:szCs w:val="2"/>
                <w:color w:val="auto"/>
              </w:rPr>
            </w:pPr>
          </w:p>
        </w:tc>
        <w:tc>
          <w:tcPr>
            <w:tcW w:w="1260" w:type="dxa"/>
            <w:vAlign w:val="bottom"/>
          </w:tcPr>
          <w:p>
            <w:pPr>
              <w:spacing w:after="0"/>
              <w:rPr>
                <w:sz w:val="2"/>
                <w:szCs w:val="2"/>
                <w:color w:val="auto"/>
              </w:rPr>
            </w:pPr>
          </w:p>
        </w:tc>
        <w:tc>
          <w:tcPr>
            <w:tcW w:w="260" w:type="dxa"/>
            <w:vAlign w:val="bottom"/>
          </w:tcPr>
          <w:p>
            <w:pPr>
              <w:spacing w:after="0"/>
              <w:rPr>
                <w:sz w:val="2"/>
                <w:szCs w:val="2"/>
                <w:color w:val="auto"/>
              </w:rPr>
            </w:pPr>
          </w:p>
        </w:tc>
        <w:tc>
          <w:tcPr>
            <w:tcW w:w="2100" w:type="dxa"/>
            <w:vAlign w:val="bottom"/>
          </w:tcPr>
          <w:p>
            <w:pPr>
              <w:spacing w:after="0"/>
              <w:rPr>
                <w:sz w:val="2"/>
                <w:szCs w:val="2"/>
                <w:color w:val="auto"/>
              </w:rPr>
            </w:pPr>
          </w:p>
        </w:tc>
        <w:tc>
          <w:tcPr>
            <w:tcW w:w="72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r>
      <w:tr>
        <w:trPr>
          <w:trHeight w:val="20"/>
        </w:trPr>
        <w:tc>
          <w:tcPr>
            <w:tcW w:w="2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10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89"/>
        </w:trPr>
        <w:tc>
          <w:tcPr>
            <w:tcW w:w="20" w:type="dxa"/>
            <w:vAlign w:val="bottom"/>
          </w:tcPr>
          <w:p>
            <w:pPr>
              <w:spacing w:after="0"/>
              <w:rPr>
                <w:sz w:val="7"/>
                <w:szCs w:val="7"/>
                <w:color w:val="auto"/>
              </w:rPr>
            </w:pPr>
          </w:p>
        </w:tc>
        <w:tc>
          <w:tcPr>
            <w:tcW w:w="1260" w:type="dxa"/>
            <w:vAlign w:val="bottom"/>
            <w:tcBorders>
              <w:bottom w:val="single" w:sz="8" w:color="auto"/>
            </w:tcBorders>
          </w:tcPr>
          <w:p>
            <w:pPr>
              <w:spacing w:after="0"/>
              <w:rPr>
                <w:sz w:val="7"/>
                <w:szCs w:val="7"/>
                <w:color w:val="auto"/>
              </w:rPr>
            </w:pPr>
          </w:p>
        </w:tc>
        <w:tc>
          <w:tcPr>
            <w:tcW w:w="260" w:type="dxa"/>
            <w:vAlign w:val="bottom"/>
          </w:tcPr>
          <w:p>
            <w:pPr>
              <w:spacing w:after="0"/>
              <w:rPr>
                <w:sz w:val="7"/>
                <w:szCs w:val="7"/>
                <w:color w:val="auto"/>
              </w:rPr>
            </w:pPr>
          </w:p>
        </w:tc>
        <w:tc>
          <w:tcPr>
            <w:tcW w:w="2100" w:type="dxa"/>
            <w:vAlign w:val="bottom"/>
          </w:tcPr>
          <w:p>
            <w:pPr>
              <w:spacing w:after="0"/>
              <w:rPr>
                <w:sz w:val="7"/>
                <w:szCs w:val="7"/>
                <w:color w:val="auto"/>
              </w:rPr>
            </w:pPr>
          </w:p>
        </w:tc>
        <w:tc>
          <w:tcPr>
            <w:tcW w:w="720" w:type="dxa"/>
            <w:vAlign w:val="bottom"/>
          </w:tcPr>
          <w:p>
            <w:pPr>
              <w:spacing w:after="0"/>
              <w:rPr>
                <w:sz w:val="7"/>
                <w:szCs w:val="7"/>
                <w:color w:val="auto"/>
              </w:rPr>
            </w:pPr>
          </w:p>
        </w:tc>
        <w:tc>
          <w:tcPr>
            <w:tcW w:w="120" w:type="dxa"/>
            <w:vAlign w:val="bottom"/>
          </w:tcPr>
          <w:p>
            <w:pPr>
              <w:spacing w:after="0"/>
              <w:rPr>
                <w:sz w:val="7"/>
                <w:szCs w:val="7"/>
                <w:color w:val="auto"/>
              </w:rPr>
            </w:pPr>
          </w:p>
        </w:tc>
        <w:tc>
          <w:tcPr>
            <w:tcW w:w="500" w:type="dxa"/>
            <w:vAlign w:val="bottom"/>
          </w:tcPr>
          <w:p>
            <w:pPr>
              <w:spacing w:after="0"/>
              <w:rPr>
                <w:sz w:val="7"/>
                <w:szCs w:val="7"/>
                <w:color w:val="auto"/>
              </w:rPr>
            </w:pPr>
          </w:p>
        </w:tc>
        <w:tc>
          <w:tcPr>
            <w:tcW w:w="160" w:type="dxa"/>
            <w:vAlign w:val="bottom"/>
          </w:tcPr>
          <w:p>
            <w:pPr>
              <w:spacing w:after="0"/>
              <w:rPr>
                <w:sz w:val="7"/>
                <w:szCs w:val="7"/>
                <w:color w:val="auto"/>
              </w:rPr>
            </w:pPr>
          </w:p>
        </w:tc>
        <w:tc>
          <w:tcPr>
            <w:tcW w:w="140" w:type="dxa"/>
            <w:vAlign w:val="bottom"/>
          </w:tcPr>
          <w:p>
            <w:pPr>
              <w:spacing w:after="0"/>
              <w:rPr>
                <w:sz w:val="7"/>
                <w:szCs w:val="7"/>
                <w:color w:val="auto"/>
              </w:rPr>
            </w:pPr>
          </w:p>
        </w:tc>
        <w:tc>
          <w:tcPr>
            <w:tcW w:w="600" w:type="dxa"/>
            <w:vAlign w:val="bottom"/>
          </w:tcPr>
          <w:p>
            <w:pPr>
              <w:spacing w:after="0"/>
              <w:rPr>
                <w:sz w:val="7"/>
                <w:szCs w:val="7"/>
                <w:color w:val="auto"/>
              </w:rPr>
            </w:pPr>
          </w:p>
        </w:tc>
        <w:tc>
          <w:tcPr>
            <w:tcW w:w="160" w:type="dxa"/>
            <w:vAlign w:val="bottom"/>
          </w:tcPr>
          <w:p>
            <w:pPr>
              <w:spacing w:after="0"/>
              <w:rPr>
                <w:sz w:val="7"/>
                <w:szCs w:val="7"/>
                <w:color w:val="auto"/>
              </w:rPr>
            </w:pPr>
          </w:p>
        </w:tc>
        <w:tc>
          <w:tcPr>
            <w:tcW w:w="180" w:type="dxa"/>
            <w:vAlign w:val="bottom"/>
          </w:tcPr>
          <w:p>
            <w:pPr>
              <w:spacing w:after="0"/>
              <w:rPr>
                <w:sz w:val="7"/>
                <w:szCs w:val="7"/>
                <w:color w:val="auto"/>
              </w:rPr>
            </w:pPr>
          </w:p>
        </w:tc>
        <w:tc>
          <w:tcPr>
            <w:tcW w:w="500" w:type="dxa"/>
            <w:vAlign w:val="bottom"/>
          </w:tcPr>
          <w:p>
            <w:pPr>
              <w:spacing w:after="0"/>
              <w:rPr>
                <w:sz w:val="7"/>
                <w:szCs w:val="7"/>
                <w:color w:val="auto"/>
              </w:rPr>
            </w:pPr>
          </w:p>
        </w:tc>
        <w:tc>
          <w:tcPr>
            <w:tcW w:w="180" w:type="dxa"/>
            <w:vAlign w:val="bottom"/>
          </w:tcPr>
          <w:p>
            <w:pPr>
              <w:spacing w:after="0"/>
              <w:rPr>
                <w:sz w:val="7"/>
                <w:szCs w:val="7"/>
                <w:color w:val="auto"/>
              </w:rPr>
            </w:pPr>
          </w:p>
        </w:tc>
        <w:tc>
          <w:tcPr>
            <w:tcW w:w="220" w:type="dxa"/>
            <w:vAlign w:val="bottom"/>
          </w:tcPr>
          <w:p>
            <w:pPr>
              <w:spacing w:after="0"/>
              <w:rPr>
                <w:sz w:val="7"/>
                <w:szCs w:val="7"/>
                <w:color w:val="auto"/>
              </w:rPr>
            </w:pPr>
          </w:p>
        </w:tc>
        <w:tc>
          <w:tcPr>
            <w:tcW w:w="460" w:type="dxa"/>
            <w:vAlign w:val="bottom"/>
          </w:tcPr>
          <w:p>
            <w:pPr>
              <w:spacing w:after="0"/>
              <w:rPr>
                <w:sz w:val="7"/>
                <w:szCs w:val="7"/>
                <w:color w:val="auto"/>
              </w:rPr>
            </w:pPr>
          </w:p>
        </w:tc>
        <w:tc>
          <w:tcPr>
            <w:tcW w:w="160" w:type="dxa"/>
            <w:vAlign w:val="bottom"/>
          </w:tcPr>
          <w:p>
            <w:pPr>
              <w:spacing w:after="0"/>
              <w:rPr>
                <w:sz w:val="7"/>
                <w:szCs w:val="7"/>
                <w:color w:val="auto"/>
              </w:rPr>
            </w:pPr>
          </w:p>
        </w:tc>
        <w:tc>
          <w:tcPr>
            <w:tcW w:w="100" w:type="dxa"/>
            <w:vAlign w:val="bottom"/>
          </w:tcPr>
          <w:p>
            <w:pPr>
              <w:spacing w:after="0"/>
              <w:rPr>
                <w:sz w:val="7"/>
                <w:szCs w:val="7"/>
                <w:color w:val="auto"/>
              </w:rPr>
            </w:pPr>
          </w:p>
        </w:tc>
        <w:tc>
          <w:tcPr>
            <w:tcW w:w="1180" w:type="dxa"/>
            <w:vAlign w:val="bottom"/>
          </w:tcPr>
          <w:p>
            <w:pPr>
              <w:spacing w:after="0"/>
              <w:rPr>
                <w:sz w:val="7"/>
                <w:szCs w:val="7"/>
                <w:color w:val="auto"/>
              </w:rPr>
            </w:pPr>
          </w:p>
        </w:tc>
        <w:tc>
          <w:tcPr>
            <w:tcW w:w="160" w:type="dxa"/>
            <w:vAlign w:val="bottom"/>
          </w:tcPr>
          <w:p>
            <w:pPr>
              <w:spacing w:after="0"/>
              <w:rPr>
                <w:sz w:val="7"/>
                <w:szCs w:val="7"/>
                <w:color w:val="auto"/>
              </w:rPr>
            </w:pPr>
          </w:p>
        </w:tc>
      </w:tr>
    </w:tbl>
    <w:p>
      <w:pPr>
        <w:spacing w:after="0" w:line="205" w:lineRule="exact"/>
        <w:rPr>
          <w:sz w:val="20"/>
          <w:szCs w:val="20"/>
          <w:color w:val="auto"/>
        </w:rPr>
      </w:pPr>
    </w:p>
    <w:p>
      <w:pPr>
        <w:ind w:left="1140"/>
        <w:spacing w:after="0"/>
        <w:rPr>
          <w:sz w:val="20"/>
          <w:szCs w:val="20"/>
          <w:color w:val="auto"/>
        </w:rPr>
      </w:pPr>
      <w:r>
        <w:rPr>
          <w:rFonts w:ascii="Arial" w:cs="Arial" w:eastAsia="Arial" w:hAnsi="Arial"/>
          <w:sz w:val="14"/>
          <w:szCs w:val="14"/>
          <w:color w:val="auto"/>
        </w:rPr>
        <w:t>Notes:</w:t>
      </w:r>
    </w:p>
    <w:p>
      <w:pPr>
        <w:spacing w:after="0" w:line="190" w:lineRule="exact"/>
        <w:rPr>
          <w:sz w:val="20"/>
          <w:szCs w:val="20"/>
          <w:color w:val="auto"/>
        </w:rPr>
      </w:pPr>
    </w:p>
    <w:p>
      <w:pPr>
        <w:jc w:val="both"/>
        <w:ind w:left="1680" w:hanging="531"/>
        <w:spacing w:after="0" w:line="228" w:lineRule="auto"/>
        <w:tabs>
          <w:tab w:leader="none" w:pos="1680" w:val="left"/>
        </w:tabs>
        <w:numPr>
          <w:ilvl w:val="0"/>
          <w:numId w:val="27"/>
        </w:numPr>
        <w:rPr>
          <w:rFonts w:ascii="Arial" w:cs="Arial" w:eastAsia="Arial" w:hAnsi="Arial"/>
          <w:sz w:val="14"/>
          <w:szCs w:val="14"/>
          <w:color w:val="auto"/>
        </w:rPr>
      </w:pPr>
      <w:r>
        <w:rPr>
          <w:rFonts w:ascii="Arial" w:cs="Arial" w:eastAsia="Arial" w:hAnsi="Arial"/>
          <w:sz w:val="14"/>
          <w:szCs w:val="14"/>
          <w:color w:val="auto"/>
        </w:rPr>
        <w:t>Mining operations are subject to environmental regulations which require companies to reclaim and remediate land disturbed by mining operations. The Company has submitted closure plans to the appropriate governmental agencies which estimate the nature, extent and costs of reclamation for each of its mining properties. The estimated undiscounted cash outflows of these reclamation obligations are presented here. These estimated costs are recorded in the Company's consolidated financial statements on a discounted basis in accordance with ASC 410-20 — Asset Retirement Obligations (Prior authoritative literature: FASB Statement No. 143, "Accounting for Asset Retirement Obligations"). See Note 5(a) to the audited consolidated financial statements.</w:t>
      </w:r>
    </w:p>
    <w:p>
      <w:pPr>
        <w:spacing w:after="0" w:line="113" w:lineRule="exact"/>
        <w:rPr>
          <w:rFonts w:ascii="Arial" w:cs="Arial" w:eastAsia="Arial" w:hAnsi="Arial"/>
          <w:sz w:val="14"/>
          <w:szCs w:val="14"/>
          <w:color w:val="auto"/>
        </w:rPr>
      </w:pPr>
    </w:p>
    <w:p>
      <w:pPr>
        <w:jc w:val="both"/>
        <w:ind w:left="1680" w:hanging="531"/>
        <w:spacing w:after="0" w:line="230" w:lineRule="auto"/>
        <w:tabs>
          <w:tab w:leader="none" w:pos="1680" w:val="left"/>
        </w:tabs>
        <w:numPr>
          <w:ilvl w:val="0"/>
          <w:numId w:val="27"/>
        </w:numPr>
        <w:rPr>
          <w:rFonts w:ascii="Arial" w:cs="Arial" w:eastAsia="Arial" w:hAnsi="Arial"/>
          <w:sz w:val="14"/>
          <w:szCs w:val="14"/>
          <w:color w:val="auto"/>
        </w:rPr>
      </w:pPr>
      <w:r>
        <w:rPr>
          <w:rFonts w:ascii="Arial" w:cs="Arial" w:eastAsia="Arial" w:hAnsi="Arial"/>
          <w:sz w:val="14"/>
          <w:szCs w:val="14"/>
          <w:color w:val="auto"/>
        </w:rPr>
        <w:t>The Company has Retirement Compensation Arrangement Plans (the "RCA Plans") with certain executives. The RCA Plans provide pension benefits to the executives equal to 2% of the executive's final three-year average pensionable earnings for each year of service with the Company less the annual pension payable under the Company's basic defined contribution plan. Payments under the RCA Plans are secured by letter of credit from a Canadian chartered bank. The figures presented in this table have been actuarially determined.</w:t>
      </w:r>
    </w:p>
    <w:p>
      <w:pPr>
        <w:spacing w:after="0" w:line="112" w:lineRule="exact"/>
        <w:rPr>
          <w:rFonts w:ascii="Arial" w:cs="Arial" w:eastAsia="Arial" w:hAnsi="Arial"/>
          <w:sz w:val="14"/>
          <w:szCs w:val="14"/>
          <w:color w:val="auto"/>
        </w:rPr>
      </w:pPr>
    </w:p>
    <w:p>
      <w:pPr>
        <w:ind w:left="1680" w:hanging="531"/>
        <w:spacing w:after="0" w:line="239" w:lineRule="auto"/>
        <w:tabs>
          <w:tab w:leader="none" w:pos="1680" w:val="left"/>
        </w:tabs>
        <w:numPr>
          <w:ilvl w:val="0"/>
          <w:numId w:val="27"/>
        </w:numPr>
        <w:rPr>
          <w:rFonts w:ascii="Arial" w:cs="Arial" w:eastAsia="Arial" w:hAnsi="Arial"/>
          <w:sz w:val="14"/>
          <w:szCs w:val="14"/>
          <w:color w:val="auto"/>
        </w:rPr>
      </w:pPr>
      <w:r>
        <w:rPr>
          <w:rFonts w:ascii="Arial" w:cs="Arial" w:eastAsia="Arial" w:hAnsi="Arial"/>
          <w:sz w:val="14"/>
          <w:szCs w:val="14"/>
          <w:color w:val="auto"/>
        </w:rPr>
        <w:t>For the purposes of the Company's obligations to repay amounts outstanding under its Credit Facilities, the Company has assumed that the indebtedness will be repaid at the current expiry date of the relevant Credit Facility.</w:t>
      </w:r>
    </w:p>
    <w:p>
      <w:pPr>
        <w:spacing w:after="0" w:line="111" w:lineRule="exact"/>
        <w:rPr>
          <w:rFonts w:ascii="Arial" w:cs="Arial" w:eastAsia="Arial" w:hAnsi="Arial"/>
          <w:sz w:val="14"/>
          <w:szCs w:val="14"/>
          <w:color w:val="auto"/>
        </w:rPr>
      </w:pPr>
    </w:p>
    <w:p>
      <w:pPr>
        <w:ind w:left="1680" w:hanging="531"/>
        <w:spacing w:after="0"/>
        <w:tabs>
          <w:tab w:leader="none" w:pos="1680" w:val="left"/>
        </w:tabs>
        <w:numPr>
          <w:ilvl w:val="0"/>
          <w:numId w:val="27"/>
        </w:numPr>
        <w:rPr>
          <w:rFonts w:ascii="Arial" w:cs="Arial" w:eastAsia="Arial" w:hAnsi="Arial"/>
          <w:sz w:val="14"/>
          <w:szCs w:val="14"/>
          <w:color w:val="auto"/>
        </w:rPr>
      </w:pPr>
      <w:r>
        <w:rPr>
          <w:rFonts w:ascii="Arial" w:cs="Arial" w:eastAsia="Arial" w:hAnsi="Arial"/>
          <w:sz w:val="14"/>
          <w:szCs w:val="14"/>
          <w:color w:val="auto"/>
        </w:rPr>
        <w:t>The Company's estimated future positive cash flows are expected to be sufficient to satisfy the obligations set out above.</w:t>
      </w:r>
    </w:p>
    <w:p>
      <w:pPr>
        <w:spacing w:after="0" w:line="20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26" w:name="page127"/>
    <w:bookmarkEnd w:id="126"/>
    <w:p>
      <w:pPr>
        <w:spacing w:after="0"/>
        <w:rPr>
          <w:sz w:val="20"/>
          <w:szCs w:val="20"/>
          <w:color w:val="auto"/>
        </w:rPr>
      </w:pPr>
      <w:r>
        <w:rPr>
          <w:rFonts w:ascii="Arial" w:cs="Arial" w:eastAsia="Arial" w:hAnsi="Arial"/>
          <w:sz w:val="18"/>
          <w:szCs w:val="18"/>
          <w:b w:val="1"/>
          <w:bCs w:val="1"/>
          <w:i w:val="1"/>
          <w:iCs w:val="1"/>
          <w:color w:val="auto"/>
        </w:rPr>
        <w:t>Off-Balance Sheet Arrangements</w:t>
      </w:r>
    </w:p>
    <w:p>
      <w:pPr>
        <w:spacing w:after="0" w:line="225" w:lineRule="exact"/>
        <w:rPr>
          <w:sz w:val="20"/>
          <w:szCs w:val="20"/>
          <w:color w:val="auto"/>
        </w:rPr>
      </w:pPr>
    </w:p>
    <w:p>
      <w:pPr>
        <w:jc w:val="both"/>
        <w:ind w:firstLine="396"/>
        <w:spacing w:after="0" w:line="259" w:lineRule="auto"/>
        <w:rPr>
          <w:sz w:val="20"/>
          <w:szCs w:val="20"/>
          <w:color w:val="auto"/>
        </w:rPr>
      </w:pPr>
      <w:r>
        <w:rPr>
          <w:rFonts w:ascii="Arial" w:cs="Arial" w:eastAsia="Arial" w:hAnsi="Arial"/>
          <w:sz w:val="18"/>
          <w:szCs w:val="18"/>
          <w:color w:val="auto"/>
        </w:rPr>
        <w:t>The Company has the following off-balance sheet arrangements: operating leases (as disclosed above) and $85.3 million of outstanding letters of credit for environmental and site restoration costs, custom credits, government grants and other general corporate purposes (see Note 12 to the Consolidated Financial Statements).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2010 Liquidity and Capital Resources Analysis</w:t>
      </w:r>
    </w:p>
    <w:p>
      <w:pPr>
        <w:spacing w:after="0" w:line="225" w:lineRule="exact"/>
        <w:rPr>
          <w:sz w:val="20"/>
          <w:szCs w:val="20"/>
          <w:color w:val="auto"/>
        </w:rPr>
      </w:pPr>
    </w:p>
    <w:p>
      <w:pPr>
        <w:jc w:val="both"/>
        <w:ind w:firstLine="425"/>
        <w:spacing w:after="0" w:line="259" w:lineRule="auto"/>
        <w:rPr>
          <w:sz w:val="20"/>
          <w:szCs w:val="20"/>
          <w:color w:val="auto"/>
        </w:rPr>
      </w:pPr>
      <w:r>
        <w:rPr>
          <w:rFonts w:ascii="Arial" w:cs="Arial" w:eastAsia="Arial" w:hAnsi="Arial"/>
          <w:sz w:val="18"/>
          <w:szCs w:val="18"/>
          <w:color w:val="auto"/>
        </w:rPr>
        <w:t>The Company believes that it has sufficient capital resources to satisfy its 2010 mandatory expenditure commitments (including future obligations set out above) and discretionary expenditure commitments. The following table sets out expected future capital requirements and resources for 2010 (without giving effect to the offering of Notes):</w:t>
      </w:r>
    </w:p>
    <w:p>
      <w:pPr>
        <w:sectPr>
          <w:pgSz w:w="11900" w:h="16838" w:orient="portrait"/>
          <w:cols w:equalWidth="0" w:num="1">
            <w:col w:w="11420"/>
          </w:cols>
          <w:pgMar w:left="240" w:top="131" w:right="239" w:bottom="1440" w:gutter="0" w:footer="0" w:header="0"/>
        </w:sectPr>
      </w:pPr>
    </w:p>
    <w:p>
      <w:pPr>
        <w:spacing w:after="0" w:line="200" w:lineRule="exact"/>
        <w:rPr>
          <w:sz w:val="20"/>
          <w:szCs w:val="20"/>
          <w:color w:val="auto"/>
        </w:rPr>
      </w:pPr>
    </w:p>
    <w:p>
      <w:pPr>
        <w:spacing w:after="0" w:line="299" w:lineRule="exact"/>
        <w:rPr>
          <w:sz w:val="20"/>
          <w:szCs w:val="20"/>
          <w:color w:val="auto"/>
        </w:rPr>
      </w:pPr>
    </w:p>
    <w:p>
      <w:pPr>
        <w:ind w:left="1140"/>
        <w:spacing w:after="0"/>
        <w:rPr>
          <w:sz w:val="20"/>
          <w:szCs w:val="20"/>
          <w:color w:val="auto"/>
        </w:rPr>
      </w:pPr>
      <w:r>
        <w:rPr>
          <w:rFonts w:ascii="Arial" w:cs="Arial" w:eastAsia="Arial" w:hAnsi="Arial"/>
          <w:sz w:val="18"/>
          <w:szCs w:val="18"/>
          <w:b w:val="1"/>
          <w:bCs w:val="1"/>
          <w:color w:val="auto"/>
        </w:rPr>
        <w:t>2010 Mandatory Commitments: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734060</wp:posOffset>
            </wp:positionH>
            <wp:positionV relativeFrom="paragraph">
              <wp:posOffset>-121920</wp:posOffset>
            </wp:positionV>
            <wp:extent cx="5797550" cy="13716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5797550" cy="137160"/>
                    </a:xfrm>
                    <a:prstGeom prst="rect">
                      <a:avLst/>
                    </a:prstGeom>
                    <a:noFill/>
                  </pic:spPr>
                </pic:pic>
              </a:graphicData>
            </a:graphic>
          </wp:anchor>
        </w:drawing>
      </w:r>
    </w:p>
    <w:p>
      <w:pPr>
        <w:spacing w:after="0" w:line="1" w:lineRule="exact"/>
        <w:rPr>
          <w:sz w:val="20"/>
          <w:szCs w:val="20"/>
          <w:color w:val="auto"/>
        </w:rPr>
      </w:pPr>
    </w:p>
    <w:p>
      <w:pPr>
        <w:ind w:left="1140"/>
        <w:spacing w:after="0"/>
        <w:rPr>
          <w:sz w:val="20"/>
          <w:szCs w:val="20"/>
          <w:color w:val="auto"/>
        </w:rPr>
      </w:pPr>
      <w:r>
        <w:rPr>
          <w:rFonts w:ascii="Arial" w:cs="Arial" w:eastAsia="Arial" w:hAnsi="Arial"/>
          <w:sz w:val="18"/>
          <w:szCs w:val="18"/>
          <w:color w:val="auto"/>
        </w:rPr>
        <w:t>Contractual obligations (from table above)</w:t>
      </w:r>
    </w:p>
    <w:p>
      <w:pPr>
        <w:spacing w:after="0" w:line="9" w:lineRule="exact"/>
        <w:rPr>
          <w:sz w:val="20"/>
          <w:szCs w:val="20"/>
          <w:color w:val="auto"/>
        </w:rPr>
      </w:pPr>
    </w:p>
    <w:p>
      <w:pPr>
        <w:ind w:left="1140"/>
        <w:spacing w:after="0"/>
        <w:rPr>
          <w:sz w:val="20"/>
          <w:szCs w:val="20"/>
          <w:color w:val="auto"/>
        </w:rPr>
      </w:pPr>
      <w:r>
        <w:rPr>
          <w:rFonts w:ascii="Arial" w:cs="Arial" w:eastAsia="Arial" w:hAnsi="Arial"/>
          <w:sz w:val="18"/>
          <w:szCs w:val="18"/>
          <w:color w:val="auto"/>
        </w:rPr>
        <w:t>Dividend payable (declared in 2009)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734060</wp:posOffset>
            </wp:positionH>
            <wp:positionV relativeFrom="paragraph">
              <wp:posOffset>-129540</wp:posOffset>
            </wp:positionV>
            <wp:extent cx="5797550" cy="13716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5797550" cy="137160"/>
                    </a:xfrm>
                    <a:prstGeom prst="rect">
                      <a:avLst/>
                    </a:prstGeom>
                    <a:noFill/>
                  </pic:spPr>
                </pic:pic>
              </a:graphicData>
            </a:graphic>
          </wp:anchor>
        </w:drawing>
      </w:r>
    </w:p>
    <w:p>
      <w:pPr>
        <w:spacing w:after="0" w:line="23" w:lineRule="exact"/>
        <w:rPr>
          <w:sz w:val="20"/>
          <w:szCs w:val="20"/>
          <w:color w:val="auto"/>
        </w:rPr>
      </w:pPr>
    </w:p>
    <w:p>
      <w:pPr>
        <w:ind w:left="1140"/>
        <w:spacing w:after="0"/>
        <w:rPr>
          <w:sz w:val="20"/>
          <w:szCs w:val="20"/>
          <w:color w:val="auto"/>
        </w:rPr>
      </w:pPr>
      <w:r>
        <w:rPr>
          <w:rFonts w:ascii="Arial" w:cs="Arial" w:eastAsia="Arial" w:hAnsi="Arial"/>
          <w:sz w:val="18"/>
          <w:szCs w:val="18"/>
          <w:color w:val="auto"/>
        </w:rPr>
        <w:t>Total 2010 mandatory expenditure commitments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734060</wp:posOffset>
            </wp:positionH>
            <wp:positionV relativeFrom="paragraph">
              <wp:posOffset>36830</wp:posOffset>
            </wp:positionV>
            <wp:extent cx="5797550" cy="27432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5797550" cy="274320"/>
                    </a:xfrm>
                    <a:prstGeom prst="rect">
                      <a:avLst/>
                    </a:prstGeom>
                    <a:noFill/>
                  </pic:spPr>
                </pic:pic>
              </a:graphicData>
            </a:graphic>
          </wp:anchor>
        </w:drawing>
      </w:r>
    </w:p>
    <w:p>
      <w:pPr>
        <w:spacing w:after="0" w:line="240" w:lineRule="exact"/>
        <w:rPr>
          <w:sz w:val="20"/>
          <w:szCs w:val="20"/>
          <w:color w:val="auto"/>
        </w:rPr>
      </w:pPr>
    </w:p>
    <w:p>
      <w:pPr>
        <w:ind w:left="1140"/>
        <w:spacing w:after="0"/>
        <w:rPr>
          <w:sz w:val="20"/>
          <w:szCs w:val="20"/>
          <w:color w:val="auto"/>
        </w:rPr>
      </w:pPr>
      <w:r>
        <w:rPr>
          <w:rFonts w:ascii="Arial" w:cs="Arial" w:eastAsia="Arial" w:hAnsi="Arial"/>
          <w:sz w:val="18"/>
          <w:szCs w:val="18"/>
          <w:b w:val="1"/>
          <w:bCs w:val="1"/>
          <w:color w:val="auto"/>
        </w:rPr>
        <w:t>2010 Discretionary Commitments:</w:t>
      </w:r>
    </w:p>
    <w:p>
      <w:pPr>
        <w:spacing w:after="0" w:line="21" w:lineRule="exact"/>
        <w:rPr>
          <w:sz w:val="20"/>
          <w:szCs w:val="20"/>
          <w:color w:val="auto"/>
        </w:rPr>
      </w:pPr>
    </w:p>
    <w:p>
      <w:pPr>
        <w:ind w:left="1140"/>
        <w:spacing w:after="0"/>
        <w:rPr>
          <w:sz w:val="20"/>
          <w:szCs w:val="20"/>
          <w:color w:val="auto"/>
        </w:rPr>
      </w:pPr>
      <w:r>
        <w:rPr>
          <w:rFonts w:ascii="Arial" w:cs="Arial" w:eastAsia="Arial" w:hAnsi="Arial"/>
          <w:sz w:val="18"/>
          <w:szCs w:val="18"/>
          <w:color w:val="auto"/>
        </w:rPr>
        <w:t>Budgeted capital expenditures</w:t>
      </w:r>
    </w:p>
    <w:p>
      <w:pPr>
        <w:spacing w:after="0" w:line="37" w:lineRule="exact"/>
        <w:rPr>
          <w:sz w:val="20"/>
          <w:szCs w:val="20"/>
          <w:color w:val="auto"/>
        </w:rPr>
      </w:pPr>
    </w:p>
    <w:p>
      <w:pPr>
        <w:ind w:left="1140"/>
        <w:spacing w:after="0"/>
        <w:rPr>
          <w:sz w:val="20"/>
          <w:szCs w:val="20"/>
          <w:color w:val="auto"/>
        </w:rPr>
      </w:pPr>
      <w:r>
        <w:rPr>
          <w:rFonts w:ascii="Arial" w:cs="Arial" w:eastAsia="Arial" w:hAnsi="Arial"/>
          <w:sz w:val="18"/>
          <w:szCs w:val="18"/>
          <w:b w:val="1"/>
          <w:bCs w:val="1"/>
          <w:color w:val="auto"/>
        </w:rPr>
        <w:t>Total 2010 mandatory and discretionary expenditure commitments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734060</wp:posOffset>
            </wp:positionH>
            <wp:positionV relativeFrom="paragraph">
              <wp:posOffset>-121920</wp:posOffset>
            </wp:positionV>
            <wp:extent cx="5797550" cy="13716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5797550" cy="137160"/>
                    </a:xfrm>
                    <a:prstGeom prst="rect">
                      <a:avLst/>
                    </a:prstGeom>
                    <a:noFill/>
                  </pic:spPr>
                </pic:pic>
              </a:graphicData>
            </a:graphic>
          </wp:anchor>
        </w:drawing>
      </w:r>
    </w:p>
    <w:p>
      <w:pPr>
        <w:spacing w:after="0" w:line="273" w:lineRule="exact"/>
        <w:rPr>
          <w:sz w:val="20"/>
          <w:szCs w:val="20"/>
          <w:color w:val="auto"/>
        </w:rPr>
      </w:pPr>
    </w:p>
    <w:p>
      <w:pPr>
        <w:ind w:left="1140"/>
        <w:spacing w:after="0"/>
        <w:rPr>
          <w:sz w:val="20"/>
          <w:szCs w:val="20"/>
          <w:color w:val="auto"/>
        </w:rPr>
      </w:pPr>
      <w:r>
        <w:rPr>
          <w:rFonts w:ascii="Arial" w:cs="Arial" w:eastAsia="Arial" w:hAnsi="Arial"/>
          <w:sz w:val="18"/>
          <w:szCs w:val="18"/>
          <w:b w:val="1"/>
          <w:bCs w:val="1"/>
          <w:color w:val="auto"/>
        </w:rPr>
        <w:t>2010 Capital Resources:</w:t>
      </w:r>
    </w:p>
    <w:p>
      <w:pPr>
        <w:spacing w:after="0" w:line="21" w:lineRule="exact"/>
        <w:rPr>
          <w:sz w:val="20"/>
          <w:szCs w:val="20"/>
          <w:color w:val="auto"/>
        </w:rPr>
      </w:pPr>
    </w:p>
    <w:p>
      <w:pPr>
        <w:ind w:left="1140"/>
        <w:spacing w:after="0"/>
        <w:rPr>
          <w:sz w:val="20"/>
          <w:szCs w:val="20"/>
          <w:color w:val="auto"/>
        </w:rPr>
      </w:pPr>
      <w:r>
        <w:rPr>
          <w:rFonts w:ascii="Arial" w:cs="Arial" w:eastAsia="Arial" w:hAnsi="Arial"/>
          <w:sz w:val="18"/>
          <w:szCs w:val="18"/>
          <w:color w:val="auto"/>
        </w:rPr>
        <w:t>Cash, cash equivalents and short term investments (at December 31, 2009)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734060</wp:posOffset>
            </wp:positionH>
            <wp:positionV relativeFrom="paragraph">
              <wp:posOffset>-129540</wp:posOffset>
            </wp:positionV>
            <wp:extent cx="5797550" cy="13716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5797550" cy="137160"/>
                    </a:xfrm>
                    <a:prstGeom prst="rect">
                      <a:avLst/>
                    </a:prstGeom>
                    <a:noFill/>
                  </pic:spPr>
                </pic:pic>
              </a:graphicData>
            </a:graphic>
          </wp:anchor>
        </w:drawing>
      </w:r>
    </w:p>
    <w:p>
      <w:pPr>
        <w:ind w:left="1140"/>
        <w:spacing w:after="0"/>
        <w:rPr>
          <w:sz w:val="20"/>
          <w:szCs w:val="20"/>
          <w:color w:val="auto"/>
        </w:rPr>
      </w:pPr>
      <w:r>
        <w:rPr>
          <w:rFonts w:ascii="Arial" w:cs="Arial" w:eastAsia="Arial" w:hAnsi="Arial"/>
          <w:sz w:val="18"/>
          <w:szCs w:val="18"/>
          <w:color w:val="auto"/>
        </w:rPr>
        <w:t>Estimated 2010 operating cash flow</w:t>
      </w:r>
    </w:p>
    <w:p>
      <w:pPr>
        <w:spacing w:after="0" w:line="9" w:lineRule="exact"/>
        <w:rPr>
          <w:sz w:val="20"/>
          <w:szCs w:val="20"/>
          <w:color w:val="auto"/>
        </w:rPr>
      </w:pPr>
    </w:p>
    <w:p>
      <w:pPr>
        <w:ind w:left="1140"/>
        <w:spacing w:after="0"/>
        <w:rPr>
          <w:sz w:val="20"/>
          <w:szCs w:val="20"/>
          <w:color w:val="auto"/>
        </w:rPr>
      </w:pPr>
      <w:r>
        <w:rPr>
          <w:rFonts w:ascii="Arial" w:cs="Arial" w:eastAsia="Arial" w:hAnsi="Arial"/>
          <w:sz w:val="15"/>
          <w:szCs w:val="15"/>
          <w:color w:val="auto"/>
        </w:rPr>
        <w:t>Working capital (at December 31, 2009) (excluding cash, cash equivalents and short-term investments)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734060</wp:posOffset>
            </wp:positionH>
            <wp:positionV relativeFrom="paragraph">
              <wp:posOffset>-107315</wp:posOffset>
            </wp:positionV>
            <wp:extent cx="5797550" cy="13716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5797550" cy="137160"/>
                    </a:xfrm>
                    <a:prstGeom prst="rect">
                      <a:avLst/>
                    </a:prstGeom>
                    <a:noFill/>
                  </pic:spPr>
                </pic:pic>
              </a:graphicData>
            </a:graphic>
          </wp:anchor>
        </w:drawing>
      </w:r>
    </w:p>
    <w:p>
      <w:pPr>
        <w:spacing w:after="0" w:line="24" w:lineRule="exact"/>
        <w:rPr>
          <w:sz w:val="20"/>
          <w:szCs w:val="20"/>
          <w:color w:val="auto"/>
        </w:rPr>
      </w:pPr>
    </w:p>
    <w:p>
      <w:pPr>
        <w:ind w:left="1140"/>
        <w:spacing w:after="0"/>
        <w:rPr>
          <w:sz w:val="20"/>
          <w:szCs w:val="20"/>
          <w:color w:val="auto"/>
        </w:rPr>
      </w:pPr>
      <w:r>
        <w:rPr>
          <w:rFonts w:ascii="Arial" w:cs="Arial" w:eastAsia="Arial" w:hAnsi="Arial"/>
          <w:sz w:val="18"/>
          <w:szCs w:val="18"/>
          <w:color w:val="auto"/>
        </w:rPr>
        <w:t>Available under the Credit Facilities</w:t>
      </w:r>
    </w:p>
    <w:p>
      <w:pPr>
        <w:spacing w:after="0" w:line="37" w:lineRule="exact"/>
        <w:rPr>
          <w:sz w:val="20"/>
          <w:szCs w:val="20"/>
          <w:color w:val="auto"/>
        </w:rPr>
      </w:pPr>
    </w:p>
    <w:p>
      <w:pPr>
        <w:ind w:left="1140"/>
        <w:spacing w:after="0"/>
        <w:rPr>
          <w:sz w:val="20"/>
          <w:szCs w:val="20"/>
          <w:color w:val="auto"/>
        </w:rPr>
      </w:pPr>
      <w:r>
        <w:rPr>
          <w:rFonts w:ascii="Arial" w:cs="Arial" w:eastAsia="Arial" w:hAnsi="Arial"/>
          <w:sz w:val="18"/>
          <w:szCs w:val="18"/>
          <w:b w:val="1"/>
          <w:bCs w:val="1"/>
          <w:color w:val="auto"/>
        </w:rPr>
        <w:t>Total 2010 Capital Resources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734060</wp:posOffset>
            </wp:positionH>
            <wp:positionV relativeFrom="paragraph">
              <wp:posOffset>-121920</wp:posOffset>
            </wp:positionV>
            <wp:extent cx="5797550" cy="13716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5797550" cy="13716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70" w:lineRule="exact"/>
        <w:rPr>
          <w:sz w:val="20"/>
          <w:szCs w:val="20"/>
          <w:color w:val="auto"/>
        </w:rPr>
      </w:pPr>
    </w:p>
    <w:p>
      <w:pPr>
        <w:ind w:left="133"/>
        <w:spacing w:after="0"/>
        <w:rPr>
          <w:sz w:val="20"/>
          <w:szCs w:val="20"/>
          <w:color w:val="auto"/>
        </w:rPr>
      </w:pPr>
      <w:r>
        <w:rPr>
          <w:rFonts w:ascii="Arial" w:cs="Arial" w:eastAsia="Arial" w:hAnsi="Arial"/>
          <w:sz w:val="14"/>
          <w:szCs w:val="14"/>
          <w:b w:val="1"/>
          <w:bCs w:val="1"/>
          <w:color w:val="auto"/>
        </w:rPr>
        <w:t>Amount</w:t>
      </w:r>
    </w:p>
    <w:p>
      <w:pPr>
        <w:spacing w:after="0" w:line="1" w:lineRule="exact"/>
        <w:rPr>
          <w:sz w:val="20"/>
          <w:szCs w:val="20"/>
          <w:color w:val="auto"/>
        </w:rPr>
      </w:pPr>
    </w:p>
    <w:p>
      <w:pPr>
        <w:ind w:left="93"/>
        <w:spacing w:after="0"/>
        <w:rPr>
          <w:sz w:val="20"/>
          <w:szCs w:val="20"/>
          <w:color w:val="auto"/>
        </w:rPr>
      </w:pPr>
      <w:r>
        <w:rPr>
          <w:rFonts w:ascii="Arial" w:cs="Arial" w:eastAsia="Arial" w:hAnsi="Arial"/>
          <w:sz w:val="14"/>
          <w:szCs w:val="14"/>
          <w:b w:val="1"/>
          <w:bCs w:val="1"/>
          <w:color w:val="auto"/>
        </w:rPr>
        <w:t>(millions)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-7620</wp:posOffset>
            </wp:positionV>
            <wp:extent cx="462915" cy="889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462915" cy="8890"/>
                    </a:xfrm>
                    <a:prstGeom prst="rect">
                      <a:avLst/>
                    </a:prstGeom>
                    <a:noFill/>
                  </pic:spPr>
                </pic:pic>
              </a:graphicData>
            </a:graphic>
          </wp:anchor>
        </w:drawing>
      </w:r>
    </w:p>
    <w:p>
      <w:pPr>
        <w:spacing w:after="0" w:line="188" w:lineRule="exact"/>
        <w:rPr>
          <w:sz w:val="20"/>
          <w:szCs w:val="20"/>
          <w:color w:val="auto"/>
        </w:rPr>
      </w:pPr>
    </w:p>
    <w:p>
      <w:pPr>
        <w:ind w:left="553" w:hanging="546"/>
        <w:spacing w:after="0"/>
        <w:tabs>
          <w:tab w:leader="none" w:pos="553" w:val="left"/>
        </w:tabs>
        <w:numPr>
          <w:ilvl w:val="0"/>
          <w:numId w:val="28"/>
        </w:numPr>
        <w:rPr>
          <w:rFonts w:ascii="Arial" w:cs="Arial" w:eastAsia="Arial" w:hAnsi="Arial"/>
          <w:sz w:val="16"/>
          <w:szCs w:val="16"/>
          <w:color w:val="auto"/>
        </w:rPr>
      </w:pPr>
      <w:r>
        <w:rPr>
          <w:rFonts w:ascii="Arial" w:cs="Arial" w:eastAsia="Arial" w:hAnsi="Arial"/>
          <w:sz w:val="16"/>
          <w:szCs w:val="16"/>
          <w:color w:val="auto"/>
        </w:rPr>
        <w:t>28</w:t>
      </w:r>
    </w:p>
    <w:p>
      <w:pPr>
        <w:spacing w:after="0" w:line="38" w:lineRule="exact"/>
        <w:rPr>
          <w:rFonts w:ascii="Arial" w:cs="Arial" w:eastAsia="Arial" w:hAnsi="Arial"/>
          <w:sz w:val="16"/>
          <w:szCs w:val="16"/>
          <w:color w:val="auto"/>
        </w:rPr>
      </w:pPr>
    </w:p>
    <w:p>
      <w:pPr>
        <w:ind w:left="553"/>
        <w:spacing w:after="0"/>
        <w:rPr>
          <w:rFonts w:ascii="Arial" w:cs="Arial" w:eastAsia="Arial" w:hAnsi="Arial"/>
          <w:sz w:val="16"/>
          <w:szCs w:val="16"/>
          <w:color w:val="auto"/>
        </w:rPr>
      </w:pPr>
      <w:r>
        <w:rPr>
          <w:rFonts w:ascii="Arial" w:cs="Arial" w:eastAsia="Arial" w:hAnsi="Arial"/>
          <w:sz w:val="16"/>
          <w:szCs w:val="16"/>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38735</wp:posOffset>
            </wp:positionV>
            <wp:extent cx="462915" cy="889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462915" cy="8890"/>
                    </a:xfrm>
                    <a:prstGeom prst="rect">
                      <a:avLst/>
                    </a:prstGeom>
                    <a:noFill/>
                  </pic:spPr>
                </pic:pic>
              </a:graphicData>
            </a:graphic>
          </wp:anchor>
        </w:drawing>
      </w:r>
    </w:p>
    <w:p>
      <w:pPr>
        <w:spacing w:after="0" w:line="46" w:lineRule="exact"/>
        <w:rPr>
          <w:sz w:val="20"/>
          <w:szCs w:val="20"/>
          <w:color w:val="auto"/>
        </w:rPr>
      </w:pPr>
    </w:p>
    <w:p>
      <w:pPr>
        <w:ind w:left="553" w:hanging="546"/>
        <w:spacing w:after="0"/>
        <w:tabs>
          <w:tab w:leader="none" w:pos="553" w:val="left"/>
        </w:tabs>
        <w:numPr>
          <w:ilvl w:val="0"/>
          <w:numId w:val="29"/>
        </w:numPr>
        <w:rPr>
          <w:rFonts w:ascii="Arial" w:cs="Arial" w:eastAsia="Arial" w:hAnsi="Arial"/>
          <w:sz w:val="16"/>
          <w:szCs w:val="16"/>
          <w:color w:val="auto"/>
        </w:rPr>
      </w:pPr>
      <w:r>
        <w:rPr>
          <w:rFonts w:ascii="Arial" w:cs="Arial" w:eastAsia="Arial" w:hAnsi="Arial"/>
          <w:sz w:val="16"/>
          <w:szCs w:val="16"/>
          <w:color w:val="auto"/>
        </w:rPr>
        <w:t>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42545</wp:posOffset>
            </wp:positionV>
            <wp:extent cx="462915" cy="889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462915" cy="8890"/>
                    </a:xfrm>
                    <a:prstGeom prst="rect">
                      <a:avLst/>
                    </a:prstGeom>
                    <a:noFill/>
                  </pic:spPr>
                </pic:pic>
              </a:graphicData>
            </a:graphic>
          </wp:anchor>
        </w:drawing>
      </w:r>
    </w:p>
    <w:p>
      <w:pPr>
        <w:spacing w:after="0" w:line="200" w:lineRule="exact"/>
        <w:rPr>
          <w:sz w:val="20"/>
          <w:szCs w:val="20"/>
          <w:color w:val="auto"/>
        </w:rPr>
      </w:pPr>
    </w:p>
    <w:p>
      <w:pPr>
        <w:spacing w:after="0" w:line="285" w:lineRule="exact"/>
        <w:rPr>
          <w:sz w:val="20"/>
          <w:szCs w:val="20"/>
          <w:color w:val="auto"/>
        </w:rPr>
      </w:pPr>
    </w:p>
    <w:p>
      <w:pPr>
        <w:ind w:left="473" w:hanging="466"/>
        <w:spacing w:after="0"/>
        <w:tabs>
          <w:tab w:leader="none" w:pos="473" w:val="left"/>
        </w:tabs>
        <w:numPr>
          <w:ilvl w:val="0"/>
          <w:numId w:val="30"/>
        </w:numPr>
        <w:rPr>
          <w:rFonts w:ascii="Arial" w:cs="Arial" w:eastAsia="Arial" w:hAnsi="Arial"/>
          <w:sz w:val="15"/>
          <w:szCs w:val="15"/>
          <w:color w:val="auto"/>
        </w:rPr>
      </w:pPr>
      <w:r>
        <w:rPr>
          <w:rFonts w:ascii="Arial" w:cs="Arial" w:eastAsia="Arial" w:hAnsi="Arial"/>
          <w:sz w:val="15"/>
          <w:szCs w:val="15"/>
          <w:color w:val="auto"/>
        </w:rPr>
        <w:t>478</w:t>
      </w:r>
    </w:p>
    <w:p>
      <w:pPr>
        <w:spacing w:after="0" w:line="78" w:lineRule="exact"/>
        <w:rPr>
          <w:sz w:val="20"/>
          <w:szCs w:val="20"/>
          <w:color w:val="auto"/>
        </w:rPr>
      </w:pPr>
    </w:p>
    <w:p>
      <w:pPr>
        <w:ind w:left="473" w:hanging="473"/>
        <w:spacing w:after="0"/>
        <w:tabs>
          <w:tab w:leader="none" w:pos="473" w:val="left"/>
        </w:tabs>
        <w:numPr>
          <w:ilvl w:val="0"/>
          <w:numId w:val="31"/>
        </w:numPr>
        <w:rPr>
          <w:rFonts w:ascii="Arial" w:cs="Arial" w:eastAsia="Arial" w:hAnsi="Arial"/>
          <w:sz w:val="15"/>
          <w:szCs w:val="15"/>
          <w:b w:val="1"/>
          <w:bCs w:val="1"/>
          <w:color w:val="auto"/>
        </w:rPr>
      </w:pPr>
      <w:r>
        <w:rPr>
          <w:rFonts w:ascii="Arial" w:cs="Arial" w:eastAsia="Arial" w:hAnsi="Arial"/>
          <w:sz w:val="15"/>
          <w:szCs w:val="15"/>
          <w:b w:val="1"/>
          <w:bCs w:val="1"/>
          <w:color w:val="auto"/>
        </w:rPr>
        <w:t>533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-108585</wp:posOffset>
            </wp:positionV>
            <wp:extent cx="462915" cy="889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462915" cy="8890"/>
                    </a:xfrm>
                    <a:prstGeom prst="rect">
                      <a:avLst/>
                    </a:prstGeom>
                    <a:noFill/>
                  </pic:spPr>
                </pic:pic>
              </a:graphicData>
            </a:graphic>
          </wp:anchor>
        </w:drawing>
        <w:drawing>
          <wp:anchor simplePos="0" relativeHeight="251657728" behindDoc="1" locked="0" layoutInCell="0" allowOverlap="1">
            <wp:simplePos x="0" y="0"/>
            <wp:positionH relativeFrom="column">
              <wp:posOffset>4445</wp:posOffset>
            </wp:positionH>
            <wp:positionV relativeFrom="paragraph">
              <wp:posOffset>53975</wp:posOffset>
            </wp:positionV>
            <wp:extent cx="462915" cy="889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462915" cy="8890"/>
                    </a:xfrm>
                    <a:prstGeom prst="rect">
                      <a:avLst/>
                    </a:prstGeom>
                    <a:noFill/>
                  </pic:spPr>
                </pic:pic>
              </a:graphicData>
            </a:graphic>
          </wp:anchor>
        </w:drawing>
        <w:drawing>
          <wp:anchor simplePos="0" relativeHeight="251657728" behindDoc="1" locked="0" layoutInCell="0" allowOverlap="1">
            <wp:simplePos x="0" y="0"/>
            <wp:positionH relativeFrom="column">
              <wp:posOffset>4445</wp:posOffset>
            </wp:positionH>
            <wp:positionV relativeFrom="paragraph">
              <wp:posOffset>71120</wp:posOffset>
            </wp:positionV>
            <wp:extent cx="462915" cy="889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462915" cy="8890"/>
                    </a:xfrm>
                    <a:prstGeom prst="rect">
                      <a:avLst/>
                    </a:prstGeom>
                    <a:noFill/>
                  </pic:spPr>
                </pic:pic>
              </a:graphicData>
            </a:graphic>
          </wp:anchor>
        </w:drawing>
      </w:r>
    </w:p>
    <w:p>
      <w:pPr>
        <w:spacing w:after="0" w:line="200" w:lineRule="exact"/>
        <w:rPr>
          <w:sz w:val="20"/>
          <w:szCs w:val="20"/>
          <w:color w:val="auto"/>
        </w:rPr>
      </w:pPr>
    </w:p>
    <w:p>
      <w:pPr>
        <w:spacing w:after="0" w:line="329" w:lineRule="exact"/>
        <w:rPr>
          <w:sz w:val="20"/>
          <w:szCs w:val="20"/>
          <w:color w:val="auto"/>
        </w:rPr>
      </w:pPr>
    </w:p>
    <w:p>
      <w:pPr>
        <w:ind w:left="473" w:hanging="466"/>
        <w:spacing w:after="0"/>
        <w:tabs>
          <w:tab w:leader="none" w:pos="473" w:val="left"/>
        </w:tabs>
        <w:numPr>
          <w:ilvl w:val="0"/>
          <w:numId w:val="32"/>
        </w:numPr>
        <w:rPr>
          <w:rFonts w:ascii="Arial" w:cs="Arial" w:eastAsia="Arial" w:hAnsi="Arial"/>
          <w:sz w:val="15"/>
          <w:szCs w:val="15"/>
          <w:color w:val="auto"/>
        </w:rPr>
      </w:pPr>
      <w:r>
        <w:rPr>
          <w:rFonts w:ascii="Arial" w:cs="Arial" w:eastAsia="Arial" w:hAnsi="Arial"/>
          <w:sz w:val="15"/>
          <w:szCs w:val="15"/>
          <w:color w:val="auto"/>
        </w:rPr>
        <w:t>164</w:t>
      </w:r>
    </w:p>
    <w:p>
      <w:pPr>
        <w:spacing w:after="0" w:line="49" w:lineRule="exact"/>
        <w:rPr>
          <w:rFonts w:ascii="Arial" w:cs="Arial" w:eastAsia="Arial" w:hAnsi="Arial"/>
          <w:sz w:val="15"/>
          <w:szCs w:val="15"/>
          <w:color w:val="auto"/>
        </w:rPr>
      </w:pPr>
    </w:p>
    <w:p>
      <w:pPr>
        <w:ind w:left="473"/>
        <w:spacing w:after="0"/>
        <w:rPr>
          <w:rFonts w:ascii="Arial" w:cs="Arial" w:eastAsia="Arial" w:hAnsi="Arial"/>
          <w:sz w:val="15"/>
          <w:szCs w:val="15"/>
          <w:color w:val="auto"/>
        </w:rPr>
      </w:pPr>
      <w:r>
        <w:rPr>
          <w:rFonts w:ascii="Arial" w:cs="Arial" w:eastAsia="Arial" w:hAnsi="Arial"/>
          <w:sz w:val="15"/>
          <w:szCs w:val="15"/>
          <w:color w:val="auto"/>
        </w:rPr>
        <w:t>518</w:t>
      </w:r>
    </w:p>
    <w:p>
      <w:pPr>
        <w:spacing w:after="0" w:line="43" w:lineRule="exact"/>
        <w:rPr>
          <w:rFonts w:ascii="Arial" w:cs="Arial" w:eastAsia="Arial" w:hAnsi="Arial"/>
          <w:sz w:val="15"/>
          <w:szCs w:val="15"/>
          <w:color w:val="auto"/>
        </w:rPr>
      </w:pPr>
    </w:p>
    <w:p>
      <w:pPr>
        <w:ind w:left="473"/>
        <w:spacing w:after="0"/>
        <w:rPr>
          <w:rFonts w:ascii="Arial" w:cs="Arial" w:eastAsia="Arial" w:hAnsi="Arial"/>
          <w:sz w:val="15"/>
          <w:szCs w:val="15"/>
          <w:color w:val="auto"/>
        </w:rPr>
      </w:pPr>
      <w:r>
        <w:rPr>
          <w:rFonts w:ascii="Arial" w:cs="Arial" w:eastAsia="Arial" w:hAnsi="Arial"/>
          <w:sz w:val="15"/>
          <w:szCs w:val="15"/>
          <w:color w:val="auto"/>
        </w:rPr>
        <w:t>250</w:t>
      </w:r>
    </w:p>
    <w:p>
      <w:pPr>
        <w:spacing w:after="0" w:line="43" w:lineRule="exact"/>
        <w:rPr>
          <w:rFonts w:ascii="Arial" w:cs="Arial" w:eastAsia="Arial" w:hAnsi="Arial"/>
          <w:sz w:val="15"/>
          <w:szCs w:val="15"/>
          <w:color w:val="auto"/>
        </w:rPr>
      </w:pPr>
    </w:p>
    <w:p>
      <w:pPr>
        <w:ind w:left="473"/>
        <w:spacing w:after="0"/>
        <w:rPr>
          <w:rFonts w:ascii="Arial" w:cs="Arial" w:eastAsia="Arial" w:hAnsi="Arial"/>
          <w:sz w:val="15"/>
          <w:szCs w:val="15"/>
          <w:color w:val="auto"/>
        </w:rPr>
      </w:pPr>
      <w:r>
        <w:rPr>
          <w:rFonts w:ascii="Arial" w:cs="Arial" w:eastAsia="Arial" w:hAnsi="Arial"/>
          <w:sz w:val="15"/>
          <w:szCs w:val="15"/>
          <w:color w:val="auto"/>
        </w:rPr>
        <w:t>163</w:t>
      </w:r>
    </w:p>
    <w:p>
      <w:pPr>
        <w:spacing w:after="0" w:line="72" w:lineRule="exact"/>
        <w:rPr>
          <w:sz w:val="20"/>
          <w:szCs w:val="20"/>
          <w:color w:val="auto"/>
        </w:rPr>
      </w:pPr>
    </w:p>
    <w:p>
      <w:pPr>
        <w:ind w:left="333" w:hanging="333"/>
        <w:spacing w:after="0"/>
        <w:tabs>
          <w:tab w:leader="none" w:pos="333" w:val="left"/>
        </w:tabs>
        <w:numPr>
          <w:ilvl w:val="0"/>
          <w:numId w:val="33"/>
        </w:numPr>
        <w:rPr>
          <w:rFonts w:ascii="Arial" w:cs="Arial" w:eastAsia="Arial" w:hAnsi="Arial"/>
          <w:sz w:val="15"/>
          <w:szCs w:val="15"/>
          <w:b w:val="1"/>
          <w:bCs w:val="1"/>
          <w:color w:val="auto"/>
        </w:rPr>
      </w:pPr>
      <w:r>
        <w:rPr>
          <w:rFonts w:ascii="Arial" w:cs="Arial" w:eastAsia="Arial" w:hAnsi="Arial"/>
          <w:sz w:val="15"/>
          <w:szCs w:val="15"/>
          <w:b w:val="1"/>
          <w:bCs w:val="1"/>
          <w:color w:val="auto"/>
        </w:rPr>
        <w:t>1,095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-108585</wp:posOffset>
            </wp:positionV>
            <wp:extent cx="462915" cy="889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462915" cy="8890"/>
                    </a:xfrm>
                    <a:prstGeom prst="rect">
                      <a:avLst/>
                    </a:prstGeom>
                    <a:noFill/>
                  </pic:spPr>
                </pic:pic>
              </a:graphicData>
            </a:graphic>
          </wp:anchor>
        </w:drawing>
        <w:drawing>
          <wp:anchor simplePos="0" relativeHeight="251657728" behindDoc="1" locked="0" layoutInCell="0" allowOverlap="1">
            <wp:simplePos x="0" y="0"/>
            <wp:positionH relativeFrom="column">
              <wp:posOffset>4445</wp:posOffset>
            </wp:positionH>
            <wp:positionV relativeFrom="paragraph">
              <wp:posOffset>53975</wp:posOffset>
            </wp:positionV>
            <wp:extent cx="462915" cy="889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462915" cy="8890"/>
                    </a:xfrm>
                    <a:prstGeom prst="rect">
                      <a:avLst/>
                    </a:prstGeom>
                    <a:noFill/>
                  </pic:spPr>
                </pic:pic>
              </a:graphicData>
            </a:graphic>
          </wp:anchor>
        </w:drawing>
        <w:drawing>
          <wp:anchor simplePos="0" relativeHeight="251657728" behindDoc="1" locked="0" layoutInCell="0" allowOverlap="1">
            <wp:simplePos x="0" y="0"/>
            <wp:positionH relativeFrom="column">
              <wp:posOffset>4445</wp:posOffset>
            </wp:positionH>
            <wp:positionV relativeFrom="paragraph">
              <wp:posOffset>71120</wp:posOffset>
            </wp:positionV>
            <wp:extent cx="462915" cy="889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462915" cy="8890"/>
                    </a:xfrm>
                    <a:prstGeom prst="rect">
                      <a:avLst/>
                    </a:prstGeom>
                    <a:noFill/>
                  </pic:spPr>
                </pic:pic>
              </a:graphicData>
            </a:graphic>
          </wp:anchor>
        </w:drawing>
      </w:r>
    </w:p>
    <w:p>
      <w:pPr>
        <w:spacing w:after="0" w:line="234" w:lineRule="exact"/>
        <w:rPr>
          <w:sz w:val="20"/>
          <w:szCs w:val="20"/>
          <w:color w:val="auto"/>
        </w:rPr>
      </w:pPr>
    </w:p>
    <w:p>
      <w:pPr>
        <w:sectPr>
          <w:pgSz w:w="11900" w:h="16838" w:orient="portrait"/>
          <w:cols w:equalWidth="0" w:num="2">
            <w:col w:w="8667" w:space="720"/>
            <w:col w:w="2033"/>
          </w:cols>
          <w:pgMar w:left="240" w:top="131" w:right="239" w:bottom="1440" w:gutter="0" w:footer="0" w:header="0"/>
          <w:type w:val="continuous"/>
        </w:sectPr>
      </w:pPr>
    </w:p>
    <w:p>
      <w:pPr>
        <w:spacing w:after="0" w:line="99" w:lineRule="exact"/>
        <w:rPr>
          <w:sz w:val="20"/>
          <w:szCs w:val="20"/>
          <w:color w:val="auto"/>
        </w:rPr>
      </w:pPr>
    </w:p>
    <w:p>
      <w:pPr>
        <w:jc w:val="both"/>
        <w:ind w:firstLine="441"/>
        <w:spacing w:after="0" w:line="259" w:lineRule="auto"/>
        <w:rPr>
          <w:sz w:val="20"/>
          <w:szCs w:val="20"/>
          <w:color w:val="auto"/>
        </w:rPr>
      </w:pPr>
      <w:r>
        <w:rPr>
          <w:rFonts w:ascii="Arial" w:cs="Arial" w:eastAsia="Arial" w:hAnsi="Arial"/>
          <w:sz w:val="18"/>
          <w:szCs w:val="18"/>
          <w:color w:val="auto"/>
        </w:rPr>
        <w:t>While the Company believes its capital resources will be sufficient to satisfy all 2010 commitments (mandatory and discretionary), if extremely negative financial circumstances arise in the future, the Company may choose to decrease certain of its discretionary expenditure commitments, which includes its construction projects and future dividends.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Outlook</w:t>
      </w:r>
    </w:p>
    <w:p>
      <w:pPr>
        <w:spacing w:after="0" w:line="231" w:lineRule="exact"/>
        <w:rPr>
          <w:sz w:val="20"/>
          <w:szCs w:val="20"/>
          <w:color w:val="auto"/>
        </w:rPr>
      </w:pPr>
    </w:p>
    <w:p>
      <w:pPr>
        <w:jc w:val="both"/>
        <w:ind w:firstLine="357"/>
        <w:spacing w:after="0" w:line="332" w:lineRule="auto"/>
        <w:rPr>
          <w:sz w:val="20"/>
          <w:szCs w:val="20"/>
          <w:color w:val="auto"/>
        </w:rPr>
      </w:pPr>
      <w:r>
        <w:rPr>
          <w:rFonts w:ascii="Arial" w:cs="Arial" w:eastAsia="Arial" w:hAnsi="Arial"/>
          <w:sz w:val="16"/>
          <w:szCs w:val="16"/>
          <w:color w:val="auto"/>
        </w:rPr>
        <w:t>The following section contains "forward-looking statements" and "forward-looking information" within the meaning of applicable securities laws. Please see "Preliminary Note — Forward-Looking Information" for a discussion of assumptions and risks relating to such statements and information.</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Gold Production Growth</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LaRonde Mine Extension</w:t>
      </w:r>
    </w:p>
    <w:p>
      <w:pPr>
        <w:spacing w:after="0" w:line="225" w:lineRule="exact"/>
        <w:rPr>
          <w:sz w:val="20"/>
          <w:szCs w:val="20"/>
          <w:color w:val="auto"/>
        </w:rPr>
      </w:pPr>
    </w:p>
    <w:p>
      <w:pPr>
        <w:jc w:val="both"/>
        <w:ind w:firstLine="365"/>
        <w:spacing w:after="0" w:line="259" w:lineRule="auto"/>
        <w:rPr>
          <w:sz w:val="20"/>
          <w:szCs w:val="20"/>
          <w:color w:val="auto"/>
        </w:rPr>
      </w:pPr>
      <w:r>
        <w:rPr>
          <w:rFonts w:ascii="Arial" w:cs="Arial" w:eastAsia="Arial" w:hAnsi="Arial"/>
          <w:sz w:val="18"/>
          <w:szCs w:val="18"/>
          <w:color w:val="auto"/>
        </w:rPr>
        <w:t>In 2010, payable gold production at the LaRonde Mine is expected to decline to approximately 180,000 ounces, as gold grades are scheduled to decline until 2011 when the deeper ore of the LaRonde Mine extension is accessed. Total cash costs per ounce at the LaRonde Mine in 2010 are expected to be approximately $220 reflecting the assumption of significantly lower zinc prices going forward.</w:t>
      </w:r>
    </w:p>
    <w:p>
      <w:pPr>
        <w:spacing w:after="0" w:line="194" w:lineRule="exact"/>
        <w:rPr>
          <w:sz w:val="20"/>
          <w:szCs w:val="20"/>
          <w:color w:val="auto"/>
        </w:rPr>
      </w:pPr>
    </w:p>
    <w:p>
      <w:pPr>
        <w:ind w:left="360"/>
        <w:spacing w:after="0"/>
        <w:rPr>
          <w:sz w:val="20"/>
          <w:szCs w:val="20"/>
          <w:color w:val="auto"/>
        </w:rPr>
      </w:pPr>
      <w:r>
        <w:rPr>
          <w:rFonts w:ascii="Arial" w:cs="Arial" w:eastAsia="Arial" w:hAnsi="Arial"/>
          <w:sz w:val="18"/>
          <w:szCs w:val="18"/>
          <w:color w:val="auto"/>
        </w:rPr>
        <w:t>Over the 2011 to 2023 period, annual average gold production is expected to be 314,000 ounces.</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type w:val="continuous"/>
        </w:sectPr>
      </w:pPr>
    </w:p>
    <w:bookmarkStart w:id="127" w:name="page128"/>
    <w:bookmarkEnd w:id="127"/>
    <w:p>
      <w:pPr>
        <w:spacing w:after="0"/>
        <w:rPr>
          <w:sz w:val="20"/>
          <w:szCs w:val="20"/>
          <w:color w:val="auto"/>
        </w:rPr>
      </w:pPr>
      <w:r>
        <w:rPr>
          <w:rFonts w:ascii="Arial" w:cs="Arial" w:eastAsia="Arial" w:hAnsi="Arial"/>
          <w:sz w:val="18"/>
          <w:szCs w:val="18"/>
          <w:i w:val="1"/>
          <w:iCs w:val="1"/>
          <w:color w:val="auto"/>
        </w:rPr>
        <w:t>Goldex Mine</w:t>
      </w:r>
    </w:p>
    <w:p>
      <w:pPr>
        <w:spacing w:after="0" w:line="225" w:lineRule="exact"/>
        <w:rPr>
          <w:sz w:val="20"/>
          <w:szCs w:val="20"/>
          <w:color w:val="auto"/>
        </w:rPr>
      </w:pPr>
    </w:p>
    <w:p>
      <w:pPr>
        <w:jc w:val="both"/>
        <w:ind w:firstLine="428"/>
        <w:spacing w:after="0" w:line="259" w:lineRule="auto"/>
        <w:rPr>
          <w:sz w:val="20"/>
          <w:szCs w:val="20"/>
          <w:color w:val="auto"/>
        </w:rPr>
      </w:pPr>
      <w:r>
        <w:rPr>
          <w:rFonts w:ascii="Arial" w:cs="Arial" w:eastAsia="Arial" w:hAnsi="Arial"/>
          <w:sz w:val="18"/>
          <w:szCs w:val="18"/>
          <w:color w:val="auto"/>
        </w:rPr>
        <w:t>The Goldex Mine is anticipated to produce approximately 164,000 ounces of gold in 2009 at estimated total cash costs per ounce of approximately $318. This compares favourably with the total cash costs per ounce incurred in 2009 and in 2008 as the mine continues to increase efficiencies since it achieved commercial production in August 2008.</w:t>
      </w:r>
    </w:p>
    <w:p>
      <w:pPr>
        <w:spacing w:after="0" w:line="194" w:lineRule="exact"/>
        <w:rPr>
          <w:sz w:val="20"/>
          <w:szCs w:val="20"/>
          <w:color w:val="auto"/>
        </w:rPr>
      </w:pPr>
    </w:p>
    <w:p>
      <w:pPr>
        <w:jc w:val="both"/>
        <w:ind w:firstLine="469"/>
        <w:spacing w:after="0" w:line="255" w:lineRule="auto"/>
        <w:rPr>
          <w:sz w:val="20"/>
          <w:szCs w:val="20"/>
          <w:color w:val="auto"/>
        </w:rPr>
      </w:pPr>
      <w:r>
        <w:rPr>
          <w:rFonts w:ascii="Arial" w:cs="Arial" w:eastAsia="Arial" w:hAnsi="Arial"/>
          <w:sz w:val="18"/>
          <w:szCs w:val="18"/>
          <w:color w:val="auto"/>
        </w:rPr>
        <w:t>In 2009, the Company completed its feasibility study of increasing the production rate from 6,900 tonnes per day to 8,000 tonnes per day with positive results. This project requires additions primarily to the crushing circuit with minor additions to the mining fleet. Installation of the permanent surface crusher is complete and the increased mining rate is expected to be realized in early 2011 as the underground mining advances enough to support the higher rate. As a result of this expansion, additional production of 20,000 ounces of gold per year is expected to start in late 2011. The expansion project has an estimated total capital cost of $10 million.</w:t>
      </w:r>
    </w:p>
    <w:p>
      <w:pPr>
        <w:spacing w:after="0" w:line="197" w:lineRule="exact"/>
        <w:rPr>
          <w:sz w:val="20"/>
          <w:szCs w:val="20"/>
          <w:color w:val="auto"/>
        </w:rPr>
      </w:pPr>
    </w:p>
    <w:p>
      <w:pPr>
        <w:jc w:val="both"/>
        <w:ind w:firstLine="440"/>
        <w:spacing w:after="0" w:line="332" w:lineRule="auto"/>
        <w:rPr>
          <w:sz w:val="20"/>
          <w:szCs w:val="20"/>
          <w:color w:val="auto"/>
        </w:rPr>
      </w:pPr>
      <w:r>
        <w:rPr>
          <w:rFonts w:ascii="Arial" w:cs="Arial" w:eastAsia="Arial" w:hAnsi="Arial"/>
          <w:sz w:val="16"/>
          <w:szCs w:val="16"/>
          <w:color w:val="auto"/>
        </w:rPr>
        <w:t>Over the period of 2010 through 2017, annual average gold production of approximately 160,000 ounces is expected. During 2010, exploration activities will focus on resource to reserve conversion and mineralization to the west, east and at depth of the current resource envelope.</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Kittila Mine</w:t>
      </w:r>
    </w:p>
    <w:p>
      <w:pPr>
        <w:spacing w:after="0" w:line="225" w:lineRule="exact"/>
        <w:rPr>
          <w:sz w:val="20"/>
          <w:szCs w:val="20"/>
          <w:color w:val="auto"/>
        </w:rPr>
      </w:pPr>
    </w:p>
    <w:p>
      <w:pPr>
        <w:ind w:left="420"/>
        <w:spacing w:after="0"/>
        <w:rPr>
          <w:sz w:val="20"/>
          <w:szCs w:val="20"/>
          <w:color w:val="auto"/>
        </w:rPr>
      </w:pPr>
      <w:r>
        <w:rPr>
          <w:rFonts w:ascii="Arial" w:cs="Arial" w:eastAsia="Arial" w:hAnsi="Arial"/>
          <w:sz w:val="16"/>
          <w:szCs w:val="16"/>
          <w:color w:val="auto"/>
        </w:rPr>
        <w:t>The Kittila Mine will have its first full year of commercial production in 2010. The mine is expected to produce approximately 147,100 ounces of gold in</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2010 at estimated total cash costs per ounce of approximately $502. Over the period of 2010 to 2023, annual average gold production of approximately</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150,000 ounces is expected.</w:t>
      </w:r>
    </w:p>
    <w:p>
      <w:pPr>
        <w:spacing w:after="0" w:line="219" w:lineRule="exact"/>
        <w:rPr>
          <w:sz w:val="20"/>
          <w:szCs w:val="20"/>
          <w:color w:val="auto"/>
        </w:rPr>
      </w:pPr>
    </w:p>
    <w:p>
      <w:pPr>
        <w:jc w:val="both"/>
        <w:ind w:firstLine="460"/>
        <w:spacing w:after="0" w:line="256" w:lineRule="auto"/>
        <w:rPr>
          <w:sz w:val="20"/>
          <w:szCs w:val="20"/>
          <w:color w:val="auto"/>
        </w:rPr>
      </w:pPr>
      <w:r>
        <w:rPr>
          <w:rFonts w:ascii="Arial" w:cs="Arial" w:eastAsia="Arial" w:hAnsi="Arial"/>
          <w:sz w:val="18"/>
          <w:szCs w:val="18"/>
          <w:color w:val="auto"/>
        </w:rPr>
        <w:t>The 2010 exploration program will continue to focus on resource to reserve conversion, expanding resources below Suuri and Roura sections and along strike. The orebody remains open at depth and along strike and new gold zones have been identified to the north of the current Kittila Mine reserves. In addition, due to the increase in gold reserves at the Kittila Mine over the past few years, the Company is continuing to examine options to significantly increase the Kittila production rate up to 300,000 ounces of gold per year.</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Lapa Mine</w:t>
      </w:r>
    </w:p>
    <w:p>
      <w:pPr>
        <w:spacing w:after="0" w:line="225" w:lineRule="exact"/>
        <w:rPr>
          <w:sz w:val="20"/>
          <w:szCs w:val="20"/>
          <w:color w:val="auto"/>
        </w:rPr>
      </w:pPr>
    </w:p>
    <w:p>
      <w:pPr>
        <w:jc w:val="both"/>
        <w:ind w:firstLine="513"/>
        <w:spacing w:after="0" w:line="256" w:lineRule="auto"/>
        <w:rPr>
          <w:sz w:val="20"/>
          <w:szCs w:val="20"/>
          <w:color w:val="auto"/>
        </w:rPr>
      </w:pPr>
      <w:r>
        <w:rPr>
          <w:rFonts w:ascii="Arial" w:cs="Arial" w:eastAsia="Arial" w:hAnsi="Arial"/>
          <w:sz w:val="18"/>
          <w:szCs w:val="18"/>
          <w:color w:val="auto"/>
        </w:rPr>
        <w:t>The Lapa Mine achieved commercial production in May 2009 and will have its first full year of production in 2010. Gold production during 2010 is expected to be approximately 115,000 ounces at estimated total cash costs per ounce of approximately $506. Over the period of 2010 to 2015, annual average gold production of approximately 150,000 ounces is expected. In 2010, exploration activities are expected to focus on resource to reserve conversion with focus at depth and east of the orebody.</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Pinos Altos Mine</w:t>
      </w:r>
    </w:p>
    <w:p>
      <w:pPr>
        <w:spacing w:after="0" w:line="225" w:lineRule="exact"/>
        <w:rPr>
          <w:sz w:val="20"/>
          <w:szCs w:val="20"/>
          <w:color w:val="auto"/>
        </w:rPr>
      </w:pPr>
    </w:p>
    <w:p>
      <w:pPr>
        <w:jc w:val="both"/>
        <w:ind w:firstLine="371"/>
        <w:spacing w:after="0" w:line="306" w:lineRule="auto"/>
        <w:rPr>
          <w:sz w:val="20"/>
          <w:szCs w:val="20"/>
          <w:color w:val="auto"/>
        </w:rPr>
      </w:pPr>
      <w:r>
        <w:rPr>
          <w:rFonts w:ascii="Arial" w:cs="Arial" w:eastAsia="Arial" w:hAnsi="Arial"/>
          <w:sz w:val="16"/>
          <w:szCs w:val="16"/>
          <w:color w:val="auto"/>
        </w:rPr>
        <w:t>The Pinos Altos Mine achieved commercial production in November 2009 and will have its first full year of production in 2010. Gold production in 2010 is expected to be approximately 150,000 ounces at estimated total cash costs per ounce of approximately $401. Over the period of 2010 to 2028, the mine (including production from the Creston Mascota deposit) is expected to produce an average of 170,000 ounces of gold per year.</w:t>
      </w:r>
    </w:p>
    <w:p>
      <w:pPr>
        <w:spacing w:after="0" w:line="161" w:lineRule="exact"/>
        <w:rPr>
          <w:sz w:val="20"/>
          <w:szCs w:val="20"/>
          <w:color w:val="auto"/>
        </w:rPr>
      </w:pPr>
    </w:p>
    <w:p>
      <w:pPr>
        <w:ind w:left="460"/>
        <w:spacing w:after="0"/>
        <w:rPr>
          <w:sz w:val="20"/>
          <w:szCs w:val="20"/>
          <w:color w:val="auto"/>
        </w:rPr>
      </w:pPr>
      <w:r>
        <w:rPr>
          <w:rFonts w:ascii="Arial" w:cs="Arial" w:eastAsia="Arial" w:hAnsi="Arial"/>
          <w:sz w:val="16"/>
          <w:szCs w:val="16"/>
          <w:color w:val="auto"/>
        </w:rPr>
        <w:t>Site clearing, basic engineering and early construction activities commenced at the Creston Mascota deposit in 2009 and will continue throughout 2010.</w:t>
      </w:r>
    </w:p>
    <w:p>
      <w:pPr>
        <w:spacing w:after="0" w:line="38" w:lineRule="exact"/>
        <w:rPr>
          <w:sz w:val="20"/>
          <w:szCs w:val="20"/>
          <w:color w:val="auto"/>
        </w:rPr>
      </w:pPr>
    </w:p>
    <w:p>
      <w:pPr>
        <w:spacing w:after="0"/>
        <w:rPr>
          <w:sz w:val="20"/>
          <w:szCs w:val="20"/>
          <w:color w:val="auto"/>
        </w:rPr>
      </w:pPr>
      <w:r>
        <w:rPr>
          <w:rFonts w:ascii="Arial" w:cs="Arial" w:eastAsia="Arial" w:hAnsi="Arial"/>
          <w:sz w:val="18"/>
          <w:szCs w:val="18"/>
          <w:color w:val="auto"/>
        </w:rPr>
        <w:t>Commercial production from Creston Mascota deposit is expected to be achieved in the first quarter of 2011.</w:t>
      </w:r>
    </w:p>
    <w:p>
      <w:pPr>
        <w:spacing w:after="0" w:line="219" w:lineRule="exact"/>
        <w:rPr>
          <w:sz w:val="20"/>
          <w:szCs w:val="20"/>
          <w:color w:val="auto"/>
        </w:rPr>
      </w:pPr>
    </w:p>
    <w:p>
      <w:pPr>
        <w:jc w:val="both"/>
        <w:ind w:firstLine="452"/>
        <w:spacing w:after="0" w:line="268" w:lineRule="auto"/>
        <w:rPr>
          <w:sz w:val="20"/>
          <w:szCs w:val="20"/>
          <w:color w:val="auto"/>
        </w:rPr>
      </w:pPr>
      <w:r>
        <w:rPr>
          <w:rFonts w:ascii="Arial" w:cs="Arial" w:eastAsia="Arial" w:hAnsi="Arial"/>
          <w:sz w:val="18"/>
          <w:szCs w:val="18"/>
          <w:color w:val="auto"/>
        </w:rPr>
        <w:t>In 2010, studies are anticipated regarding the development of several other satellite deposits on the Pinos Altos concession package including the Sinter, Cubiro and San Eligio zones. Exploration activities in 2010 will focus on conversion of current gold resources to reserves.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Meadowbank Mine</w:t>
      </w:r>
    </w:p>
    <w:p>
      <w:pPr>
        <w:spacing w:after="0" w:line="225" w:lineRule="exact"/>
        <w:rPr>
          <w:sz w:val="20"/>
          <w:szCs w:val="20"/>
          <w:color w:val="auto"/>
        </w:rPr>
      </w:pPr>
    </w:p>
    <w:p>
      <w:pPr>
        <w:jc w:val="both"/>
        <w:ind w:firstLine="394"/>
        <w:spacing w:after="0" w:line="259" w:lineRule="auto"/>
        <w:rPr>
          <w:sz w:val="20"/>
          <w:szCs w:val="20"/>
          <w:color w:val="auto"/>
        </w:rPr>
      </w:pPr>
      <w:r>
        <w:rPr>
          <w:rFonts w:ascii="Arial" w:cs="Arial" w:eastAsia="Arial" w:hAnsi="Arial"/>
          <w:sz w:val="18"/>
          <w:szCs w:val="18"/>
          <w:color w:val="auto"/>
        </w:rPr>
        <w:t>Construction at the Meadowbank Mine continued through the first few months of 2010 with commercial production anticipated in the first quarter of 2010. Gold production in 2010 is expected to be approximately 300,000 ounces at estimated total cash costs per ounce of approximately $460. The mine is expected to produce</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28" w:name="page129"/>
    <w:bookmarkEnd w:id="128"/>
    <w:p>
      <w:pPr>
        <w:jc w:val="both"/>
        <w:spacing w:after="0" w:line="268" w:lineRule="auto"/>
        <w:rPr>
          <w:sz w:val="20"/>
          <w:szCs w:val="20"/>
          <w:color w:val="auto"/>
        </w:rPr>
      </w:pPr>
      <w:r>
        <w:rPr>
          <w:rFonts w:ascii="Arial" w:cs="Arial" w:eastAsia="Arial" w:hAnsi="Arial"/>
          <w:sz w:val="18"/>
          <w:szCs w:val="18"/>
          <w:color w:val="auto"/>
        </w:rPr>
        <w:t>an average of 350,000 ounces of gold per year from 2010 to 2018. The 2010 production forecast includes a contingency for an extended commissioning period of three months.</w:t>
      </w:r>
    </w:p>
    <w:p>
      <w:pPr>
        <w:spacing w:after="0" w:line="186" w:lineRule="exact"/>
        <w:rPr>
          <w:sz w:val="20"/>
          <w:szCs w:val="20"/>
          <w:color w:val="auto"/>
        </w:rPr>
      </w:pPr>
    </w:p>
    <w:p>
      <w:pPr>
        <w:jc w:val="both"/>
        <w:ind w:firstLine="383"/>
        <w:spacing w:after="0" w:line="259" w:lineRule="auto"/>
        <w:rPr>
          <w:sz w:val="20"/>
          <w:szCs w:val="20"/>
          <w:color w:val="auto"/>
        </w:rPr>
      </w:pPr>
      <w:r>
        <w:rPr>
          <w:rFonts w:ascii="Arial" w:cs="Arial" w:eastAsia="Arial" w:hAnsi="Arial"/>
          <w:sz w:val="18"/>
          <w:szCs w:val="18"/>
          <w:color w:val="auto"/>
        </w:rPr>
        <w:t>A scoping study was initiated in 2008 to assess the feasibility of increasing of the proposed production rate from 8,500 tonnes per day to 10,000 tonnes per day. Results of the study are expected in 2010. In addition, the exploration program in 2010 will continue to focus on resource to reserve conversion and expansion of resources and reserves at the Vault, Goose South and Portage deposits.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Growth Summary</w:t>
      </w:r>
    </w:p>
    <w:p>
      <w:pPr>
        <w:spacing w:after="0" w:line="225" w:lineRule="exact"/>
        <w:rPr>
          <w:sz w:val="20"/>
          <w:szCs w:val="20"/>
          <w:color w:val="auto"/>
        </w:rPr>
      </w:pPr>
    </w:p>
    <w:p>
      <w:pPr>
        <w:jc w:val="both"/>
        <w:ind w:firstLine="423"/>
        <w:spacing w:after="0" w:line="290" w:lineRule="auto"/>
        <w:rPr>
          <w:sz w:val="20"/>
          <w:szCs w:val="20"/>
          <w:color w:val="auto"/>
        </w:rPr>
      </w:pPr>
      <w:r>
        <w:rPr>
          <w:rFonts w:ascii="Arial" w:cs="Arial" w:eastAsia="Arial" w:hAnsi="Arial"/>
          <w:sz w:val="16"/>
          <w:szCs w:val="16"/>
          <w:color w:val="auto"/>
        </w:rPr>
        <w:t>With the achievement of commercial production of the Goldex Mine in 2008 and the Kittila Mine, the Lapa Mine and the Pinos Altos Mine all achieving commercial production in 2009, the Company believes it is delivering on its vision and growth strategy. In 2009, gold production increased significantly by 78% from 2008 levels to 492,972 ounces and in 2010 the Company is anticipating total gold production to more then double to approximately 1.1 million ounces. Based on exploration results to date and planned exploration programs in 2010, the Company believes it is well positioned to potentially have several five million ounce gold deposits. The Company's goal is to increase gold reserves from its existing portfolio of mines and development projects, reaching 20 million to 21 million ounces by year-end 2010. Further internal growth opportunities are expected to add to production post-2010. In summary, the Company anticipates that the main contributors to the targeted increase in gold reserves, and increases to gold resources, are likely to be:</w:t>
      </w:r>
    </w:p>
    <w:p>
      <w:pPr>
        <w:spacing w:after="0" w:line="186" w:lineRule="exact"/>
        <w:rPr>
          <w:sz w:val="20"/>
          <w:szCs w:val="20"/>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Continued conversion of Agnico-Eagle's current gold resources to reserves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Depth extension of the main Suuri and Roura zones at Kittila</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New gold zones to the north of the Kittila reserves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Extension at depth and along strike at Goose Island and Goose South at Meadowbank</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Extensions at depth at Santo Nino, and the Sinter, Cubiro and San Eligio zones at Pinos Altos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Financial Outlook</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Mining Revenue and Production Costs</w:t>
      </w:r>
    </w:p>
    <w:p>
      <w:pPr>
        <w:spacing w:after="0" w:line="225" w:lineRule="exact"/>
        <w:rPr>
          <w:sz w:val="20"/>
          <w:szCs w:val="20"/>
          <w:color w:val="auto"/>
        </w:rPr>
      </w:pPr>
    </w:p>
    <w:p>
      <w:pPr>
        <w:jc w:val="both"/>
        <w:ind w:firstLine="376"/>
        <w:spacing w:after="0" w:line="298" w:lineRule="auto"/>
        <w:rPr>
          <w:sz w:val="20"/>
          <w:szCs w:val="20"/>
          <w:color w:val="auto"/>
        </w:rPr>
      </w:pPr>
      <w:r>
        <w:rPr>
          <w:rFonts w:ascii="Arial" w:cs="Arial" w:eastAsia="Arial" w:hAnsi="Arial"/>
          <w:sz w:val="16"/>
          <w:szCs w:val="16"/>
          <w:color w:val="auto"/>
        </w:rPr>
        <w:t>In 2010, the Company expects to continue to generate strong cash flow as production volumes will increase significantly due to relatively steady production at the LaRonde and Goldex Mines, the Kittila, Pinos Altos and the Lapa Mines ramping up to designed capacity and the Meadowbank Mine achieving commercial production. Metal prices will have a large impact on financial results and, although the Company cannot predict the prices that will be realized in 2010, gold prices in early 2010 (to March 22, 2010) have remained strong. On March 22, 2010, the gold spot price closed at $1,097.25 per ounce.</w:t>
      </w:r>
    </w:p>
    <w:p>
      <w:pPr>
        <w:spacing w:after="0" w:line="167" w:lineRule="exact"/>
        <w:rPr>
          <w:sz w:val="20"/>
          <w:szCs w:val="20"/>
          <w:color w:val="auto"/>
        </w:rPr>
      </w:pPr>
    </w:p>
    <w:p>
      <w:pPr>
        <w:ind w:left="360"/>
        <w:spacing w:after="0"/>
        <w:rPr>
          <w:sz w:val="20"/>
          <w:szCs w:val="20"/>
          <w:color w:val="auto"/>
        </w:rPr>
      </w:pPr>
      <w:r>
        <w:rPr>
          <w:rFonts w:ascii="Arial" w:cs="Arial" w:eastAsia="Arial" w:hAnsi="Arial"/>
          <w:sz w:val="18"/>
          <w:szCs w:val="18"/>
          <w:color w:val="auto"/>
        </w:rPr>
        <w:t>In addition, the Meadowbank Mine is expected to achieve commercial production in the first quarter of 2010.</w:t>
      </w:r>
    </w:p>
    <w:p>
      <w:pPr>
        <w:spacing w:after="0" w:line="225"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table below sets out actual production for 2009 and estimated production in 2010.</w:t>
      </w:r>
    </w:p>
    <w:p>
      <w:pPr>
        <w:spacing w:after="0" w:line="275"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6960" w:type="dxa"/>
            <w:vAlign w:val="bottom"/>
          </w:tcPr>
          <w:p>
            <w:pPr>
              <w:spacing w:after="0"/>
              <w:rPr>
                <w:sz w:val="14"/>
                <w:szCs w:val="14"/>
                <w:color w:val="auto"/>
              </w:rPr>
            </w:pPr>
          </w:p>
        </w:tc>
        <w:tc>
          <w:tcPr>
            <w:tcW w:w="1000" w:type="dxa"/>
            <w:vAlign w:val="bottom"/>
            <w:tcBorders>
              <w:bottom w:val="single" w:sz="8" w:color="auto"/>
            </w:tcBorders>
          </w:tcPr>
          <w:p>
            <w:pPr>
              <w:jc w:val="right"/>
              <w:ind w:right="16"/>
              <w:spacing w:after="0"/>
              <w:rPr>
                <w:sz w:val="20"/>
                <w:szCs w:val="20"/>
                <w:color w:val="auto"/>
              </w:rPr>
            </w:pPr>
            <w:r>
              <w:rPr>
                <w:rFonts w:ascii="Arial" w:cs="Arial" w:eastAsia="Arial" w:hAnsi="Arial"/>
                <w:sz w:val="14"/>
                <w:szCs w:val="14"/>
                <w:b w:val="1"/>
                <w:bCs w:val="1"/>
                <w:color w:val="auto"/>
                <w:w w:val="94"/>
              </w:rPr>
              <w:t>2010 Estimate</w:t>
            </w:r>
          </w:p>
        </w:tc>
        <w:tc>
          <w:tcPr>
            <w:tcW w:w="160" w:type="dxa"/>
            <w:vAlign w:val="bottom"/>
          </w:tcPr>
          <w:p>
            <w:pPr>
              <w:spacing w:after="0"/>
              <w:rPr>
                <w:sz w:val="14"/>
                <w:szCs w:val="14"/>
                <w:color w:val="auto"/>
              </w:rPr>
            </w:pPr>
          </w:p>
        </w:tc>
        <w:tc>
          <w:tcPr>
            <w:tcW w:w="840" w:type="dxa"/>
            <w:vAlign w:val="bottom"/>
            <w:tcBorders>
              <w:bottom w:val="single" w:sz="8" w:color="auto"/>
            </w:tcBorders>
          </w:tcPr>
          <w:p>
            <w:pPr>
              <w:jc w:val="right"/>
              <w:ind w:right="12"/>
              <w:spacing w:after="0"/>
              <w:rPr>
                <w:sz w:val="20"/>
                <w:szCs w:val="20"/>
                <w:color w:val="auto"/>
              </w:rPr>
            </w:pPr>
            <w:r>
              <w:rPr>
                <w:rFonts w:ascii="Arial" w:cs="Arial" w:eastAsia="Arial" w:hAnsi="Arial"/>
                <w:sz w:val="14"/>
                <w:szCs w:val="14"/>
                <w:b w:val="1"/>
                <w:bCs w:val="1"/>
                <w:color w:val="auto"/>
                <w:w w:val="95"/>
              </w:rPr>
              <w:t>2009 Actual</w:t>
            </w:r>
          </w:p>
        </w:tc>
        <w:tc>
          <w:tcPr>
            <w:tcW w:w="160" w:type="dxa"/>
            <w:vAlign w:val="bottom"/>
          </w:tcPr>
          <w:p>
            <w:pPr>
              <w:spacing w:after="0"/>
              <w:rPr>
                <w:sz w:val="14"/>
                <w:szCs w:val="14"/>
                <w:color w:val="auto"/>
              </w:rPr>
            </w:pPr>
          </w:p>
        </w:tc>
      </w:tr>
      <w:tr>
        <w:trPr>
          <w:trHeight w:val="210"/>
        </w:trPr>
        <w:tc>
          <w:tcPr>
            <w:tcW w:w="20" w:type="dxa"/>
            <w:vAlign w:val="bottom"/>
          </w:tcPr>
          <w:p>
            <w:pPr>
              <w:spacing w:after="0"/>
              <w:rPr>
                <w:sz w:val="18"/>
                <w:szCs w:val="18"/>
                <w:color w:val="auto"/>
              </w:rPr>
            </w:pPr>
          </w:p>
        </w:tc>
        <w:tc>
          <w:tcPr>
            <w:tcW w:w="6960" w:type="dxa"/>
            <w:vAlign w:val="bottom"/>
            <w:shd w:val="clear" w:color="auto" w:fill="CCEEFF"/>
          </w:tcPr>
          <w:p>
            <w:pPr>
              <w:spacing w:after="0"/>
              <w:rPr>
                <w:sz w:val="20"/>
                <w:szCs w:val="20"/>
                <w:color w:val="auto"/>
              </w:rPr>
            </w:pPr>
            <w:r>
              <w:rPr>
                <w:rFonts w:ascii="Arial" w:cs="Arial" w:eastAsia="Arial" w:hAnsi="Arial"/>
                <w:sz w:val="18"/>
                <w:szCs w:val="18"/>
                <w:color w:val="auto"/>
              </w:rPr>
              <w:t>Gold (ounces)</w:t>
            </w:r>
          </w:p>
        </w:tc>
        <w:tc>
          <w:tcPr>
            <w:tcW w:w="10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1,057,200</w:t>
            </w:r>
          </w:p>
        </w:tc>
        <w:tc>
          <w:tcPr>
            <w:tcW w:w="10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492,972</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6960" w:type="dxa"/>
            <w:vAlign w:val="bottom"/>
          </w:tcPr>
          <w:p>
            <w:pPr>
              <w:spacing w:after="0"/>
              <w:rPr>
                <w:sz w:val="20"/>
                <w:szCs w:val="20"/>
                <w:color w:val="auto"/>
              </w:rPr>
            </w:pPr>
            <w:r>
              <w:rPr>
                <w:rFonts w:ascii="Arial" w:cs="Arial" w:eastAsia="Arial" w:hAnsi="Arial"/>
                <w:sz w:val="18"/>
                <w:szCs w:val="18"/>
                <w:color w:val="auto"/>
              </w:rPr>
              <w:t>Silver (000s ounces)</w:t>
            </w:r>
          </w:p>
        </w:tc>
        <w:tc>
          <w:tcPr>
            <w:tcW w:w="1000" w:type="dxa"/>
            <w:vAlign w:val="bottom"/>
          </w:tcPr>
          <w:p>
            <w:pPr>
              <w:jc w:val="right"/>
              <w:spacing w:after="0"/>
              <w:rPr>
                <w:sz w:val="20"/>
                <w:szCs w:val="20"/>
                <w:color w:val="auto"/>
              </w:rPr>
            </w:pPr>
            <w:r>
              <w:rPr>
                <w:rFonts w:ascii="Arial" w:cs="Arial" w:eastAsia="Arial" w:hAnsi="Arial"/>
                <w:sz w:val="18"/>
                <w:szCs w:val="18"/>
                <w:color w:val="auto"/>
              </w:rPr>
              <w:t>5,342</w:t>
            </w:r>
          </w:p>
        </w:tc>
        <w:tc>
          <w:tcPr>
            <w:tcW w:w="1000" w:type="dxa"/>
            <w:vAlign w:val="bottom"/>
            <w:gridSpan w:val="2"/>
          </w:tcPr>
          <w:p>
            <w:pPr>
              <w:jc w:val="right"/>
              <w:spacing w:after="0"/>
              <w:rPr>
                <w:sz w:val="20"/>
                <w:szCs w:val="20"/>
                <w:color w:val="auto"/>
              </w:rPr>
            </w:pPr>
            <w:r>
              <w:rPr>
                <w:rFonts w:ascii="Arial" w:cs="Arial" w:eastAsia="Arial" w:hAnsi="Arial"/>
                <w:sz w:val="18"/>
                <w:szCs w:val="18"/>
                <w:color w:val="auto"/>
              </w:rPr>
              <w:t>4,035</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6960" w:type="dxa"/>
            <w:vAlign w:val="bottom"/>
            <w:shd w:val="clear" w:color="auto" w:fill="CCEEFF"/>
          </w:tcPr>
          <w:p>
            <w:pPr>
              <w:spacing w:after="0"/>
              <w:rPr>
                <w:sz w:val="20"/>
                <w:szCs w:val="20"/>
                <w:color w:val="auto"/>
              </w:rPr>
            </w:pPr>
            <w:r>
              <w:rPr>
                <w:rFonts w:ascii="Arial" w:cs="Arial" w:eastAsia="Arial" w:hAnsi="Arial"/>
                <w:sz w:val="18"/>
                <w:szCs w:val="18"/>
                <w:color w:val="auto"/>
              </w:rPr>
              <w:t>Zinc (tonnes)</w:t>
            </w:r>
          </w:p>
        </w:tc>
        <w:tc>
          <w:tcPr>
            <w:tcW w:w="10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67,133</w:t>
            </w:r>
          </w:p>
        </w:tc>
        <w:tc>
          <w:tcPr>
            <w:tcW w:w="10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56,186</w:t>
            </w:r>
          </w:p>
        </w:tc>
        <w:tc>
          <w:tcPr>
            <w:tcW w:w="160" w:type="dxa"/>
            <w:vAlign w:val="bottom"/>
            <w:shd w:val="clear" w:color="auto" w:fill="CCEEFF"/>
          </w:tcPr>
          <w:p>
            <w:pPr>
              <w:spacing w:after="0"/>
              <w:rPr>
                <w:sz w:val="18"/>
                <w:szCs w:val="18"/>
                <w:color w:val="auto"/>
              </w:rPr>
            </w:pPr>
          </w:p>
        </w:tc>
      </w:tr>
      <w:tr>
        <w:trPr>
          <w:trHeight w:val="222"/>
        </w:trPr>
        <w:tc>
          <w:tcPr>
            <w:tcW w:w="20" w:type="dxa"/>
            <w:vAlign w:val="bottom"/>
          </w:tcPr>
          <w:p>
            <w:pPr>
              <w:spacing w:after="0"/>
              <w:rPr>
                <w:sz w:val="19"/>
                <w:szCs w:val="19"/>
                <w:color w:val="auto"/>
              </w:rPr>
            </w:pPr>
          </w:p>
        </w:tc>
        <w:tc>
          <w:tcPr>
            <w:tcW w:w="6960" w:type="dxa"/>
            <w:vAlign w:val="bottom"/>
          </w:tcPr>
          <w:p>
            <w:pPr>
              <w:spacing w:after="0"/>
              <w:rPr>
                <w:sz w:val="20"/>
                <w:szCs w:val="20"/>
                <w:color w:val="auto"/>
              </w:rPr>
            </w:pPr>
            <w:r>
              <w:rPr>
                <w:rFonts w:ascii="Arial" w:cs="Arial" w:eastAsia="Arial" w:hAnsi="Arial"/>
                <w:sz w:val="18"/>
                <w:szCs w:val="18"/>
                <w:color w:val="auto"/>
              </w:rPr>
              <w:t>Copper (tonnes)</w:t>
            </w:r>
          </w:p>
        </w:tc>
        <w:tc>
          <w:tcPr>
            <w:tcW w:w="1000" w:type="dxa"/>
            <w:vAlign w:val="bottom"/>
          </w:tcPr>
          <w:p>
            <w:pPr>
              <w:jc w:val="right"/>
              <w:spacing w:after="0"/>
              <w:rPr>
                <w:sz w:val="20"/>
                <w:szCs w:val="20"/>
                <w:color w:val="auto"/>
              </w:rPr>
            </w:pPr>
            <w:r>
              <w:rPr>
                <w:rFonts w:ascii="Arial" w:cs="Arial" w:eastAsia="Arial" w:hAnsi="Arial"/>
                <w:sz w:val="18"/>
                <w:szCs w:val="18"/>
                <w:color w:val="auto"/>
              </w:rPr>
              <w:t>5,056</w:t>
            </w:r>
          </w:p>
        </w:tc>
        <w:tc>
          <w:tcPr>
            <w:tcW w:w="1000" w:type="dxa"/>
            <w:vAlign w:val="bottom"/>
            <w:gridSpan w:val="2"/>
          </w:tcPr>
          <w:p>
            <w:pPr>
              <w:jc w:val="right"/>
              <w:spacing w:after="0"/>
              <w:rPr>
                <w:sz w:val="20"/>
                <w:szCs w:val="20"/>
                <w:color w:val="auto"/>
              </w:rPr>
            </w:pPr>
            <w:r>
              <w:rPr>
                <w:rFonts w:ascii="Arial" w:cs="Arial" w:eastAsia="Arial" w:hAnsi="Arial"/>
                <w:sz w:val="18"/>
                <w:szCs w:val="18"/>
                <w:color w:val="auto"/>
              </w:rPr>
              <w:t>6,671</w:t>
            </w:r>
          </w:p>
        </w:tc>
        <w:tc>
          <w:tcPr>
            <w:tcW w:w="160" w:type="dxa"/>
            <w:vAlign w:val="bottom"/>
          </w:tcPr>
          <w:p>
            <w:pPr>
              <w:spacing w:after="0"/>
              <w:rPr>
                <w:sz w:val="19"/>
                <w:szCs w:val="19"/>
                <w:color w:val="auto"/>
              </w:rPr>
            </w:pPr>
          </w:p>
        </w:tc>
      </w:tr>
    </w:tbl>
    <w:p>
      <w:pPr>
        <w:spacing w:after="0" w:line="201" w:lineRule="exact"/>
        <w:rPr>
          <w:sz w:val="20"/>
          <w:szCs w:val="20"/>
          <w:color w:val="auto"/>
        </w:rPr>
      </w:pPr>
    </w:p>
    <w:p>
      <w:pPr>
        <w:jc w:val="both"/>
        <w:ind w:firstLine="462"/>
        <w:spacing w:after="0" w:line="298" w:lineRule="auto"/>
        <w:rPr>
          <w:sz w:val="20"/>
          <w:szCs w:val="20"/>
          <w:color w:val="auto"/>
        </w:rPr>
      </w:pPr>
      <w:r>
        <w:rPr>
          <w:rFonts w:ascii="Arial" w:cs="Arial" w:eastAsia="Arial" w:hAnsi="Arial"/>
          <w:sz w:val="16"/>
          <w:szCs w:val="16"/>
          <w:color w:val="auto"/>
        </w:rPr>
        <w:t>For 2010, the Company is expecting total cash costs per ounce at the LaRonde Mine to be $220 compared to $103 in 2009. Net silver, zinc and copper revenue is treated as a reduction of production costs in arriving at estimates of total cash costs per ounce, and therefore production and price assumptions for these metals play an important role in these estimates for the LaRonde Mine due to its large byproduct production. An increase in byproduct metal prices above forecast levels would result in improved cash costs for the LaRonde Mine. In addition, the Pinos Altos Mine contains significant byproduct silver.</w:t>
      </w:r>
    </w:p>
    <w:p>
      <w:pPr>
        <w:spacing w:after="0" w:line="1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29" w:name="page130"/>
    <w:bookmarkEnd w:id="129"/>
    <w:p>
      <w:pPr>
        <w:jc w:val="both"/>
        <w:ind w:firstLine="440"/>
        <w:spacing w:after="0" w:line="294" w:lineRule="auto"/>
        <w:rPr>
          <w:sz w:val="20"/>
          <w:szCs w:val="20"/>
          <w:color w:val="auto"/>
        </w:rPr>
      </w:pPr>
      <w:r>
        <w:rPr>
          <w:rFonts w:ascii="Arial" w:cs="Arial" w:eastAsia="Arial" w:hAnsi="Arial"/>
          <w:sz w:val="16"/>
          <w:szCs w:val="16"/>
          <w:color w:val="auto"/>
        </w:rPr>
        <w:t>Total cash costs per ounce at the Goldex Mine, Kittila Mine, Lapa Mine, Pinos Altos Mine and the Meadowbank Mine in 2010 are expected to be $318, $502, $506, $401 and $460 respectively. As production costs at the LaRonde Mine, Goldex Mine, Lapa Mine and Meadowbank Mine are or will be denominated mostly in Canadian dollars, the production costs at Kittila Mine are denominated mostly in Euros and the production costs at the Pinos Altos Mine are denominated mostly in Mexican pesos, the Canadian dollar/US dollar, Euro/US dollar and Mexican peso/US dollar exchange rates also affect the estimates. The foreign exchange rates have been trending favorably for the Company as the US dollar has appreciated relative to these currencies since late 2009.</w:t>
      </w:r>
    </w:p>
    <w:p>
      <w:pPr>
        <w:spacing w:after="0" w:line="170" w:lineRule="exact"/>
        <w:rPr>
          <w:sz w:val="20"/>
          <w:szCs w:val="20"/>
          <w:color w:val="auto"/>
        </w:rPr>
      </w:pPr>
    </w:p>
    <w:p>
      <w:pPr>
        <w:jc w:val="both"/>
        <w:ind w:firstLine="473"/>
        <w:spacing w:after="0" w:line="259" w:lineRule="auto"/>
        <w:rPr>
          <w:sz w:val="20"/>
          <w:szCs w:val="20"/>
          <w:color w:val="auto"/>
        </w:rPr>
      </w:pPr>
      <w:r>
        <w:rPr>
          <w:rFonts w:ascii="Arial" w:cs="Arial" w:eastAsia="Arial" w:hAnsi="Arial"/>
          <w:sz w:val="18"/>
          <w:szCs w:val="18"/>
          <w:color w:val="auto"/>
        </w:rPr>
        <w:t>The table below sets out the metal price assumptions and exchange rate assumptions used in deriving the estimated total cash costs per ounce for 2010 (production estimates for each metal are shown in the table above) as well as the market average closing prices for each variable for the period of January 1 to March 22, 2010.</w:t>
      </w:r>
    </w:p>
    <w:p>
      <w:pPr>
        <w:spacing w:after="0" w:line="177"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4440" w:type="dxa"/>
            <w:vAlign w:val="bottom"/>
          </w:tcPr>
          <w:p>
            <w:pPr>
              <w:spacing w:after="0"/>
              <w:rPr>
                <w:sz w:val="14"/>
                <w:szCs w:val="14"/>
                <w:color w:val="auto"/>
              </w:rPr>
            </w:pPr>
          </w:p>
        </w:tc>
        <w:tc>
          <w:tcPr>
            <w:tcW w:w="27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80" w:type="dxa"/>
            <w:vAlign w:val="bottom"/>
          </w:tcPr>
          <w:p>
            <w:pPr>
              <w:jc w:val="right"/>
              <w:ind w:right="76"/>
              <w:spacing w:after="0"/>
              <w:rPr>
                <w:sz w:val="20"/>
                <w:szCs w:val="20"/>
                <w:color w:val="auto"/>
              </w:rPr>
            </w:pPr>
            <w:r>
              <w:rPr>
                <w:rFonts w:ascii="Arial" w:cs="Arial" w:eastAsia="Arial" w:hAnsi="Arial"/>
                <w:sz w:val="14"/>
                <w:szCs w:val="14"/>
                <w:b w:val="1"/>
                <w:bCs w:val="1"/>
                <w:color w:val="auto"/>
                <w:w w:val="86"/>
              </w:rPr>
              <w:t>Cash Cost</w:t>
            </w: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60" w:type="dxa"/>
            <w:vAlign w:val="bottom"/>
            <w:gridSpan w:val="2"/>
          </w:tcPr>
          <w:p>
            <w:pPr>
              <w:ind w:left="20"/>
              <w:spacing w:after="0"/>
              <w:rPr>
                <w:sz w:val="20"/>
                <w:szCs w:val="20"/>
                <w:color w:val="auto"/>
              </w:rPr>
            </w:pPr>
            <w:r>
              <w:rPr>
                <w:rFonts w:ascii="Arial" w:cs="Arial" w:eastAsia="Arial" w:hAnsi="Arial"/>
                <w:sz w:val="14"/>
                <w:szCs w:val="14"/>
                <w:b w:val="1"/>
                <w:bCs w:val="1"/>
                <w:color w:val="auto"/>
              </w:rPr>
              <w:t>Market</w:t>
            </w:r>
          </w:p>
        </w:tc>
      </w:tr>
      <w:tr>
        <w:trPr>
          <w:trHeight w:val="161"/>
        </w:trPr>
        <w:tc>
          <w:tcPr>
            <w:tcW w:w="20" w:type="dxa"/>
            <w:vAlign w:val="bottom"/>
          </w:tcPr>
          <w:p>
            <w:pPr>
              <w:spacing w:after="0"/>
              <w:rPr>
                <w:sz w:val="14"/>
                <w:szCs w:val="14"/>
                <w:color w:val="auto"/>
              </w:rPr>
            </w:pPr>
          </w:p>
        </w:tc>
        <w:tc>
          <w:tcPr>
            <w:tcW w:w="4440" w:type="dxa"/>
            <w:vAlign w:val="bottom"/>
          </w:tcPr>
          <w:p>
            <w:pPr>
              <w:spacing w:after="0"/>
              <w:rPr>
                <w:sz w:val="14"/>
                <w:szCs w:val="14"/>
                <w:color w:val="auto"/>
              </w:rPr>
            </w:pPr>
          </w:p>
        </w:tc>
        <w:tc>
          <w:tcPr>
            <w:tcW w:w="2760" w:type="dxa"/>
            <w:vAlign w:val="bottom"/>
          </w:tcPr>
          <w:p>
            <w:pPr>
              <w:spacing w:after="0"/>
              <w:rPr>
                <w:sz w:val="14"/>
                <w:szCs w:val="14"/>
                <w:color w:val="auto"/>
              </w:rPr>
            </w:pPr>
          </w:p>
        </w:tc>
        <w:tc>
          <w:tcPr>
            <w:tcW w:w="900" w:type="dxa"/>
            <w:vAlign w:val="bottom"/>
            <w:tcBorders>
              <w:bottom w:val="single" w:sz="8" w:color="auto"/>
            </w:tcBorders>
            <w:gridSpan w:val="2"/>
          </w:tcPr>
          <w:p>
            <w:pPr>
              <w:jc w:val="right"/>
              <w:spacing w:after="0"/>
              <w:rPr>
                <w:sz w:val="20"/>
                <w:szCs w:val="20"/>
                <w:color w:val="auto"/>
              </w:rPr>
            </w:pPr>
            <w:r>
              <w:rPr>
                <w:rFonts w:ascii="Arial" w:cs="Arial" w:eastAsia="Arial" w:hAnsi="Arial"/>
                <w:sz w:val="14"/>
                <w:szCs w:val="14"/>
                <w:b w:val="1"/>
                <w:bCs w:val="1"/>
                <w:color w:val="auto"/>
                <w:w w:val="90"/>
              </w:rPr>
              <w:t>Assumptions</w:t>
            </w:r>
          </w:p>
        </w:tc>
        <w:tc>
          <w:tcPr>
            <w:tcW w:w="16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jc w:val="right"/>
              <w:ind w:right="38"/>
              <w:spacing w:after="0"/>
              <w:rPr>
                <w:sz w:val="20"/>
                <w:szCs w:val="20"/>
                <w:color w:val="auto"/>
              </w:rPr>
            </w:pPr>
            <w:r>
              <w:rPr>
                <w:rFonts w:ascii="Arial" w:cs="Arial" w:eastAsia="Arial" w:hAnsi="Arial"/>
                <w:sz w:val="14"/>
                <w:szCs w:val="14"/>
                <w:b w:val="1"/>
                <w:bCs w:val="1"/>
                <w:color w:val="auto"/>
                <w:w w:val="83"/>
              </w:rPr>
              <w:t>Average</w:t>
            </w:r>
          </w:p>
        </w:tc>
        <w:tc>
          <w:tcPr>
            <w:tcW w:w="160" w:type="dxa"/>
            <w:vAlign w:val="bottom"/>
          </w:tcPr>
          <w:p>
            <w:pPr>
              <w:spacing w:after="0"/>
              <w:rPr>
                <w:sz w:val="14"/>
                <w:szCs w:val="14"/>
                <w:color w:val="auto"/>
              </w:rPr>
            </w:pPr>
          </w:p>
        </w:tc>
      </w:tr>
      <w:tr>
        <w:trPr>
          <w:trHeight w:val="210"/>
        </w:trPr>
        <w:tc>
          <w:tcPr>
            <w:tcW w:w="20" w:type="dxa"/>
            <w:vAlign w:val="bottom"/>
          </w:tcPr>
          <w:p>
            <w:pPr>
              <w:spacing w:after="0"/>
              <w:rPr>
                <w:sz w:val="18"/>
                <w:szCs w:val="18"/>
                <w:color w:val="auto"/>
              </w:rPr>
            </w:pPr>
          </w:p>
        </w:tc>
        <w:tc>
          <w:tcPr>
            <w:tcW w:w="4440" w:type="dxa"/>
            <w:vAlign w:val="bottom"/>
            <w:shd w:val="clear" w:color="auto" w:fill="CCEEFF"/>
          </w:tcPr>
          <w:p>
            <w:pPr>
              <w:spacing w:after="0"/>
              <w:rPr>
                <w:sz w:val="20"/>
                <w:szCs w:val="20"/>
                <w:color w:val="auto"/>
              </w:rPr>
            </w:pPr>
            <w:r>
              <w:rPr>
                <w:rFonts w:ascii="Arial" w:cs="Arial" w:eastAsia="Arial" w:hAnsi="Arial"/>
                <w:sz w:val="18"/>
                <w:szCs w:val="18"/>
                <w:color w:val="auto"/>
              </w:rPr>
              <w:t>Silver (per ounce)</w:t>
            </w:r>
          </w:p>
        </w:tc>
        <w:tc>
          <w:tcPr>
            <w:tcW w:w="28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14.00</w:t>
            </w:r>
          </w:p>
        </w:tc>
        <w:tc>
          <w:tcPr>
            <w:tcW w:w="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16.92</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440" w:type="dxa"/>
            <w:vAlign w:val="bottom"/>
          </w:tcPr>
          <w:p>
            <w:pPr>
              <w:spacing w:after="0"/>
              <w:rPr>
                <w:sz w:val="20"/>
                <w:szCs w:val="20"/>
                <w:color w:val="auto"/>
              </w:rPr>
            </w:pPr>
            <w:r>
              <w:rPr>
                <w:rFonts w:ascii="Arial" w:cs="Arial" w:eastAsia="Arial" w:hAnsi="Arial"/>
                <w:sz w:val="18"/>
                <w:szCs w:val="18"/>
                <w:color w:val="auto"/>
              </w:rPr>
              <w:t>Zinc (per tonne)</w:t>
            </w:r>
          </w:p>
        </w:tc>
        <w:tc>
          <w:tcPr>
            <w:tcW w:w="28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80" w:type="dxa"/>
            <w:vAlign w:val="bottom"/>
          </w:tcPr>
          <w:p>
            <w:pPr>
              <w:jc w:val="right"/>
              <w:spacing w:after="0"/>
              <w:rPr>
                <w:sz w:val="20"/>
                <w:szCs w:val="20"/>
                <w:color w:val="auto"/>
              </w:rPr>
            </w:pPr>
            <w:r>
              <w:rPr>
                <w:rFonts w:ascii="Arial" w:cs="Arial" w:eastAsia="Arial" w:hAnsi="Arial"/>
                <w:sz w:val="18"/>
                <w:szCs w:val="18"/>
                <w:color w:val="auto"/>
              </w:rPr>
              <w:t>1,800</w:t>
            </w:r>
          </w:p>
        </w:tc>
        <w:tc>
          <w:tcPr>
            <w:tcW w:w="2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600" w:type="dxa"/>
            <w:vAlign w:val="bottom"/>
          </w:tcPr>
          <w:p>
            <w:pPr>
              <w:jc w:val="right"/>
              <w:spacing w:after="0"/>
              <w:rPr>
                <w:sz w:val="20"/>
                <w:szCs w:val="20"/>
                <w:color w:val="auto"/>
              </w:rPr>
            </w:pPr>
            <w:r>
              <w:rPr>
                <w:rFonts w:ascii="Arial" w:cs="Arial" w:eastAsia="Arial" w:hAnsi="Arial"/>
                <w:sz w:val="18"/>
                <w:szCs w:val="18"/>
                <w:color w:val="auto"/>
              </w:rPr>
              <w:t>2,287</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440" w:type="dxa"/>
            <w:vAlign w:val="bottom"/>
            <w:shd w:val="clear" w:color="auto" w:fill="CCEEFF"/>
          </w:tcPr>
          <w:p>
            <w:pPr>
              <w:spacing w:after="0"/>
              <w:rPr>
                <w:sz w:val="20"/>
                <w:szCs w:val="20"/>
                <w:color w:val="auto"/>
              </w:rPr>
            </w:pPr>
            <w:r>
              <w:rPr>
                <w:rFonts w:ascii="Arial" w:cs="Arial" w:eastAsia="Arial" w:hAnsi="Arial"/>
                <w:sz w:val="18"/>
                <w:szCs w:val="18"/>
                <w:color w:val="auto"/>
              </w:rPr>
              <w:t>Copper (per tonne)</w:t>
            </w:r>
          </w:p>
        </w:tc>
        <w:tc>
          <w:tcPr>
            <w:tcW w:w="28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6,100</w:t>
            </w:r>
          </w:p>
        </w:tc>
        <w:tc>
          <w:tcPr>
            <w:tcW w:w="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7,206</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440" w:type="dxa"/>
            <w:vAlign w:val="bottom"/>
          </w:tcPr>
          <w:p>
            <w:pPr>
              <w:spacing w:after="0"/>
              <w:rPr>
                <w:sz w:val="20"/>
                <w:szCs w:val="20"/>
                <w:color w:val="auto"/>
              </w:rPr>
            </w:pPr>
            <w:r>
              <w:rPr>
                <w:rFonts w:ascii="Arial" w:cs="Arial" w:eastAsia="Arial" w:hAnsi="Arial"/>
                <w:sz w:val="18"/>
                <w:szCs w:val="18"/>
                <w:color w:val="auto"/>
              </w:rPr>
              <w:t>C$/US$ exchange rate</w:t>
            </w:r>
          </w:p>
        </w:tc>
        <w:tc>
          <w:tcPr>
            <w:tcW w:w="28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80" w:type="dxa"/>
            <w:vAlign w:val="bottom"/>
          </w:tcPr>
          <w:p>
            <w:pPr>
              <w:jc w:val="right"/>
              <w:spacing w:after="0"/>
              <w:rPr>
                <w:sz w:val="20"/>
                <w:szCs w:val="20"/>
                <w:color w:val="auto"/>
              </w:rPr>
            </w:pPr>
            <w:r>
              <w:rPr>
                <w:rFonts w:ascii="Arial" w:cs="Arial" w:eastAsia="Arial" w:hAnsi="Arial"/>
                <w:sz w:val="18"/>
                <w:szCs w:val="18"/>
                <w:color w:val="auto"/>
              </w:rPr>
              <w:t>1.1000</w:t>
            </w:r>
          </w:p>
        </w:tc>
        <w:tc>
          <w:tcPr>
            <w:tcW w:w="2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600" w:type="dxa"/>
            <w:vAlign w:val="bottom"/>
          </w:tcPr>
          <w:p>
            <w:pPr>
              <w:jc w:val="right"/>
              <w:spacing w:after="0"/>
              <w:rPr>
                <w:sz w:val="20"/>
                <w:szCs w:val="20"/>
                <w:color w:val="auto"/>
              </w:rPr>
            </w:pPr>
            <w:r>
              <w:rPr>
                <w:rFonts w:ascii="Arial" w:cs="Arial" w:eastAsia="Arial" w:hAnsi="Arial"/>
                <w:sz w:val="18"/>
                <w:szCs w:val="18"/>
                <w:color w:val="auto"/>
              </w:rPr>
              <w:t>1.0425</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440" w:type="dxa"/>
            <w:vAlign w:val="bottom"/>
            <w:shd w:val="clear" w:color="auto" w:fill="CCEEFF"/>
          </w:tcPr>
          <w:p>
            <w:pPr>
              <w:spacing w:after="0"/>
              <w:rPr>
                <w:sz w:val="20"/>
                <w:szCs w:val="20"/>
                <w:color w:val="auto"/>
              </w:rPr>
            </w:pPr>
            <w:r>
              <w:rPr>
                <w:rFonts w:ascii="Arial" w:cs="Arial" w:eastAsia="Arial" w:hAnsi="Arial"/>
                <w:sz w:val="18"/>
                <w:szCs w:val="18"/>
                <w:color w:val="auto"/>
              </w:rPr>
              <w:t>Euro/US$ exchange rate</w:t>
            </w:r>
          </w:p>
        </w:tc>
        <w:tc>
          <w:tcPr>
            <w:tcW w:w="28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0.7143</w:t>
            </w:r>
          </w:p>
        </w:tc>
        <w:tc>
          <w:tcPr>
            <w:tcW w:w="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0.7196</w:t>
            </w:r>
          </w:p>
        </w:tc>
        <w:tc>
          <w:tcPr>
            <w:tcW w:w="160" w:type="dxa"/>
            <w:vAlign w:val="bottom"/>
            <w:shd w:val="clear" w:color="auto" w:fill="CCEEFF"/>
          </w:tcPr>
          <w:p>
            <w:pPr>
              <w:spacing w:after="0"/>
              <w:rPr>
                <w:sz w:val="18"/>
                <w:szCs w:val="18"/>
                <w:color w:val="auto"/>
              </w:rPr>
            </w:pPr>
          </w:p>
        </w:tc>
      </w:tr>
    </w:tbl>
    <w:p>
      <w:pPr>
        <w:spacing w:after="0" w:line="208" w:lineRule="exact"/>
        <w:rPr>
          <w:sz w:val="20"/>
          <w:szCs w:val="20"/>
          <w:color w:val="auto"/>
        </w:rPr>
      </w:pPr>
    </w:p>
    <w:p>
      <w:pPr>
        <w:jc w:val="both"/>
        <w:ind w:firstLine="371"/>
        <w:spacing w:after="0" w:line="268" w:lineRule="auto"/>
        <w:rPr>
          <w:sz w:val="20"/>
          <w:szCs w:val="20"/>
          <w:color w:val="auto"/>
        </w:rPr>
      </w:pPr>
      <w:r>
        <w:rPr>
          <w:rFonts w:ascii="Arial" w:cs="Arial" w:eastAsia="Arial" w:hAnsi="Arial"/>
          <w:sz w:val="18"/>
          <w:szCs w:val="18"/>
          <w:color w:val="auto"/>
        </w:rPr>
        <w:t>The estimated sensitivity of the Company's 2010 estimated total cash costs per ounce and 2010 estimated operating costs to a 10% change in the metal price and exchange rate assumptions above follows:</w:t>
      </w:r>
    </w:p>
    <w:p>
      <w:pPr>
        <w:spacing w:after="0" w:line="169"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16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960" w:type="dxa"/>
            <w:vAlign w:val="bottom"/>
          </w:tcPr>
          <w:p>
            <w:pPr>
              <w:spacing w:after="0"/>
              <w:rPr>
                <w:sz w:val="14"/>
                <w:szCs w:val="14"/>
                <w:color w:val="auto"/>
              </w:rPr>
            </w:pPr>
          </w:p>
        </w:tc>
        <w:tc>
          <w:tcPr>
            <w:tcW w:w="7000" w:type="dxa"/>
            <w:vAlign w:val="bottom"/>
          </w:tcPr>
          <w:p>
            <w:pPr>
              <w:spacing w:after="0"/>
              <w:rPr>
                <w:sz w:val="14"/>
                <w:szCs w:val="14"/>
                <w:color w:val="auto"/>
              </w:rPr>
            </w:pPr>
          </w:p>
        </w:tc>
        <w:tc>
          <w:tcPr>
            <w:tcW w:w="92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90"/>
              </w:rPr>
              <w:t>Impact on</w:t>
            </w:r>
          </w:p>
        </w:tc>
      </w:tr>
      <w:tr>
        <w:trPr>
          <w:trHeight w:val="149"/>
        </w:trPr>
        <w:tc>
          <w:tcPr>
            <w:tcW w:w="11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7000" w:type="dxa"/>
            <w:vAlign w:val="bottom"/>
          </w:tcPr>
          <w:p>
            <w:pPr>
              <w:spacing w:after="0"/>
              <w:rPr>
                <w:sz w:val="12"/>
                <w:szCs w:val="12"/>
                <w:color w:val="auto"/>
              </w:rPr>
            </w:pPr>
          </w:p>
        </w:tc>
        <w:tc>
          <w:tcPr>
            <w:tcW w:w="920" w:type="dxa"/>
            <w:vAlign w:val="bottom"/>
            <w:gridSpan w:val="3"/>
          </w:tcPr>
          <w:p>
            <w:pPr>
              <w:jc w:val="center"/>
              <w:ind w:right="160"/>
              <w:spacing w:after="0" w:line="149" w:lineRule="exact"/>
              <w:rPr>
                <w:sz w:val="20"/>
                <w:szCs w:val="20"/>
                <w:color w:val="auto"/>
              </w:rPr>
            </w:pPr>
            <w:r>
              <w:rPr>
                <w:rFonts w:ascii="Arial" w:cs="Arial" w:eastAsia="Arial" w:hAnsi="Arial"/>
                <w:sz w:val="14"/>
                <w:szCs w:val="14"/>
                <w:b w:val="1"/>
                <w:bCs w:val="1"/>
                <w:color w:val="auto"/>
                <w:w w:val="85"/>
              </w:rPr>
              <w:t>total cash</w:t>
            </w:r>
          </w:p>
        </w:tc>
      </w:tr>
      <w:tr>
        <w:trPr>
          <w:trHeight w:val="149"/>
        </w:trPr>
        <w:tc>
          <w:tcPr>
            <w:tcW w:w="11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7000" w:type="dxa"/>
            <w:vAlign w:val="bottom"/>
          </w:tcPr>
          <w:p>
            <w:pPr>
              <w:spacing w:after="0"/>
              <w:rPr>
                <w:sz w:val="12"/>
                <w:szCs w:val="12"/>
                <w:color w:val="auto"/>
              </w:rPr>
            </w:pPr>
          </w:p>
        </w:tc>
        <w:tc>
          <w:tcPr>
            <w:tcW w:w="920" w:type="dxa"/>
            <w:vAlign w:val="bottom"/>
            <w:gridSpan w:val="3"/>
          </w:tcPr>
          <w:p>
            <w:pPr>
              <w:jc w:val="center"/>
              <w:ind w:right="160"/>
              <w:spacing w:after="0" w:line="149" w:lineRule="exact"/>
              <w:rPr>
                <w:sz w:val="20"/>
                <w:szCs w:val="20"/>
                <w:color w:val="auto"/>
              </w:rPr>
            </w:pPr>
            <w:r>
              <w:rPr>
                <w:rFonts w:ascii="Arial" w:cs="Arial" w:eastAsia="Arial" w:hAnsi="Arial"/>
                <w:sz w:val="14"/>
                <w:szCs w:val="14"/>
                <w:b w:val="1"/>
                <w:bCs w:val="1"/>
                <w:color w:val="auto"/>
                <w:w w:val="76"/>
              </w:rPr>
              <w:t>costs</w:t>
            </w:r>
          </w:p>
        </w:tc>
      </w:tr>
      <w:tr>
        <w:trPr>
          <w:trHeight w:val="161"/>
        </w:trPr>
        <w:tc>
          <w:tcPr>
            <w:tcW w:w="2360" w:type="dxa"/>
            <w:vAlign w:val="bottom"/>
            <w:gridSpan w:val="3"/>
          </w:tcPr>
          <w:p>
            <w:pPr>
              <w:ind w:left="1140"/>
              <w:spacing w:after="0"/>
              <w:rPr>
                <w:sz w:val="20"/>
                <w:szCs w:val="20"/>
                <w:color w:val="auto"/>
              </w:rPr>
            </w:pPr>
            <w:r>
              <w:rPr>
                <w:rFonts w:ascii="Arial" w:cs="Arial" w:eastAsia="Arial" w:hAnsi="Arial"/>
                <w:sz w:val="14"/>
                <w:szCs w:val="14"/>
                <w:b w:val="1"/>
                <w:bCs w:val="1"/>
                <w:color w:val="auto"/>
                <w:w w:val="96"/>
              </w:rPr>
              <w:t>Change in variable</w:t>
            </w:r>
          </w:p>
        </w:tc>
        <w:tc>
          <w:tcPr>
            <w:tcW w:w="7320" w:type="dxa"/>
            <w:vAlign w:val="bottom"/>
            <w:gridSpan w:val="2"/>
          </w:tcPr>
          <w:p>
            <w:pPr>
              <w:jc w:val="right"/>
              <w:spacing w:after="0"/>
              <w:rPr>
                <w:sz w:val="20"/>
                <w:szCs w:val="20"/>
                <w:color w:val="auto"/>
              </w:rPr>
            </w:pPr>
            <w:r>
              <w:rPr>
                <w:rFonts w:ascii="Arial" w:cs="Arial" w:eastAsia="Arial" w:hAnsi="Arial"/>
                <w:sz w:val="14"/>
                <w:szCs w:val="14"/>
                <w:b w:val="1"/>
                <w:bCs w:val="1"/>
                <w:color w:val="auto"/>
              </w:rPr>
              <w:t>($</w:t>
            </w:r>
          </w:p>
        </w:tc>
        <w:tc>
          <w:tcPr>
            <w:tcW w:w="600" w:type="dxa"/>
            <w:vAlign w:val="bottom"/>
            <w:gridSpan w:val="2"/>
          </w:tcPr>
          <w:p>
            <w:pPr>
              <w:spacing w:after="0"/>
              <w:rPr>
                <w:sz w:val="20"/>
                <w:szCs w:val="20"/>
                <w:color w:val="auto"/>
              </w:rPr>
            </w:pPr>
            <w:r>
              <w:rPr>
                <w:rFonts w:ascii="Arial" w:cs="Arial" w:eastAsia="Arial" w:hAnsi="Arial"/>
                <w:sz w:val="14"/>
                <w:szCs w:val="14"/>
                <w:b w:val="1"/>
                <w:bCs w:val="1"/>
                <w:color w:val="auto"/>
              </w:rPr>
              <w:t>/oz.)</w:t>
            </w:r>
          </w:p>
        </w:tc>
      </w:tr>
      <w:tr>
        <w:trPr>
          <w:trHeight w:val="210"/>
        </w:trPr>
        <w:tc>
          <w:tcPr>
            <w:tcW w:w="1160" w:type="dxa"/>
            <w:vAlign w:val="bottom"/>
          </w:tcPr>
          <w:p>
            <w:pPr>
              <w:spacing w:after="0"/>
              <w:rPr>
                <w:sz w:val="18"/>
                <w:szCs w:val="18"/>
                <w:color w:val="auto"/>
              </w:rPr>
            </w:pPr>
          </w:p>
        </w:tc>
        <w:tc>
          <w:tcPr>
            <w:tcW w:w="1200" w:type="dxa"/>
            <w:vAlign w:val="bottom"/>
            <w:tcBorders>
              <w:top w:val="single" w:sz="8" w:color="auto"/>
            </w:tcBorders>
            <w:gridSpan w:val="2"/>
            <w:shd w:val="clear" w:color="auto" w:fill="CCEEFF"/>
          </w:tcPr>
          <w:p>
            <w:pPr>
              <w:spacing w:after="0"/>
              <w:rPr>
                <w:sz w:val="20"/>
                <w:szCs w:val="20"/>
                <w:color w:val="auto"/>
              </w:rPr>
            </w:pPr>
            <w:r>
              <w:rPr>
                <w:rFonts w:ascii="Arial" w:cs="Arial" w:eastAsia="Arial" w:hAnsi="Arial"/>
                <w:sz w:val="18"/>
                <w:szCs w:val="18"/>
                <w:color w:val="auto"/>
              </w:rPr>
              <w:t>C$/US$</w:t>
            </w:r>
          </w:p>
        </w:tc>
        <w:tc>
          <w:tcPr>
            <w:tcW w:w="7000" w:type="dxa"/>
            <w:vAlign w:val="bottom"/>
            <w:shd w:val="clear" w:color="auto" w:fill="CCEEFF"/>
          </w:tcPr>
          <w:p>
            <w:pPr>
              <w:spacing w:after="0"/>
              <w:rPr>
                <w:sz w:val="18"/>
                <w:szCs w:val="18"/>
                <w:color w:val="auto"/>
              </w:rPr>
            </w:pPr>
          </w:p>
        </w:tc>
        <w:tc>
          <w:tcPr>
            <w:tcW w:w="320" w:type="dxa"/>
            <w:vAlign w:val="bottom"/>
            <w:tcBorders>
              <w:top w:val="single" w:sz="8" w:color="auto"/>
            </w:tcBorders>
            <w:shd w:val="clear" w:color="auto" w:fill="CCEEFF"/>
          </w:tcPr>
          <w:p>
            <w:pPr>
              <w:jc w:val="right"/>
              <w:ind w:right="147"/>
              <w:spacing w:after="0"/>
              <w:rPr>
                <w:sz w:val="20"/>
                <w:szCs w:val="20"/>
                <w:color w:val="auto"/>
              </w:rPr>
            </w:pPr>
            <w:r>
              <w:rPr>
                <w:rFonts w:ascii="Arial" w:cs="Arial" w:eastAsia="Arial" w:hAnsi="Arial"/>
                <w:sz w:val="18"/>
                <w:szCs w:val="18"/>
                <w:color w:val="auto"/>
                <w:w w:val="79"/>
              </w:rPr>
              <w:t>$</w:t>
            </w:r>
          </w:p>
        </w:tc>
        <w:tc>
          <w:tcPr>
            <w:tcW w:w="4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37</w:t>
            </w:r>
          </w:p>
        </w:tc>
        <w:tc>
          <w:tcPr>
            <w:tcW w:w="160" w:type="dxa"/>
            <w:vAlign w:val="bottom"/>
            <w:shd w:val="clear" w:color="auto" w:fill="CCEEFF"/>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1200" w:type="dxa"/>
            <w:vAlign w:val="bottom"/>
            <w:gridSpan w:val="2"/>
          </w:tcPr>
          <w:p>
            <w:pPr>
              <w:spacing w:after="0"/>
              <w:rPr>
                <w:sz w:val="20"/>
                <w:szCs w:val="20"/>
                <w:color w:val="auto"/>
              </w:rPr>
            </w:pPr>
            <w:r>
              <w:rPr>
                <w:rFonts w:ascii="Arial" w:cs="Arial" w:eastAsia="Arial" w:hAnsi="Arial"/>
                <w:sz w:val="18"/>
                <w:szCs w:val="18"/>
                <w:color w:val="auto"/>
              </w:rPr>
              <w:t>Euro/US$</w:t>
            </w:r>
          </w:p>
        </w:tc>
        <w:tc>
          <w:tcPr>
            <w:tcW w:w="7320" w:type="dxa"/>
            <w:vAlign w:val="bottom"/>
            <w:gridSpan w:val="2"/>
          </w:tcPr>
          <w:p>
            <w:pPr>
              <w:jc w:val="right"/>
              <w:ind w:right="147"/>
              <w:spacing w:after="0"/>
              <w:rPr>
                <w:sz w:val="20"/>
                <w:szCs w:val="20"/>
                <w:color w:val="auto"/>
              </w:rPr>
            </w:pPr>
            <w:r>
              <w:rPr>
                <w:rFonts w:ascii="Arial" w:cs="Arial" w:eastAsia="Arial" w:hAnsi="Arial"/>
                <w:sz w:val="18"/>
                <w:szCs w:val="18"/>
                <w:color w:val="auto"/>
              </w:rPr>
              <w:t>$</w:t>
            </w:r>
          </w:p>
        </w:tc>
        <w:tc>
          <w:tcPr>
            <w:tcW w:w="440" w:type="dxa"/>
            <w:vAlign w:val="bottom"/>
          </w:tcPr>
          <w:p>
            <w:pPr>
              <w:jc w:val="right"/>
              <w:spacing w:after="0"/>
              <w:rPr>
                <w:sz w:val="20"/>
                <w:szCs w:val="20"/>
                <w:color w:val="auto"/>
              </w:rPr>
            </w:pPr>
            <w:r>
              <w:rPr>
                <w:rFonts w:ascii="Arial" w:cs="Arial" w:eastAsia="Arial" w:hAnsi="Arial"/>
                <w:sz w:val="18"/>
                <w:szCs w:val="18"/>
                <w:color w:val="auto"/>
              </w:rPr>
              <w:t>7</w:t>
            </w:r>
          </w:p>
        </w:tc>
        <w:tc>
          <w:tcPr>
            <w:tcW w:w="16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12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Zinc</w:t>
            </w:r>
          </w:p>
        </w:tc>
        <w:tc>
          <w:tcPr>
            <w:tcW w:w="7320" w:type="dxa"/>
            <w:vAlign w:val="bottom"/>
            <w:gridSpan w:val="2"/>
            <w:shd w:val="clear" w:color="auto" w:fill="CCEEFF"/>
          </w:tcPr>
          <w:p>
            <w:pPr>
              <w:jc w:val="right"/>
              <w:ind w:right="147"/>
              <w:spacing w:after="0"/>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w:t>
            </w:r>
          </w:p>
        </w:tc>
        <w:tc>
          <w:tcPr>
            <w:tcW w:w="160" w:type="dxa"/>
            <w:vAlign w:val="bottom"/>
            <w:shd w:val="clear" w:color="auto" w:fill="CCEEFF"/>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1200" w:type="dxa"/>
            <w:vAlign w:val="bottom"/>
            <w:gridSpan w:val="2"/>
          </w:tcPr>
          <w:p>
            <w:pPr>
              <w:spacing w:after="0"/>
              <w:rPr>
                <w:sz w:val="20"/>
                <w:szCs w:val="20"/>
                <w:color w:val="auto"/>
              </w:rPr>
            </w:pPr>
            <w:r>
              <w:rPr>
                <w:rFonts w:ascii="Arial" w:cs="Arial" w:eastAsia="Arial" w:hAnsi="Arial"/>
                <w:sz w:val="18"/>
                <w:szCs w:val="18"/>
                <w:color w:val="auto"/>
              </w:rPr>
              <w:t>Silver</w:t>
            </w:r>
          </w:p>
        </w:tc>
        <w:tc>
          <w:tcPr>
            <w:tcW w:w="7320" w:type="dxa"/>
            <w:vAlign w:val="bottom"/>
            <w:gridSpan w:val="2"/>
          </w:tcPr>
          <w:p>
            <w:pPr>
              <w:jc w:val="right"/>
              <w:ind w:right="147"/>
              <w:spacing w:after="0"/>
              <w:rPr>
                <w:sz w:val="20"/>
                <w:szCs w:val="20"/>
                <w:color w:val="auto"/>
              </w:rPr>
            </w:pPr>
            <w:r>
              <w:rPr>
                <w:rFonts w:ascii="Arial" w:cs="Arial" w:eastAsia="Arial" w:hAnsi="Arial"/>
                <w:sz w:val="18"/>
                <w:szCs w:val="18"/>
                <w:color w:val="auto"/>
              </w:rPr>
              <w:t>$</w:t>
            </w:r>
          </w:p>
        </w:tc>
        <w:tc>
          <w:tcPr>
            <w:tcW w:w="440" w:type="dxa"/>
            <w:vAlign w:val="bottom"/>
          </w:tcPr>
          <w:p>
            <w:pPr>
              <w:jc w:val="right"/>
              <w:spacing w:after="0"/>
              <w:rPr>
                <w:sz w:val="20"/>
                <w:szCs w:val="20"/>
                <w:color w:val="auto"/>
              </w:rPr>
            </w:pPr>
            <w:r>
              <w:rPr>
                <w:rFonts w:ascii="Arial" w:cs="Arial" w:eastAsia="Arial" w:hAnsi="Arial"/>
                <w:sz w:val="18"/>
                <w:szCs w:val="18"/>
                <w:color w:val="auto"/>
              </w:rPr>
              <w:t>7</w:t>
            </w:r>
          </w:p>
        </w:tc>
        <w:tc>
          <w:tcPr>
            <w:tcW w:w="16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12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Copper</w:t>
            </w:r>
          </w:p>
        </w:tc>
        <w:tc>
          <w:tcPr>
            <w:tcW w:w="7320" w:type="dxa"/>
            <w:vAlign w:val="bottom"/>
            <w:gridSpan w:val="2"/>
            <w:shd w:val="clear" w:color="auto" w:fill="CCEEFF"/>
          </w:tcPr>
          <w:p>
            <w:pPr>
              <w:jc w:val="right"/>
              <w:ind w:right="147"/>
              <w:spacing w:after="0"/>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w:t>
            </w:r>
          </w:p>
        </w:tc>
        <w:tc>
          <w:tcPr>
            <w:tcW w:w="160" w:type="dxa"/>
            <w:vAlign w:val="bottom"/>
            <w:shd w:val="clear" w:color="auto" w:fill="CCEEFF"/>
          </w:tcPr>
          <w:p>
            <w:pPr>
              <w:spacing w:after="0"/>
              <w:rPr>
                <w:sz w:val="18"/>
                <w:szCs w:val="18"/>
                <w:color w:val="auto"/>
              </w:rPr>
            </w:pPr>
          </w:p>
        </w:tc>
      </w:tr>
      <w:tr>
        <w:trPr>
          <w:trHeight w:val="108"/>
        </w:trPr>
        <w:tc>
          <w:tcPr>
            <w:tcW w:w="1160" w:type="dxa"/>
            <w:vAlign w:val="bottom"/>
            <w:tcBorders>
              <w:bottom w:val="single" w:sz="8" w:color="auto"/>
            </w:tcBorders>
          </w:tcPr>
          <w:p>
            <w:pPr>
              <w:spacing w:after="0"/>
              <w:rPr>
                <w:sz w:val="9"/>
                <w:szCs w:val="9"/>
                <w:color w:val="auto"/>
              </w:rPr>
            </w:pPr>
          </w:p>
        </w:tc>
        <w:tc>
          <w:tcPr>
            <w:tcW w:w="240" w:type="dxa"/>
            <w:vAlign w:val="bottom"/>
            <w:tcBorders>
              <w:bottom w:val="single" w:sz="8" w:color="auto"/>
            </w:tcBorders>
          </w:tcPr>
          <w:p>
            <w:pPr>
              <w:spacing w:after="0"/>
              <w:rPr>
                <w:sz w:val="9"/>
                <w:szCs w:val="9"/>
                <w:color w:val="auto"/>
              </w:rPr>
            </w:pPr>
          </w:p>
        </w:tc>
        <w:tc>
          <w:tcPr>
            <w:tcW w:w="960" w:type="dxa"/>
            <w:vAlign w:val="bottom"/>
          </w:tcPr>
          <w:p>
            <w:pPr>
              <w:spacing w:after="0"/>
              <w:rPr>
                <w:sz w:val="9"/>
                <w:szCs w:val="9"/>
                <w:color w:val="auto"/>
              </w:rPr>
            </w:pPr>
          </w:p>
        </w:tc>
        <w:tc>
          <w:tcPr>
            <w:tcW w:w="7000" w:type="dxa"/>
            <w:vAlign w:val="bottom"/>
          </w:tcPr>
          <w:p>
            <w:pPr>
              <w:spacing w:after="0"/>
              <w:rPr>
                <w:sz w:val="9"/>
                <w:szCs w:val="9"/>
                <w:color w:val="auto"/>
              </w:rPr>
            </w:pPr>
          </w:p>
        </w:tc>
        <w:tc>
          <w:tcPr>
            <w:tcW w:w="320" w:type="dxa"/>
            <w:vAlign w:val="bottom"/>
          </w:tcPr>
          <w:p>
            <w:pPr>
              <w:spacing w:after="0"/>
              <w:rPr>
                <w:sz w:val="9"/>
                <w:szCs w:val="9"/>
                <w:color w:val="auto"/>
              </w:rPr>
            </w:pPr>
          </w:p>
        </w:tc>
        <w:tc>
          <w:tcPr>
            <w:tcW w:w="440" w:type="dxa"/>
            <w:vAlign w:val="bottom"/>
          </w:tcPr>
          <w:p>
            <w:pPr>
              <w:spacing w:after="0"/>
              <w:rPr>
                <w:sz w:val="9"/>
                <w:szCs w:val="9"/>
                <w:color w:val="auto"/>
              </w:rPr>
            </w:pPr>
          </w:p>
        </w:tc>
        <w:tc>
          <w:tcPr>
            <w:tcW w:w="160" w:type="dxa"/>
            <w:vAlign w:val="bottom"/>
          </w:tcPr>
          <w:p>
            <w:pPr>
              <w:spacing w:after="0"/>
              <w:rPr>
                <w:sz w:val="9"/>
                <w:szCs w:val="9"/>
                <w:color w:val="auto"/>
              </w:rPr>
            </w:pPr>
          </w:p>
        </w:tc>
      </w:tr>
    </w:tbl>
    <w:p>
      <w:pPr>
        <w:spacing w:after="0" w:line="205" w:lineRule="exact"/>
        <w:rPr>
          <w:sz w:val="20"/>
          <w:szCs w:val="20"/>
          <w:color w:val="auto"/>
        </w:rPr>
      </w:pPr>
    </w:p>
    <w:p>
      <w:pPr>
        <w:spacing w:after="0"/>
        <w:rPr>
          <w:sz w:val="20"/>
          <w:szCs w:val="20"/>
          <w:color w:val="auto"/>
        </w:rPr>
      </w:pPr>
      <w:r>
        <w:rPr>
          <w:rFonts w:ascii="Arial" w:cs="Arial" w:eastAsia="Arial" w:hAnsi="Arial"/>
          <w:sz w:val="14"/>
          <w:szCs w:val="14"/>
          <w:color w:val="auto"/>
        </w:rPr>
        <w:t>Note:</w:t>
      </w:r>
    </w:p>
    <w:p>
      <w:pPr>
        <w:spacing w:after="0" w:line="204" w:lineRule="exact"/>
        <w:rPr>
          <w:sz w:val="20"/>
          <w:szCs w:val="20"/>
          <w:color w:val="auto"/>
        </w:rPr>
      </w:pPr>
    </w:p>
    <w:p>
      <w:pPr>
        <w:jc w:val="both"/>
        <w:spacing w:after="0" w:line="278" w:lineRule="auto"/>
        <w:rPr>
          <w:sz w:val="20"/>
          <w:szCs w:val="20"/>
          <w:color w:val="auto"/>
        </w:rPr>
      </w:pPr>
      <w:r>
        <w:rPr>
          <w:rFonts w:ascii="Arial" w:cs="Arial" w:eastAsia="Arial" w:hAnsi="Arial"/>
          <w:sz w:val="12"/>
          <w:szCs w:val="12"/>
          <w:color w:val="auto"/>
        </w:rPr>
        <w:t>The sensitivities presented are based on the production and price assumptions set out above. Operating costs are not affected by fluctuations in byproduct metals prices. The Company may use derivative strategies to limit the downside risk associated with fluctuating byproduct metals prices and enters into forward contracts to lock in exchange rates based on projected Canadian dollar, Euro and Mexican peso operating and capital needs. Please see "Item 11 Quantitative and Qualitative Disclosures About Market Risk — Metal Price and Foreign Currency" and "Item 11 Quantitative and Qualitative Disclosures About Market Risk — Derivatives". Please see " — Results of Operations — Production Costs" for a discussion about the use of the non-US GAAP financial measure total cash costs per ounce.</w:t>
      </w:r>
    </w:p>
    <w:p>
      <w:pPr>
        <w:spacing w:after="0" w:line="17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Exploration Expense</w:t>
      </w:r>
    </w:p>
    <w:p>
      <w:pPr>
        <w:spacing w:after="0" w:line="225" w:lineRule="exact"/>
        <w:rPr>
          <w:sz w:val="20"/>
          <w:szCs w:val="20"/>
          <w:color w:val="auto"/>
        </w:rPr>
      </w:pPr>
    </w:p>
    <w:p>
      <w:pPr>
        <w:jc w:val="both"/>
        <w:ind w:firstLine="359"/>
        <w:spacing w:after="0" w:line="294" w:lineRule="auto"/>
        <w:rPr>
          <w:sz w:val="20"/>
          <w:szCs w:val="20"/>
          <w:color w:val="auto"/>
        </w:rPr>
      </w:pPr>
      <w:r>
        <w:rPr>
          <w:rFonts w:ascii="Arial" w:cs="Arial" w:eastAsia="Arial" w:hAnsi="Arial"/>
          <w:sz w:val="16"/>
          <w:szCs w:val="16"/>
          <w:color w:val="auto"/>
        </w:rPr>
        <w:t>In 2010, Agnico-Eagle expects expenditures of $39 million on grassroots exploration and corporate development comprised mostly of grassroots exploration in Canada, Latin America, Finland and the United States outside of the Company's currently contemplated mining areas. Exploration is success driven and thus these estimates could change materially based on the success of the various exploration programs. In addition, when it is determined that a mining property can be economically developed as a result of established proven and probable reserves, the costs of exploration to further delineate the ore body on such property are capitalized. In 2010, the Company expects to capitalize $37 million on exploration related to delineating ore bodies and converting resources into reserves.</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Other Expenses</w:t>
      </w:r>
    </w:p>
    <w:p>
      <w:pPr>
        <w:spacing w:after="0" w:line="225" w:lineRule="exact"/>
        <w:rPr>
          <w:sz w:val="20"/>
          <w:szCs w:val="20"/>
          <w:color w:val="auto"/>
        </w:rPr>
      </w:pPr>
    </w:p>
    <w:p>
      <w:pPr>
        <w:jc w:val="both"/>
        <w:ind w:firstLine="383"/>
        <w:spacing w:after="0" w:line="268" w:lineRule="auto"/>
        <w:rPr>
          <w:sz w:val="20"/>
          <w:szCs w:val="20"/>
          <w:color w:val="auto"/>
        </w:rPr>
      </w:pPr>
      <w:r>
        <w:rPr>
          <w:rFonts w:ascii="Arial" w:cs="Arial" w:eastAsia="Arial" w:hAnsi="Arial"/>
          <w:sz w:val="18"/>
          <w:szCs w:val="18"/>
          <w:color w:val="auto"/>
        </w:rPr>
        <w:t>Cash general and administrative expenses are not expected to increase materially in 2010, however non-cash variances may occur as a result of variances in the Black-Scholes pricing of any stock options granted by the</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30" w:name="page131"/>
    <w:bookmarkEnd w:id="130"/>
    <w:p>
      <w:pPr>
        <w:jc w:val="both"/>
        <w:spacing w:after="0" w:line="291" w:lineRule="auto"/>
        <w:rPr>
          <w:sz w:val="20"/>
          <w:szCs w:val="20"/>
          <w:color w:val="auto"/>
        </w:rPr>
      </w:pPr>
      <w:r>
        <w:rPr>
          <w:rFonts w:ascii="Arial" w:cs="Arial" w:eastAsia="Arial" w:hAnsi="Arial"/>
          <w:sz w:val="16"/>
          <w:szCs w:val="16"/>
          <w:color w:val="auto"/>
        </w:rPr>
        <w:t>Company in 2010. In 2010, provincial capital taxes are expected to be substantially lower in 2010 than in 2009 since the Ontario provincial capital tax will be eliminated on July 1, 2010 while Quebec capital tax will be eliminated at the end of 2010. Amortization is expected to be approximately $164 million mainly due to the first full year amortization of the Kittila, Lapa and Pinos Altos Mines and additional amortization relating to the Meadowbank Mine as it achieves commercial production. Interest expense in 2010 is expected to be approximately $30 million due to the drawdown of its aggregate $900 million Credit Facilities. The Company's effective tax rate is expected to be 40% in 2010 compared to an effective rate of 19.9% realized in 2009. The lower effective rate in 2009 was due to the factors mentioned in " — Results of Operations — Income and Mining Taxes" above.</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Capital Expenditures</w:t>
      </w:r>
    </w:p>
    <w:p>
      <w:pPr>
        <w:spacing w:after="0" w:line="225" w:lineRule="exact"/>
        <w:rPr>
          <w:sz w:val="20"/>
          <w:szCs w:val="20"/>
          <w:color w:val="auto"/>
        </w:rPr>
      </w:pPr>
    </w:p>
    <w:p>
      <w:pPr>
        <w:jc w:val="both"/>
        <w:ind w:firstLine="358"/>
        <w:spacing w:after="0" w:line="306" w:lineRule="auto"/>
        <w:rPr>
          <w:sz w:val="20"/>
          <w:szCs w:val="20"/>
          <w:color w:val="auto"/>
        </w:rPr>
      </w:pPr>
      <w:r>
        <w:rPr>
          <w:rFonts w:ascii="Arial" w:cs="Arial" w:eastAsia="Arial" w:hAnsi="Arial"/>
          <w:sz w:val="16"/>
          <w:szCs w:val="16"/>
          <w:color w:val="auto"/>
        </w:rPr>
        <w:t>Agnico-Eagle's gold growth program remains well funded. Capital expenditures, including all costs for construction and development, sustaining capital and capitalized exploration costs, are expected to total approximately $478 million in 2010. During 2010, the Company expects to generate internal cash flow from the sale of 1.0 to 1.1 million ounces of gold and the associated byproduct metals. The breakdown of the 2009 capital expenditures program is as follows:</w:t>
      </w:r>
    </w:p>
    <w:p>
      <w:pPr>
        <w:spacing w:after="0" w:line="174" w:lineRule="exact"/>
        <w:rPr>
          <w:sz w:val="20"/>
          <w:szCs w:val="20"/>
          <w:color w:val="auto"/>
        </w:rPr>
      </w:pPr>
    </w:p>
    <w:p>
      <w:pPr>
        <w:ind w:left="1080" w:hanging="532"/>
        <w:spacing w:after="0"/>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$67 million in capital expenditures related to construction and development at the LaRonde Mine extension;</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$29 million in sustaining capital expenditures related to the LaRonde Mine;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5"/>
        </w:numPr>
        <w:rPr>
          <w:rFonts w:ascii="Arial" w:cs="Arial" w:eastAsia="Arial" w:hAnsi="Arial"/>
          <w:sz w:val="16"/>
          <w:szCs w:val="16"/>
          <w:color w:val="auto"/>
        </w:rPr>
      </w:pPr>
      <w:r>
        <w:rPr>
          <w:rFonts w:ascii="Arial" w:cs="Arial" w:eastAsia="Arial" w:hAnsi="Arial"/>
          <w:sz w:val="16"/>
          <w:szCs w:val="16"/>
          <w:color w:val="auto"/>
        </w:rPr>
        <w:t>$54 million in capital expenditures related to construction and development at the Creston Mascota deposit at the Pino Altos Mine;</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$38 million in sustaining capital expenditures related to the Pinos Altos Mine;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$59 million in sustaining capital expenditures related to the Kittila Mine;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$14 million in sustaining capital expenditures related to the Goldex Mine;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$52 million in capitalized commissioning costs related to the Meadowbank Mine;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$99 million in sustaining capital expenditures related to the Meadowbank Mine;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$29 million in sustaining capital expenditures related to the Lapa Mine;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$37 million in capitalized exploration expenditures.</w:t>
      </w:r>
    </w:p>
    <w:p>
      <w:pPr>
        <w:spacing w:after="0" w:line="225" w:lineRule="exact"/>
        <w:rPr>
          <w:sz w:val="20"/>
          <w:szCs w:val="20"/>
          <w:color w:val="auto"/>
        </w:rPr>
      </w:pPr>
    </w:p>
    <w:p>
      <w:pPr>
        <w:jc w:val="both"/>
        <w:ind w:firstLine="456"/>
        <w:spacing w:after="0" w:line="259" w:lineRule="auto"/>
        <w:rPr>
          <w:sz w:val="20"/>
          <w:szCs w:val="20"/>
          <w:color w:val="auto"/>
        </w:rPr>
      </w:pPr>
      <w:r>
        <w:rPr>
          <w:rFonts w:ascii="Arial" w:cs="Arial" w:eastAsia="Arial" w:hAnsi="Arial"/>
          <w:sz w:val="18"/>
          <w:szCs w:val="18"/>
          <w:color w:val="auto"/>
        </w:rPr>
        <w:t>The Company continues to examine other possible corporate development opportunities which may result in the acquisition of companies or assets with securities, cash or a combination thereof. If cash is used, depending on the size of the acquisition, Agnico-Eagle may be required to borrow money or issue securities to fund such cash requirements.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Outstanding Securities</w:t>
      </w:r>
    </w:p>
    <w:p>
      <w:pPr>
        <w:spacing w:after="0" w:line="231" w:lineRule="exact"/>
        <w:rPr>
          <w:sz w:val="20"/>
          <w:szCs w:val="20"/>
          <w:color w:val="auto"/>
        </w:rPr>
      </w:pPr>
    </w:p>
    <w:p>
      <w:pPr>
        <w:jc w:val="both"/>
        <w:ind w:right="20" w:firstLine="425"/>
        <w:spacing w:after="0" w:line="268" w:lineRule="auto"/>
        <w:rPr>
          <w:sz w:val="20"/>
          <w:szCs w:val="20"/>
          <w:color w:val="auto"/>
        </w:rPr>
      </w:pPr>
      <w:r>
        <w:rPr>
          <w:rFonts w:ascii="Arial" w:cs="Arial" w:eastAsia="Arial" w:hAnsi="Arial"/>
          <w:sz w:val="18"/>
          <w:szCs w:val="18"/>
          <w:color w:val="auto"/>
        </w:rPr>
        <w:t>The following table sets out the maximum number of common shares that would be outstanding if all dilutive instruments outstanding at March 22, 2010 were exercised:</w:t>
      </w:r>
    </w:p>
    <w:p>
      <w:pPr>
        <w:spacing w:after="0" w:line="194" w:lineRule="exact"/>
        <w:rPr>
          <w:sz w:val="20"/>
          <w:szCs w:val="20"/>
          <w:color w:val="auto"/>
        </w:rPr>
      </w:pPr>
    </w:p>
    <w:tbl>
      <w:tblPr>
        <w:tblLayout w:type="fixed"/>
        <w:tblInd w:w="1140" w:type="dxa"/>
        <w:tblCellMar>
          <w:top w:w="0" w:type="dxa"/>
          <w:left w:w="0" w:type="dxa"/>
          <w:bottom w:w="0" w:type="dxa"/>
          <w:right w:w="0" w:type="dxa"/>
        </w:tblCellMar>
      </w:tblPr>
      <w:tr>
        <w:trPr>
          <w:trHeight w:val="216"/>
        </w:trPr>
        <w:tc>
          <w:tcPr>
            <w:tcW w:w="20" w:type="dxa"/>
            <w:vAlign w:val="bottom"/>
          </w:tcPr>
          <w:p>
            <w:pPr>
              <w:spacing w:after="0"/>
              <w:rPr>
                <w:sz w:val="18"/>
                <w:szCs w:val="18"/>
                <w:color w:val="auto"/>
              </w:rPr>
            </w:pPr>
          </w:p>
        </w:tc>
        <w:tc>
          <w:tcPr>
            <w:tcW w:w="7960" w:type="dxa"/>
            <w:vAlign w:val="bottom"/>
            <w:shd w:val="clear" w:color="auto" w:fill="CCEEFF"/>
          </w:tcPr>
          <w:p>
            <w:pPr>
              <w:spacing w:after="0"/>
              <w:rPr>
                <w:sz w:val="20"/>
                <w:szCs w:val="20"/>
                <w:color w:val="auto"/>
              </w:rPr>
            </w:pPr>
            <w:r>
              <w:rPr>
                <w:rFonts w:ascii="Arial" w:cs="Arial" w:eastAsia="Arial" w:hAnsi="Arial"/>
                <w:sz w:val="18"/>
                <w:szCs w:val="18"/>
                <w:color w:val="auto"/>
              </w:rPr>
              <w:t>Common shares outstanding at March 22, 2010</w:t>
            </w:r>
          </w:p>
        </w:tc>
        <w:tc>
          <w:tcPr>
            <w:tcW w:w="10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156,714,381</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7960" w:type="dxa"/>
            <w:vAlign w:val="bottom"/>
          </w:tcPr>
          <w:p>
            <w:pPr>
              <w:spacing w:after="0"/>
              <w:rPr>
                <w:sz w:val="20"/>
                <w:szCs w:val="20"/>
                <w:color w:val="auto"/>
              </w:rPr>
            </w:pPr>
            <w:r>
              <w:rPr>
                <w:rFonts w:ascii="Arial" w:cs="Arial" w:eastAsia="Arial" w:hAnsi="Arial"/>
                <w:sz w:val="18"/>
                <w:szCs w:val="18"/>
                <w:color w:val="auto"/>
              </w:rPr>
              <w:t>Employee stock options</w:t>
            </w:r>
          </w:p>
        </w:tc>
        <w:tc>
          <w:tcPr>
            <w:tcW w:w="1000" w:type="dxa"/>
            <w:vAlign w:val="bottom"/>
          </w:tcPr>
          <w:p>
            <w:pPr>
              <w:jc w:val="right"/>
              <w:spacing w:after="0"/>
              <w:rPr>
                <w:sz w:val="20"/>
                <w:szCs w:val="20"/>
                <w:color w:val="auto"/>
              </w:rPr>
            </w:pPr>
            <w:r>
              <w:rPr>
                <w:rFonts w:ascii="Arial" w:cs="Arial" w:eastAsia="Arial" w:hAnsi="Arial"/>
                <w:sz w:val="18"/>
                <w:szCs w:val="18"/>
                <w:color w:val="auto"/>
              </w:rPr>
              <w:t>8,395,645</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7960" w:type="dxa"/>
            <w:vAlign w:val="bottom"/>
            <w:shd w:val="clear" w:color="auto" w:fill="CCEEFF"/>
          </w:tcPr>
          <w:p>
            <w:pPr>
              <w:spacing w:after="0"/>
              <w:rPr>
                <w:sz w:val="20"/>
                <w:szCs w:val="20"/>
                <w:color w:val="auto"/>
              </w:rPr>
            </w:pPr>
            <w:r>
              <w:rPr>
                <w:rFonts w:ascii="Arial" w:cs="Arial" w:eastAsia="Arial" w:hAnsi="Arial"/>
                <w:sz w:val="18"/>
                <w:szCs w:val="18"/>
                <w:color w:val="auto"/>
              </w:rPr>
              <w:t>Warrants</w:t>
            </w:r>
          </w:p>
        </w:tc>
        <w:tc>
          <w:tcPr>
            <w:tcW w:w="10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8,600,000</w:t>
            </w:r>
          </w:p>
        </w:tc>
        <w:tc>
          <w:tcPr>
            <w:tcW w:w="160" w:type="dxa"/>
            <w:vAlign w:val="bottom"/>
            <w:shd w:val="clear" w:color="auto" w:fill="CCEEFF"/>
          </w:tcPr>
          <w:p>
            <w:pPr>
              <w:spacing w:after="0"/>
              <w:rPr>
                <w:sz w:val="18"/>
                <w:szCs w:val="18"/>
                <w:color w:val="auto"/>
              </w:rPr>
            </w:pPr>
          </w:p>
        </w:tc>
      </w:tr>
      <w:tr>
        <w:trPr>
          <w:trHeight w:val="27"/>
        </w:trPr>
        <w:tc>
          <w:tcPr>
            <w:tcW w:w="20" w:type="dxa"/>
            <w:vAlign w:val="bottom"/>
          </w:tcPr>
          <w:p>
            <w:pPr>
              <w:spacing w:after="0"/>
              <w:rPr>
                <w:sz w:val="2"/>
                <w:szCs w:val="2"/>
                <w:color w:val="auto"/>
              </w:rPr>
            </w:pPr>
          </w:p>
        </w:tc>
        <w:tc>
          <w:tcPr>
            <w:tcW w:w="7960" w:type="dxa"/>
            <w:vAlign w:val="bottom"/>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r>
      <w:tr>
        <w:trPr>
          <w:trHeight w:val="216"/>
        </w:trPr>
        <w:tc>
          <w:tcPr>
            <w:tcW w:w="20" w:type="dxa"/>
            <w:vAlign w:val="bottom"/>
          </w:tcPr>
          <w:p>
            <w:pPr>
              <w:spacing w:after="0"/>
              <w:rPr>
                <w:sz w:val="18"/>
                <w:szCs w:val="18"/>
                <w:color w:val="auto"/>
              </w:rPr>
            </w:pPr>
          </w:p>
        </w:tc>
        <w:tc>
          <w:tcPr>
            <w:tcW w:w="7960" w:type="dxa"/>
            <w:vAlign w:val="bottom"/>
          </w:tcPr>
          <w:p>
            <w:pPr>
              <w:spacing w:after="0"/>
              <w:rPr>
                <w:sz w:val="18"/>
                <w:szCs w:val="18"/>
                <w:color w:val="auto"/>
              </w:rPr>
            </w:pPr>
          </w:p>
        </w:tc>
        <w:tc>
          <w:tcPr>
            <w:tcW w:w="1000" w:type="dxa"/>
            <w:vAlign w:val="bottom"/>
          </w:tcPr>
          <w:p>
            <w:pPr>
              <w:jc w:val="right"/>
              <w:spacing w:after="0"/>
              <w:rPr>
                <w:sz w:val="20"/>
                <w:szCs w:val="20"/>
                <w:color w:val="auto"/>
              </w:rPr>
            </w:pPr>
            <w:r>
              <w:rPr>
                <w:rFonts w:ascii="Arial" w:cs="Arial" w:eastAsia="Arial" w:hAnsi="Arial"/>
                <w:sz w:val="18"/>
                <w:szCs w:val="18"/>
                <w:color w:val="auto"/>
                <w:w w:val="97"/>
              </w:rPr>
              <w:t>173,710,026</w:t>
            </w:r>
          </w:p>
        </w:tc>
        <w:tc>
          <w:tcPr>
            <w:tcW w:w="160" w:type="dxa"/>
            <w:vAlign w:val="bottom"/>
          </w:tcPr>
          <w:p>
            <w:pPr>
              <w:spacing w:after="0"/>
              <w:rPr>
                <w:sz w:val="18"/>
                <w:szCs w:val="18"/>
                <w:color w:val="auto"/>
              </w:rPr>
            </w:pPr>
          </w:p>
        </w:tc>
      </w:tr>
      <w:tr>
        <w:trPr>
          <w:trHeight w:val="21"/>
        </w:trPr>
        <w:tc>
          <w:tcPr>
            <w:tcW w:w="20" w:type="dxa"/>
            <w:vAlign w:val="bottom"/>
          </w:tcPr>
          <w:p>
            <w:pPr>
              <w:spacing w:after="0" w:line="20" w:lineRule="exact"/>
              <w:rPr>
                <w:sz w:val="1"/>
                <w:szCs w:val="1"/>
                <w:color w:val="auto"/>
              </w:rPr>
            </w:pPr>
          </w:p>
        </w:tc>
        <w:tc>
          <w:tcPr>
            <w:tcW w:w="7960" w:type="dxa"/>
            <w:vAlign w:val="bottom"/>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20"/>
        </w:trPr>
        <w:tc>
          <w:tcPr>
            <w:tcW w:w="20" w:type="dxa"/>
            <w:vAlign w:val="bottom"/>
          </w:tcPr>
          <w:p>
            <w:pPr>
              <w:spacing w:after="0" w:line="20" w:lineRule="exact"/>
              <w:rPr>
                <w:sz w:val="1"/>
                <w:szCs w:val="1"/>
                <w:color w:val="auto"/>
              </w:rPr>
            </w:pPr>
          </w:p>
        </w:tc>
        <w:tc>
          <w:tcPr>
            <w:tcW w:w="7960" w:type="dxa"/>
            <w:vAlign w:val="bottom"/>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Critical Accounting Estimates</w:t>
      </w:r>
    </w:p>
    <w:p>
      <w:pPr>
        <w:spacing w:after="0" w:line="231" w:lineRule="exact"/>
        <w:rPr>
          <w:sz w:val="20"/>
          <w:szCs w:val="20"/>
          <w:color w:val="auto"/>
        </w:rPr>
      </w:pPr>
    </w:p>
    <w:p>
      <w:pPr>
        <w:ind w:firstLine="355"/>
        <w:spacing w:after="0" w:line="370" w:lineRule="auto"/>
        <w:rPr>
          <w:sz w:val="20"/>
          <w:szCs w:val="20"/>
          <w:color w:val="auto"/>
        </w:rPr>
      </w:pPr>
      <w:r>
        <w:rPr>
          <w:rFonts w:ascii="Arial" w:cs="Arial" w:eastAsia="Arial" w:hAnsi="Arial"/>
          <w:sz w:val="15"/>
          <w:szCs w:val="15"/>
          <w:color w:val="auto"/>
        </w:rPr>
        <w:t>The preparation of the consolidated financial statements in accordance with US GAAP requires management to make estimates and judgments that affect the reported amounts of assets, liabilities, revenues and expenses. The Company evaluates the estimates periodically, including those relating to trade receivables,</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31" w:name="page132"/>
    <w:bookmarkEnd w:id="131"/>
    <w:p>
      <w:pPr>
        <w:jc w:val="both"/>
        <w:spacing w:after="0" w:line="259" w:lineRule="auto"/>
        <w:rPr>
          <w:sz w:val="20"/>
          <w:szCs w:val="20"/>
          <w:color w:val="auto"/>
        </w:rPr>
      </w:pPr>
      <w:r>
        <w:rPr>
          <w:rFonts w:ascii="Arial" w:cs="Arial" w:eastAsia="Arial" w:hAnsi="Arial"/>
          <w:sz w:val="18"/>
          <w:szCs w:val="18"/>
          <w:color w:val="auto"/>
        </w:rPr>
        <w:t>inventories, future tax assets and liabilities, mining properties and asset retirement obligations. In making judgments about the carrying value of assets and liabilities, the Company uses estimates based on historical experience and various assumptions that are considered reasonable in the circumstances. Actual results may differ from these estimates.</w:t>
      </w:r>
    </w:p>
    <w:p>
      <w:pPr>
        <w:spacing w:after="0" w:line="194" w:lineRule="exact"/>
        <w:rPr>
          <w:sz w:val="20"/>
          <w:szCs w:val="20"/>
          <w:color w:val="auto"/>
        </w:rPr>
      </w:pPr>
    </w:p>
    <w:p>
      <w:pPr>
        <w:jc w:val="both"/>
        <w:ind w:firstLine="538"/>
        <w:spacing w:after="0" w:line="259" w:lineRule="auto"/>
        <w:rPr>
          <w:sz w:val="20"/>
          <w:szCs w:val="20"/>
          <w:color w:val="auto"/>
        </w:rPr>
      </w:pPr>
      <w:r>
        <w:rPr>
          <w:rFonts w:ascii="Arial" w:cs="Arial" w:eastAsia="Arial" w:hAnsi="Arial"/>
          <w:sz w:val="18"/>
          <w:szCs w:val="18"/>
          <w:color w:val="auto"/>
        </w:rPr>
        <w:t>The Company believes the following critical accounting policies relate to its more significant judgments and estimates used in the preparation of its consolidated financial statements. Management has discussed the development and selection of the following critical accounting policies with the Audit Committee of the Board and the Audit Committee has reviewed the Company's disclosure in this Form 20-F.</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Mining Properties, Plant and Equipment and Mine Development Costs</w:t>
      </w:r>
    </w:p>
    <w:p>
      <w:pPr>
        <w:spacing w:after="0" w:line="225" w:lineRule="exact"/>
        <w:rPr>
          <w:sz w:val="20"/>
          <w:szCs w:val="20"/>
          <w:color w:val="auto"/>
        </w:rPr>
      </w:pPr>
    </w:p>
    <w:p>
      <w:pPr>
        <w:jc w:val="both"/>
        <w:ind w:firstLine="405"/>
        <w:spacing w:after="0" w:line="306" w:lineRule="auto"/>
        <w:rPr>
          <w:sz w:val="20"/>
          <w:szCs w:val="20"/>
          <w:color w:val="auto"/>
        </w:rPr>
      </w:pPr>
      <w:r>
        <w:rPr>
          <w:rFonts w:ascii="Arial" w:cs="Arial" w:eastAsia="Arial" w:hAnsi="Arial"/>
          <w:sz w:val="16"/>
          <w:szCs w:val="16"/>
          <w:color w:val="auto"/>
        </w:rPr>
        <w:t>Significant payments related to the acquisition of land and mineral rights are capitalized as mining properties at cost. If a mineable ore body is discovered, such costs are amortized to income when production begins, using the unit-of-production method, based on estimated proven and probable reserves. If no mineable ore body is discovered, such costs are expensed in the period in which it is determined the property has no future economic value.</w:t>
      </w:r>
    </w:p>
    <w:p>
      <w:pPr>
        <w:spacing w:after="0" w:line="161" w:lineRule="exact"/>
        <w:rPr>
          <w:sz w:val="20"/>
          <w:szCs w:val="20"/>
          <w:color w:val="auto"/>
        </w:rPr>
      </w:pPr>
    </w:p>
    <w:p>
      <w:pPr>
        <w:jc w:val="both"/>
        <w:ind w:firstLine="365"/>
        <w:spacing w:after="0" w:line="268" w:lineRule="auto"/>
        <w:rPr>
          <w:sz w:val="20"/>
          <w:szCs w:val="20"/>
          <w:color w:val="auto"/>
        </w:rPr>
      </w:pPr>
      <w:r>
        <w:rPr>
          <w:rFonts w:ascii="Arial" w:cs="Arial" w:eastAsia="Arial" w:hAnsi="Arial"/>
          <w:sz w:val="18"/>
          <w:szCs w:val="18"/>
          <w:color w:val="auto"/>
        </w:rPr>
        <w:t>Expenditures for new facilities and improvements that can extend the useful lives of existing facilities are capitalized as plant and equipment at cost. Interest costs incurred for the construction of projects are capitalized.</w:t>
      </w:r>
    </w:p>
    <w:p>
      <w:pPr>
        <w:spacing w:after="0" w:line="186" w:lineRule="exact"/>
        <w:rPr>
          <w:sz w:val="20"/>
          <w:szCs w:val="20"/>
          <w:color w:val="auto"/>
        </w:rPr>
      </w:pPr>
    </w:p>
    <w:p>
      <w:pPr>
        <w:ind w:left="380"/>
        <w:spacing w:after="0"/>
        <w:rPr>
          <w:sz w:val="20"/>
          <w:szCs w:val="20"/>
          <w:color w:val="auto"/>
        </w:rPr>
      </w:pPr>
      <w:r>
        <w:rPr>
          <w:rFonts w:ascii="Arial" w:cs="Arial" w:eastAsia="Arial" w:hAnsi="Arial"/>
          <w:sz w:val="15"/>
          <w:szCs w:val="15"/>
          <w:color w:val="auto"/>
        </w:rPr>
        <w:t>Mine development costs incurred after the commencement of production are capitalized or deferred to the extent that these costs benefit the entire ore body.</w:t>
      </w:r>
    </w:p>
    <w:p>
      <w:pPr>
        <w:spacing w:after="0" w:line="50" w:lineRule="exact"/>
        <w:rPr>
          <w:sz w:val="20"/>
          <w:szCs w:val="20"/>
          <w:color w:val="auto"/>
        </w:rPr>
      </w:pPr>
    </w:p>
    <w:p>
      <w:pPr>
        <w:spacing w:after="0"/>
        <w:rPr>
          <w:sz w:val="20"/>
          <w:szCs w:val="20"/>
          <w:color w:val="auto"/>
        </w:rPr>
      </w:pPr>
      <w:r>
        <w:rPr>
          <w:rFonts w:ascii="Arial" w:cs="Arial" w:eastAsia="Arial" w:hAnsi="Arial"/>
          <w:sz w:val="15"/>
          <w:szCs w:val="15"/>
          <w:color w:val="auto"/>
        </w:rPr>
        <w:t>Costs incurred to access single ore blocks are expensed as incurred; otherwise, such vertical and horizontal development is classified as mine development costs.</w:t>
      </w:r>
    </w:p>
    <w:p>
      <w:pPr>
        <w:spacing w:after="0" w:line="253" w:lineRule="exact"/>
        <w:rPr>
          <w:sz w:val="20"/>
          <w:szCs w:val="20"/>
          <w:color w:val="auto"/>
        </w:rPr>
      </w:pPr>
    </w:p>
    <w:p>
      <w:pPr>
        <w:jc w:val="both"/>
        <w:ind w:firstLine="410"/>
        <w:spacing w:after="0" w:line="259" w:lineRule="auto"/>
        <w:rPr>
          <w:sz w:val="20"/>
          <w:szCs w:val="20"/>
          <w:color w:val="auto"/>
        </w:rPr>
      </w:pPr>
      <w:r>
        <w:rPr>
          <w:rFonts w:ascii="Arial" w:cs="Arial" w:eastAsia="Arial" w:hAnsi="Arial"/>
          <w:sz w:val="18"/>
          <w:szCs w:val="18"/>
          <w:color w:val="auto"/>
        </w:rPr>
        <w:t>Agnico-Eagle records depreciation on both plant and equipment and mine development costs used in commercial production on a unit-of-production basis based on the estimated proven and probable ore reserves of the mine. The unit-of-production method defines the denominator as the total proven and probable tonnes of reserves.</w:t>
      </w:r>
    </w:p>
    <w:p>
      <w:pPr>
        <w:spacing w:after="0" w:line="194" w:lineRule="exact"/>
        <w:rPr>
          <w:sz w:val="20"/>
          <w:szCs w:val="20"/>
          <w:color w:val="auto"/>
        </w:rPr>
      </w:pPr>
    </w:p>
    <w:p>
      <w:pPr>
        <w:jc w:val="both"/>
        <w:ind w:firstLine="549"/>
        <w:spacing w:after="0" w:line="259" w:lineRule="auto"/>
        <w:rPr>
          <w:sz w:val="20"/>
          <w:szCs w:val="20"/>
          <w:color w:val="auto"/>
        </w:rPr>
      </w:pPr>
      <w:r>
        <w:rPr>
          <w:rFonts w:ascii="Arial" w:cs="Arial" w:eastAsia="Arial" w:hAnsi="Arial"/>
          <w:sz w:val="18"/>
          <w:szCs w:val="18"/>
          <w:color w:val="auto"/>
        </w:rPr>
        <w:t>Repairs and maintenance expenditures are charged to income as production costs. Assets under construction are not depreciated until the end of the construction period. Upon commencement of commercial production, the capitalized construction costs are transferred to the various categories of plant and equipment.</w:t>
      </w:r>
    </w:p>
    <w:p>
      <w:pPr>
        <w:spacing w:after="0" w:line="194" w:lineRule="exact"/>
        <w:rPr>
          <w:sz w:val="20"/>
          <w:szCs w:val="20"/>
          <w:color w:val="auto"/>
        </w:rPr>
      </w:pPr>
    </w:p>
    <w:p>
      <w:pPr>
        <w:jc w:val="both"/>
        <w:ind w:firstLine="413"/>
        <w:spacing w:after="0" w:line="291" w:lineRule="auto"/>
        <w:rPr>
          <w:sz w:val="20"/>
          <w:szCs w:val="20"/>
          <w:color w:val="auto"/>
        </w:rPr>
      </w:pPr>
      <w:r>
        <w:rPr>
          <w:rFonts w:ascii="Arial" w:cs="Arial" w:eastAsia="Arial" w:hAnsi="Arial"/>
          <w:sz w:val="16"/>
          <w:szCs w:val="16"/>
          <w:color w:val="auto"/>
        </w:rPr>
        <w:t>Mineral exploration costs are charged to income in the year in which they are incurred. When it is determined that a mining property can be economically developed as a result of established proven and probable reserves, the costs of further exploration and development to further delineate the ore body on such property are capitalized. The establishment of proven and probable reserves is based on results of final feasibility studies, which indicate whether a property is economically feasible. Upon commencement of the commercial production of a development project, these costs are transferred to the appropriate asset category and are amortized to income using the unit-of-production method mentioned above. Mine development costs, net of salvage values, relating to a property which is abandoned or considered uneconomic for the foreseeable future are written off.</w:t>
      </w:r>
    </w:p>
    <w:p>
      <w:pPr>
        <w:spacing w:after="0" w:line="174" w:lineRule="exact"/>
        <w:rPr>
          <w:sz w:val="20"/>
          <w:szCs w:val="20"/>
          <w:color w:val="auto"/>
        </w:rPr>
      </w:pPr>
    </w:p>
    <w:p>
      <w:pPr>
        <w:jc w:val="both"/>
        <w:ind w:firstLine="433"/>
        <w:spacing w:after="0" w:line="289" w:lineRule="auto"/>
        <w:rPr>
          <w:sz w:val="20"/>
          <w:szCs w:val="20"/>
          <w:color w:val="auto"/>
        </w:rPr>
      </w:pPr>
      <w:r>
        <w:rPr>
          <w:rFonts w:ascii="Arial" w:cs="Arial" w:eastAsia="Arial" w:hAnsi="Arial"/>
          <w:sz w:val="16"/>
          <w:szCs w:val="16"/>
          <w:color w:val="auto"/>
        </w:rPr>
        <w:t>The carrying values of mining properties, plant and equipment and mine development costs are reviewed periodically, when impairment factors exist, for possible impairment, based on the future undiscounted net cash flows of the operating mine or development property. If it is determined that the estimated net recoverable amount is less than the carrying value, then a write down to the estimated fair value amount is made with a charge to income. Estimated future cash flows of an operating mine and development properties include estimates of recoverable ounces of gold based on the proven and probable mineral reserves. To the extent economic value exists beyond the proven and probable mineral reserves of an operating mine or development property, this value is included as part of the estimated future cash flows. Estimated future cash flows also involve estimates regarding metal prices (considering current and historical prices, price trends and related factors), production levels, capital and reclamation costs, and related income and mining taxes, all based on detailed engineering life-of-mine plans. Cash flows are subject to risks and uncertainties and changes in the estimates of the cash flows may affect the recoverability of long-lived assets.</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32" w:name="page133"/>
    <w:bookmarkEnd w:id="132"/>
    <w:p>
      <w:pPr>
        <w:spacing w:after="0"/>
        <w:rPr>
          <w:sz w:val="20"/>
          <w:szCs w:val="20"/>
          <w:color w:val="auto"/>
        </w:rPr>
      </w:pPr>
      <w:r>
        <w:rPr>
          <w:rFonts w:ascii="Arial" w:cs="Arial" w:eastAsia="Arial" w:hAnsi="Arial"/>
          <w:sz w:val="18"/>
          <w:szCs w:val="18"/>
          <w:b w:val="1"/>
          <w:bCs w:val="1"/>
          <w:i w:val="1"/>
          <w:iCs w:val="1"/>
          <w:color w:val="auto"/>
        </w:rPr>
        <w:t>Revenue Recognition</w:t>
      </w:r>
    </w:p>
    <w:p>
      <w:pPr>
        <w:spacing w:after="0" w:line="225" w:lineRule="exact"/>
        <w:rPr>
          <w:sz w:val="20"/>
          <w:szCs w:val="20"/>
          <w:color w:val="auto"/>
        </w:rPr>
      </w:pPr>
    </w:p>
    <w:p>
      <w:pPr>
        <w:ind w:left="360"/>
        <w:spacing w:after="0"/>
        <w:rPr>
          <w:sz w:val="20"/>
          <w:szCs w:val="20"/>
          <w:color w:val="auto"/>
        </w:rPr>
      </w:pPr>
      <w:r>
        <w:rPr>
          <w:rFonts w:ascii="Arial" w:cs="Arial" w:eastAsia="Arial" w:hAnsi="Arial"/>
          <w:sz w:val="18"/>
          <w:szCs w:val="18"/>
          <w:color w:val="auto"/>
        </w:rPr>
        <w:t>Revenue is recognized when the following conditions are met:</w:t>
      </w:r>
    </w:p>
    <w:p>
      <w:pPr>
        <w:spacing w:after="0" w:line="239" w:lineRule="exact"/>
        <w:rPr>
          <w:sz w:val="20"/>
          <w:szCs w:val="20"/>
          <w:color w:val="auto"/>
        </w:rPr>
      </w:pPr>
    </w:p>
    <w:p>
      <w:pPr>
        <w:ind w:left="1080" w:hanging="532"/>
        <w:spacing w:after="0"/>
        <w:tabs>
          <w:tab w:leader="none" w:pos="1080" w:val="left"/>
        </w:tabs>
        <w:numPr>
          <w:ilvl w:val="0"/>
          <w:numId w:val="36"/>
        </w:numPr>
        <w:rPr>
          <w:rFonts w:ascii="Arial" w:cs="Arial" w:eastAsia="Arial" w:hAnsi="Arial"/>
          <w:sz w:val="18"/>
          <w:szCs w:val="18"/>
          <w:color w:val="auto"/>
        </w:rPr>
      </w:pPr>
      <w:r>
        <w:rPr>
          <w:rFonts w:ascii="Arial" w:cs="Arial" w:eastAsia="Arial" w:hAnsi="Arial"/>
          <w:sz w:val="18"/>
          <w:szCs w:val="18"/>
          <w:color w:val="auto"/>
        </w:rPr>
        <w:t>persuasive evidence of an arrangement to purchase exists;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6"/>
        </w:numPr>
        <w:rPr>
          <w:rFonts w:ascii="Arial" w:cs="Arial" w:eastAsia="Arial" w:hAnsi="Arial"/>
          <w:sz w:val="18"/>
          <w:szCs w:val="18"/>
          <w:color w:val="auto"/>
        </w:rPr>
      </w:pPr>
      <w:r>
        <w:rPr>
          <w:rFonts w:ascii="Arial" w:cs="Arial" w:eastAsia="Arial" w:hAnsi="Arial"/>
          <w:sz w:val="18"/>
          <w:szCs w:val="18"/>
          <w:color w:val="auto"/>
        </w:rPr>
        <w:t>the price is determinable;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6"/>
        </w:numPr>
        <w:rPr>
          <w:rFonts w:ascii="Arial" w:cs="Arial" w:eastAsia="Arial" w:hAnsi="Arial"/>
          <w:sz w:val="18"/>
          <w:szCs w:val="18"/>
          <w:color w:val="auto"/>
        </w:rPr>
      </w:pPr>
      <w:r>
        <w:rPr>
          <w:rFonts w:ascii="Arial" w:cs="Arial" w:eastAsia="Arial" w:hAnsi="Arial"/>
          <w:sz w:val="18"/>
          <w:szCs w:val="18"/>
          <w:color w:val="auto"/>
        </w:rPr>
        <w:t>the product has been delivered;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6"/>
        </w:numPr>
        <w:rPr>
          <w:rFonts w:ascii="Arial" w:cs="Arial" w:eastAsia="Arial" w:hAnsi="Arial"/>
          <w:sz w:val="18"/>
          <w:szCs w:val="18"/>
          <w:color w:val="auto"/>
        </w:rPr>
      </w:pPr>
      <w:r>
        <w:rPr>
          <w:rFonts w:ascii="Arial" w:cs="Arial" w:eastAsia="Arial" w:hAnsi="Arial"/>
          <w:sz w:val="18"/>
          <w:szCs w:val="18"/>
          <w:color w:val="auto"/>
        </w:rPr>
        <w:t>collection of the sales price is reasonably assured.</w:t>
      </w:r>
    </w:p>
    <w:p>
      <w:pPr>
        <w:spacing w:after="0" w:line="225" w:lineRule="exact"/>
        <w:rPr>
          <w:sz w:val="20"/>
          <w:szCs w:val="20"/>
          <w:color w:val="auto"/>
        </w:rPr>
      </w:pPr>
    </w:p>
    <w:p>
      <w:pPr>
        <w:jc w:val="both"/>
        <w:ind w:firstLine="411"/>
        <w:spacing w:after="0" w:line="268" w:lineRule="auto"/>
        <w:rPr>
          <w:sz w:val="20"/>
          <w:szCs w:val="20"/>
          <w:color w:val="auto"/>
        </w:rPr>
      </w:pPr>
      <w:r>
        <w:rPr>
          <w:rFonts w:ascii="Arial" w:cs="Arial" w:eastAsia="Arial" w:hAnsi="Arial"/>
          <w:sz w:val="18"/>
          <w:szCs w:val="18"/>
          <w:color w:val="auto"/>
        </w:rPr>
        <w:t>Revenue from gold and silver in the form of dore bars is recorded when the refined gold and silver is sold and delivered to the customer. Generally all the gold and silver in the form of dore bars recovered in the Company's milling process is sold in the period in which it is produced.</w:t>
      </w:r>
    </w:p>
    <w:p>
      <w:pPr>
        <w:spacing w:after="0" w:line="186" w:lineRule="exact"/>
        <w:rPr>
          <w:sz w:val="20"/>
          <w:szCs w:val="20"/>
          <w:color w:val="auto"/>
        </w:rPr>
      </w:pPr>
    </w:p>
    <w:p>
      <w:pPr>
        <w:jc w:val="both"/>
        <w:ind w:firstLine="354"/>
        <w:spacing w:after="0" w:line="294" w:lineRule="auto"/>
        <w:rPr>
          <w:sz w:val="20"/>
          <w:szCs w:val="20"/>
          <w:color w:val="auto"/>
        </w:rPr>
      </w:pPr>
      <w:r>
        <w:rPr>
          <w:rFonts w:ascii="Arial" w:cs="Arial" w:eastAsia="Arial" w:hAnsi="Arial"/>
          <w:sz w:val="16"/>
          <w:szCs w:val="16"/>
          <w:color w:val="auto"/>
        </w:rPr>
        <w:t>Under the terms of concentrate sales contracts with third-party smelters, final prices for the gold, silver, zinc, copper and lead in the concentrate are set based on the prevailing spot market metal prices on a specified future date based on the date that the concentrate is delivered to the smelter. Agnico-Eagle records revenues under these contracts based on forward prices at the time of delivery, which is when transfer of legal title to concentrate passes to the third-party smelters. The terms of the contracts result in differences between the recorded estimated price at delivery and the final settlement price. These differences are adjusted through revenue at each subsequent financial statement date.</w:t>
      </w:r>
    </w:p>
    <w:p>
      <w:pPr>
        <w:spacing w:after="0" w:line="170" w:lineRule="exact"/>
        <w:rPr>
          <w:sz w:val="20"/>
          <w:szCs w:val="20"/>
          <w:color w:val="auto"/>
        </w:rPr>
      </w:pPr>
    </w:p>
    <w:p>
      <w:pPr>
        <w:jc w:val="both"/>
        <w:ind w:firstLine="366"/>
        <w:spacing w:after="0" w:line="268" w:lineRule="auto"/>
        <w:rPr>
          <w:sz w:val="20"/>
          <w:szCs w:val="20"/>
          <w:color w:val="auto"/>
        </w:rPr>
      </w:pPr>
      <w:r>
        <w:rPr>
          <w:rFonts w:ascii="Arial" w:cs="Arial" w:eastAsia="Arial" w:hAnsi="Arial"/>
          <w:sz w:val="18"/>
          <w:szCs w:val="18"/>
          <w:color w:val="auto"/>
        </w:rPr>
        <w:t>Revenues from mining operations consist of gold revenues, net of smelting, refining and other marketing charges. Revenues from byproduct metals sales are shown net of smelter charges as part of revenues from mining operations.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Reclamation Costs</w:t>
      </w:r>
    </w:p>
    <w:p>
      <w:pPr>
        <w:spacing w:after="0" w:line="225" w:lineRule="exact"/>
        <w:rPr>
          <w:sz w:val="20"/>
          <w:szCs w:val="20"/>
          <w:color w:val="auto"/>
        </w:rPr>
      </w:pPr>
    </w:p>
    <w:p>
      <w:pPr>
        <w:jc w:val="both"/>
        <w:ind w:firstLine="355"/>
        <w:spacing w:after="0" w:line="304" w:lineRule="auto"/>
        <w:rPr>
          <w:sz w:val="20"/>
          <w:szCs w:val="20"/>
          <w:color w:val="auto"/>
        </w:rPr>
      </w:pPr>
      <w:r>
        <w:rPr>
          <w:rFonts w:ascii="Arial" w:cs="Arial" w:eastAsia="Arial" w:hAnsi="Arial"/>
          <w:sz w:val="15"/>
          <w:szCs w:val="15"/>
          <w:color w:val="auto"/>
        </w:rPr>
        <w:t>On an annual basis, the Company assesses cost estimates and other assumptions used in the valuation of Asset Retirement Obligations ("ARO") at each of its mineral properties to reflect events, changes in circumstances and new information available. Changes in these cost estimates and assumptions have a corresponding impact on the fair value of the ARO. For closed mines, any change in the fair value of AROs results in a corresponding charge or credit within other expense, whereas at operating mines the charge is recorded as an adjustment to the carrying amount of the corresponding asset The Company did not record any adjustments for changes in estimates of the AROs at our operating mines in 2009. AROs arise from the acquisition, development, construction and normal operation of mining property, plant and equipment, due to government controls and regulations that protect the environment on the closure and reclamation of mining properties. The major parts of the carrying amount of AROs relate to tailings and heap leach pad closure/ rehabilitation; demolition of buildings/mine facilities; ongoing water treatment; and ongoing care and maintenance of closed mines. The fair values of AROs are measured by discounting the expected cash flows using a discount factor that reflects the credit-adjusted risk-free rate of interest. The Company prepares estimates of the timing and amount of expected cash flows when an ARO is incurred. Expected cash flows are updated to reflect changes in facts and circumstances. The principal factors that can cause expected cash flows to change are: the construction of new processing facilities; changes in the quantities of material in reserves and a corresponding change in the life of mine plan; changing ore characteristics that impact required environmental protection measures and related costs; changes in water quality that impact the extent of water treatment required; and changes in laws and regulations governing the protection of the environment. When expected cash flows increase, the revised cash flows are discounted using a current discount factor whereas when expected cash flows decrease the reduced cash flows are discounted using the historical discount factor used in the original estimation of the expected cash flows, and then in both cases any change in the fair value of the ARO is recorded. Agnico-Eagle records the fair value of an ARO when it is incurred. AROs are adjusted to reflect the passage of time (accretion) calculated by applying the discount factor implicit in the initial fair value measurement to the beginning-of-period carrying amount of the AROs. For producing mines, accretion expense is recorded in the cost of goods sold each period. Upon settlement of an ARO, Agnico-Eagle records a gain or loss if the actual cost differs from the carrying amount of the ARO. Settlement gains/losses are recorded in other (income) expense. Other environmental remediation costs that are not AROs as defined by ASC 410 — Asset</w:t>
      </w:r>
    </w:p>
    <w:p>
      <w:pPr>
        <w:spacing w:after="0" w:line="38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33" w:name="page134"/>
    <w:bookmarkEnd w:id="133"/>
    <w:p>
      <w:pPr>
        <w:jc w:val="both"/>
        <w:spacing w:after="0" w:line="268" w:lineRule="auto"/>
        <w:rPr>
          <w:sz w:val="20"/>
          <w:szCs w:val="20"/>
          <w:color w:val="auto"/>
        </w:rPr>
      </w:pPr>
      <w:r>
        <w:rPr>
          <w:rFonts w:ascii="Arial" w:cs="Arial" w:eastAsia="Arial" w:hAnsi="Arial"/>
          <w:sz w:val="18"/>
          <w:szCs w:val="18"/>
          <w:color w:val="auto"/>
        </w:rPr>
        <w:t>Retirement and Environmental Obligations (Prior authoritative literature: FASB Statement No. 143, Accounting for Asset Retirement Obligations) are expensed as incurred.</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Future Tax Assets and Liabilities</w:t>
      </w:r>
    </w:p>
    <w:p>
      <w:pPr>
        <w:spacing w:after="0" w:line="225" w:lineRule="exact"/>
        <w:rPr>
          <w:sz w:val="20"/>
          <w:szCs w:val="20"/>
          <w:color w:val="auto"/>
        </w:rPr>
      </w:pPr>
    </w:p>
    <w:p>
      <w:pPr>
        <w:jc w:val="both"/>
        <w:ind w:right="20" w:firstLine="381"/>
        <w:spacing w:after="0" w:line="332" w:lineRule="auto"/>
        <w:rPr>
          <w:sz w:val="20"/>
          <w:szCs w:val="20"/>
          <w:color w:val="auto"/>
        </w:rPr>
      </w:pPr>
      <w:r>
        <w:rPr>
          <w:rFonts w:ascii="Arial" w:cs="Arial" w:eastAsia="Arial" w:hAnsi="Arial"/>
          <w:sz w:val="16"/>
          <w:szCs w:val="16"/>
          <w:color w:val="auto"/>
        </w:rPr>
        <w:t>Agnico-Eagle follows the liability method of tax allocation for accounting for income taxes. Under this method of tax allocation, future income and mining tax bases of assets and liabilities are measured using the enacted tax rates and laws expected to be in effect when the differences are expected to reverse.</w:t>
      </w:r>
    </w:p>
    <w:p>
      <w:pPr>
        <w:spacing w:after="0" w:line="139" w:lineRule="exact"/>
        <w:rPr>
          <w:sz w:val="20"/>
          <w:szCs w:val="20"/>
          <w:color w:val="auto"/>
        </w:rPr>
      </w:pPr>
    </w:p>
    <w:p>
      <w:pPr>
        <w:jc w:val="both"/>
        <w:ind w:firstLine="363"/>
        <w:spacing w:after="0" w:line="291" w:lineRule="auto"/>
        <w:rPr>
          <w:sz w:val="20"/>
          <w:szCs w:val="20"/>
          <w:color w:val="auto"/>
        </w:rPr>
      </w:pPr>
      <w:r>
        <w:rPr>
          <w:rFonts w:ascii="Arial" w:cs="Arial" w:eastAsia="Arial" w:hAnsi="Arial"/>
          <w:sz w:val="16"/>
          <w:szCs w:val="16"/>
          <w:color w:val="auto"/>
        </w:rPr>
        <w:t>The Company's operations involve dealing with uncertainties and judgments in the application of complex tax regulations in multiple jurisdictions. The final taxes paid are dependent upon many factors, including negotiations with taxing authorities in various jurisdictions and resolution of disputes arising from federal, provincial, state, and international tax audits. The Company recognizes the effect of uncertain tax positions and records tax liabilities for anticipated tax audit issues in Canada and other tax jurisdictions where it is more likely than not based on technical merits that the position would not be sustained. The Company recognizes the amount of any tax benefits that have greater than 50 percent likelihood of being ultimately realized upon settlement. At January 1, 2007, the Company adopted guidance for accounting for uncertainty in income taxes to record these liabilities.</w:t>
      </w:r>
    </w:p>
    <w:p>
      <w:pPr>
        <w:spacing w:after="0" w:line="174" w:lineRule="exact"/>
        <w:rPr>
          <w:sz w:val="20"/>
          <w:szCs w:val="20"/>
          <w:color w:val="auto"/>
        </w:rPr>
      </w:pPr>
    </w:p>
    <w:p>
      <w:pPr>
        <w:jc w:val="both"/>
        <w:ind w:firstLine="417"/>
        <w:spacing w:after="0" w:line="294" w:lineRule="auto"/>
        <w:rPr>
          <w:sz w:val="20"/>
          <w:szCs w:val="20"/>
          <w:color w:val="auto"/>
        </w:rPr>
      </w:pPr>
      <w:r>
        <w:rPr>
          <w:rFonts w:ascii="Arial" w:cs="Arial" w:eastAsia="Arial" w:hAnsi="Arial"/>
          <w:sz w:val="16"/>
          <w:szCs w:val="16"/>
          <w:color w:val="auto"/>
        </w:rPr>
        <w:t>Changes in judgment related to the expected ultimate resolution of uncertain tax positions are recognized in the year of such change. Accrued interest and penalties related to unrecognized tax benefits are recorded in income tax expense in the current year. The Company adjusts these reserves in light of changing facts and circumstances; however, due to the complexity of some of these uncertainties, the ultimate resolution may result in a payment that is materially different from the Company's current estimate of the tax liabilities. If the Company's estimate of tax liabilities proves to be less than the ultimate assessment, an additional charge to expense would result. If the estimate of tax liabilities proves to be greater than the ultimate assessment, a tax benefit would result.</w:t>
      </w:r>
    </w:p>
    <w:p>
      <w:pPr>
        <w:spacing w:after="0" w:line="170" w:lineRule="exact"/>
        <w:rPr>
          <w:sz w:val="20"/>
          <w:szCs w:val="20"/>
          <w:color w:val="auto"/>
        </w:rPr>
      </w:pPr>
    </w:p>
    <w:p>
      <w:pPr>
        <w:jc w:val="both"/>
        <w:ind w:firstLine="484"/>
        <w:spacing w:after="0" w:line="306" w:lineRule="auto"/>
        <w:rPr>
          <w:sz w:val="20"/>
          <w:szCs w:val="20"/>
          <w:color w:val="auto"/>
        </w:rPr>
      </w:pPr>
      <w:r>
        <w:rPr>
          <w:rFonts w:ascii="Arial" w:cs="Arial" w:eastAsia="Arial" w:hAnsi="Arial"/>
          <w:sz w:val="16"/>
          <w:szCs w:val="16"/>
          <w:color w:val="auto"/>
        </w:rPr>
        <w:t>On December 12, 2008, the Company executed a Canadian federal tax election to commence using the US dollar as its functional currency for federal Canadian income tax purposes. As the related tax legislation was enacted in the first quarter of 2009, this election applies to taxation years ended December 31, 2008 and subsequent. This election resulted in a deferred tax benefit of $21.0 million for the period ended December 31, 2009.</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Financial Instruments</w:t>
      </w:r>
    </w:p>
    <w:p>
      <w:pPr>
        <w:spacing w:after="0" w:line="225" w:lineRule="exact"/>
        <w:rPr>
          <w:sz w:val="20"/>
          <w:szCs w:val="20"/>
          <w:color w:val="auto"/>
        </w:rPr>
      </w:pPr>
    </w:p>
    <w:p>
      <w:pPr>
        <w:jc w:val="both"/>
        <w:ind w:firstLine="357"/>
        <w:spacing w:after="0" w:line="332" w:lineRule="auto"/>
        <w:rPr>
          <w:sz w:val="20"/>
          <w:szCs w:val="20"/>
          <w:color w:val="auto"/>
        </w:rPr>
      </w:pPr>
      <w:r>
        <w:rPr>
          <w:rFonts w:ascii="Arial" w:cs="Arial" w:eastAsia="Arial" w:hAnsi="Arial"/>
          <w:sz w:val="16"/>
          <w:szCs w:val="16"/>
          <w:color w:val="auto"/>
        </w:rPr>
        <w:t>Agnico-Eagle uses derivative financial instruments, primarily option and forward contracts, to manage exposure to fluctuations of metal prices, interest rates and foreign currency exchange rates. Agnico-Eagle does not hold financial instruments or derivative financial instruments for trading purposes.</w:t>
      </w:r>
    </w:p>
    <w:p>
      <w:pPr>
        <w:spacing w:after="0" w:line="139" w:lineRule="exact"/>
        <w:rPr>
          <w:sz w:val="20"/>
          <w:szCs w:val="20"/>
          <w:color w:val="auto"/>
        </w:rPr>
      </w:pPr>
    </w:p>
    <w:p>
      <w:pPr>
        <w:jc w:val="both"/>
        <w:ind w:firstLine="456"/>
        <w:spacing w:after="0" w:line="294" w:lineRule="auto"/>
        <w:rPr>
          <w:sz w:val="20"/>
          <w:szCs w:val="20"/>
          <w:color w:val="auto"/>
        </w:rPr>
      </w:pPr>
      <w:r>
        <w:rPr>
          <w:rFonts w:ascii="Arial" w:cs="Arial" w:eastAsia="Arial" w:hAnsi="Arial"/>
          <w:sz w:val="16"/>
          <w:szCs w:val="16"/>
          <w:color w:val="auto"/>
        </w:rPr>
        <w:t>The Company recognizes all derivative financial instruments in the consolidated financial statements at fair value regardless of the purpose or intent for holding the instrument. Changes in the fair value of derivative financial instruments are either recognized periodically in income or in shareholders' equity as a component of accumulated other comprehensive income (loss), depending on the nature of the derivative financial instrument and whether it qualifies for hedge accounting. Financial instruments designated as hedges are tested for effectiveness on a quarterly basis. Gains and losses on those contracts that are proven to be effective are reported as a component of the related transaction.</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Stock-Based Compensation</w:t>
      </w:r>
    </w:p>
    <w:p>
      <w:pPr>
        <w:spacing w:after="0" w:line="225" w:lineRule="exact"/>
        <w:rPr>
          <w:sz w:val="20"/>
          <w:szCs w:val="20"/>
          <w:color w:val="auto"/>
        </w:rPr>
      </w:pPr>
    </w:p>
    <w:p>
      <w:pPr>
        <w:jc w:val="both"/>
        <w:ind w:firstLine="533"/>
        <w:spacing w:after="0" w:line="298" w:lineRule="auto"/>
        <w:rPr>
          <w:sz w:val="20"/>
          <w:szCs w:val="20"/>
          <w:color w:val="auto"/>
        </w:rPr>
      </w:pPr>
      <w:r>
        <w:rPr>
          <w:rFonts w:ascii="Arial" w:cs="Arial" w:eastAsia="Arial" w:hAnsi="Arial"/>
          <w:sz w:val="16"/>
          <w:szCs w:val="16"/>
          <w:color w:val="auto"/>
        </w:rPr>
        <w:t>The Company's Employee Stock Option Plan provides for the granting of options to directors, officers, employees and service providers to purchase common shares. Options have exercise prices equal to market price on the day prior to the date of grant. The fair value of these options is recognized in the consolidated statement of income or in the consolidated balance sheet if capitalized as part of property, plant and mine development over the applicable vesting period as a compensation cost. Any consideration paid by employees on exercise of options or purchase of common shares is credited to share capital.</w:t>
      </w:r>
    </w:p>
    <w:p>
      <w:pPr>
        <w:spacing w:after="0" w:line="1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34" w:name="page135"/>
    <w:bookmarkEnd w:id="134"/>
    <w:p>
      <w:pPr>
        <w:jc w:val="both"/>
        <w:ind w:firstLine="403"/>
        <w:spacing w:after="0" w:line="256" w:lineRule="auto"/>
        <w:rPr>
          <w:sz w:val="20"/>
          <w:szCs w:val="20"/>
          <w:color w:val="auto"/>
        </w:rPr>
      </w:pPr>
      <w:r>
        <w:rPr>
          <w:rFonts w:ascii="Arial" w:cs="Arial" w:eastAsia="Arial" w:hAnsi="Arial"/>
          <w:sz w:val="18"/>
          <w:szCs w:val="18"/>
          <w:color w:val="auto"/>
        </w:rPr>
        <w:t>Fair value is determined using the Black-Scholes option valuation model which requires the Company to estimate the expected volatility of the Company's share price and the expected life of the stock options. Limitations with existing option valuation models and the inherent difficulties associated with estimating these variables create difficulties in determining a reliable single measure of the fair value of stock option grants. The dilutive impact of stock option grants is factored into the Company's reported diluted income per share.</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Commercial Production</w:t>
      </w:r>
    </w:p>
    <w:p>
      <w:pPr>
        <w:spacing w:after="0" w:line="225" w:lineRule="exact"/>
        <w:rPr>
          <w:sz w:val="20"/>
          <w:szCs w:val="20"/>
          <w:color w:val="auto"/>
        </w:rPr>
      </w:pPr>
    </w:p>
    <w:p>
      <w:pPr>
        <w:jc w:val="both"/>
        <w:ind w:firstLine="402"/>
        <w:spacing w:after="0" w:line="290" w:lineRule="auto"/>
        <w:rPr>
          <w:sz w:val="20"/>
          <w:szCs w:val="20"/>
          <w:color w:val="auto"/>
        </w:rPr>
      </w:pPr>
      <w:r>
        <w:rPr>
          <w:rFonts w:ascii="Arial" w:cs="Arial" w:eastAsia="Arial" w:hAnsi="Arial"/>
          <w:sz w:val="16"/>
          <w:szCs w:val="16"/>
          <w:color w:val="auto"/>
        </w:rPr>
        <w:t>The Company assesses each mine construction project to determine when a mine moves into production stage. The criteria used to assess the start date are determined based on the nature of each mine construction project, such as the complexity of a plant and its location. The Company considers various relevant criteria to assess when the mine is substantially complete and ready for its intended use and moved into production stage. The criteria considered include: (1) the completion of a reasonable period of testing of mine plant and equipment; (2) the ability to produce minerals in saleable form (within specifications); and (3) the ability to sustain ongoing production of minerals. When a mine construction project moves into the production stage, the capitalization of certain mine construction costs ceases and costs are either capitalized to inventory or expensed, except for sustaining capital costs related to property, plant and equipment and underground mine development or reserve development.</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Stripping Costs</w:t>
      </w:r>
    </w:p>
    <w:p>
      <w:pPr>
        <w:spacing w:after="0" w:line="225" w:lineRule="exact"/>
        <w:rPr>
          <w:sz w:val="20"/>
          <w:szCs w:val="20"/>
          <w:color w:val="auto"/>
        </w:rPr>
      </w:pPr>
    </w:p>
    <w:p>
      <w:pPr>
        <w:jc w:val="both"/>
        <w:ind w:firstLine="370"/>
        <w:spacing w:after="0" w:line="294" w:lineRule="auto"/>
        <w:rPr>
          <w:sz w:val="20"/>
          <w:szCs w:val="20"/>
          <w:color w:val="auto"/>
        </w:rPr>
      </w:pPr>
      <w:r>
        <w:rPr>
          <w:rFonts w:ascii="Arial" w:cs="Arial" w:eastAsia="Arial" w:hAnsi="Arial"/>
          <w:sz w:val="16"/>
          <w:szCs w:val="16"/>
          <w:color w:val="auto"/>
        </w:rPr>
        <w:t xml:space="preserve">Pre-production stripping costs are capitalized until an "other than </w:t>
      </w:r>
      <w:r>
        <w:rPr>
          <w:rFonts w:ascii="Arial" w:cs="Arial" w:eastAsia="Arial" w:hAnsi="Arial"/>
          <w:sz w:val="16"/>
          <w:szCs w:val="16"/>
          <w:i w:val="1"/>
          <w:iCs w:val="1"/>
          <w:color w:val="auto"/>
        </w:rPr>
        <w:t>de minimis</w:t>
      </w:r>
      <w:r>
        <w:rPr>
          <w:rFonts w:ascii="Arial" w:cs="Arial" w:eastAsia="Arial" w:hAnsi="Arial"/>
          <w:sz w:val="16"/>
          <w:szCs w:val="16"/>
          <w:color w:val="auto"/>
        </w:rPr>
        <w:t xml:space="preserve">" level of mineral is produced, after which time such costs are either capitalized to inventory or expensed. The Company considers various relevant criteria to assess when an "other than </w:t>
      </w:r>
      <w:r>
        <w:rPr>
          <w:rFonts w:ascii="Arial" w:cs="Arial" w:eastAsia="Arial" w:hAnsi="Arial"/>
          <w:sz w:val="16"/>
          <w:szCs w:val="16"/>
          <w:i w:val="1"/>
          <w:iCs w:val="1"/>
          <w:color w:val="auto"/>
        </w:rPr>
        <w:t>de minimis</w:t>
      </w:r>
      <w:r>
        <w:rPr>
          <w:rFonts w:ascii="Arial" w:cs="Arial" w:eastAsia="Arial" w:hAnsi="Arial"/>
          <w:sz w:val="16"/>
          <w:szCs w:val="16"/>
          <w:color w:val="auto"/>
        </w:rPr>
        <w:t>" level of mineral is produced. The criteria considered include: (1) the number of ounces mined compared to total ounces in mineral reserves; (2) the quantity of ore mined compared to the total quantity of ore expected to be mined over the life of the mine; (3) the current stripping ratio compared to the expected stripping ratio over the life of the mine; and (4) the ore grade compared to the expected ore grade over the life of the mine.</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Recently Issued Accounting Pronouncements and Developments</w:t>
      </w:r>
    </w:p>
    <w:p>
      <w:pPr>
        <w:spacing w:after="0" w:line="231" w:lineRule="exact"/>
        <w:rPr>
          <w:sz w:val="20"/>
          <w:szCs w:val="20"/>
          <w:color w:val="auto"/>
        </w:rPr>
      </w:pPr>
    </w:p>
    <w:p>
      <w:pPr>
        <w:jc w:val="both"/>
        <w:ind w:firstLine="428"/>
        <w:spacing w:after="0" w:line="259" w:lineRule="auto"/>
        <w:rPr>
          <w:sz w:val="20"/>
          <w:szCs w:val="20"/>
          <w:color w:val="auto"/>
        </w:rPr>
      </w:pPr>
      <w:r>
        <w:rPr>
          <w:rFonts w:ascii="Arial" w:cs="Arial" w:eastAsia="Arial" w:hAnsi="Arial"/>
          <w:sz w:val="18"/>
          <w:szCs w:val="18"/>
          <w:color w:val="auto"/>
        </w:rPr>
        <w:t>Under the SEC Staff Accounting Bulletin 74, the Company is required to disclose information related to new accounting standards that have not yet been adopted. The Company is currently evaluating the impact that the adoption of these statements will have on the Company's consolidated financial position, results of operations and disclosures.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Variable Interest Entities</w:t>
      </w:r>
    </w:p>
    <w:p>
      <w:pPr>
        <w:spacing w:after="0" w:line="225" w:lineRule="exact"/>
        <w:rPr>
          <w:sz w:val="20"/>
          <w:szCs w:val="20"/>
          <w:color w:val="auto"/>
        </w:rPr>
      </w:pPr>
    </w:p>
    <w:p>
      <w:pPr>
        <w:jc w:val="both"/>
        <w:ind w:firstLine="438"/>
        <w:spacing w:after="0" w:line="259" w:lineRule="auto"/>
        <w:rPr>
          <w:sz w:val="20"/>
          <w:szCs w:val="20"/>
          <w:color w:val="auto"/>
        </w:rPr>
      </w:pPr>
      <w:r>
        <w:rPr>
          <w:rFonts w:ascii="Arial" w:cs="Arial" w:eastAsia="Arial" w:hAnsi="Arial"/>
          <w:sz w:val="18"/>
          <w:szCs w:val="18"/>
          <w:color w:val="auto"/>
        </w:rPr>
        <w:t>In June 2009, the ASC guidance for consolidation accounting was updated to require an entity to perform a qualitative analysis to determine whether the enterprise's variable interest gives it a controlling financial interest in a VIE. This analysis identifies a primary beneficiary of a VIE as the entity that has both of the following characteristics:</w:t>
      </w:r>
    </w:p>
    <w:p>
      <w:pPr>
        <w:spacing w:after="0" w:line="208" w:lineRule="exact"/>
        <w:rPr>
          <w:sz w:val="20"/>
          <w:szCs w:val="20"/>
          <w:color w:val="auto"/>
        </w:rPr>
      </w:pPr>
    </w:p>
    <w:p>
      <w:pPr>
        <w:ind w:left="1080" w:hanging="532"/>
        <w:spacing w:after="0"/>
        <w:tabs>
          <w:tab w:leader="none" w:pos="1080" w:val="left"/>
        </w:tabs>
        <w:numPr>
          <w:ilvl w:val="0"/>
          <w:numId w:val="37"/>
        </w:numPr>
        <w:rPr>
          <w:rFonts w:ascii="Arial" w:cs="Arial" w:eastAsia="Arial" w:hAnsi="Arial"/>
          <w:sz w:val="18"/>
          <w:szCs w:val="18"/>
          <w:color w:val="auto"/>
        </w:rPr>
      </w:pPr>
      <w:r>
        <w:rPr>
          <w:rFonts w:ascii="Arial" w:cs="Arial" w:eastAsia="Arial" w:hAnsi="Arial"/>
          <w:sz w:val="18"/>
          <w:szCs w:val="18"/>
          <w:color w:val="auto"/>
        </w:rPr>
        <w:t>The power to direct the activities of a VIE that most significantly impact the entity's economic performance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7"/>
        </w:numPr>
        <w:rPr>
          <w:rFonts w:ascii="Arial" w:cs="Arial" w:eastAsia="Arial" w:hAnsi="Arial"/>
          <w:sz w:val="18"/>
          <w:szCs w:val="18"/>
          <w:color w:val="auto"/>
        </w:rPr>
      </w:pPr>
      <w:r>
        <w:rPr>
          <w:rFonts w:ascii="Arial" w:cs="Arial" w:eastAsia="Arial" w:hAnsi="Arial"/>
          <w:sz w:val="18"/>
          <w:szCs w:val="18"/>
          <w:color w:val="auto"/>
        </w:rPr>
        <w:t>The obligation to absorb losses or receive benefits from the entity that could potentially be significant to the VIE.</w:t>
      </w:r>
    </w:p>
    <w:p>
      <w:pPr>
        <w:spacing w:after="0" w:line="225"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The updated guidance also requires ongoing reassessments of the primary beneficiary of a VIE. The updated guidance is effective for the Company's fiscal year beginning January 1, 2010. The Company is evaluating the potential impact of adopting this guidance on the Company's consolidated financial position, results of operations and cash flows.</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35" w:name="page136"/>
    <w:bookmarkEnd w:id="135"/>
    <w:p>
      <w:pPr>
        <w:spacing w:after="0"/>
        <w:rPr>
          <w:sz w:val="20"/>
          <w:szCs w:val="20"/>
          <w:color w:val="auto"/>
        </w:rPr>
      </w:pPr>
      <w:r>
        <w:rPr>
          <w:rFonts w:ascii="Arial" w:cs="Arial" w:eastAsia="Arial" w:hAnsi="Arial"/>
          <w:sz w:val="18"/>
          <w:szCs w:val="18"/>
          <w:i w:val="1"/>
          <w:iCs w:val="1"/>
          <w:color w:val="auto"/>
        </w:rPr>
        <w:t>Fair Value Accounting</w:t>
      </w:r>
    </w:p>
    <w:p>
      <w:pPr>
        <w:spacing w:after="0" w:line="225" w:lineRule="exact"/>
        <w:rPr>
          <w:sz w:val="20"/>
          <w:szCs w:val="20"/>
          <w:color w:val="auto"/>
        </w:rPr>
      </w:pPr>
    </w:p>
    <w:p>
      <w:pPr>
        <w:ind w:left="360"/>
        <w:spacing w:after="0"/>
        <w:rPr>
          <w:sz w:val="20"/>
          <w:szCs w:val="20"/>
          <w:color w:val="auto"/>
        </w:rPr>
      </w:pPr>
      <w:r>
        <w:rPr>
          <w:rFonts w:ascii="Arial" w:cs="Arial" w:eastAsia="Arial" w:hAnsi="Arial"/>
          <w:sz w:val="18"/>
          <w:szCs w:val="18"/>
          <w:color w:val="auto"/>
        </w:rPr>
        <w:t>In January 2010, the ASC guidance for fair value measurements and disclosure was updated to require additional disclosures related to:</w:t>
      </w:r>
    </w:p>
    <w:p>
      <w:pPr>
        <w:spacing w:after="0" w:line="239" w:lineRule="exact"/>
        <w:rPr>
          <w:sz w:val="20"/>
          <w:szCs w:val="20"/>
          <w:color w:val="auto"/>
        </w:rPr>
      </w:pPr>
    </w:p>
    <w:p>
      <w:pPr>
        <w:ind w:left="1080" w:hanging="532"/>
        <w:spacing w:after="0"/>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Transfers in and out of level 1 and 2 fair value measurements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Enhanced detail in the level 3 reconciliation.</w:t>
      </w:r>
    </w:p>
    <w:p>
      <w:pPr>
        <w:spacing w:after="0" w:line="225"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guidance was amended to provide clarity about:</w:t>
      </w:r>
    </w:p>
    <w:p>
      <w:pPr>
        <w:spacing w:after="0" w:line="239" w:lineRule="exact"/>
        <w:rPr>
          <w:sz w:val="20"/>
          <w:szCs w:val="20"/>
          <w:color w:val="auto"/>
        </w:rPr>
      </w:pPr>
    </w:p>
    <w:p>
      <w:pPr>
        <w:ind w:left="1080" w:hanging="532"/>
        <w:spacing w:after="0"/>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The level of disaggregation required for assets and liabilities and</w:t>
      </w:r>
    </w:p>
    <w:p>
      <w:pPr>
        <w:spacing w:after="0" w:line="238"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The disclosures required for inputs and valuation techniques used to measure fair value for both recurring and nonrecurring measurements that fall in either level 2 or level 3.</w:t>
      </w:r>
    </w:p>
    <w:p>
      <w:pPr>
        <w:spacing w:after="0" w:line="186" w:lineRule="exact"/>
        <w:rPr>
          <w:sz w:val="20"/>
          <w:szCs w:val="20"/>
          <w:color w:val="auto"/>
        </w:rPr>
      </w:pPr>
    </w:p>
    <w:p>
      <w:pPr>
        <w:jc w:val="both"/>
        <w:ind w:firstLine="508"/>
        <w:spacing w:after="0" w:line="259" w:lineRule="auto"/>
        <w:rPr>
          <w:sz w:val="20"/>
          <w:szCs w:val="20"/>
          <w:color w:val="auto"/>
        </w:rPr>
      </w:pPr>
      <w:r>
        <w:rPr>
          <w:rFonts w:ascii="Arial" w:cs="Arial" w:eastAsia="Arial" w:hAnsi="Arial"/>
          <w:sz w:val="18"/>
          <w:szCs w:val="18"/>
          <w:color w:val="auto"/>
        </w:rPr>
        <w:t>The updated guidance is effective for the Company's fiscal year beginning January 1, 2010, with the exception of the level 3 disaggregation which is effective for the Company's fiscal year beginning January 1, 2011. The Company is evaluating the potential impact of adopting this guidance on the Company's consolidated financial position, results of operations and cash flows.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International Financial Reporting Standards</w:t>
      </w:r>
    </w:p>
    <w:p>
      <w:pPr>
        <w:spacing w:after="0" w:line="225" w:lineRule="exact"/>
        <w:rPr>
          <w:sz w:val="20"/>
          <w:szCs w:val="20"/>
          <w:color w:val="auto"/>
        </w:rPr>
      </w:pPr>
    </w:p>
    <w:p>
      <w:pPr>
        <w:jc w:val="both"/>
        <w:ind w:firstLine="409"/>
        <w:spacing w:after="0" w:line="256" w:lineRule="auto"/>
        <w:rPr>
          <w:sz w:val="20"/>
          <w:szCs w:val="20"/>
          <w:color w:val="auto"/>
        </w:rPr>
      </w:pPr>
      <w:r>
        <w:rPr>
          <w:rFonts w:ascii="Arial" w:cs="Arial" w:eastAsia="Arial" w:hAnsi="Arial"/>
          <w:sz w:val="18"/>
          <w:szCs w:val="18"/>
          <w:color w:val="auto"/>
        </w:rPr>
        <w:t>Based on recent announcements from the Canadian Securities Administrators and the Securities Exchange Commission, it is currently anticipated that as a Canadian issuer and existing US GAAP filer, the earliest date at which the Company will be required to adopt International Financial Reporting Standards ("IFRS") as its principal basis of accounting is for the year ending December 31, 2015. Therefore, financial statement comparative figures prepared under IFRS would be required for fiscal year 2013.</w:t>
      </w:r>
    </w:p>
    <w:p>
      <w:pPr>
        <w:spacing w:after="0" w:line="197" w:lineRule="exact"/>
        <w:rPr>
          <w:sz w:val="20"/>
          <w:szCs w:val="20"/>
          <w:color w:val="auto"/>
        </w:rPr>
      </w:pPr>
    </w:p>
    <w:p>
      <w:pPr>
        <w:jc w:val="both"/>
        <w:ind w:firstLine="348"/>
        <w:spacing w:after="0" w:line="268" w:lineRule="auto"/>
        <w:rPr>
          <w:sz w:val="20"/>
          <w:szCs w:val="20"/>
          <w:color w:val="auto"/>
        </w:rPr>
      </w:pPr>
      <w:r>
        <w:rPr>
          <w:rFonts w:ascii="Arial" w:cs="Arial" w:eastAsia="Arial" w:hAnsi="Arial"/>
          <w:sz w:val="18"/>
          <w:szCs w:val="18"/>
          <w:color w:val="auto"/>
        </w:rPr>
        <w:t>An IFRS project group and a steering committee has been established and a high level project plan has been formulated. The implementation of IFRS will be done through three distinct phases:</w:t>
      </w:r>
    </w:p>
    <w:p>
      <w:pPr>
        <w:spacing w:after="0" w:line="213" w:lineRule="exact"/>
        <w:rPr>
          <w:sz w:val="20"/>
          <w:szCs w:val="20"/>
          <w:color w:val="auto"/>
        </w:rPr>
      </w:pPr>
    </w:p>
    <w:p>
      <w:pPr>
        <w:ind w:left="1080" w:hanging="532"/>
        <w:spacing w:after="0"/>
        <w:tabs>
          <w:tab w:leader="none" w:pos="1080" w:val="left"/>
        </w:tabs>
        <w:numPr>
          <w:ilvl w:val="0"/>
          <w:numId w:val="40"/>
        </w:numPr>
        <w:rPr>
          <w:rFonts w:ascii="Arial" w:cs="Arial" w:eastAsia="Arial" w:hAnsi="Arial"/>
          <w:sz w:val="18"/>
          <w:szCs w:val="18"/>
          <w:color w:val="auto"/>
        </w:rPr>
      </w:pPr>
      <w:r>
        <w:rPr>
          <w:rFonts w:ascii="Arial" w:cs="Arial" w:eastAsia="Arial" w:hAnsi="Arial"/>
          <w:sz w:val="18"/>
          <w:szCs w:val="18"/>
          <w:color w:val="auto"/>
        </w:rPr>
        <w:t>diagnostics,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0"/>
        </w:numPr>
        <w:rPr>
          <w:rFonts w:ascii="Arial" w:cs="Arial" w:eastAsia="Arial" w:hAnsi="Arial"/>
          <w:sz w:val="18"/>
          <w:szCs w:val="18"/>
          <w:color w:val="auto"/>
        </w:rPr>
      </w:pPr>
      <w:r>
        <w:rPr>
          <w:rFonts w:ascii="Arial" w:cs="Arial" w:eastAsia="Arial" w:hAnsi="Arial"/>
          <w:sz w:val="18"/>
          <w:szCs w:val="18"/>
          <w:color w:val="auto"/>
        </w:rPr>
        <w:t>detailed IFRS analysis and conversion,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0"/>
        </w:numPr>
        <w:rPr>
          <w:rFonts w:ascii="Arial" w:cs="Arial" w:eastAsia="Arial" w:hAnsi="Arial"/>
          <w:sz w:val="18"/>
          <w:szCs w:val="18"/>
          <w:color w:val="auto"/>
        </w:rPr>
      </w:pPr>
      <w:r>
        <w:rPr>
          <w:rFonts w:ascii="Arial" w:cs="Arial" w:eastAsia="Arial" w:hAnsi="Arial"/>
          <w:sz w:val="18"/>
          <w:szCs w:val="18"/>
          <w:color w:val="auto"/>
        </w:rPr>
        <w:t>implement IFRS in daily business.</w:t>
      </w:r>
    </w:p>
    <w:p>
      <w:pPr>
        <w:spacing w:after="0" w:line="225" w:lineRule="exact"/>
        <w:rPr>
          <w:sz w:val="20"/>
          <w:szCs w:val="20"/>
          <w:color w:val="auto"/>
        </w:rPr>
      </w:pPr>
    </w:p>
    <w:p>
      <w:pPr>
        <w:jc w:val="both"/>
        <w:ind w:firstLine="449"/>
        <w:spacing w:after="0" w:line="298" w:lineRule="auto"/>
        <w:rPr>
          <w:sz w:val="20"/>
          <w:szCs w:val="20"/>
          <w:color w:val="auto"/>
        </w:rPr>
      </w:pPr>
      <w:r>
        <w:rPr>
          <w:rFonts w:ascii="Arial" w:cs="Arial" w:eastAsia="Arial" w:hAnsi="Arial"/>
          <w:sz w:val="16"/>
          <w:szCs w:val="16"/>
          <w:color w:val="auto"/>
        </w:rPr>
        <w:t>The first phase is complete and the second phase was started in 2009. A report has been finalized with the primary objective to understand, identify and assess the overall effort required by the Company to produce financial information in accordance with the IFRS. The key areas for the diagnostics work was to review the 2007 consolidated financial statements of the Company and get a detailed understanding of the differences between IFRS and US GAAP to be able to identify potential system and process changes required as a result of converting to IFRS.</w:t>
      </w:r>
    </w:p>
    <w:p>
      <w:pPr>
        <w:spacing w:after="0" w:line="1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36" w:name="page137"/>
    <w:bookmarkEnd w:id="136"/>
    <w:p>
      <w:pPr>
        <w:spacing w:after="0"/>
        <w:rPr>
          <w:sz w:val="20"/>
          <w:szCs w:val="20"/>
          <w:color w:val="auto"/>
        </w:rPr>
      </w:pPr>
      <w:r>
        <w:rPr>
          <w:rFonts w:ascii="Arial" w:cs="Arial" w:eastAsia="Arial" w:hAnsi="Arial"/>
          <w:sz w:val="18"/>
          <w:szCs w:val="18"/>
          <w:b w:val="1"/>
          <w:bCs w:val="1"/>
          <w:color w:val="auto"/>
        </w:rPr>
        <w:t>SUMMARIZED QUARTERLY DATA</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CONSOLIDATED FINANCIAL DATA</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(thousands of United States dollars, except where noted)</w:t>
      </w:r>
    </w:p>
    <w:p>
      <w:pPr>
        <w:spacing w:after="0" w:line="202"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260" w:type="dxa"/>
            <w:vAlign w:val="bottom"/>
          </w:tcPr>
          <w:p>
            <w:pPr>
              <w:spacing w:after="0"/>
              <w:rPr>
                <w:sz w:val="14"/>
                <w:szCs w:val="14"/>
                <w:color w:val="auto"/>
              </w:rPr>
            </w:pPr>
          </w:p>
        </w:tc>
        <w:tc>
          <w:tcPr>
            <w:tcW w:w="3240" w:type="dxa"/>
            <w:vAlign w:val="bottom"/>
          </w:tcPr>
          <w:p>
            <w:pPr>
              <w:spacing w:after="0"/>
              <w:rPr>
                <w:sz w:val="14"/>
                <w:szCs w:val="14"/>
                <w:color w:val="auto"/>
              </w:rPr>
            </w:pPr>
          </w:p>
        </w:tc>
        <w:tc>
          <w:tcPr>
            <w:tcW w:w="860" w:type="dxa"/>
            <w:vAlign w:val="bottom"/>
            <w:gridSpan w:val="3"/>
          </w:tcPr>
          <w:p>
            <w:pPr>
              <w:jc w:val="right"/>
              <w:ind w:right="220"/>
              <w:spacing w:after="0"/>
              <w:rPr>
                <w:sz w:val="20"/>
                <w:szCs w:val="20"/>
                <w:color w:val="auto"/>
              </w:rPr>
            </w:pPr>
            <w:r>
              <w:rPr>
                <w:rFonts w:ascii="Arial" w:cs="Arial" w:eastAsia="Arial" w:hAnsi="Arial"/>
                <w:sz w:val="14"/>
                <w:szCs w:val="14"/>
                <w:b w:val="1"/>
                <w:bCs w:val="1"/>
                <w:color w:val="auto"/>
                <w:w w:val="95"/>
              </w:rPr>
              <w:t>March 31,</w:t>
            </w:r>
          </w:p>
        </w:tc>
        <w:tc>
          <w:tcPr>
            <w:tcW w:w="80" w:type="dxa"/>
            <w:vAlign w:val="bottom"/>
          </w:tcPr>
          <w:p>
            <w:pPr>
              <w:spacing w:after="0"/>
              <w:rPr>
                <w:sz w:val="14"/>
                <w:szCs w:val="14"/>
                <w:color w:val="auto"/>
              </w:rPr>
            </w:pPr>
          </w:p>
        </w:tc>
        <w:tc>
          <w:tcPr>
            <w:tcW w:w="780" w:type="dxa"/>
            <w:vAlign w:val="bottom"/>
            <w:gridSpan w:val="2"/>
          </w:tcPr>
          <w:p>
            <w:pPr>
              <w:jc w:val="right"/>
              <w:ind w:right="280"/>
              <w:spacing w:after="0"/>
              <w:rPr>
                <w:sz w:val="20"/>
                <w:szCs w:val="20"/>
                <w:color w:val="auto"/>
              </w:rPr>
            </w:pPr>
            <w:r>
              <w:rPr>
                <w:rFonts w:ascii="Arial" w:cs="Arial" w:eastAsia="Arial" w:hAnsi="Arial"/>
                <w:sz w:val="14"/>
                <w:szCs w:val="14"/>
                <w:b w:val="1"/>
                <w:bCs w:val="1"/>
                <w:color w:val="auto"/>
                <w:w w:val="85"/>
              </w:rPr>
              <w:t>June 30,</w:t>
            </w:r>
          </w:p>
        </w:tc>
        <w:tc>
          <w:tcPr>
            <w:tcW w:w="1040" w:type="dxa"/>
            <w:vAlign w:val="bottom"/>
            <w:gridSpan w:val="3"/>
          </w:tcPr>
          <w:p>
            <w:pPr>
              <w:ind w:left="20"/>
              <w:spacing w:after="0"/>
              <w:rPr>
                <w:sz w:val="20"/>
                <w:szCs w:val="20"/>
                <w:color w:val="auto"/>
              </w:rPr>
            </w:pPr>
            <w:r>
              <w:rPr>
                <w:rFonts w:ascii="Arial" w:cs="Arial" w:eastAsia="Arial" w:hAnsi="Arial"/>
                <w:sz w:val="14"/>
                <w:szCs w:val="14"/>
                <w:b w:val="1"/>
                <w:bCs w:val="1"/>
                <w:color w:val="auto"/>
              </w:rPr>
              <w:t>September 30,</w:t>
            </w:r>
          </w:p>
        </w:tc>
        <w:tc>
          <w:tcPr>
            <w:tcW w:w="1000" w:type="dxa"/>
            <w:vAlign w:val="bottom"/>
            <w:gridSpan w:val="3"/>
          </w:tcPr>
          <w:p>
            <w:pPr>
              <w:ind w:left="20"/>
              <w:spacing w:after="0"/>
              <w:rPr>
                <w:sz w:val="20"/>
                <w:szCs w:val="20"/>
                <w:color w:val="auto"/>
              </w:rPr>
            </w:pPr>
            <w:r>
              <w:rPr>
                <w:rFonts w:ascii="Arial" w:cs="Arial" w:eastAsia="Arial" w:hAnsi="Arial"/>
                <w:sz w:val="14"/>
                <w:szCs w:val="14"/>
                <w:b w:val="1"/>
                <w:bCs w:val="1"/>
                <w:color w:val="auto"/>
              </w:rPr>
              <w:t>December 31,</w:t>
            </w:r>
          </w:p>
        </w:tc>
        <w:tc>
          <w:tcPr>
            <w:tcW w:w="140" w:type="dxa"/>
            <w:vAlign w:val="bottom"/>
          </w:tcPr>
          <w:p>
            <w:pPr>
              <w:spacing w:after="0"/>
              <w:rPr>
                <w:sz w:val="14"/>
                <w:szCs w:val="14"/>
                <w:color w:val="auto"/>
              </w:rPr>
            </w:pPr>
          </w:p>
        </w:tc>
        <w:tc>
          <w:tcPr>
            <w:tcW w:w="720" w:type="dxa"/>
            <w:vAlign w:val="bottom"/>
            <w:gridSpan w:val="2"/>
          </w:tcPr>
          <w:p>
            <w:pPr>
              <w:jc w:val="right"/>
              <w:ind w:right="360"/>
              <w:spacing w:after="0"/>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1260" w:type="dxa"/>
            <w:vAlign w:val="bottom"/>
          </w:tcPr>
          <w:p>
            <w:pPr>
              <w:spacing w:after="0"/>
              <w:rPr>
                <w:sz w:val="14"/>
                <w:szCs w:val="14"/>
                <w:color w:val="auto"/>
              </w:rPr>
            </w:pPr>
          </w:p>
        </w:tc>
        <w:tc>
          <w:tcPr>
            <w:tcW w:w="324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jc w:val="right"/>
              <w:ind w:right="152"/>
              <w:spacing w:after="0"/>
              <w:rPr>
                <w:sz w:val="20"/>
                <w:szCs w:val="20"/>
                <w:color w:val="auto"/>
              </w:rPr>
            </w:pPr>
            <w:r>
              <w:rPr>
                <w:rFonts w:ascii="Arial" w:cs="Arial" w:eastAsia="Arial" w:hAnsi="Arial"/>
                <w:sz w:val="14"/>
                <w:szCs w:val="14"/>
                <w:b w:val="1"/>
                <w:bCs w:val="1"/>
                <w:color w:val="auto"/>
              </w:rPr>
              <w:t>2008</w:t>
            </w:r>
          </w:p>
        </w:tc>
        <w:tc>
          <w:tcPr>
            <w:tcW w:w="1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jc w:val="right"/>
              <w:ind w:right="152"/>
              <w:spacing w:after="0"/>
              <w:rPr>
                <w:sz w:val="20"/>
                <w:szCs w:val="20"/>
                <w:color w:val="auto"/>
              </w:rPr>
            </w:pPr>
            <w:r>
              <w:rPr>
                <w:rFonts w:ascii="Arial" w:cs="Arial" w:eastAsia="Arial" w:hAnsi="Arial"/>
                <w:sz w:val="14"/>
                <w:szCs w:val="14"/>
                <w:b w:val="1"/>
                <w:bCs w:val="1"/>
                <w:color w:val="auto"/>
              </w:rPr>
              <w:t>2008</w:t>
            </w:r>
          </w:p>
        </w:tc>
        <w:tc>
          <w:tcPr>
            <w:tcW w:w="160" w:type="dxa"/>
            <w:vAlign w:val="bottom"/>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tcPr>
          <w:p>
            <w:pPr>
              <w:jc w:val="right"/>
              <w:ind w:right="252"/>
              <w:spacing w:after="0"/>
              <w:rPr>
                <w:sz w:val="20"/>
                <w:szCs w:val="20"/>
                <w:color w:val="auto"/>
              </w:rPr>
            </w:pPr>
            <w:r>
              <w:rPr>
                <w:rFonts w:ascii="Arial" w:cs="Arial" w:eastAsia="Arial" w:hAnsi="Arial"/>
                <w:sz w:val="14"/>
                <w:szCs w:val="14"/>
                <w:b w:val="1"/>
                <w:bCs w:val="1"/>
                <w:color w:val="auto"/>
              </w:rPr>
              <w:t>2008</w:t>
            </w:r>
          </w:p>
        </w:tc>
        <w:tc>
          <w:tcPr>
            <w:tcW w:w="160" w:type="dxa"/>
            <w:vAlign w:val="bottom"/>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jc w:val="right"/>
              <w:ind w:right="232"/>
              <w:spacing w:after="0"/>
              <w:rPr>
                <w:sz w:val="20"/>
                <w:szCs w:val="20"/>
                <w:color w:val="auto"/>
              </w:rPr>
            </w:pPr>
            <w:r>
              <w:rPr>
                <w:rFonts w:ascii="Arial" w:cs="Arial" w:eastAsia="Arial" w:hAnsi="Arial"/>
                <w:sz w:val="14"/>
                <w:szCs w:val="14"/>
                <w:b w:val="1"/>
                <w:bCs w:val="1"/>
                <w:color w:val="auto"/>
              </w:rPr>
              <w:t>2008</w:t>
            </w:r>
          </w:p>
        </w:tc>
        <w:tc>
          <w:tcPr>
            <w:tcW w:w="16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jc w:val="right"/>
              <w:ind w:right="152"/>
              <w:spacing w:after="0"/>
              <w:rPr>
                <w:sz w:val="20"/>
                <w:szCs w:val="20"/>
                <w:color w:val="auto"/>
              </w:rPr>
            </w:pPr>
            <w:r>
              <w:rPr>
                <w:rFonts w:ascii="Arial" w:cs="Arial" w:eastAsia="Arial" w:hAnsi="Arial"/>
                <w:sz w:val="14"/>
                <w:szCs w:val="14"/>
                <w:b w:val="1"/>
                <w:bCs w:val="1"/>
                <w:color w:val="auto"/>
              </w:rPr>
              <w:t>2008</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500" w:type="dxa"/>
            <w:vAlign w:val="bottom"/>
            <w:gridSpan w:val="2"/>
            <w:shd w:val="clear" w:color="auto" w:fill="CCEEFF"/>
          </w:tcPr>
          <w:p>
            <w:pPr>
              <w:spacing w:after="0" w:line="142" w:lineRule="exact"/>
              <w:rPr>
                <w:sz w:val="20"/>
                <w:szCs w:val="20"/>
                <w:color w:val="auto"/>
              </w:rPr>
            </w:pPr>
            <w:r>
              <w:rPr>
                <w:rFonts w:ascii="Arial" w:cs="Arial" w:eastAsia="Arial" w:hAnsi="Arial"/>
                <w:sz w:val="14"/>
                <w:szCs w:val="14"/>
                <w:b w:val="1"/>
                <w:bCs w:val="1"/>
                <w:color w:val="auto"/>
              </w:rPr>
              <w:t>Income contribution analysis</w:t>
            </w: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tcPr>
          <w:p>
            <w:pPr>
              <w:spacing w:after="0" w:line="149" w:lineRule="exact"/>
              <w:rPr>
                <w:sz w:val="20"/>
                <w:szCs w:val="20"/>
                <w:color w:val="auto"/>
              </w:rPr>
            </w:pPr>
            <w:r>
              <w:rPr>
                <w:rFonts w:ascii="Arial" w:cs="Arial" w:eastAsia="Arial" w:hAnsi="Arial"/>
                <w:sz w:val="14"/>
                <w:szCs w:val="14"/>
                <w:color w:val="auto"/>
              </w:rPr>
              <w:t>LaRonde Mine</w:t>
            </w:r>
          </w:p>
        </w:tc>
        <w:tc>
          <w:tcPr>
            <w:tcW w:w="140" w:type="dxa"/>
            <w:vAlign w:val="bottom"/>
          </w:tcPr>
          <w:p>
            <w:pPr>
              <w:jc w:val="right"/>
              <w:ind w:right="28"/>
              <w:spacing w:after="0"/>
              <w:rPr>
                <w:sz w:val="20"/>
                <w:szCs w:val="20"/>
                <w:color w:val="auto"/>
              </w:rPr>
            </w:pPr>
            <w:r>
              <w:rPr>
                <w:rFonts w:ascii="Arial" w:cs="Arial" w:eastAsia="Arial" w:hAnsi="Arial"/>
                <w:sz w:val="10"/>
                <w:szCs w:val="10"/>
                <w:color w:val="auto"/>
                <w:w w:val="71"/>
              </w:rPr>
              <w:t>$</w:t>
            </w: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75,483</w:t>
            </w:r>
          </w:p>
        </w:tc>
        <w:tc>
          <w:tcPr>
            <w:tcW w:w="160" w:type="dxa"/>
            <w:vAlign w:val="bottom"/>
          </w:tcPr>
          <w:p>
            <w:pPr>
              <w:spacing w:after="0"/>
              <w:rPr>
                <w:sz w:val="12"/>
                <w:szCs w:val="12"/>
                <w:color w:val="auto"/>
              </w:rPr>
            </w:pPr>
          </w:p>
        </w:tc>
        <w:tc>
          <w:tcPr>
            <w:tcW w:w="8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39,357</w:t>
            </w:r>
          </w:p>
        </w:tc>
        <w:tc>
          <w:tcPr>
            <w:tcW w:w="160" w:type="dxa"/>
            <w:vAlign w:val="bottom"/>
          </w:tcPr>
          <w:p>
            <w:pPr>
              <w:spacing w:after="0"/>
              <w:rPr>
                <w:sz w:val="12"/>
                <w:szCs w:val="12"/>
                <w:color w:val="auto"/>
              </w:rPr>
            </w:pPr>
          </w:p>
        </w:tc>
        <w:tc>
          <w:tcPr>
            <w:tcW w:w="18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700" w:type="dxa"/>
            <w:vAlign w:val="bottom"/>
          </w:tcPr>
          <w:p>
            <w:pPr>
              <w:jc w:val="right"/>
              <w:spacing w:after="0" w:line="149" w:lineRule="exact"/>
              <w:rPr>
                <w:sz w:val="20"/>
                <w:szCs w:val="20"/>
                <w:color w:val="auto"/>
              </w:rPr>
            </w:pPr>
            <w:r>
              <w:rPr>
                <w:rFonts w:ascii="Arial" w:cs="Arial" w:eastAsia="Arial" w:hAnsi="Arial"/>
                <w:sz w:val="14"/>
                <w:szCs w:val="14"/>
                <w:color w:val="auto"/>
              </w:rPr>
              <w:t>37,377</w:t>
            </w:r>
          </w:p>
        </w:tc>
        <w:tc>
          <w:tcPr>
            <w:tcW w:w="160" w:type="dxa"/>
            <w:vAlign w:val="bottom"/>
          </w:tcPr>
          <w:p>
            <w:pPr>
              <w:spacing w:after="0"/>
              <w:rPr>
                <w:sz w:val="12"/>
                <w:szCs w:val="12"/>
                <w:color w:val="auto"/>
              </w:rPr>
            </w:pPr>
          </w:p>
        </w:tc>
        <w:tc>
          <w:tcPr>
            <w:tcW w:w="18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11,939</w:t>
            </w:r>
          </w:p>
        </w:tc>
        <w:tc>
          <w:tcPr>
            <w:tcW w:w="160" w:type="dxa"/>
            <w:vAlign w:val="bottom"/>
          </w:tcPr>
          <w:p>
            <w:pPr>
              <w:spacing w:after="0"/>
              <w:rPr>
                <w:sz w:val="12"/>
                <w:szCs w:val="12"/>
                <w:color w:val="auto"/>
              </w:rPr>
            </w:pPr>
          </w:p>
        </w:tc>
        <w:tc>
          <w:tcPr>
            <w:tcW w:w="14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164,156</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Goldex Mine</w:t>
            </w:r>
          </w:p>
        </w:tc>
        <w:tc>
          <w:tcPr>
            <w:tcW w:w="14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18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3,456</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14,464</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17,920</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7"/>
        </w:trPr>
        <w:tc>
          <w:tcPr>
            <w:tcW w:w="4520" w:type="dxa"/>
            <w:vAlign w:val="bottom"/>
            <w:gridSpan w:val="3"/>
            <w:vMerge w:val="restart"/>
          </w:tcPr>
          <w:p>
            <w:pPr>
              <w:spacing w:after="0"/>
              <w:rPr>
                <w:sz w:val="20"/>
                <w:szCs w:val="20"/>
                <w:color w:val="auto"/>
              </w:rPr>
            </w:pPr>
            <w:r>
              <w:rPr>
                <w:rFonts w:ascii="Arial" w:cs="Arial" w:eastAsia="Arial" w:hAnsi="Arial"/>
                <w:sz w:val="14"/>
                <w:szCs w:val="14"/>
                <w:color w:val="auto"/>
              </w:rPr>
              <w:t>Operating margin</w:t>
            </w:r>
          </w:p>
        </w:tc>
        <w:tc>
          <w:tcPr>
            <w:tcW w:w="14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42"/>
        </w:trPr>
        <w:tc>
          <w:tcPr>
            <w:tcW w:w="4520" w:type="dxa"/>
            <w:vAlign w:val="bottom"/>
            <w:gridSpan w:val="3"/>
            <w:vMerge w:val="continue"/>
          </w:tcPr>
          <w:p>
            <w:pPr>
              <w:spacing w:after="0"/>
              <w:rPr>
                <w:sz w:val="12"/>
                <w:szCs w:val="12"/>
                <w:color w:val="auto"/>
              </w:rPr>
            </w:pPr>
          </w:p>
        </w:tc>
        <w:tc>
          <w:tcPr>
            <w:tcW w:w="140" w:type="dxa"/>
            <w:vAlign w:val="bottom"/>
          </w:tcPr>
          <w:p>
            <w:pPr>
              <w:spacing w:after="0"/>
              <w:rPr>
                <w:sz w:val="12"/>
                <w:szCs w:val="12"/>
                <w:color w:val="auto"/>
              </w:rPr>
            </w:pPr>
          </w:p>
        </w:tc>
        <w:tc>
          <w:tcPr>
            <w:tcW w:w="560" w:type="dxa"/>
            <w:vAlign w:val="bottom"/>
          </w:tcPr>
          <w:p>
            <w:pPr>
              <w:jc w:val="right"/>
              <w:spacing w:after="0" w:line="142" w:lineRule="exact"/>
              <w:rPr>
                <w:sz w:val="20"/>
                <w:szCs w:val="20"/>
                <w:color w:val="auto"/>
              </w:rPr>
            </w:pPr>
            <w:r>
              <w:rPr>
                <w:rFonts w:ascii="Arial" w:cs="Arial" w:eastAsia="Arial" w:hAnsi="Arial"/>
                <w:sz w:val="14"/>
                <w:szCs w:val="14"/>
                <w:color w:val="auto"/>
              </w:rPr>
              <w:t>75,483</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jc w:val="right"/>
              <w:spacing w:after="0" w:line="142" w:lineRule="exact"/>
              <w:rPr>
                <w:sz w:val="20"/>
                <w:szCs w:val="20"/>
                <w:color w:val="auto"/>
              </w:rPr>
            </w:pPr>
            <w:r>
              <w:rPr>
                <w:rFonts w:ascii="Arial" w:cs="Arial" w:eastAsia="Arial" w:hAnsi="Arial"/>
                <w:sz w:val="14"/>
                <w:szCs w:val="14"/>
                <w:color w:val="auto"/>
              </w:rPr>
              <w:t>39,357</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00" w:type="dxa"/>
            <w:vAlign w:val="bottom"/>
          </w:tcPr>
          <w:p>
            <w:pPr>
              <w:jc w:val="right"/>
              <w:spacing w:after="0" w:line="142" w:lineRule="exact"/>
              <w:rPr>
                <w:sz w:val="20"/>
                <w:szCs w:val="20"/>
                <w:color w:val="auto"/>
              </w:rPr>
            </w:pPr>
            <w:r>
              <w:rPr>
                <w:rFonts w:ascii="Arial" w:cs="Arial" w:eastAsia="Arial" w:hAnsi="Arial"/>
                <w:sz w:val="14"/>
                <w:szCs w:val="14"/>
                <w:color w:val="auto"/>
              </w:rPr>
              <w:t>40,833</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60" w:type="dxa"/>
            <w:vAlign w:val="bottom"/>
          </w:tcPr>
          <w:p>
            <w:pPr>
              <w:jc w:val="right"/>
              <w:spacing w:after="0" w:line="142" w:lineRule="exact"/>
              <w:rPr>
                <w:sz w:val="20"/>
                <w:szCs w:val="20"/>
                <w:color w:val="auto"/>
              </w:rPr>
            </w:pPr>
            <w:r>
              <w:rPr>
                <w:rFonts w:ascii="Arial" w:cs="Arial" w:eastAsia="Arial" w:hAnsi="Arial"/>
                <w:sz w:val="14"/>
                <w:szCs w:val="14"/>
                <w:color w:val="auto"/>
              </w:rPr>
              <w:t>26,403</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60" w:type="dxa"/>
            <w:vAlign w:val="bottom"/>
          </w:tcPr>
          <w:p>
            <w:pPr>
              <w:jc w:val="right"/>
              <w:spacing w:after="0" w:line="142" w:lineRule="exact"/>
              <w:rPr>
                <w:sz w:val="20"/>
                <w:szCs w:val="20"/>
                <w:color w:val="auto"/>
              </w:rPr>
            </w:pPr>
            <w:r>
              <w:rPr>
                <w:rFonts w:ascii="Arial" w:cs="Arial" w:eastAsia="Arial" w:hAnsi="Arial"/>
                <w:sz w:val="14"/>
                <w:szCs w:val="14"/>
                <w:color w:val="auto"/>
              </w:rPr>
              <w:t>182,076</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Amortization</w:t>
            </w: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7,030</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7,516</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9,049</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12,538</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36,133</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4500" w:type="dxa"/>
            <w:vAlign w:val="bottom"/>
            <w:gridSpan w:val="2"/>
          </w:tcPr>
          <w:p>
            <w:pPr>
              <w:spacing w:after="0"/>
              <w:rPr>
                <w:sz w:val="20"/>
                <w:szCs w:val="20"/>
                <w:color w:val="auto"/>
              </w:rPr>
            </w:pPr>
            <w:r>
              <w:rPr>
                <w:rFonts w:ascii="Arial" w:cs="Arial" w:eastAsia="Arial" w:hAnsi="Arial"/>
                <w:sz w:val="14"/>
                <w:szCs w:val="14"/>
                <w:color w:val="auto"/>
              </w:rPr>
              <w:t>Corporate expenses</w:t>
            </w:r>
          </w:p>
        </w:tc>
        <w:tc>
          <w:tcPr>
            <w:tcW w:w="140" w:type="dxa"/>
            <w:vAlign w:val="bottom"/>
            <w:tcBorders>
              <w:bottom w:val="single" w:sz="8" w:color="auto"/>
            </w:tcBorders>
          </w:tcPr>
          <w:p>
            <w:pPr>
              <w:spacing w:after="0"/>
              <w:rPr>
                <w:sz w:val="15"/>
                <w:szCs w:val="15"/>
                <w:color w:val="auto"/>
              </w:rPr>
            </w:pP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17,279</w:t>
            </w:r>
          </w:p>
        </w:tc>
        <w:tc>
          <w:tcPr>
            <w:tcW w:w="160" w:type="dxa"/>
            <w:vAlign w:val="bottom"/>
          </w:tcPr>
          <w:p>
            <w:pPr>
              <w:spacing w:after="0"/>
              <w:rPr>
                <w:sz w:val="15"/>
                <w:szCs w:val="15"/>
                <w:color w:val="auto"/>
              </w:rPr>
            </w:pPr>
          </w:p>
        </w:tc>
        <w:tc>
          <w:tcPr>
            <w:tcW w:w="80" w:type="dxa"/>
            <w:vAlign w:val="bottom"/>
            <w:tcBorders>
              <w:bottom w:val="single" w:sz="8" w:color="auto"/>
            </w:tcBorders>
          </w:tcPr>
          <w:p>
            <w:pPr>
              <w:spacing w:after="0"/>
              <w:rPr>
                <w:sz w:val="15"/>
                <w:szCs w:val="15"/>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18,488</w:t>
            </w:r>
          </w:p>
        </w:tc>
        <w:tc>
          <w:tcPr>
            <w:tcW w:w="160" w:type="dxa"/>
            <w:vAlign w:val="bottom"/>
          </w:tcPr>
          <w:p>
            <w:pPr>
              <w:spacing w:after="0"/>
              <w:rPr>
                <w:sz w:val="15"/>
                <w:szCs w:val="15"/>
                <w:color w:val="auto"/>
              </w:rPr>
            </w:pPr>
          </w:p>
        </w:tc>
        <w:tc>
          <w:tcPr>
            <w:tcW w:w="180" w:type="dxa"/>
            <w:vAlign w:val="bottom"/>
            <w:tcBorders>
              <w:bottom w:val="single" w:sz="8" w:color="auto"/>
            </w:tcBorders>
          </w:tcPr>
          <w:p>
            <w:pPr>
              <w:spacing w:after="0"/>
              <w:rPr>
                <w:sz w:val="15"/>
                <w:szCs w:val="15"/>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11,116</w:t>
            </w:r>
          </w:p>
        </w:tc>
        <w:tc>
          <w:tcPr>
            <w:tcW w:w="160" w:type="dxa"/>
            <w:vAlign w:val="bottom"/>
          </w:tcPr>
          <w:p>
            <w:pPr>
              <w:spacing w:after="0"/>
              <w:rPr>
                <w:sz w:val="15"/>
                <w:szCs w:val="15"/>
                <w:color w:val="auto"/>
              </w:rPr>
            </w:pPr>
          </w:p>
        </w:tc>
        <w:tc>
          <w:tcPr>
            <w:tcW w:w="180" w:type="dxa"/>
            <w:vAlign w:val="bottom"/>
            <w:tcBorders>
              <w:bottom w:val="single" w:sz="8" w:color="auto"/>
            </w:tcBorders>
          </w:tcPr>
          <w:p>
            <w:pPr>
              <w:spacing w:after="0"/>
              <w:rPr>
                <w:sz w:val="15"/>
                <w:szCs w:val="15"/>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3,069</w:t>
            </w:r>
          </w:p>
        </w:tc>
        <w:tc>
          <w:tcPr>
            <w:tcW w:w="160" w:type="dxa"/>
            <w:vAlign w:val="bottom"/>
          </w:tcPr>
          <w:p>
            <w:pPr>
              <w:spacing w:after="0"/>
              <w:rPr>
                <w:sz w:val="15"/>
                <w:szCs w:val="15"/>
                <w:color w:val="auto"/>
              </w:rPr>
            </w:pPr>
          </w:p>
        </w:tc>
        <w:tc>
          <w:tcPr>
            <w:tcW w:w="140" w:type="dxa"/>
            <w:vAlign w:val="bottom"/>
            <w:tcBorders>
              <w:bottom w:val="single" w:sz="8" w:color="auto"/>
            </w:tcBorders>
          </w:tcPr>
          <w:p>
            <w:pPr>
              <w:spacing w:after="0"/>
              <w:rPr>
                <w:sz w:val="15"/>
                <w:szCs w:val="15"/>
                <w:color w:val="auto"/>
              </w:rPr>
            </w:pP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49,952</w:t>
            </w: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500" w:type="dxa"/>
            <w:vAlign w:val="bottom"/>
            <w:gridSpan w:val="2"/>
            <w:shd w:val="clear" w:color="auto" w:fill="CCEEFF"/>
          </w:tcPr>
          <w:p>
            <w:pPr>
              <w:spacing w:after="0" w:line="144" w:lineRule="exact"/>
              <w:rPr>
                <w:sz w:val="20"/>
                <w:szCs w:val="20"/>
                <w:color w:val="auto"/>
              </w:rPr>
            </w:pPr>
            <w:r>
              <w:rPr>
                <w:rFonts w:ascii="Arial" w:cs="Arial" w:eastAsia="Arial" w:hAnsi="Arial"/>
                <w:sz w:val="14"/>
                <w:szCs w:val="14"/>
                <w:color w:val="auto"/>
              </w:rPr>
              <w:t>Income before tax</w:t>
            </w: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51,174</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13,353</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20,668</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10,796</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95,991</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4500" w:type="dxa"/>
            <w:vAlign w:val="bottom"/>
            <w:gridSpan w:val="2"/>
          </w:tcPr>
          <w:p>
            <w:pPr>
              <w:spacing w:after="0"/>
              <w:rPr>
                <w:sz w:val="20"/>
                <w:szCs w:val="20"/>
                <w:color w:val="auto"/>
              </w:rPr>
            </w:pPr>
            <w:r>
              <w:rPr>
                <w:rFonts w:ascii="Arial" w:cs="Arial" w:eastAsia="Arial" w:hAnsi="Arial"/>
                <w:sz w:val="14"/>
                <w:szCs w:val="14"/>
                <w:color w:val="auto"/>
              </w:rPr>
              <w:t>Tax provision (recovery)</w:t>
            </w:r>
          </w:p>
        </w:tc>
        <w:tc>
          <w:tcPr>
            <w:tcW w:w="140" w:type="dxa"/>
            <w:vAlign w:val="bottom"/>
          </w:tcPr>
          <w:p>
            <w:pPr>
              <w:spacing w:after="0"/>
              <w:rPr>
                <w:sz w:val="15"/>
                <w:szCs w:val="15"/>
                <w:color w:val="auto"/>
              </w:rPr>
            </w:pPr>
          </w:p>
        </w:tc>
        <w:tc>
          <w:tcPr>
            <w:tcW w:w="560" w:type="dxa"/>
            <w:vAlign w:val="bottom"/>
          </w:tcPr>
          <w:p>
            <w:pPr>
              <w:jc w:val="right"/>
              <w:spacing w:after="0"/>
              <w:rPr>
                <w:sz w:val="20"/>
                <w:szCs w:val="20"/>
                <w:color w:val="auto"/>
              </w:rPr>
            </w:pPr>
            <w:r>
              <w:rPr>
                <w:rFonts w:ascii="Arial" w:cs="Arial" w:eastAsia="Arial" w:hAnsi="Arial"/>
                <w:sz w:val="14"/>
                <w:szCs w:val="14"/>
                <w:color w:val="auto"/>
              </w:rPr>
              <w:t>22,266</w:t>
            </w:r>
          </w:p>
        </w:tc>
        <w:tc>
          <w:tcPr>
            <w:tcW w:w="1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20" w:type="dxa"/>
            <w:vAlign w:val="bottom"/>
          </w:tcPr>
          <w:p>
            <w:pPr>
              <w:jc w:val="right"/>
              <w:spacing w:after="0"/>
              <w:rPr>
                <w:sz w:val="20"/>
                <w:szCs w:val="20"/>
                <w:color w:val="auto"/>
              </w:rPr>
            </w:pPr>
            <w:r>
              <w:rPr>
                <w:rFonts w:ascii="Arial" w:cs="Arial" w:eastAsia="Arial" w:hAnsi="Arial"/>
                <w:sz w:val="14"/>
                <w:szCs w:val="14"/>
                <w:color w:val="auto"/>
              </w:rPr>
              <w:t>5,006</w:t>
            </w:r>
          </w:p>
        </w:tc>
        <w:tc>
          <w:tcPr>
            <w:tcW w:w="1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700" w:type="dxa"/>
            <w:vAlign w:val="bottom"/>
          </w:tcPr>
          <w:p>
            <w:pPr>
              <w:jc w:val="right"/>
              <w:spacing w:after="0"/>
              <w:rPr>
                <w:sz w:val="20"/>
                <w:szCs w:val="20"/>
                <w:color w:val="auto"/>
              </w:rPr>
            </w:pPr>
            <w:r>
              <w:rPr>
                <w:rFonts w:ascii="Arial" w:cs="Arial" w:eastAsia="Arial" w:hAnsi="Arial"/>
                <w:sz w:val="14"/>
                <w:szCs w:val="14"/>
                <w:color w:val="auto"/>
              </w:rPr>
              <w:t>6,630</w:t>
            </w:r>
          </w:p>
        </w:tc>
        <w:tc>
          <w:tcPr>
            <w:tcW w:w="1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820" w:type="dxa"/>
            <w:vAlign w:val="bottom"/>
            <w:gridSpan w:val="2"/>
          </w:tcPr>
          <w:p>
            <w:pPr>
              <w:jc w:val="right"/>
              <w:ind w:right="120"/>
              <w:spacing w:after="0"/>
              <w:rPr>
                <w:sz w:val="20"/>
                <w:szCs w:val="20"/>
                <w:color w:val="auto"/>
              </w:rPr>
            </w:pPr>
            <w:r>
              <w:rPr>
                <w:rFonts w:ascii="Arial" w:cs="Arial" w:eastAsia="Arial" w:hAnsi="Arial"/>
                <w:sz w:val="14"/>
                <w:szCs w:val="14"/>
                <w:color w:val="auto"/>
              </w:rPr>
              <w:t>(11,078)</w:t>
            </w:r>
          </w:p>
        </w:tc>
        <w:tc>
          <w:tcPr>
            <w:tcW w:w="140" w:type="dxa"/>
            <w:vAlign w:val="bottom"/>
          </w:tcPr>
          <w:p>
            <w:pPr>
              <w:spacing w:after="0"/>
              <w:rPr>
                <w:sz w:val="15"/>
                <w:szCs w:val="15"/>
                <w:color w:val="auto"/>
              </w:rPr>
            </w:pPr>
          </w:p>
        </w:tc>
        <w:tc>
          <w:tcPr>
            <w:tcW w:w="560" w:type="dxa"/>
            <w:vAlign w:val="bottom"/>
          </w:tcPr>
          <w:p>
            <w:pPr>
              <w:jc w:val="right"/>
              <w:spacing w:after="0"/>
              <w:rPr>
                <w:sz w:val="20"/>
                <w:szCs w:val="20"/>
                <w:color w:val="auto"/>
              </w:rPr>
            </w:pPr>
            <w:r>
              <w:rPr>
                <w:rFonts w:ascii="Arial" w:cs="Arial" w:eastAsia="Arial" w:hAnsi="Arial"/>
                <w:sz w:val="14"/>
                <w:szCs w:val="14"/>
                <w:color w:val="auto"/>
              </w:rPr>
              <w:t>22,824</w:t>
            </w: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500" w:type="dxa"/>
            <w:vAlign w:val="bottom"/>
            <w:gridSpan w:val="2"/>
            <w:shd w:val="clear" w:color="auto" w:fill="CCEEFF"/>
          </w:tcPr>
          <w:p>
            <w:pPr>
              <w:spacing w:after="0" w:line="144" w:lineRule="exact"/>
              <w:rPr>
                <w:sz w:val="20"/>
                <w:szCs w:val="20"/>
                <w:color w:val="auto"/>
              </w:rPr>
            </w:pPr>
            <w:r>
              <w:rPr>
                <w:rFonts w:ascii="Arial" w:cs="Arial" w:eastAsia="Arial" w:hAnsi="Arial"/>
                <w:sz w:val="14"/>
                <w:szCs w:val="14"/>
                <w:color w:val="auto"/>
              </w:rPr>
              <w:t>Net income for the period</w:t>
            </w:r>
          </w:p>
        </w:tc>
        <w:tc>
          <w:tcPr>
            <w:tcW w:w="140" w:type="dxa"/>
            <w:vAlign w:val="bottom"/>
            <w:tcBorders>
              <w:top w:val="single" w:sz="8" w:color="auto"/>
            </w:tcBorders>
            <w:shd w:val="clear" w:color="auto" w:fill="CCEEFF"/>
          </w:tcPr>
          <w:p>
            <w:pPr>
              <w:jc w:val="right"/>
              <w:ind w:right="28"/>
              <w:spacing w:after="0"/>
              <w:rPr>
                <w:sz w:val="20"/>
                <w:szCs w:val="20"/>
                <w:color w:val="auto"/>
              </w:rPr>
            </w:pPr>
            <w:r>
              <w:rPr>
                <w:rFonts w:ascii="Arial" w:cs="Arial" w:eastAsia="Arial" w:hAnsi="Arial"/>
                <w:sz w:val="10"/>
                <w:szCs w:val="10"/>
                <w:color w:val="auto"/>
                <w:w w:val="71"/>
              </w:rPr>
              <w:t>$</w:t>
            </w:r>
          </w:p>
        </w:tc>
        <w:tc>
          <w:tcPr>
            <w:tcW w:w="560" w:type="dxa"/>
            <w:vAlign w:val="bottom"/>
            <w:tcBorders>
              <w:top w:val="single" w:sz="8" w:color="auto"/>
            </w:tcBorders>
            <w:shd w:val="clear" w:color="auto" w:fill="CCEEFF"/>
          </w:tcPr>
          <w:p>
            <w:pPr>
              <w:jc w:val="right"/>
              <w:spacing w:after="0" w:line="144" w:lineRule="exact"/>
              <w:rPr>
                <w:sz w:val="20"/>
                <w:szCs w:val="20"/>
                <w:color w:val="auto"/>
              </w:rPr>
            </w:pPr>
            <w:r>
              <w:rPr>
                <w:rFonts w:ascii="Arial" w:cs="Arial" w:eastAsia="Arial" w:hAnsi="Arial"/>
                <w:sz w:val="14"/>
                <w:szCs w:val="14"/>
                <w:color w:val="auto"/>
              </w:rPr>
              <w:t>28,908</w:t>
            </w:r>
          </w:p>
        </w:tc>
        <w:tc>
          <w:tcPr>
            <w:tcW w:w="160" w:type="dxa"/>
            <w:vAlign w:val="bottom"/>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jc w:val="right"/>
              <w:spacing w:after="0" w:line="144" w:lineRule="exact"/>
              <w:rPr>
                <w:sz w:val="20"/>
                <w:szCs w:val="20"/>
                <w:color w:val="auto"/>
              </w:rPr>
            </w:pPr>
            <w:r>
              <w:rPr>
                <w:rFonts w:ascii="Arial" w:cs="Arial" w:eastAsia="Arial" w:hAnsi="Arial"/>
                <w:sz w:val="14"/>
                <w:szCs w:val="14"/>
                <w:color w:val="auto"/>
                <w:w w:val="76"/>
              </w:rPr>
              <w:t>$</w:t>
            </w:r>
          </w:p>
        </w:tc>
        <w:tc>
          <w:tcPr>
            <w:tcW w:w="620" w:type="dxa"/>
            <w:vAlign w:val="bottom"/>
            <w:tcBorders>
              <w:top w:val="single" w:sz="8" w:color="auto"/>
            </w:tcBorders>
            <w:shd w:val="clear" w:color="auto" w:fill="CCEEFF"/>
          </w:tcPr>
          <w:p>
            <w:pPr>
              <w:jc w:val="right"/>
              <w:spacing w:after="0" w:line="144" w:lineRule="exact"/>
              <w:rPr>
                <w:sz w:val="20"/>
                <w:szCs w:val="20"/>
                <w:color w:val="auto"/>
              </w:rPr>
            </w:pPr>
            <w:r>
              <w:rPr>
                <w:rFonts w:ascii="Arial" w:cs="Arial" w:eastAsia="Arial" w:hAnsi="Arial"/>
                <w:sz w:val="14"/>
                <w:szCs w:val="14"/>
                <w:color w:val="auto"/>
              </w:rPr>
              <w:t>8,347</w:t>
            </w:r>
          </w:p>
        </w:tc>
        <w:tc>
          <w:tcPr>
            <w:tcW w:w="160" w:type="dxa"/>
            <w:vAlign w:val="bottom"/>
            <w:shd w:val="clear" w:color="auto" w:fill="CCEEFF"/>
          </w:tcPr>
          <w:p>
            <w:pPr>
              <w:spacing w:after="0"/>
              <w:rPr>
                <w:sz w:val="12"/>
                <w:szCs w:val="12"/>
                <w:color w:val="auto"/>
              </w:rPr>
            </w:pPr>
          </w:p>
        </w:tc>
        <w:tc>
          <w:tcPr>
            <w:tcW w:w="180" w:type="dxa"/>
            <w:vAlign w:val="bottom"/>
            <w:tcBorders>
              <w:top w:val="single" w:sz="8" w:color="auto"/>
            </w:tcBorders>
            <w:shd w:val="clear" w:color="auto" w:fill="CCEEFF"/>
          </w:tcPr>
          <w:p>
            <w:pPr>
              <w:spacing w:after="0" w:line="144" w:lineRule="exact"/>
              <w:rPr>
                <w:sz w:val="20"/>
                <w:szCs w:val="20"/>
                <w:color w:val="auto"/>
              </w:rPr>
            </w:pPr>
            <w:r>
              <w:rPr>
                <w:rFonts w:ascii="Arial" w:cs="Arial" w:eastAsia="Arial" w:hAnsi="Arial"/>
                <w:sz w:val="14"/>
                <w:szCs w:val="14"/>
                <w:color w:val="auto"/>
              </w:rPr>
              <w:t>$</w:t>
            </w:r>
          </w:p>
        </w:tc>
        <w:tc>
          <w:tcPr>
            <w:tcW w:w="700" w:type="dxa"/>
            <w:vAlign w:val="bottom"/>
            <w:tcBorders>
              <w:top w:val="single" w:sz="8" w:color="auto"/>
            </w:tcBorders>
            <w:shd w:val="clear" w:color="auto" w:fill="CCEEFF"/>
          </w:tcPr>
          <w:p>
            <w:pPr>
              <w:jc w:val="right"/>
              <w:spacing w:after="0" w:line="144" w:lineRule="exact"/>
              <w:rPr>
                <w:sz w:val="20"/>
                <w:szCs w:val="20"/>
                <w:color w:val="auto"/>
              </w:rPr>
            </w:pPr>
            <w:r>
              <w:rPr>
                <w:rFonts w:ascii="Arial" w:cs="Arial" w:eastAsia="Arial" w:hAnsi="Arial"/>
                <w:sz w:val="14"/>
                <w:szCs w:val="14"/>
                <w:color w:val="auto"/>
              </w:rPr>
              <w:t>14,038</w:t>
            </w:r>
          </w:p>
        </w:tc>
        <w:tc>
          <w:tcPr>
            <w:tcW w:w="160" w:type="dxa"/>
            <w:vAlign w:val="bottom"/>
            <w:shd w:val="clear" w:color="auto" w:fill="CCEEFF"/>
          </w:tcPr>
          <w:p>
            <w:pPr>
              <w:spacing w:after="0"/>
              <w:rPr>
                <w:sz w:val="12"/>
                <w:szCs w:val="12"/>
                <w:color w:val="auto"/>
              </w:rPr>
            </w:pPr>
          </w:p>
        </w:tc>
        <w:tc>
          <w:tcPr>
            <w:tcW w:w="180" w:type="dxa"/>
            <w:vAlign w:val="bottom"/>
            <w:tcBorders>
              <w:top w:val="single" w:sz="8" w:color="auto"/>
            </w:tcBorders>
            <w:shd w:val="clear" w:color="auto" w:fill="CCEEFF"/>
          </w:tcPr>
          <w:p>
            <w:pPr>
              <w:spacing w:after="0" w:line="144" w:lineRule="exact"/>
              <w:rPr>
                <w:sz w:val="20"/>
                <w:szCs w:val="20"/>
                <w:color w:val="auto"/>
              </w:rPr>
            </w:pPr>
            <w:r>
              <w:rPr>
                <w:rFonts w:ascii="Arial" w:cs="Arial" w:eastAsia="Arial" w:hAnsi="Arial"/>
                <w:sz w:val="14"/>
                <w:szCs w:val="14"/>
                <w:color w:val="auto"/>
              </w:rPr>
              <w:t>$</w:t>
            </w:r>
          </w:p>
        </w:tc>
        <w:tc>
          <w:tcPr>
            <w:tcW w:w="660" w:type="dxa"/>
            <w:vAlign w:val="bottom"/>
            <w:tcBorders>
              <w:top w:val="single" w:sz="8" w:color="auto"/>
            </w:tcBorders>
            <w:shd w:val="clear" w:color="auto" w:fill="CCEEFF"/>
          </w:tcPr>
          <w:p>
            <w:pPr>
              <w:jc w:val="right"/>
              <w:spacing w:after="0" w:line="144" w:lineRule="exact"/>
              <w:rPr>
                <w:sz w:val="20"/>
                <w:szCs w:val="20"/>
                <w:color w:val="auto"/>
              </w:rPr>
            </w:pPr>
            <w:r>
              <w:rPr>
                <w:rFonts w:ascii="Arial" w:cs="Arial" w:eastAsia="Arial" w:hAnsi="Arial"/>
                <w:sz w:val="14"/>
                <w:szCs w:val="14"/>
                <w:color w:val="auto"/>
              </w:rPr>
              <w:t>21,874</w:t>
            </w:r>
          </w:p>
        </w:tc>
        <w:tc>
          <w:tcPr>
            <w:tcW w:w="160" w:type="dxa"/>
            <w:vAlign w:val="bottom"/>
            <w:shd w:val="clear" w:color="auto" w:fill="CCEEFF"/>
          </w:tcPr>
          <w:p>
            <w:pPr>
              <w:spacing w:after="0"/>
              <w:rPr>
                <w:sz w:val="12"/>
                <w:szCs w:val="12"/>
                <w:color w:val="auto"/>
              </w:rPr>
            </w:pPr>
          </w:p>
        </w:tc>
        <w:tc>
          <w:tcPr>
            <w:tcW w:w="140" w:type="dxa"/>
            <w:vAlign w:val="bottom"/>
            <w:tcBorders>
              <w:top w:val="single" w:sz="8" w:color="auto"/>
            </w:tcBorders>
            <w:shd w:val="clear" w:color="auto" w:fill="CCEEFF"/>
          </w:tcPr>
          <w:p>
            <w:pPr>
              <w:jc w:val="right"/>
              <w:spacing w:after="0" w:line="144" w:lineRule="exact"/>
              <w:rPr>
                <w:sz w:val="20"/>
                <w:szCs w:val="20"/>
                <w:color w:val="auto"/>
              </w:rPr>
            </w:pPr>
            <w:r>
              <w:rPr>
                <w:rFonts w:ascii="Arial" w:cs="Arial" w:eastAsia="Arial" w:hAnsi="Arial"/>
                <w:sz w:val="14"/>
                <w:szCs w:val="14"/>
                <w:color w:val="auto"/>
                <w:w w:val="76"/>
              </w:rPr>
              <w:t>$</w:t>
            </w:r>
          </w:p>
        </w:tc>
        <w:tc>
          <w:tcPr>
            <w:tcW w:w="560" w:type="dxa"/>
            <w:vAlign w:val="bottom"/>
            <w:tcBorders>
              <w:top w:val="single" w:sz="8" w:color="auto"/>
            </w:tcBorders>
            <w:shd w:val="clear" w:color="auto" w:fill="CCEEFF"/>
          </w:tcPr>
          <w:p>
            <w:pPr>
              <w:jc w:val="right"/>
              <w:spacing w:after="0" w:line="144" w:lineRule="exact"/>
              <w:rPr>
                <w:sz w:val="20"/>
                <w:szCs w:val="20"/>
                <w:color w:val="auto"/>
              </w:rPr>
            </w:pPr>
            <w:r>
              <w:rPr>
                <w:rFonts w:ascii="Arial" w:cs="Arial" w:eastAsia="Arial" w:hAnsi="Arial"/>
                <w:sz w:val="14"/>
                <w:szCs w:val="14"/>
                <w:color w:val="auto"/>
              </w:rPr>
              <w:t>73,167</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7"/>
        </w:trPr>
        <w:tc>
          <w:tcPr>
            <w:tcW w:w="4520" w:type="dxa"/>
            <w:vAlign w:val="bottom"/>
            <w:gridSpan w:val="3"/>
            <w:vMerge w:val="restart"/>
          </w:tcPr>
          <w:p>
            <w:pPr>
              <w:spacing w:after="0"/>
              <w:rPr>
                <w:sz w:val="20"/>
                <w:szCs w:val="20"/>
                <w:color w:val="auto"/>
              </w:rPr>
            </w:pPr>
            <w:r>
              <w:rPr>
                <w:rFonts w:ascii="Arial" w:cs="Arial" w:eastAsia="Arial" w:hAnsi="Arial"/>
                <w:sz w:val="14"/>
                <w:szCs w:val="14"/>
                <w:color w:val="auto"/>
              </w:rPr>
              <w:t>Net income per share — basic</w:t>
            </w:r>
          </w:p>
        </w:tc>
        <w:tc>
          <w:tcPr>
            <w:tcW w:w="14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4520" w:type="dxa"/>
            <w:vAlign w:val="bottom"/>
            <w:gridSpan w:val="3"/>
            <w:vMerge w:val="continue"/>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9"/>
        </w:trPr>
        <w:tc>
          <w:tcPr>
            <w:tcW w:w="4520" w:type="dxa"/>
            <w:vAlign w:val="bottom"/>
            <w:gridSpan w:val="3"/>
            <w:vMerge w:val="continue"/>
          </w:tcPr>
          <w:p>
            <w:pPr>
              <w:spacing w:after="0"/>
              <w:rPr>
                <w:sz w:val="11"/>
                <w:szCs w:val="11"/>
                <w:color w:val="auto"/>
              </w:rPr>
            </w:pPr>
          </w:p>
        </w:tc>
        <w:tc>
          <w:tcPr>
            <w:tcW w:w="140" w:type="dxa"/>
            <w:vAlign w:val="bottom"/>
          </w:tcPr>
          <w:p>
            <w:pPr>
              <w:jc w:val="right"/>
              <w:ind w:right="28"/>
              <w:spacing w:after="0"/>
              <w:rPr>
                <w:sz w:val="20"/>
                <w:szCs w:val="20"/>
                <w:color w:val="auto"/>
              </w:rPr>
            </w:pPr>
            <w:r>
              <w:rPr>
                <w:rFonts w:ascii="Arial" w:cs="Arial" w:eastAsia="Arial" w:hAnsi="Arial"/>
                <w:sz w:val="10"/>
                <w:szCs w:val="10"/>
                <w:color w:val="auto"/>
                <w:w w:val="71"/>
              </w:rPr>
              <w:t>$</w:t>
            </w:r>
          </w:p>
        </w:tc>
        <w:tc>
          <w:tcPr>
            <w:tcW w:w="560" w:type="dxa"/>
            <w:vAlign w:val="bottom"/>
          </w:tcPr>
          <w:p>
            <w:pPr>
              <w:jc w:val="right"/>
              <w:spacing w:after="0" w:line="129" w:lineRule="exact"/>
              <w:rPr>
                <w:sz w:val="20"/>
                <w:szCs w:val="20"/>
                <w:color w:val="auto"/>
              </w:rPr>
            </w:pPr>
            <w:r>
              <w:rPr>
                <w:rFonts w:ascii="Arial" w:cs="Arial" w:eastAsia="Arial" w:hAnsi="Arial"/>
                <w:sz w:val="14"/>
                <w:szCs w:val="14"/>
                <w:color w:val="auto"/>
              </w:rPr>
              <w:t>0.20</w:t>
            </w:r>
          </w:p>
        </w:tc>
        <w:tc>
          <w:tcPr>
            <w:tcW w:w="160" w:type="dxa"/>
            <w:vAlign w:val="bottom"/>
          </w:tcPr>
          <w:p>
            <w:pPr>
              <w:spacing w:after="0"/>
              <w:rPr>
                <w:sz w:val="11"/>
                <w:szCs w:val="11"/>
                <w:color w:val="auto"/>
              </w:rPr>
            </w:pPr>
          </w:p>
        </w:tc>
        <w:tc>
          <w:tcPr>
            <w:tcW w:w="80" w:type="dxa"/>
            <w:vAlign w:val="bottom"/>
          </w:tcPr>
          <w:p>
            <w:pPr>
              <w:jc w:val="right"/>
              <w:spacing w:after="0" w:line="129" w:lineRule="exact"/>
              <w:rPr>
                <w:sz w:val="20"/>
                <w:szCs w:val="20"/>
                <w:color w:val="auto"/>
              </w:rPr>
            </w:pPr>
            <w:r>
              <w:rPr>
                <w:rFonts w:ascii="Arial" w:cs="Arial" w:eastAsia="Arial" w:hAnsi="Arial"/>
                <w:sz w:val="14"/>
                <w:szCs w:val="14"/>
                <w:color w:val="auto"/>
                <w:w w:val="76"/>
              </w:rPr>
              <w:t>$</w:t>
            </w:r>
          </w:p>
        </w:tc>
        <w:tc>
          <w:tcPr>
            <w:tcW w:w="620" w:type="dxa"/>
            <w:vAlign w:val="bottom"/>
          </w:tcPr>
          <w:p>
            <w:pPr>
              <w:jc w:val="right"/>
              <w:spacing w:after="0" w:line="129" w:lineRule="exact"/>
              <w:rPr>
                <w:sz w:val="20"/>
                <w:szCs w:val="20"/>
                <w:color w:val="auto"/>
              </w:rPr>
            </w:pPr>
            <w:r>
              <w:rPr>
                <w:rFonts w:ascii="Arial" w:cs="Arial" w:eastAsia="Arial" w:hAnsi="Arial"/>
                <w:sz w:val="14"/>
                <w:szCs w:val="14"/>
                <w:color w:val="auto"/>
              </w:rPr>
              <w:t>0.06</w:t>
            </w:r>
          </w:p>
        </w:tc>
        <w:tc>
          <w:tcPr>
            <w:tcW w:w="160" w:type="dxa"/>
            <w:vAlign w:val="bottom"/>
          </w:tcPr>
          <w:p>
            <w:pPr>
              <w:spacing w:after="0"/>
              <w:rPr>
                <w:sz w:val="11"/>
                <w:szCs w:val="11"/>
                <w:color w:val="auto"/>
              </w:rPr>
            </w:pPr>
          </w:p>
        </w:tc>
        <w:tc>
          <w:tcPr>
            <w:tcW w:w="180" w:type="dxa"/>
            <w:vAlign w:val="bottom"/>
          </w:tcPr>
          <w:p>
            <w:pPr>
              <w:spacing w:after="0" w:line="129" w:lineRule="exact"/>
              <w:rPr>
                <w:sz w:val="20"/>
                <w:szCs w:val="20"/>
                <w:color w:val="auto"/>
              </w:rPr>
            </w:pPr>
            <w:r>
              <w:rPr>
                <w:rFonts w:ascii="Arial" w:cs="Arial" w:eastAsia="Arial" w:hAnsi="Arial"/>
                <w:sz w:val="14"/>
                <w:szCs w:val="14"/>
                <w:color w:val="auto"/>
              </w:rPr>
              <w:t>$</w:t>
            </w:r>
          </w:p>
        </w:tc>
        <w:tc>
          <w:tcPr>
            <w:tcW w:w="700" w:type="dxa"/>
            <w:vAlign w:val="bottom"/>
          </w:tcPr>
          <w:p>
            <w:pPr>
              <w:jc w:val="right"/>
              <w:spacing w:after="0" w:line="129" w:lineRule="exact"/>
              <w:rPr>
                <w:sz w:val="20"/>
                <w:szCs w:val="20"/>
                <w:color w:val="auto"/>
              </w:rPr>
            </w:pPr>
            <w:r>
              <w:rPr>
                <w:rFonts w:ascii="Arial" w:cs="Arial" w:eastAsia="Arial" w:hAnsi="Arial"/>
                <w:sz w:val="14"/>
                <w:szCs w:val="14"/>
                <w:color w:val="auto"/>
              </w:rPr>
              <w:t>0.10</w:t>
            </w:r>
          </w:p>
        </w:tc>
        <w:tc>
          <w:tcPr>
            <w:tcW w:w="160" w:type="dxa"/>
            <w:vAlign w:val="bottom"/>
          </w:tcPr>
          <w:p>
            <w:pPr>
              <w:spacing w:after="0"/>
              <w:rPr>
                <w:sz w:val="11"/>
                <w:szCs w:val="11"/>
                <w:color w:val="auto"/>
              </w:rPr>
            </w:pPr>
          </w:p>
        </w:tc>
        <w:tc>
          <w:tcPr>
            <w:tcW w:w="180" w:type="dxa"/>
            <w:vAlign w:val="bottom"/>
          </w:tcPr>
          <w:p>
            <w:pPr>
              <w:spacing w:after="0" w:line="129" w:lineRule="exact"/>
              <w:rPr>
                <w:sz w:val="20"/>
                <w:szCs w:val="20"/>
                <w:color w:val="auto"/>
              </w:rPr>
            </w:pPr>
            <w:r>
              <w:rPr>
                <w:rFonts w:ascii="Arial" w:cs="Arial" w:eastAsia="Arial" w:hAnsi="Arial"/>
                <w:sz w:val="14"/>
                <w:szCs w:val="14"/>
                <w:color w:val="auto"/>
              </w:rPr>
              <w:t>$</w:t>
            </w:r>
          </w:p>
        </w:tc>
        <w:tc>
          <w:tcPr>
            <w:tcW w:w="660" w:type="dxa"/>
            <w:vAlign w:val="bottom"/>
          </w:tcPr>
          <w:p>
            <w:pPr>
              <w:jc w:val="right"/>
              <w:spacing w:after="0" w:line="129" w:lineRule="exact"/>
              <w:rPr>
                <w:sz w:val="20"/>
                <w:szCs w:val="20"/>
                <w:color w:val="auto"/>
              </w:rPr>
            </w:pPr>
            <w:r>
              <w:rPr>
                <w:rFonts w:ascii="Arial" w:cs="Arial" w:eastAsia="Arial" w:hAnsi="Arial"/>
                <w:sz w:val="14"/>
                <w:szCs w:val="14"/>
                <w:color w:val="auto"/>
              </w:rPr>
              <w:t>0.15</w:t>
            </w:r>
          </w:p>
        </w:tc>
        <w:tc>
          <w:tcPr>
            <w:tcW w:w="160" w:type="dxa"/>
            <w:vAlign w:val="bottom"/>
          </w:tcPr>
          <w:p>
            <w:pPr>
              <w:spacing w:after="0"/>
              <w:rPr>
                <w:sz w:val="11"/>
                <w:szCs w:val="11"/>
                <w:color w:val="auto"/>
              </w:rPr>
            </w:pPr>
          </w:p>
        </w:tc>
        <w:tc>
          <w:tcPr>
            <w:tcW w:w="140" w:type="dxa"/>
            <w:vAlign w:val="bottom"/>
          </w:tcPr>
          <w:p>
            <w:pPr>
              <w:jc w:val="right"/>
              <w:spacing w:after="0" w:line="129" w:lineRule="exact"/>
              <w:rPr>
                <w:sz w:val="20"/>
                <w:szCs w:val="20"/>
                <w:color w:val="auto"/>
              </w:rPr>
            </w:pPr>
            <w:r>
              <w:rPr>
                <w:rFonts w:ascii="Arial" w:cs="Arial" w:eastAsia="Arial" w:hAnsi="Arial"/>
                <w:sz w:val="14"/>
                <w:szCs w:val="14"/>
                <w:color w:val="auto"/>
                <w:w w:val="76"/>
              </w:rPr>
              <w:t>$</w:t>
            </w:r>
          </w:p>
        </w:tc>
        <w:tc>
          <w:tcPr>
            <w:tcW w:w="560" w:type="dxa"/>
            <w:vAlign w:val="bottom"/>
          </w:tcPr>
          <w:p>
            <w:pPr>
              <w:jc w:val="right"/>
              <w:spacing w:after="0" w:line="129" w:lineRule="exact"/>
              <w:rPr>
                <w:sz w:val="20"/>
                <w:szCs w:val="20"/>
                <w:color w:val="auto"/>
              </w:rPr>
            </w:pPr>
            <w:r>
              <w:rPr>
                <w:rFonts w:ascii="Arial" w:cs="Arial" w:eastAsia="Arial" w:hAnsi="Arial"/>
                <w:sz w:val="14"/>
                <w:szCs w:val="14"/>
                <w:color w:val="auto"/>
              </w:rPr>
              <w:t>0.51</w:t>
            </w: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Net income per share — diluted</w:t>
            </w:r>
          </w:p>
        </w:tc>
        <w:tc>
          <w:tcPr>
            <w:tcW w:w="140" w:type="dxa"/>
            <w:vAlign w:val="bottom"/>
            <w:shd w:val="clear" w:color="auto" w:fill="CCEEFF"/>
          </w:tcPr>
          <w:p>
            <w:pPr>
              <w:jc w:val="right"/>
              <w:ind w:right="28"/>
              <w:spacing w:after="0"/>
              <w:rPr>
                <w:sz w:val="20"/>
                <w:szCs w:val="20"/>
                <w:color w:val="auto"/>
              </w:rPr>
            </w:pPr>
            <w:r>
              <w:rPr>
                <w:rFonts w:ascii="Arial" w:cs="Arial" w:eastAsia="Arial" w:hAnsi="Arial"/>
                <w:sz w:val="10"/>
                <w:szCs w:val="10"/>
                <w:color w:val="auto"/>
                <w:w w:val="71"/>
              </w:rPr>
              <w:t>$</w:t>
            </w: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0.20</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0.06</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0.10</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0.15</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0.50</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324"/>
        </w:trPr>
        <w:tc>
          <w:tcPr>
            <w:tcW w:w="4520" w:type="dxa"/>
            <w:vAlign w:val="bottom"/>
            <w:gridSpan w:val="3"/>
          </w:tcPr>
          <w:p>
            <w:pPr>
              <w:spacing w:after="0"/>
              <w:rPr>
                <w:sz w:val="20"/>
                <w:szCs w:val="20"/>
                <w:color w:val="auto"/>
              </w:rPr>
            </w:pPr>
            <w:r>
              <w:rPr>
                <w:rFonts w:ascii="Arial" w:cs="Arial" w:eastAsia="Arial" w:hAnsi="Arial"/>
                <w:sz w:val="14"/>
                <w:szCs w:val="14"/>
                <w:b w:val="1"/>
                <w:bCs w:val="1"/>
                <w:color w:val="auto"/>
              </w:rPr>
              <w:t>Cash flows</w:t>
            </w:r>
          </w:p>
        </w:tc>
        <w:tc>
          <w:tcPr>
            <w:tcW w:w="1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Operating cash flow</w:t>
            </w:r>
          </w:p>
        </w:tc>
        <w:tc>
          <w:tcPr>
            <w:tcW w:w="140" w:type="dxa"/>
            <w:vAlign w:val="bottom"/>
            <w:shd w:val="clear" w:color="auto" w:fill="CCEEFF"/>
          </w:tcPr>
          <w:p>
            <w:pPr>
              <w:jc w:val="right"/>
              <w:ind w:right="28"/>
              <w:spacing w:after="0"/>
              <w:rPr>
                <w:sz w:val="20"/>
                <w:szCs w:val="20"/>
                <w:color w:val="auto"/>
              </w:rPr>
            </w:pPr>
            <w:r>
              <w:rPr>
                <w:rFonts w:ascii="Arial" w:cs="Arial" w:eastAsia="Arial" w:hAnsi="Arial"/>
                <w:sz w:val="10"/>
                <w:szCs w:val="10"/>
                <w:color w:val="auto"/>
                <w:w w:val="71"/>
              </w:rPr>
              <w:t>$</w:t>
            </w: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54,587</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92,792</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20,239</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8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(46,443)</w:t>
            </w:r>
          </w:p>
        </w:tc>
        <w:tc>
          <w:tcPr>
            <w:tcW w:w="1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121,175</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tcPr>
          <w:p>
            <w:pPr>
              <w:spacing w:after="0" w:line="149" w:lineRule="exact"/>
              <w:rPr>
                <w:sz w:val="20"/>
                <w:szCs w:val="20"/>
                <w:color w:val="auto"/>
              </w:rPr>
            </w:pPr>
            <w:r>
              <w:rPr>
                <w:rFonts w:ascii="Arial" w:cs="Arial" w:eastAsia="Arial" w:hAnsi="Arial"/>
                <w:sz w:val="14"/>
                <w:szCs w:val="14"/>
                <w:color w:val="auto"/>
              </w:rPr>
              <w:t>Investing cash flow</w:t>
            </w:r>
          </w:p>
        </w:tc>
        <w:tc>
          <w:tcPr>
            <w:tcW w:w="140" w:type="dxa"/>
            <w:vAlign w:val="bottom"/>
          </w:tcPr>
          <w:p>
            <w:pPr>
              <w:jc w:val="right"/>
              <w:ind w:right="28"/>
              <w:spacing w:after="0"/>
              <w:rPr>
                <w:sz w:val="20"/>
                <w:szCs w:val="20"/>
                <w:color w:val="auto"/>
              </w:rPr>
            </w:pPr>
            <w:r>
              <w:rPr>
                <w:rFonts w:ascii="Arial" w:cs="Arial" w:eastAsia="Arial" w:hAnsi="Arial"/>
                <w:sz w:val="10"/>
                <w:szCs w:val="10"/>
                <w:color w:val="auto"/>
                <w:w w:val="71"/>
              </w:rPr>
              <w:t>$</w:t>
            </w:r>
          </w:p>
        </w:tc>
        <w:tc>
          <w:tcPr>
            <w:tcW w:w="72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w w:val="96"/>
              </w:rPr>
              <w:t>(121,766)</w:t>
            </w:r>
          </w:p>
        </w:tc>
        <w:tc>
          <w:tcPr>
            <w:tcW w:w="8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7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(274,838)</w:t>
            </w:r>
          </w:p>
        </w:tc>
        <w:tc>
          <w:tcPr>
            <w:tcW w:w="18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86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(260,811)</w:t>
            </w:r>
          </w:p>
        </w:tc>
        <w:tc>
          <w:tcPr>
            <w:tcW w:w="18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82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(260,134)</w:t>
            </w:r>
          </w:p>
        </w:tc>
        <w:tc>
          <w:tcPr>
            <w:tcW w:w="14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72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w w:val="96"/>
              </w:rPr>
              <w:t>(917,549)</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Financing cash flow</w:t>
            </w:r>
          </w:p>
        </w:tc>
        <w:tc>
          <w:tcPr>
            <w:tcW w:w="140" w:type="dxa"/>
            <w:vAlign w:val="bottom"/>
            <w:shd w:val="clear" w:color="auto" w:fill="CCEEFF"/>
          </w:tcPr>
          <w:p>
            <w:pPr>
              <w:jc w:val="right"/>
              <w:ind w:right="28"/>
              <w:spacing w:after="0"/>
              <w:rPr>
                <w:sz w:val="20"/>
                <w:szCs w:val="20"/>
                <w:color w:val="auto"/>
              </w:rPr>
            </w:pPr>
            <w:r>
              <w:rPr>
                <w:rFonts w:ascii="Arial" w:cs="Arial" w:eastAsia="Arial" w:hAnsi="Arial"/>
                <w:sz w:val="10"/>
                <w:szCs w:val="10"/>
                <w:color w:val="auto"/>
                <w:w w:val="71"/>
              </w:rPr>
              <w:t>$</w:t>
            </w: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5,721</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78,493</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211,843</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262,015</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558,072</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324"/>
        </w:trPr>
        <w:tc>
          <w:tcPr>
            <w:tcW w:w="4520" w:type="dxa"/>
            <w:vAlign w:val="bottom"/>
            <w:gridSpan w:val="3"/>
          </w:tcPr>
          <w:p>
            <w:pPr>
              <w:spacing w:after="0"/>
              <w:rPr>
                <w:sz w:val="20"/>
                <w:szCs w:val="20"/>
                <w:color w:val="auto"/>
              </w:rPr>
            </w:pPr>
            <w:r>
              <w:rPr>
                <w:rFonts w:ascii="Arial" w:cs="Arial" w:eastAsia="Arial" w:hAnsi="Arial"/>
                <w:sz w:val="14"/>
                <w:szCs w:val="14"/>
                <w:b w:val="1"/>
                <w:bCs w:val="1"/>
                <w:color w:val="auto"/>
              </w:rPr>
              <w:t>Realized prices</w:t>
            </w:r>
          </w:p>
        </w:tc>
        <w:tc>
          <w:tcPr>
            <w:tcW w:w="1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Gold (per ounce)</w:t>
            </w:r>
          </w:p>
        </w:tc>
        <w:tc>
          <w:tcPr>
            <w:tcW w:w="140" w:type="dxa"/>
            <w:vAlign w:val="bottom"/>
            <w:shd w:val="clear" w:color="auto" w:fill="CCEEFF"/>
          </w:tcPr>
          <w:p>
            <w:pPr>
              <w:jc w:val="right"/>
              <w:ind w:right="28"/>
              <w:spacing w:after="0"/>
              <w:rPr>
                <w:sz w:val="20"/>
                <w:szCs w:val="20"/>
                <w:color w:val="auto"/>
              </w:rPr>
            </w:pPr>
            <w:r>
              <w:rPr>
                <w:rFonts w:ascii="Arial" w:cs="Arial" w:eastAsia="Arial" w:hAnsi="Arial"/>
                <w:sz w:val="10"/>
                <w:szCs w:val="10"/>
                <w:color w:val="auto"/>
                <w:w w:val="71"/>
              </w:rPr>
              <w:t>$</w:t>
            </w: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1,089</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804</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903</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789</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879</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tcPr>
          <w:p>
            <w:pPr>
              <w:spacing w:after="0" w:line="149" w:lineRule="exact"/>
              <w:rPr>
                <w:sz w:val="20"/>
                <w:szCs w:val="20"/>
                <w:color w:val="auto"/>
              </w:rPr>
            </w:pPr>
            <w:r>
              <w:rPr>
                <w:rFonts w:ascii="Arial" w:cs="Arial" w:eastAsia="Arial" w:hAnsi="Arial"/>
                <w:sz w:val="14"/>
                <w:szCs w:val="14"/>
                <w:color w:val="auto"/>
              </w:rPr>
              <w:t>Silver (per ounce)</w:t>
            </w:r>
          </w:p>
        </w:tc>
        <w:tc>
          <w:tcPr>
            <w:tcW w:w="140" w:type="dxa"/>
            <w:vAlign w:val="bottom"/>
          </w:tcPr>
          <w:p>
            <w:pPr>
              <w:jc w:val="right"/>
              <w:ind w:right="28"/>
              <w:spacing w:after="0"/>
              <w:rPr>
                <w:sz w:val="20"/>
                <w:szCs w:val="20"/>
                <w:color w:val="auto"/>
              </w:rPr>
            </w:pPr>
            <w:r>
              <w:rPr>
                <w:rFonts w:ascii="Arial" w:cs="Arial" w:eastAsia="Arial" w:hAnsi="Arial"/>
                <w:sz w:val="10"/>
                <w:szCs w:val="10"/>
                <w:color w:val="auto"/>
                <w:w w:val="71"/>
              </w:rPr>
              <w:t>$</w:t>
            </w: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19.91</w:t>
            </w:r>
          </w:p>
        </w:tc>
        <w:tc>
          <w:tcPr>
            <w:tcW w:w="160" w:type="dxa"/>
            <w:vAlign w:val="bottom"/>
          </w:tcPr>
          <w:p>
            <w:pPr>
              <w:spacing w:after="0"/>
              <w:rPr>
                <w:sz w:val="12"/>
                <w:szCs w:val="12"/>
                <w:color w:val="auto"/>
              </w:rPr>
            </w:pPr>
          </w:p>
        </w:tc>
        <w:tc>
          <w:tcPr>
            <w:tcW w:w="8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16.56</w:t>
            </w:r>
          </w:p>
        </w:tc>
        <w:tc>
          <w:tcPr>
            <w:tcW w:w="160" w:type="dxa"/>
            <w:vAlign w:val="bottom"/>
          </w:tcPr>
          <w:p>
            <w:pPr>
              <w:spacing w:after="0"/>
              <w:rPr>
                <w:sz w:val="12"/>
                <w:szCs w:val="12"/>
                <w:color w:val="auto"/>
              </w:rPr>
            </w:pPr>
          </w:p>
        </w:tc>
        <w:tc>
          <w:tcPr>
            <w:tcW w:w="18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700" w:type="dxa"/>
            <w:vAlign w:val="bottom"/>
          </w:tcPr>
          <w:p>
            <w:pPr>
              <w:jc w:val="right"/>
              <w:spacing w:after="0" w:line="149" w:lineRule="exact"/>
              <w:rPr>
                <w:sz w:val="20"/>
                <w:szCs w:val="20"/>
                <w:color w:val="auto"/>
              </w:rPr>
            </w:pPr>
            <w:r>
              <w:rPr>
                <w:rFonts w:ascii="Arial" w:cs="Arial" w:eastAsia="Arial" w:hAnsi="Arial"/>
                <w:sz w:val="14"/>
                <w:szCs w:val="14"/>
                <w:color w:val="auto"/>
              </w:rPr>
              <w:t>13.87</w:t>
            </w:r>
          </w:p>
        </w:tc>
        <w:tc>
          <w:tcPr>
            <w:tcW w:w="160" w:type="dxa"/>
            <w:vAlign w:val="bottom"/>
          </w:tcPr>
          <w:p>
            <w:pPr>
              <w:spacing w:after="0"/>
              <w:rPr>
                <w:sz w:val="12"/>
                <w:szCs w:val="12"/>
                <w:color w:val="auto"/>
              </w:rPr>
            </w:pPr>
          </w:p>
        </w:tc>
        <w:tc>
          <w:tcPr>
            <w:tcW w:w="18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9.22</w:t>
            </w:r>
          </w:p>
        </w:tc>
        <w:tc>
          <w:tcPr>
            <w:tcW w:w="160" w:type="dxa"/>
            <w:vAlign w:val="bottom"/>
          </w:tcPr>
          <w:p>
            <w:pPr>
              <w:spacing w:after="0"/>
              <w:rPr>
                <w:sz w:val="12"/>
                <w:szCs w:val="12"/>
                <w:color w:val="auto"/>
              </w:rPr>
            </w:pPr>
          </w:p>
        </w:tc>
        <w:tc>
          <w:tcPr>
            <w:tcW w:w="14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14.92</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Zinc (per tonne)</w:t>
            </w:r>
          </w:p>
        </w:tc>
        <w:tc>
          <w:tcPr>
            <w:tcW w:w="140" w:type="dxa"/>
            <w:vAlign w:val="bottom"/>
            <w:shd w:val="clear" w:color="auto" w:fill="CCEEFF"/>
          </w:tcPr>
          <w:p>
            <w:pPr>
              <w:jc w:val="right"/>
              <w:ind w:right="28"/>
              <w:spacing w:after="0"/>
              <w:rPr>
                <w:sz w:val="20"/>
                <w:szCs w:val="20"/>
                <w:color w:val="auto"/>
              </w:rPr>
            </w:pPr>
            <w:r>
              <w:rPr>
                <w:rFonts w:ascii="Arial" w:cs="Arial" w:eastAsia="Arial" w:hAnsi="Arial"/>
                <w:sz w:val="10"/>
                <w:szCs w:val="10"/>
                <w:color w:val="auto"/>
                <w:w w:val="71"/>
              </w:rPr>
              <w:t>$</w:t>
            </w: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2,530</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1,728</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1,667</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663</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1,745</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tcPr>
          <w:p>
            <w:pPr>
              <w:spacing w:after="0" w:line="149" w:lineRule="exact"/>
              <w:rPr>
                <w:sz w:val="20"/>
                <w:szCs w:val="20"/>
                <w:color w:val="auto"/>
              </w:rPr>
            </w:pPr>
            <w:r>
              <w:rPr>
                <w:rFonts w:ascii="Arial" w:cs="Arial" w:eastAsia="Arial" w:hAnsi="Arial"/>
                <w:sz w:val="14"/>
                <w:szCs w:val="14"/>
                <w:color w:val="auto"/>
              </w:rPr>
              <w:t>Copper (per tonne)</w:t>
            </w:r>
          </w:p>
        </w:tc>
        <w:tc>
          <w:tcPr>
            <w:tcW w:w="140" w:type="dxa"/>
            <w:vAlign w:val="bottom"/>
          </w:tcPr>
          <w:p>
            <w:pPr>
              <w:jc w:val="right"/>
              <w:ind w:right="28"/>
              <w:spacing w:after="0"/>
              <w:rPr>
                <w:sz w:val="20"/>
                <w:szCs w:val="20"/>
                <w:color w:val="auto"/>
              </w:rPr>
            </w:pPr>
            <w:r>
              <w:rPr>
                <w:rFonts w:ascii="Arial" w:cs="Arial" w:eastAsia="Arial" w:hAnsi="Arial"/>
                <w:sz w:val="10"/>
                <w:szCs w:val="10"/>
                <w:color w:val="auto"/>
                <w:w w:val="71"/>
              </w:rPr>
              <w:t>$</w:t>
            </w: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10,559</w:t>
            </w:r>
          </w:p>
        </w:tc>
        <w:tc>
          <w:tcPr>
            <w:tcW w:w="160" w:type="dxa"/>
            <w:vAlign w:val="bottom"/>
          </w:tcPr>
          <w:p>
            <w:pPr>
              <w:spacing w:after="0"/>
              <w:rPr>
                <w:sz w:val="12"/>
                <w:szCs w:val="12"/>
                <w:color w:val="auto"/>
              </w:rPr>
            </w:pPr>
          </w:p>
        </w:tc>
        <w:tc>
          <w:tcPr>
            <w:tcW w:w="8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8,534</w:t>
            </w:r>
          </w:p>
        </w:tc>
        <w:tc>
          <w:tcPr>
            <w:tcW w:w="160" w:type="dxa"/>
            <w:vAlign w:val="bottom"/>
          </w:tcPr>
          <w:p>
            <w:pPr>
              <w:spacing w:after="0"/>
              <w:rPr>
                <w:sz w:val="12"/>
                <w:szCs w:val="12"/>
                <w:color w:val="auto"/>
              </w:rPr>
            </w:pPr>
          </w:p>
        </w:tc>
        <w:tc>
          <w:tcPr>
            <w:tcW w:w="18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700" w:type="dxa"/>
            <w:vAlign w:val="bottom"/>
          </w:tcPr>
          <w:p>
            <w:pPr>
              <w:jc w:val="right"/>
              <w:spacing w:after="0" w:line="149" w:lineRule="exact"/>
              <w:rPr>
                <w:sz w:val="20"/>
                <w:szCs w:val="20"/>
                <w:color w:val="auto"/>
              </w:rPr>
            </w:pPr>
            <w:r>
              <w:rPr>
                <w:rFonts w:ascii="Arial" w:cs="Arial" w:eastAsia="Arial" w:hAnsi="Arial"/>
                <w:sz w:val="14"/>
                <w:szCs w:val="14"/>
                <w:color w:val="auto"/>
              </w:rPr>
              <w:t>6,732</w:t>
            </w:r>
          </w:p>
        </w:tc>
        <w:tc>
          <w:tcPr>
            <w:tcW w:w="160" w:type="dxa"/>
            <w:vAlign w:val="bottom"/>
          </w:tcPr>
          <w:p>
            <w:pPr>
              <w:spacing w:after="0"/>
              <w:rPr>
                <w:sz w:val="12"/>
                <w:szCs w:val="12"/>
                <w:color w:val="auto"/>
              </w:rPr>
            </w:pPr>
          </w:p>
        </w:tc>
        <w:tc>
          <w:tcPr>
            <w:tcW w:w="18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82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(374)</w:t>
            </w:r>
          </w:p>
        </w:tc>
        <w:tc>
          <w:tcPr>
            <w:tcW w:w="14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6,220</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51"/>
        </w:trPr>
        <w:tc>
          <w:tcPr>
            <w:tcW w:w="20" w:type="dxa"/>
            <w:vAlign w:val="bottom"/>
          </w:tcPr>
          <w:p>
            <w:pPr>
              <w:spacing w:after="0"/>
              <w:rPr>
                <w:sz w:val="24"/>
                <w:szCs w:val="24"/>
                <w:color w:val="auto"/>
              </w:rPr>
            </w:pPr>
          </w:p>
        </w:tc>
        <w:tc>
          <w:tcPr>
            <w:tcW w:w="4500" w:type="dxa"/>
            <w:vAlign w:val="bottom"/>
            <w:gridSpan w:val="2"/>
            <w:shd w:val="clear" w:color="auto" w:fill="CCEEFF"/>
          </w:tcPr>
          <w:p>
            <w:pPr>
              <w:spacing w:after="0"/>
              <w:rPr>
                <w:sz w:val="20"/>
                <w:szCs w:val="20"/>
                <w:color w:val="auto"/>
              </w:rPr>
            </w:pPr>
            <w:r>
              <w:rPr>
                <w:rFonts w:ascii="Arial" w:cs="Arial" w:eastAsia="Arial" w:hAnsi="Arial"/>
                <w:sz w:val="14"/>
                <w:szCs w:val="14"/>
                <w:b w:val="1"/>
                <w:bCs w:val="1"/>
                <w:color w:val="auto"/>
              </w:rPr>
              <w:t>Payable production:</w:t>
            </w:r>
            <w:r>
              <w:rPr>
                <w:rFonts w:ascii="Arial" w:cs="Arial" w:eastAsia="Arial" w:hAnsi="Arial"/>
                <w:sz w:val="22"/>
                <w:szCs w:val="22"/>
                <w:color w:val="auto"/>
                <w:vertAlign w:val="superscript"/>
              </w:rPr>
              <w:t>(1)</w:t>
            </w:r>
          </w:p>
        </w:tc>
        <w:tc>
          <w:tcPr>
            <w:tcW w:w="140" w:type="dxa"/>
            <w:vAlign w:val="bottom"/>
            <w:shd w:val="clear" w:color="auto" w:fill="CCEEFF"/>
          </w:tcPr>
          <w:p>
            <w:pPr>
              <w:spacing w:after="0"/>
              <w:rPr>
                <w:sz w:val="24"/>
                <w:szCs w:val="24"/>
                <w:color w:val="auto"/>
              </w:rPr>
            </w:pPr>
          </w:p>
        </w:tc>
        <w:tc>
          <w:tcPr>
            <w:tcW w:w="5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62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70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6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5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tcPr>
          <w:p>
            <w:pPr>
              <w:spacing w:after="0" w:line="149" w:lineRule="exact"/>
              <w:rPr>
                <w:sz w:val="20"/>
                <w:szCs w:val="20"/>
                <w:color w:val="auto"/>
              </w:rPr>
            </w:pPr>
            <w:r>
              <w:rPr>
                <w:rFonts w:ascii="Arial" w:cs="Arial" w:eastAsia="Arial" w:hAnsi="Arial"/>
                <w:sz w:val="14"/>
                <w:szCs w:val="14"/>
                <w:color w:val="auto"/>
              </w:rPr>
              <w:t>Gold (ounces)</w:t>
            </w:r>
          </w:p>
        </w:tc>
        <w:tc>
          <w:tcPr>
            <w:tcW w:w="14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shd w:val="clear" w:color="auto" w:fill="CCEEFF"/>
          </w:tcPr>
          <w:p>
            <w:pPr>
              <w:ind w:left="100"/>
              <w:spacing w:after="0" w:line="149" w:lineRule="exact"/>
              <w:rPr>
                <w:sz w:val="20"/>
                <w:szCs w:val="20"/>
                <w:color w:val="auto"/>
              </w:rPr>
            </w:pPr>
            <w:r>
              <w:rPr>
                <w:rFonts w:ascii="Arial" w:cs="Arial" w:eastAsia="Arial" w:hAnsi="Arial"/>
                <w:sz w:val="14"/>
                <w:szCs w:val="14"/>
                <w:color w:val="auto"/>
              </w:rPr>
              <w:t>LaRonde Mine</w:t>
            </w: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50,892</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59,452</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51,594</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54,270</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216,208</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tcPr>
          <w:p>
            <w:pPr>
              <w:ind w:left="100"/>
              <w:spacing w:after="0" w:line="149" w:lineRule="exact"/>
              <w:rPr>
                <w:sz w:val="20"/>
                <w:szCs w:val="20"/>
                <w:color w:val="auto"/>
              </w:rPr>
            </w:pPr>
            <w:r>
              <w:rPr>
                <w:rFonts w:ascii="Arial" w:cs="Arial" w:eastAsia="Arial" w:hAnsi="Arial"/>
                <w:sz w:val="14"/>
                <w:szCs w:val="14"/>
                <w:color w:val="auto"/>
              </w:rPr>
              <w:t>Goldex Mine</w:t>
            </w:r>
          </w:p>
        </w:tc>
        <w:tc>
          <w:tcPr>
            <w:tcW w:w="140" w:type="dxa"/>
            <w:vAlign w:val="bottom"/>
          </w:tcPr>
          <w:p>
            <w:pPr>
              <w:spacing w:after="0"/>
              <w:rPr>
                <w:sz w:val="12"/>
                <w:szCs w:val="12"/>
                <w:color w:val="auto"/>
              </w:rPr>
            </w:pPr>
          </w:p>
        </w:tc>
        <w:tc>
          <w:tcPr>
            <w:tcW w:w="72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8,305</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00" w:type="dxa"/>
            <w:vAlign w:val="bottom"/>
          </w:tcPr>
          <w:p>
            <w:pPr>
              <w:jc w:val="right"/>
              <w:spacing w:after="0" w:line="149" w:lineRule="exact"/>
              <w:rPr>
                <w:sz w:val="20"/>
                <w:szCs w:val="20"/>
                <w:color w:val="auto"/>
              </w:rPr>
            </w:pPr>
            <w:r>
              <w:rPr>
                <w:rFonts w:ascii="Arial" w:cs="Arial" w:eastAsia="Arial" w:hAnsi="Arial"/>
                <w:sz w:val="14"/>
                <w:szCs w:val="14"/>
                <w:color w:val="auto"/>
              </w:rPr>
              <w:t>17,159</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31,972</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57,436</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shd w:val="clear" w:color="auto" w:fill="CCEEFF"/>
          </w:tcPr>
          <w:p>
            <w:pPr>
              <w:ind w:left="100"/>
              <w:spacing w:after="0" w:line="149" w:lineRule="exact"/>
              <w:rPr>
                <w:sz w:val="20"/>
                <w:szCs w:val="20"/>
                <w:color w:val="auto"/>
              </w:rPr>
            </w:pPr>
            <w:r>
              <w:rPr>
                <w:rFonts w:ascii="Arial" w:cs="Arial" w:eastAsia="Arial" w:hAnsi="Arial"/>
                <w:sz w:val="14"/>
                <w:szCs w:val="14"/>
                <w:color w:val="auto"/>
              </w:rPr>
              <w:t>Kittila Mine</w:t>
            </w:r>
          </w:p>
        </w:tc>
        <w:tc>
          <w:tcPr>
            <w:tcW w:w="14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18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18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3,118</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3,118</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1260" w:type="dxa"/>
            <w:vAlign w:val="bottom"/>
          </w:tcPr>
          <w:p>
            <w:pPr>
              <w:spacing w:after="0"/>
              <w:rPr>
                <w:sz w:val="2"/>
                <w:szCs w:val="2"/>
                <w:color w:val="auto"/>
              </w:rPr>
            </w:pPr>
          </w:p>
        </w:tc>
        <w:tc>
          <w:tcPr>
            <w:tcW w:w="324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3240" w:type="dxa"/>
            <w:vAlign w:val="bottom"/>
          </w:tcPr>
          <w:p>
            <w:pPr>
              <w:spacing w:after="0"/>
              <w:rPr>
                <w:sz w:val="20"/>
                <w:szCs w:val="20"/>
                <w:color w:val="auto"/>
              </w:rPr>
            </w:pPr>
          </w:p>
        </w:tc>
        <w:tc>
          <w:tcPr>
            <w:tcW w:w="140" w:type="dxa"/>
            <w:vAlign w:val="bottom"/>
            <w:tcBorders>
              <w:bottom w:val="single" w:sz="8" w:color="auto"/>
            </w:tcBorders>
          </w:tcPr>
          <w:p>
            <w:pPr>
              <w:spacing w:after="0"/>
              <w:rPr>
                <w:sz w:val="20"/>
                <w:szCs w:val="20"/>
                <w:color w:val="auto"/>
              </w:rPr>
            </w:pP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50,892</w:t>
            </w:r>
          </w:p>
        </w:tc>
        <w:tc>
          <w:tcPr>
            <w:tcW w:w="160" w:type="dxa"/>
            <w:vAlign w:val="bottom"/>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67,757</w:t>
            </w:r>
          </w:p>
        </w:tc>
        <w:tc>
          <w:tcPr>
            <w:tcW w:w="160" w:type="dxa"/>
            <w:vAlign w:val="bottom"/>
          </w:tcPr>
          <w:p>
            <w:pPr>
              <w:spacing w:after="0"/>
              <w:rPr>
                <w:sz w:val="20"/>
                <w:szCs w:val="20"/>
                <w:color w:val="auto"/>
              </w:rPr>
            </w:pPr>
          </w:p>
        </w:tc>
        <w:tc>
          <w:tcPr>
            <w:tcW w:w="180" w:type="dxa"/>
            <w:vAlign w:val="bottom"/>
            <w:tcBorders>
              <w:bottom w:val="single" w:sz="8" w:color="auto"/>
            </w:tcBorders>
          </w:tcPr>
          <w:p>
            <w:pPr>
              <w:spacing w:after="0"/>
              <w:rPr>
                <w:sz w:val="20"/>
                <w:szCs w:val="20"/>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68,753</w:t>
            </w:r>
          </w:p>
        </w:tc>
        <w:tc>
          <w:tcPr>
            <w:tcW w:w="160" w:type="dxa"/>
            <w:vAlign w:val="bottom"/>
          </w:tcPr>
          <w:p>
            <w:pPr>
              <w:spacing w:after="0"/>
              <w:rPr>
                <w:sz w:val="20"/>
                <w:szCs w:val="20"/>
                <w:color w:val="auto"/>
              </w:rPr>
            </w:pPr>
          </w:p>
        </w:tc>
        <w:tc>
          <w:tcPr>
            <w:tcW w:w="180" w:type="dxa"/>
            <w:vAlign w:val="bottom"/>
            <w:tcBorders>
              <w:bottom w:val="single" w:sz="8" w:color="auto"/>
            </w:tcBorders>
          </w:tcPr>
          <w:p>
            <w:pPr>
              <w:spacing w:after="0"/>
              <w:rPr>
                <w:sz w:val="20"/>
                <w:szCs w:val="20"/>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89,360</w:t>
            </w:r>
          </w:p>
        </w:tc>
        <w:tc>
          <w:tcPr>
            <w:tcW w:w="160" w:type="dxa"/>
            <w:vAlign w:val="bottom"/>
          </w:tcPr>
          <w:p>
            <w:pPr>
              <w:spacing w:after="0"/>
              <w:rPr>
                <w:sz w:val="20"/>
                <w:szCs w:val="20"/>
                <w:color w:val="auto"/>
              </w:rPr>
            </w:pPr>
          </w:p>
        </w:tc>
        <w:tc>
          <w:tcPr>
            <w:tcW w:w="140" w:type="dxa"/>
            <w:vAlign w:val="bottom"/>
            <w:tcBorders>
              <w:bottom w:val="single" w:sz="8" w:color="auto"/>
            </w:tcBorders>
          </w:tcPr>
          <w:p>
            <w:pPr>
              <w:spacing w:after="0"/>
              <w:rPr>
                <w:sz w:val="20"/>
                <w:szCs w:val="20"/>
                <w:color w:val="auto"/>
              </w:rPr>
            </w:pP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276,762</w:t>
            </w:r>
          </w:p>
        </w:tc>
        <w:tc>
          <w:tcPr>
            <w:tcW w:w="1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Silver (LaRonde Mine) (ounces in thousands)</w:t>
            </w: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1,026</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956</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1,167</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930</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4,079</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tcPr>
          <w:p>
            <w:pPr>
              <w:spacing w:after="0" w:line="149" w:lineRule="exact"/>
              <w:rPr>
                <w:sz w:val="20"/>
                <w:szCs w:val="20"/>
                <w:color w:val="auto"/>
              </w:rPr>
            </w:pPr>
            <w:r>
              <w:rPr>
                <w:rFonts w:ascii="Arial" w:cs="Arial" w:eastAsia="Arial" w:hAnsi="Arial"/>
                <w:sz w:val="14"/>
                <w:szCs w:val="14"/>
                <w:color w:val="auto"/>
              </w:rPr>
              <w:t>Zinc (LaRonde Mine) (tonnes)</w:t>
            </w:r>
          </w:p>
        </w:tc>
        <w:tc>
          <w:tcPr>
            <w:tcW w:w="14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19,467</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13,863</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00" w:type="dxa"/>
            <w:vAlign w:val="bottom"/>
          </w:tcPr>
          <w:p>
            <w:pPr>
              <w:jc w:val="right"/>
              <w:spacing w:after="0" w:line="149" w:lineRule="exact"/>
              <w:rPr>
                <w:sz w:val="20"/>
                <w:szCs w:val="20"/>
                <w:color w:val="auto"/>
              </w:rPr>
            </w:pPr>
            <w:r>
              <w:rPr>
                <w:rFonts w:ascii="Arial" w:cs="Arial" w:eastAsia="Arial" w:hAnsi="Arial"/>
                <w:sz w:val="14"/>
                <w:szCs w:val="14"/>
                <w:color w:val="auto"/>
              </w:rPr>
              <w:t>18,040</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14,383</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65,753</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Copper (LaRonde Mine) (tonnes)</w:t>
            </w: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1,453</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2,165</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1,567</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1,737</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6,922</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324"/>
        </w:trPr>
        <w:tc>
          <w:tcPr>
            <w:tcW w:w="4520" w:type="dxa"/>
            <w:vAlign w:val="bottom"/>
            <w:gridSpan w:val="3"/>
          </w:tcPr>
          <w:p>
            <w:pPr>
              <w:spacing w:after="0"/>
              <w:rPr>
                <w:sz w:val="20"/>
                <w:szCs w:val="20"/>
                <w:color w:val="auto"/>
              </w:rPr>
            </w:pPr>
            <w:r>
              <w:rPr>
                <w:rFonts w:ascii="Arial" w:cs="Arial" w:eastAsia="Arial" w:hAnsi="Arial"/>
                <w:sz w:val="14"/>
                <w:szCs w:val="14"/>
                <w:b w:val="1"/>
                <w:bCs w:val="1"/>
                <w:color w:val="auto"/>
              </w:rPr>
              <w:t>Payable metal sold:</w:t>
            </w:r>
          </w:p>
        </w:tc>
        <w:tc>
          <w:tcPr>
            <w:tcW w:w="1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Gold (ounces)</w:t>
            </w: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tcPr>
          <w:p>
            <w:pPr>
              <w:ind w:left="100"/>
              <w:spacing w:after="0" w:line="149" w:lineRule="exact"/>
              <w:rPr>
                <w:sz w:val="20"/>
                <w:szCs w:val="20"/>
                <w:color w:val="auto"/>
              </w:rPr>
            </w:pPr>
            <w:r>
              <w:rPr>
                <w:rFonts w:ascii="Arial" w:cs="Arial" w:eastAsia="Arial" w:hAnsi="Arial"/>
                <w:sz w:val="14"/>
                <w:szCs w:val="14"/>
                <w:color w:val="auto"/>
              </w:rPr>
              <w:t>LaRonde Mine</w:t>
            </w:r>
          </w:p>
        </w:tc>
        <w:tc>
          <w:tcPr>
            <w:tcW w:w="14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51,595</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56,650</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00" w:type="dxa"/>
            <w:vAlign w:val="bottom"/>
          </w:tcPr>
          <w:p>
            <w:pPr>
              <w:jc w:val="right"/>
              <w:spacing w:after="0" w:line="149" w:lineRule="exact"/>
              <w:rPr>
                <w:sz w:val="20"/>
                <w:szCs w:val="20"/>
                <w:color w:val="auto"/>
              </w:rPr>
            </w:pPr>
            <w:r>
              <w:rPr>
                <w:rFonts w:ascii="Arial" w:cs="Arial" w:eastAsia="Arial" w:hAnsi="Arial"/>
                <w:sz w:val="14"/>
                <w:szCs w:val="14"/>
                <w:color w:val="auto"/>
              </w:rPr>
              <w:t>48,517</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57,391</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214,153</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shd w:val="clear" w:color="auto" w:fill="CCEEFF"/>
          </w:tcPr>
          <w:p>
            <w:pPr>
              <w:ind w:left="100"/>
              <w:spacing w:after="0" w:line="149" w:lineRule="exact"/>
              <w:rPr>
                <w:sz w:val="20"/>
                <w:szCs w:val="20"/>
                <w:color w:val="auto"/>
              </w:rPr>
            </w:pPr>
            <w:r>
              <w:rPr>
                <w:rFonts w:ascii="Arial" w:cs="Arial" w:eastAsia="Arial" w:hAnsi="Arial"/>
                <w:sz w:val="14"/>
                <w:szCs w:val="14"/>
                <w:color w:val="auto"/>
              </w:rPr>
              <w:t>Goldex Mine</w:t>
            </w:r>
          </w:p>
        </w:tc>
        <w:tc>
          <w:tcPr>
            <w:tcW w:w="14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18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13,860</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30,588</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44,448</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1260" w:type="dxa"/>
            <w:vAlign w:val="bottom"/>
          </w:tcPr>
          <w:p>
            <w:pPr>
              <w:spacing w:after="0"/>
              <w:rPr>
                <w:sz w:val="2"/>
                <w:szCs w:val="2"/>
                <w:color w:val="auto"/>
              </w:rPr>
            </w:pPr>
          </w:p>
        </w:tc>
        <w:tc>
          <w:tcPr>
            <w:tcW w:w="324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3240" w:type="dxa"/>
            <w:vAlign w:val="bottom"/>
          </w:tcPr>
          <w:p>
            <w:pPr>
              <w:spacing w:after="0"/>
              <w:rPr>
                <w:sz w:val="20"/>
                <w:szCs w:val="20"/>
                <w:color w:val="auto"/>
              </w:rPr>
            </w:pPr>
          </w:p>
        </w:tc>
        <w:tc>
          <w:tcPr>
            <w:tcW w:w="140" w:type="dxa"/>
            <w:vAlign w:val="bottom"/>
            <w:tcBorders>
              <w:bottom w:val="single" w:sz="8" w:color="auto"/>
            </w:tcBorders>
          </w:tcPr>
          <w:p>
            <w:pPr>
              <w:spacing w:after="0"/>
              <w:rPr>
                <w:sz w:val="20"/>
                <w:szCs w:val="20"/>
                <w:color w:val="auto"/>
              </w:rPr>
            </w:pP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51,595</w:t>
            </w:r>
          </w:p>
        </w:tc>
        <w:tc>
          <w:tcPr>
            <w:tcW w:w="160" w:type="dxa"/>
            <w:vAlign w:val="bottom"/>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56,650</w:t>
            </w:r>
          </w:p>
        </w:tc>
        <w:tc>
          <w:tcPr>
            <w:tcW w:w="160" w:type="dxa"/>
            <w:vAlign w:val="bottom"/>
          </w:tcPr>
          <w:p>
            <w:pPr>
              <w:spacing w:after="0"/>
              <w:rPr>
                <w:sz w:val="20"/>
                <w:szCs w:val="20"/>
                <w:color w:val="auto"/>
              </w:rPr>
            </w:pPr>
          </w:p>
        </w:tc>
        <w:tc>
          <w:tcPr>
            <w:tcW w:w="180" w:type="dxa"/>
            <w:vAlign w:val="bottom"/>
            <w:tcBorders>
              <w:bottom w:val="single" w:sz="8" w:color="auto"/>
            </w:tcBorders>
          </w:tcPr>
          <w:p>
            <w:pPr>
              <w:spacing w:after="0"/>
              <w:rPr>
                <w:sz w:val="20"/>
                <w:szCs w:val="20"/>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62,377</w:t>
            </w:r>
          </w:p>
        </w:tc>
        <w:tc>
          <w:tcPr>
            <w:tcW w:w="160" w:type="dxa"/>
            <w:vAlign w:val="bottom"/>
          </w:tcPr>
          <w:p>
            <w:pPr>
              <w:spacing w:after="0"/>
              <w:rPr>
                <w:sz w:val="20"/>
                <w:szCs w:val="20"/>
                <w:color w:val="auto"/>
              </w:rPr>
            </w:pPr>
          </w:p>
        </w:tc>
        <w:tc>
          <w:tcPr>
            <w:tcW w:w="180" w:type="dxa"/>
            <w:vAlign w:val="bottom"/>
            <w:tcBorders>
              <w:bottom w:val="single" w:sz="8" w:color="auto"/>
            </w:tcBorders>
          </w:tcPr>
          <w:p>
            <w:pPr>
              <w:spacing w:after="0"/>
              <w:rPr>
                <w:sz w:val="20"/>
                <w:szCs w:val="20"/>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87,979</w:t>
            </w:r>
          </w:p>
        </w:tc>
        <w:tc>
          <w:tcPr>
            <w:tcW w:w="160" w:type="dxa"/>
            <w:vAlign w:val="bottom"/>
          </w:tcPr>
          <w:p>
            <w:pPr>
              <w:spacing w:after="0"/>
              <w:rPr>
                <w:sz w:val="20"/>
                <w:szCs w:val="20"/>
                <w:color w:val="auto"/>
              </w:rPr>
            </w:pPr>
          </w:p>
        </w:tc>
        <w:tc>
          <w:tcPr>
            <w:tcW w:w="140" w:type="dxa"/>
            <w:vAlign w:val="bottom"/>
            <w:tcBorders>
              <w:bottom w:val="single" w:sz="8" w:color="auto"/>
            </w:tcBorders>
          </w:tcPr>
          <w:p>
            <w:pPr>
              <w:spacing w:after="0"/>
              <w:rPr>
                <w:sz w:val="20"/>
                <w:szCs w:val="20"/>
                <w:color w:val="auto"/>
              </w:rPr>
            </w:pP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258,601</w:t>
            </w:r>
          </w:p>
        </w:tc>
        <w:tc>
          <w:tcPr>
            <w:tcW w:w="1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32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95"/>
        </w:trPr>
        <w:tc>
          <w:tcPr>
            <w:tcW w:w="20" w:type="dxa"/>
            <w:vAlign w:val="bottom"/>
          </w:tcPr>
          <w:p>
            <w:pPr>
              <w:spacing w:after="0"/>
              <w:rPr>
                <w:sz w:val="8"/>
                <w:szCs w:val="8"/>
                <w:color w:val="auto"/>
              </w:rPr>
            </w:pPr>
          </w:p>
        </w:tc>
        <w:tc>
          <w:tcPr>
            <w:tcW w:w="1260" w:type="dxa"/>
            <w:vAlign w:val="bottom"/>
            <w:tcBorders>
              <w:bottom w:val="single" w:sz="8" w:color="auto"/>
            </w:tcBorders>
          </w:tcPr>
          <w:p>
            <w:pPr>
              <w:spacing w:after="0"/>
              <w:rPr>
                <w:sz w:val="8"/>
                <w:szCs w:val="8"/>
                <w:color w:val="auto"/>
              </w:rPr>
            </w:pPr>
          </w:p>
        </w:tc>
        <w:tc>
          <w:tcPr>
            <w:tcW w:w="3240" w:type="dxa"/>
            <w:vAlign w:val="bottom"/>
          </w:tcPr>
          <w:p>
            <w:pPr>
              <w:spacing w:after="0"/>
              <w:rPr>
                <w:sz w:val="8"/>
                <w:szCs w:val="8"/>
                <w:color w:val="auto"/>
              </w:rPr>
            </w:pPr>
          </w:p>
        </w:tc>
        <w:tc>
          <w:tcPr>
            <w:tcW w:w="140" w:type="dxa"/>
            <w:vAlign w:val="bottom"/>
          </w:tcPr>
          <w:p>
            <w:pPr>
              <w:spacing w:after="0"/>
              <w:rPr>
                <w:sz w:val="8"/>
                <w:szCs w:val="8"/>
                <w:color w:val="auto"/>
              </w:rPr>
            </w:pPr>
          </w:p>
        </w:tc>
        <w:tc>
          <w:tcPr>
            <w:tcW w:w="560" w:type="dxa"/>
            <w:vAlign w:val="bottom"/>
          </w:tcPr>
          <w:p>
            <w:pPr>
              <w:spacing w:after="0"/>
              <w:rPr>
                <w:sz w:val="8"/>
                <w:szCs w:val="8"/>
                <w:color w:val="auto"/>
              </w:rPr>
            </w:pPr>
          </w:p>
        </w:tc>
        <w:tc>
          <w:tcPr>
            <w:tcW w:w="160" w:type="dxa"/>
            <w:vAlign w:val="bottom"/>
          </w:tcPr>
          <w:p>
            <w:pPr>
              <w:spacing w:after="0"/>
              <w:rPr>
                <w:sz w:val="8"/>
                <w:szCs w:val="8"/>
                <w:color w:val="auto"/>
              </w:rPr>
            </w:pPr>
          </w:p>
        </w:tc>
        <w:tc>
          <w:tcPr>
            <w:tcW w:w="80" w:type="dxa"/>
            <w:vAlign w:val="bottom"/>
          </w:tcPr>
          <w:p>
            <w:pPr>
              <w:spacing w:after="0"/>
              <w:rPr>
                <w:sz w:val="8"/>
                <w:szCs w:val="8"/>
                <w:color w:val="auto"/>
              </w:rPr>
            </w:pPr>
          </w:p>
        </w:tc>
        <w:tc>
          <w:tcPr>
            <w:tcW w:w="620" w:type="dxa"/>
            <w:vAlign w:val="bottom"/>
          </w:tcPr>
          <w:p>
            <w:pPr>
              <w:spacing w:after="0"/>
              <w:rPr>
                <w:sz w:val="8"/>
                <w:szCs w:val="8"/>
                <w:color w:val="auto"/>
              </w:rPr>
            </w:pPr>
          </w:p>
        </w:tc>
        <w:tc>
          <w:tcPr>
            <w:tcW w:w="160" w:type="dxa"/>
            <w:vAlign w:val="bottom"/>
          </w:tcPr>
          <w:p>
            <w:pPr>
              <w:spacing w:after="0"/>
              <w:rPr>
                <w:sz w:val="8"/>
                <w:szCs w:val="8"/>
                <w:color w:val="auto"/>
              </w:rPr>
            </w:pPr>
          </w:p>
        </w:tc>
        <w:tc>
          <w:tcPr>
            <w:tcW w:w="180" w:type="dxa"/>
            <w:vAlign w:val="bottom"/>
          </w:tcPr>
          <w:p>
            <w:pPr>
              <w:spacing w:after="0"/>
              <w:rPr>
                <w:sz w:val="8"/>
                <w:szCs w:val="8"/>
                <w:color w:val="auto"/>
              </w:rPr>
            </w:pPr>
          </w:p>
        </w:tc>
        <w:tc>
          <w:tcPr>
            <w:tcW w:w="700" w:type="dxa"/>
            <w:vAlign w:val="bottom"/>
          </w:tcPr>
          <w:p>
            <w:pPr>
              <w:spacing w:after="0"/>
              <w:rPr>
                <w:sz w:val="8"/>
                <w:szCs w:val="8"/>
                <w:color w:val="auto"/>
              </w:rPr>
            </w:pPr>
          </w:p>
        </w:tc>
        <w:tc>
          <w:tcPr>
            <w:tcW w:w="160" w:type="dxa"/>
            <w:vAlign w:val="bottom"/>
          </w:tcPr>
          <w:p>
            <w:pPr>
              <w:spacing w:after="0"/>
              <w:rPr>
                <w:sz w:val="8"/>
                <w:szCs w:val="8"/>
                <w:color w:val="auto"/>
              </w:rPr>
            </w:pPr>
          </w:p>
        </w:tc>
        <w:tc>
          <w:tcPr>
            <w:tcW w:w="180" w:type="dxa"/>
            <w:vAlign w:val="bottom"/>
          </w:tcPr>
          <w:p>
            <w:pPr>
              <w:spacing w:after="0"/>
              <w:rPr>
                <w:sz w:val="8"/>
                <w:szCs w:val="8"/>
                <w:color w:val="auto"/>
              </w:rPr>
            </w:pPr>
          </w:p>
        </w:tc>
        <w:tc>
          <w:tcPr>
            <w:tcW w:w="660" w:type="dxa"/>
            <w:vAlign w:val="bottom"/>
          </w:tcPr>
          <w:p>
            <w:pPr>
              <w:spacing w:after="0"/>
              <w:rPr>
                <w:sz w:val="8"/>
                <w:szCs w:val="8"/>
                <w:color w:val="auto"/>
              </w:rPr>
            </w:pPr>
          </w:p>
        </w:tc>
        <w:tc>
          <w:tcPr>
            <w:tcW w:w="160" w:type="dxa"/>
            <w:vAlign w:val="bottom"/>
          </w:tcPr>
          <w:p>
            <w:pPr>
              <w:spacing w:after="0"/>
              <w:rPr>
                <w:sz w:val="8"/>
                <w:szCs w:val="8"/>
                <w:color w:val="auto"/>
              </w:rPr>
            </w:pPr>
          </w:p>
        </w:tc>
        <w:tc>
          <w:tcPr>
            <w:tcW w:w="140" w:type="dxa"/>
            <w:vAlign w:val="bottom"/>
          </w:tcPr>
          <w:p>
            <w:pPr>
              <w:spacing w:after="0"/>
              <w:rPr>
                <w:sz w:val="8"/>
                <w:szCs w:val="8"/>
                <w:color w:val="auto"/>
              </w:rPr>
            </w:pPr>
          </w:p>
        </w:tc>
        <w:tc>
          <w:tcPr>
            <w:tcW w:w="560" w:type="dxa"/>
            <w:vAlign w:val="bottom"/>
          </w:tcPr>
          <w:p>
            <w:pPr>
              <w:spacing w:after="0"/>
              <w:rPr>
                <w:sz w:val="8"/>
                <w:szCs w:val="8"/>
                <w:color w:val="auto"/>
              </w:rPr>
            </w:pPr>
          </w:p>
        </w:tc>
        <w:tc>
          <w:tcPr>
            <w:tcW w:w="16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205" w:lineRule="exact"/>
        <w:rPr>
          <w:sz w:val="20"/>
          <w:szCs w:val="20"/>
          <w:color w:val="auto"/>
        </w:rPr>
      </w:pPr>
    </w:p>
    <w:p>
      <w:pPr>
        <w:ind w:left="1140"/>
        <w:spacing w:after="0"/>
        <w:rPr>
          <w:sz w:val="20"/>
          <w:szCs w:val="20"/>
          <w:color w:val="auto"/>
        </w:rPr>
      </w:pPr>
      <w:r>
        <w:rPr>
          <w:rFonts w:ascii="Arial" w:cs="Arial" w:eastAsia="Arial" w:hAnsi="Arial"/>
          <w:sz w:val="14"/>
          <w:szCs w:val="14"/>
          <w:color w:val="auto"/>
        </w:rPr>
        <w:t>Notes:</w:t>
      </w:r>
    </w:p>
    <w:p>
      <w:pPr>
        <w:spacing w:after="0" w:line="190" w:lineRule="exact"/>
        <w:rPr>
          <w:sz w:val="20"/>
          <w:szCs w:val="20"/>
          <w:color w:val="auto"/>
        </w:rPr>
      </w:pPr>
    </w:p>
    <w:p>
      <w:pPr>
        <w:ind w:left="1680" w:hanging="531"/>
        <w:spacing w:after="0" w:line="239" w:lineRule="auto"/>
        <w:tabs>
          <w:tab w:leader="none" w:pos="1680" w:val="left"/>
        </w:tabs>
        <w:numPr>
          <w:ilvl w:val="0"/>
          <w:numId w:val="41"/>
        </w:numPr>
        <w:rPr>
          <w:rFonts w:ascii="Arial" w:cs="Arial" w:eastAsia="Arial" w:hAnsi="Arial"/>
          <w:sz w:val="14"/>
          <w:szCs w:val="14"/>
          <w:color w:val="auto"/>
        </w:rPr>
      </w:pPr>
      <w:r>
        <w:rPr>
          <w:rFonts w:ascii="Arial" w:cs="Arial" w:eastAsia="Arial" w:hAnsi="Arial"/>
          <w:sz w:val="14"/>
          <w:szCs w:val="14"/>
          <w:color w:val="auto"/>
        </w:rPr>
        <w:t>Payable mineral production means the quantity of mineral produced during a period contained in products that are or will be sold by the Company, whether such products are sold during the period or held as inventory at the end of the period.</w:t>
      </w:r>
    </w:p>
    <w:p>
      <w:pPr>
        <w:spacing w:after="0" w:line="19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137" w:name="page138"/>
    <w:bookmarkEnd w:id="137"/>
    <w:p>
      <w:pPr>
        <w:jc w:val="center"/>
        <w:ind w:right="1140"/>
        <w:spacing w:after="0"/>
        <w:rPr>
          <w:sz w:val="20"/>
          <w:szCs w:val="20"/>
          <w:color w:val="auto"/>
        </w:rPr>
      </w:pPr>
      <w:r>
        <w:rPr>
          <w:rFonts w:ascii="Arial" w:cs="Arial" w:eastAsia="Arial" w:hAnsi="Arial"/>
          <w:sz w:val="18"/>
          <w:szCs w:val="18"/>
          <w:b w:val="1"/>
          <w:bCs w:val="1"/>
          <w:color w:val="auto"/>
        </w:rPr>
        <w:t>CONSOLIDATED FINANCIAL DATA</w:t>
      </w:r>
    </w:p>
    <w:p>
      <w:pPr>
        <w:spacing w:after="0" w:line="21" w:lineRule="exact"/>
        <w:rPr>
          <w:sz w:val="20"/>
          <w:szCs w:val="20"/>
          <w:color w:val="auto"/>
        </w:rPr>
      </w:pPr>
    </w:p>
    <w:p>
      <w:pPr>
        <w:jc w:val="center"/>
        <w:ind w:right="1140"/>
        <w:spacing w:after="0"/>
        <w:rPr>
          <w:sz w:val="20"/>
          <w:szCs w:val="20"/>
          <w:color w:val="auto"/>
        </w:rPr>
      </w:pPr>
      <w:r>
        <w:rPr>
          <w:rFonts w:ascii="Arial" w:cs="Arial" w:eastAsia="Arial" w:hAnsi="Arial"/>
          <w:sz w:val="18"/>
          <w:szCs w:val="18"/>
          <w:b w:val="1"/>
          <w:bCs w:val="1"/>
          <w:color w:val="auto"/>
        </w:rPr>
        <w:t>(thousands of United States dollars, except where noted)</w:t>
      </w:r>
    </w:p>
    <w:p>
      <w:pPr>
        <w:spacing w:after="0" w:line="202"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260" w:type="dxa"/>
            <w:vAlign w:val="bottom"/>
          </w:tcPr>
          <w:p>
            <w:pPr>
              <w:spacing w:after="0"/>
              <w:rPr>
                <w:sz w:val="14"/>
                <w:szCs w:val="14"/>
                <w:color w:val="auto"/>
              </w:rPr>
            </w:pPr>
          </w:p>
        </w:tc>
        <w:tc>
          <w:tcPr>
            <w:tcW w:w="3240" w:type="dxa"/>
            <w:vAlign w:val="bottom"/>
          </w:tcPr>
          <w:p>
            <w:pPr>
              <w:spacing w:after="0"/>
              <w:rPr>
                <w:sz w:val="14"/>
                <w:szCs w:val="14"/>
                <w:color w:val="auto"/>
              </w:rPr>
            </w:pPr>
          </w:p>
        </w:tc>
        <w:tc>
          <w:tcPr>
            <w:tcW w:w="860" w:type="dxa"/>
            <w:vAlign w:val="bottom"/>
            <w:gridSpan w:val="3"/>
          </w:tcPr>
          <w:p>
            <w:pPr>
              <w:jc w:val="right"/>
              <w:ind w:right="220"/>
              <w:spacing w:after="0"/>
              <w:rPr>
                <w:sz w:val="20"/>
                <w:szCs w:val="20"/>
                <w:color w:val="auto"/>
              </w:rPr>
            </w:pPr>
            <w:r>
              <w:rPr>
                <w:rFonts w:ascii="Arial" w:cs="Arial" w:eastAsia="Arial" w:hAnsi="Arial"/>
                <w:sz w:val="14"/>
                <w:szCs w:val="14"/>
                <w:b w:val="1"/>
                <w:bCs w:val="1"/>
                <w:color w:val="auto"/>
                <w:w w:val="95"/>
              </w:rPr>
              <w:t>March 31,</w:t>
            </w:r>
          </w:p>
        </w:tc>
        <w:tc>
          <w:tcPr>
            <w:tcW w:w="80" w:type="dxa"/>
            <w:vAlign w:val="bottom"/>
          </w:tcPr>
          <w:p>
            <w:pPr>
              <w:spacing w:after="0"/>
              <w:rPr>
                <w:sz w:val="14"/>
                <w:szCs w:val="14"/>
                <w:color w:val="auto"/>
              </w:rPr>
            </w:pPr>
          </w:p>
        </w:tc>
        <w:tc>
          <w:tcPr>
            <w:tcW w:w="780" w:type="dxa"/>
            <w:vAlign w:val="bottom"/>
            <w:gridSpan w:val="2"/>
          </w:tcPr>
          <w:p>
            <w:pPr>
              <w:jc w:val="right"/>
              <w:ind w:right="280"/>
              <w:spacing w:after="0"/>
              <w:rPr>
                <w:sz w:val="20"/>
                <w:szCs w:val="20"/>
                <w:color w:val="auto"/>
              </w:rPr>
            </w:pPr>
            <w:r>
              <w:rPr>
                <w:rFonts w:ascii="Arial" w:cs="Arial" w:eastAsia="Arial" w:hAnsi="Arial"/>
                <w:sz w:val="14"/>
                <w:szCs w:val="14"/>
                <w:b w:val="1"/>
                <w:bCs w:val="1"/>
                <w:color w:val="auto"/>
                <w:w w:val="85"/>
              </w:rPr>
              <w:t>June 30,</w:t>
            </w:r>
          </w:p>
        </w:tc>
        <w:tc>
          <w:tcPr>
            <w:tcW w:w="1040" w:type="dxa"/>
            <w:vAlign w:val="bottom"/>
            <w:gridSpan w:val="3"/>
          </w:tcPr>
          <w:p>
            <w:pPr>
              <w:ind w:left="20"/>
              <w:spacing w:after="0"/>
              <w:rPr>
                <w:sz w:val="20"/>
                <w:szCs w:val="20"/>
                <w:color w:val="auto"/>
              </w:rPr>
            </w:pPr>
            <w:r>
              <w:rPr>
                <w:rFonts w:ascii="Arial" w:cs="Arial" w:eastAsia="Arial" w:hAnsi="Arial"/>
                <w:sz w:val="14"/>
                <w:szCs w:val="14"/>
                <w:b w:val="1"/>
                <w:bCs w:val="1"/>
                <w:color w:val="auto"/>
              </w:rPr>
              <w:t>September 30,</w:t>
            </w:r>
          </w:p>
        </w:tc>
        <w:tc>
          <w:tcPr>
            <w:tcW w:w="1000" w:type="dxa"/>
            <w:vAlign w:val="bottom"/>
            <w:gridSpan w:val="3"/>
          </w:tcPr>
          <w:p>
            <w:pPr>
              <w:ind w:left="20"/>
              <w:spacing w:after="0"/>
              <w:rPr>
                <w:sz w:val="20"/>
                <w:szCs w:val="20"/>
                <w:color w:val="auto"/>
              </w:rPr>
            </w:pPr>
            <w:r>
              <w:rPr>
                <w:rFonts w:ascii="Arial" w:cs="Arial" w:eastAsia="Arial" w:hAnsi="Arial"/>
                <w:sz w:val="14"/>
                <w:szCs w:val="14"/>
                <w:b w:val="1"/>
                <w:bCs w:val="1"/>
                <w:color w:val="auto"/>
              </w:rPr>
              <w:t>December 31,</w:t>
            </w:r>
          </w:p>
        </w:tc>
        <w:tc>
          <w:tcPr>
            <w:tcW w:w="140" w:type="dxa"/>
            <w:vAlign w:val="bottom"/>
          </w:tcPr>
          <w:p>
            <w:pPr>
              <w:spacing w:after="0"/>
              <w:rPr>
                <w:sz w:val="14"/>
                <w:szCs w:val="14"/>
                <w:color w:val="auto"/>
              </w:rPr>
            </w:pPr>
          </w:p>
        </w:tc>
        <w:tc>
          <w:tcPr>
            <w:tcW w:w="720" w:type="dxa"/>
            <w:vAlign w:val="bottom"/>
            <w:gridSpan w:val="2"/>
          </w:tcPr>
          <w:p>
            <w:pPr>
              <w:jc w:val="right"/>
              <w:ind w:right="360"/>
              <w:spacing w:after="0"/>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1260" w:type="dxa"/>
            <w:vAlign w:val="bottom"/>
          </w:tcPr>
          <w:p>
            <w:pPr>
              <w:spacing w:after="0"/>
              <w:rPr>
                <w:sz w:val="14"/>
                <w:szCs w:val="14"/>
                <w:color w:val="auto"/>
              </w:rPr>
            </w:pPr>
          </w:p>
        </w:tc>
        <w:tc>
          <w:tcPr>
            <w:tcW w:w="324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jc w:val="right"/>
              <w:ind w:right="152"/>
              <w:spacing w:after="0"/>
              <w:rPr>
                <w:sz w:val="20"/>
                <w:szCs w:val="20"/>
                <w:color w:val="auto"/>
              </w:rPr>
            </w:pPr>
            <w:r>
              <w:rPr>
                <w:rFonts w:ascii="Arial" w:cs="Arial" w:eastAsia="Arial" w:hAnsi="Arial"/>
                <w:sz w:val="14"/>
                <w:szCs w:val="14"/>
                <w:b w:val="1"/>
                <w:bCs w:val="1"/>
                <w:color w:val="auto"/>
              </w:rPr>
              <w:t>2009</w:t>
            </w:r>
          </w:p>
        </w:tc>
        <w:tc>
          <w:tcPr>
            <w:tcW w:w="1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jc w:val="right"/>
              <w:ind w:right="152"/>
              <w:spacing w:after="0"/>
              <w:rPr>
                <w:sz w:val="20"/>
                <w:szCs w:val="20"/>
                <w:color w:val="auto"/>
              </w:rPr>
            </w:pPr>
            <w:r>
              <w:rPr>
                <w:rFonts w:ascii="Arial" w:cs="Arial" w:eastAsia="Arial" w:hAnsi="Arial"/>
                <w:sz w:val="14"/>
                <w:szCs w:val="14"/>
                <w:b w:val="1"/>
                <w:bCs w:val="1"/>
                <w:color w:val="auto"/>
              </w:rPr>
              <w:t>2009</w:t>
            </w:r>
          </w:p>
        </w:tc>
        <w:tc>
          <w:tcPr>
            <w:tcW w:w="160" w:type="dxa"/>
            <w:vAlign w:val="bottom"/>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tcPr>
          <w:p>
            <w:pPr>
              <w:jc w:val="right"/>
              <w:ind w:right="252"/>
              <w:spacing w:after="0"/>
              <w:rPr>
                <w:sz w:val="20"/>
                <w:szCs w:val="20"/>
                <w:color w:val="auto"/>
              </w:rPr>
            </w:pPr>
            <w:r>
              <w:rPr>
                <w:rFonts w:ascii="Arial" w:cs="Arial" w:eastAsia="Arial" w:hAnsi="Arial"/>
                <w:sz w:val="14"/>
                <w:szCs w:val="14"/>
                <w:b w:val="1"/>
                <w:bCs w:val="1"/>
                <w:color w:val="auto"/>
              </w:rPr>
              <w:t>2009</w:t>
            </w:r>
          </w:p>
        </w:tc>
        <w:tc>
          <w:tcPr>
            <w:tcW w:w="160" w:type="dxa"/>
            <w:vAlign w:val="bottom"/>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jc w:val="right"/>
              <w:ind w:right="232"/>
              <w:spacing w:after="0"/>
              <w:rPr>
                <w:sz w:val="20"/>
                <w:szCs w:val="20"/>
                <w:color w:val="auto"/>
              </w:rPr>
            </w:pPr>
            <w:r>
              <w:rPr>
                <w:rFonts w:ascii="Arial" w:cs="Arial" w:eastAsia="Arial" w:hAnsi="Arial"/>
                <w:sz w:val="14"/>
                <w:szCs w:val="14"/>
                <w:b w:val="1"/>
                <w:bCs w:val="1"/>
                <w:color w:val="auto"/>
              </w:rPr>
              <w:t>2009</w:t>
            </w:r>
          </w:p>
        </w:tc>
        <w:tc>
          <w:tcPr>
            <w:tcW w:w="16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jc w:val="right"/>
              <w:ind w:right="152"/>
              <w:spacing w:after="0"/>
              <w:rPr>
                <w:sz w:val="20"/>
                <w:szCs w:val="20"/>
                <w:color w:val="auto"/>
              </w:rPr>
            </w:pPr>
            <w:r>
              <w:rPr>
                <w:rFonts w:ascii="Arial" w:cs="Arial" w:eastAsia="Arial" w:hAnsi="Arial"/>
                <w:sz w:val="14"/>
                <w:szCs w:val="14"/>
                <w:b w:val="1"/>
                <w:bCs w:val="1"/>
                <w:color w:val="auto"/>
              </w:rPr>
              <w:t>2009</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500" w:type="dxa"/>
            <w:vAlign w:val="bottom"/>
            <w:gridSpan w:val="2"/>
            <w:shd w:val="clear" w:color="auto" w:fill="CCEEFF"/>
          </w:tcPr>
          <w:p>
            <w:pPr>
              <w:spacing w:after="0" w:line="142" w:lineRule="exact"/>
              <w:rPr>
                <w:sz w:val="20"/>
                <w:szCs w:val="20"/>
                <w:color w:val="auto"/>
              </w:rPr>
            </w:pPr>
            <w:r>
              <w:rPr>
                <w:rFonts w:ascii="Arial" w:cs="Arial" w:eastAsia="Arial" w:hAnsi="Arial"/>
                <w:sz w:val="14"/>
                <w:szCs w:val="14"/>
                <w:b w:val="1"/>
                <w:bCs w:val="1"/>
                <w:color w:val="auto"/>
              </w:rPr>
              <w:t>Income contribution analysis</w:t>
            </w: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tcPr>
          <w:p>
            <w:pPr>
              <w:spacing w:after="0" w:line="149" w:lineRule="exact"/>
              <w:rPr>
                <w:sz w:val="20"/>
                <w:szCs w:val="20"/>
                <w:color w:val="auto"/>
              </w:rPr>
            </w:pPr>
            <w:r>
              <w:rPr>
                <w:rFonts w:ascii="Arial" w:cs="Arial" w:eastAsia="Arial" w:hAnsi="Arial"/>
                <w:sz w:val="14"/>
                <w:szCs w:val="14"/>
                <w:color w:val="auto"/>
              </w:rPr>
              <w:t>LaRonde Mine</w:t>
            </w:r>
          </w:p>
        </w:tc>
        <w:tc>
          <w:tcPr>
            <w:tcW w:w="140" w:type="dxa"/>
            <w:vAlign w:val="bottom"/>
          </w:tcPr>
          <w:p>
            <w:pPr>
              <w:jc w:val="right"/>
              <w:ind w:right="28"/>
              <w:spacing w:after="0"/>
              <w:rPr>
                <w:sz w:val="20"/>
                <w:szCs w:val="20"/>
                <w:color w:val="auto"/>
              </w:rPr>
            </w:pPr>
            <w:r>
              <w:rPr>
                <w:rFonts w:ascii="Arial" w:cs="Arial" w:eastAsia="Arial" w:hAnsi="Arial"/>
                <w:sz w:val="10"/>
                <w:szCs w:val="10"/>
                <w:color w:val="auto"/>
                <w:w w:val="71"/>
              </w:rPr>
              <w:t>$</w:t>
            </w: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37,647</w:t>
            </w:r>
          </w:p>
        </w:tc>
        <w:tc>
          <w:tcPr>
            <w:tcW w:w="160" w:type="dxa"/>
            <w:vAlign w:val="bottom"/>
          </w:tcPr>
          <w:p>
            <w:pPr>
              <w:spacing w:after="0"/>
              <w:rPr>
                <w:sz w:val="12"/>
                <w:szCs w:val="12"/>
                <w:color w:val="auto"/>
              </w:rPr>
            </w:pPr>
          </w:p>
        </w:tc>
        <w:tc>
          <w:tcPr>
            <w:tcW w:w="8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50,652</w:t>
            </w:r>
          </w:p>
        </w:tc>
        <w:tc>
          <w:tcPr>
            <w:tcW w:w="160" w:type="dxa"/>
            <w:vAlign w:val="bottom"/>
          </w:tcPr>
          <w:p>
            <w:pPr>
              <w:spacing w:after="0"/>
              <w:rPr>
                <w:sz w:val="12"/>
                <w:szCs w:val="12"/>
                <w:color w:val="auto"/>
              </w:rPr>
            </w:pPr>
          </w:p>
        </w:tc>
        <w:tc>
          <w:tcPr>
            <w:tcW w:w="18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700" w:type="dxa"/>
            <w:vAlign w:val="bottom"/>
          </w:tcPr>
          <w:p>
            <w:pPr>
              <w:jc w:val="right"/>
              <w:spacing w:after="0" w:line="149" w:lineRule="exact"/>
              <w:rPr>
                <w:sz w:val="20"/>
                <w:szCs w:val="20"/>
                <w:color w:val="auto"/>
              </w:rPr>
            </w:pPr>
            <w:r>
              <w:rPr>
                <w:rFonts w:ascii="Arial" w:cs="Arial" w:eastAsia="Arial" w:hAnsi="Arial"/>
                <w:sz w:val="14"/>
                <w:szCs w:val="14"/>
                <w:color w:val="auto"/>
              </w:rPr>
              <w:t>40,276</w:t>
            </w:r>
          </w:p>
        </w:tc>
        <w:tc>
          <w:tcPr>
            <w:tcW w:w="160" w:type="dxa"/>
            <w:vAlign w:val="bottom"/>
          </w:tcPr>
          <w:p>
            <w:pPr>
              <w:spacing w:after="0"/>
              <w:rPr>
                <w:sz w:val="12"/>
                <w:szCs w:val="12"/>
                <w:color w:val="auto"/>
              </w:rPr>
            </w:pPr>
          </w:p>
        </w:tc>
        <w:tc>
          <w:tcPr>
            <w:tcW w:w="18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59,425</w:t>
            </w:r>
          </w:p>
        </w:tc>
        <w:tc>
          <w:tcPr>
            <w:tcW w:w="160" w:type="dxa"/>
            <w:vAlign w:val="bottom"/>
          </w:tcPr>
          <w:p>
            <w:pPr>
              <w:spacing w:after="0"/>
              <w:rPr>
                <w:sz w:val="12"/>
                <w:szCs w:val="12"/>
                <w:color w:val="auto"/>
              </w:rPr>
            </w:pPr>
          </w:p>
        </w:tc>
        <w:tc>
          <w:tcPr>
            <w:tcW w:w="14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188,000</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Goldex Mine</w:t>
            </w:r>
          </w:p>
        </w:tc>
        <w:tc>
          <w:tcPr>
            <w:tcW w:w="140" w:type="dxa"/>
            <w:vAlign w:val="bottom"/>
            <w:shd w:val="clear" w:color="auto" w:fill="CCEEFF"/>
          </w:tcPr>
          <w:p>
            <w:pPr>
              <w:jc w:val="right"/>
              <w:ind w:right="28"/>
              <w:spacing w:after="0"/>
              <w:rPr>
                <w:sz w:val="20"/>
                <w:szCs w:val="20"/>
                <w:color w:val="auto"/>
              </w:rPr>
            </w:pPr>
            <w:r>
              <w:rPr>
                <w:rFonts w:ascii="Arial" w:cs="Arial" w:eastAsia="Arial" w:hAnsi="Arial"/>
                <w:sz w:val="10"/>
                <w:szCs w:val="10"/>
                <w:color w:val="auto"/>
                <w:w w:val="71"/>
              </w:rPr>
              <w:t>$</w:t>
            </w: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18,466</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19,107</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16,687</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33,891</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88,151</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tcPr>
          <w:p>
            <w:pPr>
              <w:spacing w:after="0" w:line="149" w:lineRule="exact"/>
              <w:rPr>
                <w:sz w:val="20"/>
                <w:szCs w:val="20"/>
                <w:color w:val="auto"/>
              </w:rPr>
            </w:pPr>
            <w:r>
              <w:rPr>
                <w:rFonts w:ascii="Arial" w:cs="Arial" w:eastAsia="Arial" w:hAnsi="Arial"/>
                <w:sz w:val="14"/>
                <w:szCs w:val="14"/>
                <w:color w:val="auto"/>
              </w:rPr>
              <w:t>Kittila Mine</w:t>
            </w:r>
          </w:p>
        </w:tc>
        <w:tc>
          <w:tcPr>
            <w:tcW w:w="140" w:type="dxa"/>
            <w:vAlign w:val="bottom"/>
          </w:tcPr>
          <w:p>
            <w:pPr>
              <w:spacing w:after="0"/>
              <w:rPr>
                <w:sz w:val="12"/>
                <w:szCs w:val="12"/>
                <w:color w:val="auto"/>
              </w:rPr>
            </w:pPr>
          </w:p>
        </w:tc>
        <w:tc>
          <w:tcPr>
            <w:tcW w:w="72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3,145</w:t>
            </w:r>
          </w:p>
        </w:tc>
        <w:tc>
          <w:tcPr>
            <w:tcW w:w="160" w:type="dxa"/>
            <w:vAlign w:val="bottom"/>
          </w:tcPr>
          <w:p>
            <w:pPr>
              <w:spacing w:after="0"/>
              <w:rPr>
                <w:sz w:val="12"/>
                <w:szCs w:val="12"/>
                <w:color w:val="auto"/>
              </w:rPr>
            </w:pPr>
          </w:p>
        </w:tc>
        <w:tc>
          <w:tcPr>
            <w:tcW w:w="18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700" w:type="dxa"/>
            <w:vAlign w:val="bottom"/>
          </w:tcPr>
          <w:p>
            <w:pPr>
              <w:jc w:val="right"/>
              <w:spacing w:after="0" w:line="149" w:lineRule="exact"/>
              <w:rPr>
                <w:sz w:val="20"/>
                <w:szCs w:val="20"/>
                <w:color w:val="auto"/>
              </w:rPr>
            </w:pPr>
            <w:r>
              <w:rPr>
                <w:rFonts w:ascii="Arial" w:cs="Arial" w:eastAsia="Arial" w:hAnsi="Arial"/>
                <w:sz w:val="14"/>
                <w:szCs w:val="14"/>
                <w:color w:val="auto"/>
              </w:rPr>
              <w:t>884</w:t>
            </w:r>
          </w:p>
        </w:tc>
        <w:tc>
          <w:tcPr>
            <w:tcW w:w="160" w:type="dxa"/>
            <w:vAlign w:val="bottom"/>
          </w:tcPr>
          <w:p>
            <w:pPr>
              <w:spacing w:after="0"/>
              <w:rPr>
                <w:sz w:val="12"/>
                <w:szCs w:val="12"/>
                <w:color w:val="auto"/>
              </w:rPr>
            </w:pPr>
          </w:p>
        </w:tc>
        <w:tc>
          <w:tcPr>
            <w:tcW w:w="18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14,964</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18,993</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Lapa Mine</w:t>
            </w:r>
          </w:p>
        </w:tc>
        <w:tc>
          <w:tcPr>
            <w:tcW w:w="14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7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(833)</w:t>
            </w:r>
          </w:p>
        </w:tc>
        <w:tc>
          <w:tcPr>
            <w:tcW w:w="1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2,751</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8,019</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9,937</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4500" w:type="dxa"/>
            <w:vAlign w:val="bottom"/>
            <w:gridSpan w:val="2"/>
          </w:tcPr>
          <w:p>
            <w:pPr>
              <w:spacing w:after="0"/>
              <w:rPr>
                <w:sz w:val="20"/>
                <w:szCs w:val="20"/>
                <w:color w:val="auto"/>
              </w:rPr>
            </w:pPr>
            <w:r>
              <w:rPr>
                <w:rFonts w:ascii="Arial" w:cs="Arial" w:eastAsia="Arial" w:hAnsi="Arial"/>
                <w:sz w:val="14"/>
                <w:szCs w:val="14"/>
                <w:color w:val="auto"/>
              </w:rPr>
              <w:t>Pinos Altos Mine</w:t>
            </w:r>
          </w:p>
        </w:tc>
        <w:tc>
          <w:tcPr>
            <w:tcW w:w="140" w:type="dxa"/>
            <w:vAlign w:val="bottom"/>
          </w:tcPr>
          <w:p>
            <w:pPr>
              <w:spacing w:after="0"/>
              <w:rPr>
                <w:sz w:val="15"/>
                <w:szCs w:val="15"/>
                <w:color w:val="auto"/>
              </w:rPr>
            </w:pPr>
          </w:p>
        </w:tc>
        <w:tc>
          <w:tcPr>
            <w:tcW w:w="72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15"/>
                <w:szCs w:val="15"/>
                <w:color w:val="auto"/>
              </w:rPr>
            </w:pPr>
          </w:p>
        </w:tc>
        <w:tc>
          <w:tcPr>
            <w:tcW w:w="780" w:type="dxa"/>
            <w:vAlign w:val="bottom"/>
            <w:gridSpan w:val="2"/>
          </w:tcPr>
          <w:p>
            <w:pPr>
              <w:jc w:val="right"/>
              <w:ind w:right="160"/>
              <w:spacing w:after="0"/>
              <w:rPr>
                <w:sz w:val="20"/>
                <w:szCs w:val="20"/>
                <w:color w:val="auto"/>
              </w:rPr>
            </w:pPr>
            <w:r>
              <w:rPr>
                <w:rFonts w:ascii="Arial" w:cs="Arial" w:eastAsia="Arial" w:hAnsi="Arial"/>
                <w:sz w:val="14"/>
                <w:szCs w:val="14"/>
                <w:color w:val="auto"/>
              </w:rPr>
              <w:t>—</w:t>
            </w:r>
          </w:p>
        </w:tc>
        <w:tc>
          <w:tcPr>
            <w:tcW w:w="180" w:type="dxa"/>
            <w:vAlign w:val="bottom"/>
          </w:tcPr>
          <w:p>
            <w:pPr>
              <w:spacing w:after="0"/>
              <w:rPr>
                <w:sz w:val="15"/>
                <w:szCs w:val="15"/>
                <w:color w:val="auto"/>
              </w:rPr>
            </w:pPr>
          </w:p>
        </w:tc>
        <w:tc>
          <w:tcPr>
            <w:tcW w:w="860" w:type="dxa"/>
            <w:vAlign w:val="bottom"/>
            <w:gridSpan w:val="2"/>
          </w:tcPr>
          <w:p>
            <w:pPr>
              <w:jc w:val="right"/>
              <w:ind w:right="160"/>
              <w:spacing w:after="0"/>
              <w:rPr>
                <w:sz w:val="20"/>
                <w:szCs w:val="20"/>
                <w:color w:val="auto"/>
              </w:rPr>
            </w:pPr>
            <w:r>
              <w:rPr>
                <w:rFonts w:ascii="Arial" w:cs="Arial" w:eastAsia="Arial" w:hAnsi="Arial"/>
                <w:sz w:val="14"/>
                <w:szCs w:val="14"/>
                <w:color w:val="auto"/>
              </w:rPr>
              <w:t>—</w:t>
            </w:r>
          </w:p>
        </w:tc>
        <w:tc>
          <w:tcPr>
            <w:tcW w:w="180" w:type="dxa"/>
            <w:vAlign w:val="bottom"/>
          </w:tcPr>
          <w:p>
            <w:pPr>
              <w:spacing w:after="0"/>
              <w:rPr>
                <w:sz w:val="15"/>
                <w:szCs w:val="15"/>
                <w:color w:val="auto"/>
              </w:rPr>
            </w:pPr>
          </w:p>
        </w:tc>
        <w:tc>
          <w:tcPr>
            <w:tcW w:w="660" w:type="dxa"/>
            <w:vAlign w:val="bottom"/>
          </w:tcPr>
          <w:p>
            <w:pPr>
              <w:jc w:val="right"/>
              <w:spacing w:after="0"/>
              <w:rPr>
                <w:sz w:val="20"/>
                <w:szCs w:val="20"/>
                <w:color w:val="auto"/>
              </w:rPr>
            </w:pPr>
            <w:r>
              <w:rPr>
                <w:rFonts w:ascii="Arial" w:cs="Arial" w:eastAsia="Arial" w:hAnsi="Arial"/>
                <w:sz w:val="14"/>
                <w:szCs w:val="14"/>
                <w:color w:val="auto"/>
              </w:rPr>
              <w:t>2,363</w:t>
            </w:r>
          </w:p>
        </w:tc>
        <w:tc>
          <w:tcPr>
            <w:tcW w:w="1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560" w:type="dxa"/>
            <w:vAlign w:val="bottom"/>
          </w:tcPr>
          <w:p>
            <w:pPr>
              <w:jc w:val="right"/>
              <w:spacing w:after="0"/>
              <w:rPr>
                <w:sz w:val="20"/>
                <w:szCs w:val="20"/>
                <w:color w:val="auto"/>
              </w:rPr>
            </w:pPr>
            <w:r>
              <w:rPr>
                <w:rFonts w:ascii="Arial" w:cs="Arial" w:eastAsia="Arial" w:hAnsi="Arial"/>
                <w:sz w:val="14"/>
                <w:szCs w:val="14"/>
                <w:color w:val="auto"/>
              </w:rPr>
              <w:t>2,363</w:t>
            </w: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4500" w:type="dxa"/>
            <w:vAlign w:val="bottom"/>
            <w:gridSpan w:val="2"/>
            <w:shd w:val="clear" w:color="auto" w:fill="CCEEFF"/>
          </w:tcPr>
          <w:p>
            <w:pPr>
              <w:spacing w:after="0" w:line="144" w:lineRule="exact"/>
              <w:rPr>
                <w:sz w:val="20"/>
                <w:szCs w:val="20"/>
                <w:color w:val="auto"/>
              </w:rPr>
            </w:pPr>
            <w:r>
              <w:rPr>
                <w:rFonts w:ascii="Arial" w:cs="Arial" w:eastAsia="Arial" w:hAnsi="Arial"/>
                <w:sz w:val="14"/>
                <w:szCs w:val="14"/>
                <w:color w:val="auto"/>
              </w:rPr>
              <w:t>Operating margin</w:t>
            </w:r>
          </w:p>
        </w:tc>
        <w:tc>
          <w:tcPr>
            <w:tcW w:w="140" w:type="dxa"/>
            <w:vAlign w:val="bottom"/>
            <w:tcBorders>
              <w:top w:val="single" w:sz="8" w:color="auto"/>
            </w:tcBorders>
            <w:shd w:val="clear" w:color="auto" w:fill="CCEEFF"/>
          </w:tcPr>
          <w:p>
            <w:pPr>
              <w:spacing w:after="0"/>
              <w:rPr>
                <w:sz w:val="12"/>
                <w:szCs w:val="12"/>
                <w:color w:val="auto"/>
              </w:rPr>
            </w:pPr>
          </w:p>
        </w:tc>
        <w:tc>
          <w:tcPr>
            <w:tcW w:w="560" w:type="dxa"/>
            <w:vAlign w:val="bottom"/>
            <w:tcBorders>
              <w:top w:val="single" w:sz="8" w:color="auto"/>
            </w:tcBorders>
            <w:shd w:val="clear" w:color="auto" w:fill="CCEEFF"/>
          </w:tcPr>
          <w:p>
            <w:pPr>
              <w:jc w:val="right"/>
              <w:spacing w:after="0" w:line="144" w:lineRule="exact"/>
              <w:rPr>
                <w:sz w:val="20"/>
                <w:szCs w:val="20"/>
                <w:color w:val="auto"/>
              </w:rPr>
            </w:pPr>
            <w:r>
              <w:rPr>
                <w:rFonts w:ascii="Arial" w:cs="Arial" w:eastAsia="Arial" w:hAnsi="Arial"/>
                <w:sz w:val="14"/>
                <w:szCs w:val="14"/>
                <w:color w:val="auto"/>
              </w:rPr>
              <w:t>56,113</w:t>
            </w:r>
          </w:p>
        </w:tc>
        <w:tc>
          <w:tcPr>
            <w:tcW w:w="160" w:type="dxa"/>
            <w:vAlign w:val="bottom"/>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spacing w:after="0"/>
              <w:rPr>
                <w:sz w:val="12"/>
                <w:szCs w:val="12"/>
                <w:color w:val="auto"/>
              </w:rPr>
            </w:pPr>
          </w:p>
        </w:tc>
        <w:tc>
          <w:tcPr>
            <w:tcW w:w="620" w:type="dxa"/>
            <w:vAlign w:val="bottom"/>
            <w:tcBorders>
              <w:top w:val="single" w:sz="8" w:color="auto"/>
            </w:tcBorders>
            <w:shd w:val="clear" w:color="auto" w:fill="CCEEFF"/>
          </w:tcPr>
          <w:p>
            <w:pPr>
              <w:jc w:val="right"/>
              <w:spacing w:after="0" w:line="144" w:lineRule="exact"/>
              <w:rPr>
                <w:sz w:val="20"/>
                <w:szCs w:val="20"/>
                <w:color w:val="auto"/>
              </w:rPr>
            </w:pPr>
            <w:r>
              <w:rPr>
                <w:rFonts w:ascii="Arial" w:cs="Arial" w:eastAsia="Arial" w:hAnsi="Arial"/>
                <w:sz w:val="14"/>
                <w:szCs w:val="14"/>
                <w:color w:val="auto"/>
              </w:rPr>
              <w:t>72,071</w:t>
            </w:r>
          </w:p>
        </w:tc>
        <w:tc>
          <w:tcPr>
            <w:tcW w:w="160" w:type="dxa"/>
            <w:vAlign w:val="bottom"/>
            <w:shd w:val="clear" w:color="auto" w:fill="CCEEFF"/>
          </w:tcPr>
          <w:p>
            <w:pPr>
              <w:spacing w:after="0"/>
              <w:rPr>
                <w:sz w:val="12"/>
                <w:szCs w:val="12"/>
                <w:color w:val="auto"/>
              </w:rPr>
            </w:pPr>
          </w:p>
        </w:tc>
        <w:tc>
          <w:tcPr>
            <w:tcW w:w="180" w:type="dxa"/>
            <w:vAlign w:val="bottom"/>
            <w:tcBorders>
              <w:top w:val="single" w:sz="8" w:color="auto"/>
            </w:tcBorders>
            <w:shd w:val="clear" w:color="auto" w:fill="CCEEFF"/>
          </w:tcPr>
          <w:p>
            <w:pPr>
              <w:spacing w:after="0"/>
              <w:rPr>
                <w:sz w:val="12"/>
                <w:szCs w:val="12"/>
                <w:color w:val="auto"/>
              </w:rPr>
            </w:pPr>
          </w:p>
        </w:tc>
        <w:tc>
          <w:tcPr>
            <w:tcW w:w="700" w:type="dxa"/>
            <w:vAlign w:val="bottom"/>
            <w:tcBorders>
              <w:top w:val="single" w:sz="8" w:color="auto"/>
            </w:tcBorders>
            <w:shd w:val="clear" w:color="auto" w:fill="CCEEFF"/>
          </w:tcPr>
          <w:p>
            <w:pPr>
              <w:jc w:val="right"/>
              <w:spacing w:after="0" w:line="144" w:lineRule="exact"/>
              <w:rPr>
                <w:sz w:val="20"/>
                <w:szCs w:val="20"/>
                <w:color w:val="auto"/>
              </w:rPr>
            </w:pPr>
            <w:r>
              <w:rPr>
                <w:rFonts w:ascii="Arial" w:cs="Arial" w:eastAsia="Arial" w:hAnsi="Arial"/>
                <w:sz w:val="14"/>
                <w:szCs w:val="14"/>
                <w:color w:val="auto"/>
              </w:rPr>
              <w:t>60,598</w:t>
            </w:r>
          </w:p>
        </w:tc>
        <w:tc>
          <w:tcPr>
            <w:tcW w:w="160" w:type="dxa"/>
            <w:vAlign w:val="bottom"/>
            <w:shd w:val="clear" w:color="auto" w:fill="CCEEFF"/>
          </w:tcPr>
          <w:p>
            <w:pPr>
              <w:spacing w:after="0"/>
              <w:rPr>
                <w:sz w:val="12"/>
                <w:szCs w:val="12"/>
                <w:color w:val="auto"/>
              </w:rPr>
            </w:pPr>
          </w:p>
        </w:tc>
        <w:tc>
          <w:tcPr>
            <w:tcW w:w="180" w:type="dxa"/>
            <w:vAlign w:val="bottom"/>
            <w:tcBorders>
              <w:top w:val="single" w:sz="8" w:color="auto"/>
            </w:tcBorders>
            <w:shd w:val="clear" w:color="auto" w:fill="CCEEFF"/>
          </w:tcPr>
          <w:p>
            <w:pPr>
              <w:spacing w:after="0"/>
              <w:rPr>
                <w:sz w:val="12"/>
                <w:szCs w:val="12"/>
                <w:color w:val="auto"/>
              </w:rPr>
            </w:pPr>
          </w:p>
        </w:tc>
        <w:tc>
          <w:tcPr>
            <w:tcW w:w="660" w:type="dxa"/>
            <w:vAlign w:val="bottom"/>
            <w:tcBorders>
              <w:top w:val="single" w:sz="8" w:color="auto"/>
            </w:tcBorders>
            <w:shd w:val="clear" w:color="auto" w:fill="CCEEFF"/>
          </w:tcPr>
          <w:p>
            <w:pPr>
              <w:jc w:val="right"/>
              <w:spacing w:after="0" w:line="144" w:lineRule="exact"/>
              <w:rPr>
                <w:sz w:val="20"/>
                <w:szCs w:val="20"/>
                <w:color w:val="auto"/>
              </w:rPr>
            </w:pPr>
            <w:r>
              <w:rPr>
                <w:rFonts w:ascii="Arial" w:cs="Arial" w:eastAsia="Arial" w:hAnsi="Arial"/>
                <w:sz w:val="14"/>
                <w:szCs w:val="14"/>
                <w:color w:val="auto"/>
              </w:rPr>
              <w:t>118,662</w:t>
            </w:r>
          </w:p>
        </w:tc>
        <w:tc>
          <w:tcPr>
            <w:tcW w:w="160" w:type="dxa"/>
            <w:vAlign w:val="bottom"/>
            <w:shd w:val="clear" w:color="auto" w:fill="CCEEFF"/>
          </w:tcPr>
          <w:p>
            <w:pPr>
              <w:spacing w:after="0"/>
              <w:rPr>
                <w:sz w:val="12"/>
                <w:szCs w:val="12"/>
                <w:color w:val="auto"/>
              </w:rPr>
            </w:pPr>
          </w:p>
        </w:tc>
        <w:tc>
          <w:tcPr>
            <w:tcW w:w="140" w:type="dxa"/>
            <w:vAlign w:val="bottom"/>
            <w:tcBorders>
              <w:top w:val="single" w:sz="8" w:color="auto"/>
            </w:tcBorders>
            <w:shd w:val="clear" w:color="auto" w:fill="CCEEFF"/>
          </w:tcPr>
          <w:p>
            <w:pPr>
              <w:spacing w:after="0"/>
              <w:rPr>
                <w:sz w:val="12"/>
                <w:szCs w:val="12"/>
                <w:color w:val="auto"/>
              </w:rPr>
            </w:pPr>
          </w:p>
        </w:tc>
        <w:tc>
          <w:tcPr>
            <w:tcW w:w="560" w:type="dxa"/>
            <w:vAlign w:val="bottom"/>
            <w:tcBorders>
              <w:top w:val="single" w:sz="8" w:color="auto"/>
            </w:tcBorders>
            <w:shd w:val="clear" w:color="auto" w:fill="CCEEFF"/>
          </w:tcPr>
          <w:p>
            <w:pPr>
              <w:jc w:val="right"/>
              <w:spacing w:after="0" w:line="144" w:lineRule="exact"/>
              <w:rPr>
                <w:sz w:val="20"/>
                <w:szCs w:val="20"/>
                <w:color w:val="auto"/>
              </w:rPr>
            </w:pPr>
            <w:r>
              <w:rPr>
                <w:rFonts w:ascii="Arial" w:cs="Arial" w:eastAsia="Arial" w:hAnsi="Arial"/>
                <w:sz w:val="14"/>
                <w:szCs w:val="14"/>
                <w:color w:val="auto"/>
              </w:rPr>
              <w:t>307,444</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tcPr>
          <w:p>
            <w:pPr>
              <w:spacing w:after="0" w:line="149" w:lineRule="exact"/>
              <w:rPr>
                <w:sz w:val="20"/>
                <w:szCs w:val="20"/>
                <w:color w:val="auto"/>
              </w:rPr>
            </w:pPr>
            <w:r>
              <w:rPr>
                <w:rFonts w:ascii="Arial" w:cs="Arial" w:eastAsia="Arial" w:hAnsi="Arial"/>
                <w:sz w:val="14"/>
                <w:szCs w:val="14"/>
                <w:color w:val="auto"/>
              </w:rPr>
              <w:t>Amortization</w:t>
            </w:r>
          </w:p>
        </w:tc>
        <w:tc>
          <w:tcPr>
            <w:tcW w:w="14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12,130</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15,470</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00" w:type="dxa"/>
            <w:vAlign w:val="bottom"/>
          </w:tcPr>
          <w:p>
            <w:pPr>
              <w:jc w:val="right"/>
              <w:spacing w:after="0" w:line="149" w:lineRule="exact"/>
              <w:rPr>
                <w:sz w:val="20"/>
                <w:szCs w:val="20"/>
                <w:color w:val="auto"/>
              </w:rPr>
            </w:pPr>
            <w:r>
              <w:rPr>
                <w:rFonts w:ascii="Arial" w:cs="Arial" w:eastAsia="Arial" w:hAnsi="Arial"/>
                <w:sz w:val="14"/>
                <w:szCs w:val="14"/>
                <w:color w:val="auto"/>
              </w:rPr>
              <w:t>23,200</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21,661</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72,461</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Corporate expenses</w:t>
            </w: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14,647</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38,016</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44,007</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30,275</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126,945</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7"/>
        </w:trPr>
        <w:tc>
          <w:tcPr>
            <w:tcW w:w="4520" w:type="dxa"/>
            <w:vAlign w:val="bottom"/>
            <w:gridSpan w:val="3"/>
            <w:vMerge w:val="restart"/>
          </w:tcPr>
          <w:p>
            <w:pPr>
              <w:spacing w:after="0"/>
              <w:rPr>
                <w:sz w:val="20"/>
                <w:szCs w:val="20"/>
                <w:color w:val="auto"/>
              </w:rPr>
            </w:pPr>
            <w:r>
              <w:rPr>
                <w:rFonts w:ascii="Arial" w:cs="Arial" w:eastAsia="Arial" w:hAnsi="Arial"/>
                <w:sz w:val="14"/>
                <w:szCs w:val="14"/>
                <w:color w:val="auto"/>
              </w:rPr>
              <w:t>Income (loss) before tax</w:t>
            </w:r>
          </w:p>
        </w:tc>
        <w:tc>
          <w:tcPr>
            <w:tcW w:w="140" w:type="dxa"/>
            <w:vAlign w:val="bottom"/>
          </w:tcPr>
          <w:p>
            <w:pPr>
              <w:spacing w:after="0"/>
              <w:rPr>
                <w:sz w:val="2"/>
                <w:szCs w:val="2"/>
                <w:color w:val="auto"/>
              </w:rPr>
            </w:pPr>
          </w:p>
        </w:tc>
        <w:tc>
          <w:tcPr>
            <w:tcW w:w="560" w:type="dxa"/>
            <w:vAlign w:val="bottom"/>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Pr>
          <w:p>
            <w:pPr>
              <w:spacing w:after="0"/>
              <w:rPr>
                <w:sz w:val="2"/>
                <w:szCs w:val="2"/>
                <w:color w:val="auto"/>
              </w:rPr>
            </w:pPr>
          </w:p>
        </w:tc>
        <w:tc>
          <w:tcPr>
            <w:tcW w:w="620" w:type="dxa"/>
            <w:vAlign w:val="bottom"/>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Pr>
          <w:p>
            <w:pPr>
              <w:spacing w:after="0"/>
              <w:rPr>
                <w:sz w:val="2"/>
                <w:szCs w:val="2"/>
                <w:color w:val="auto"/>
              </w:rPr>
            </w:pPr>
          </w:p>
        </w:tc>
        <w:tc>
          <w:tcPr>
            <w:tcW w:w="860" w:type="dxa"/>
            <w:vAlign w:val="bottom"/>
            <w:gridSpan w:val="2"/>
          </w:tcPr>
          <w:p>
            <w:pPr>
              <w:spacing w:after="0"/>
              <w:rPr>
                <w:sz w:val="2"/>
                <w:szCs w:val="2"/>
                <w:color w:val="auto"/>
              </w:rPr>
            </w:pPr>
          </w:p>
        </w:tc>
        <w:tc>
          <w:tcPr>
            <w:tcW w:w="180" w:type="dxa"/>
            <w:vAlign w:val="bottom"/>
          </w:tcPr>
          <w:p>
            <w:pPr>
              <w:spacing w:after="0"/>
              <w:rPr>
                <w:sz w:val="2"/>
                <w:szCs w:val="2"/>
                <w:color w:val="auto"/>
              </w:rPr>
            </w:pPr>
          </w:p>
        </w:tc>
        <w:tc>
          <w:tcPr>
            <w:tcW w:w="660" w:type="dxa"/>
            <w:vAlign w:val="bottom"/>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Pr>
          <w:p>
            <w:pPr>
              <w:spacing w:after="0"/>
              <w:rPr>
                <w:sz w:val="2"/>
                <w:szCs w:val="2"/>
                <w:color w:val="auto"/>
              </w:rPr>
            </w:pPr>
          </w:p>
        </w:tc>
        <w:tc>
          <w:tcPr>
            <w:tcW w:w="560" w:type="dxa"/>
            <w:vAlign w:val="bottom"/>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42"/>
        </w:trPr>
        <w:tc>
          <w:tcPr>
            <w:tcW w:w="4520" w:type="dxa"/>
            <w:vAlign w:val="bottom"/>
            <w:gridSpan w:val="3"/>
            <w:vMerge w:val="continue"/>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56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color w:val="auto"/>
              </w:rPr>
              <w:t>29,336</w:t>
            </w:r>
          </w:p>
        </w:tc>
        <w:tc>
          <w:tcPr>
            <w:tcW w:w="16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62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color w:val="auto"/>
              </w:rPr>
              <w:t>18,585</w:t>
            </w:r>
          </w:p>
        </w:tc>
        <w:tc>
          <w:tcPr>
            <w:tcW w:w="160" w:type="dxa"/>
            <w:vAlign w:val="bottom"/>
          </w:tcPr>
          <w:p>
            <w:pPr>
              <w:spacing w:after="0"/>
              <w:rPr>
                <w:sz w:val="12"/>
                <w:szCs w:val="12"/>
                <w:color w:val="auto"/>
              </w:rPr>
            </w:pPr>
          </w:p>
        </w:tc>
        <w:tc>
          <w:tcPr>
            <w:tcW w:w="180" w:type="dxa"/>
            <w:vAlign w:val="bottom"/>
            <w:tcBorders>
              <w:top w:val="single" w:sz="8" w:color="auto"/>
            </w:tcBorders>
          </w:tcPr>
          <w:p>
            <w:pPr>
              <w:spacing w:after="0"/>
              <w:rPr>
                <w:sz w:val="12"/>
                <w:szCs w:val="12"/>
                <w:color w:val="auto"/>
              </w:rPr>
            </w:pPr>
          </w:p>
        </w:tc>
        <w:tc>
          <w:tcPr>
            <w:tcW w:w="70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color w:val="auto"/>
              </w:rPr>
              <w:t>(6,609)</w:t>
            </w:r>
          </w:p>
        </w:tc>
        <w:tc>
          <w:tcPr>
            <w:tcW w:w="160" w:type="dxa"/>
            <w:vAlign w:val="bottom"/>
          </w:tcPr>
          <w:p>
            <w:pPr>
              <w:spacing w:after="0"/>
              <w:rPr>
                <w:sz w:val="12"/>
                <w:szCs w:val="12"/>
                <w:color w:val="auto"/>
              </w:rPr>
            </w:pPr>
          </w:p>
        </w:tc>
        <w:tc>
          <w:tcPr>
            <w:tcW w:w="180" w:type="dxa"/>
            <w:vAlign w:val="bottom"/>
            <w:tcBorders>
              <w:top w:val="single" w:sz="8" w:color="auto"/>
            </w:tcBorders>
          </w:tcPr>
          <w:p>
            <w:pPr>
              <w:spacing w:after="0"/>
              <w:rPr>
                <w:sz w:val="12"/>
                <w:szCs w:val="12"/>
                <w:color w:val="auto"/>
              </w:rPr>
            </w:pPr>
          </w:p>
        </w:tc>
        <w:tc>
          <w:tcPr>
            <w:tcW w:w="66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color w:val="auto"/>
              </w:rPr>
              <w:t>66,726</w:t>
            </w:r>
          </w:p>
        </w:tc>
        <w:tc>
          <w:tcPr>
            <w:tcW w:w="160" w:type="dxa"/>
            <w:vAlign w:val="bottom"/>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56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color w:val="auto"/>
              </w:rPr>
              <w:t>108,038</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Tax provision (recovery)</w:t>
            </w:r>
          </w:p>
        </w:tc>
        <w:tc>
          <w:tcPr>
            <w:tcW w:w="14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(25,005)</w:t>
            </w:r>
          </w:p>
        </w:tc>
        <w:tc>
          <w:tcPr>
            <w:tcW w:w="8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17,358</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10,357</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18,790</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21,500</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7"/>
        </w:trPr>
        <w:tc>
          <w:tcPr>
            <w:tcW w:w="4520" w:type="dxa"/>
            <w:vAlign w:val="bottom"/>
            <w:gridSpan w:val="3"/>
            <w:vMerge w:val="restart"/>
          </w:tcPr>
          <w:p>
            <w:pPr>
              <w:spacing w:after="0"/>
              <w:rPr>
                <w:sz w:val="20"/>
                <w:szCs w:val="20"/>
                <w:color w:val="auto"/>
              </w:rPr>
            </w:pPr>
            <w:r>
              <w:rPr>
                <w:rFonts w:ascii="Arial" w:cs="Arial" w:eastAsia="Arial" w:hAnsi="Arial"/>
                <w:sz w:val="14"/>
                <w:szCs w:val="14"/>
                <w:color w:val="auto"/>
              </w:rPr>
              <w:t>Net income (loss) for the period</w:t>
            </w:r>
          </w:p>
        </w:tc>
        <w:tc>
          <w:tcPr>
            <w:tcW w:w="140" w:type="dxa"/>
            <w:vAlign w:val="bottom"/>
          </w:tcPr>
          <w:p>
            <w:pPr>
              <w:spacing w:after="0"/>
              <w:rPr>
                <w:sz w:val="2"/>
                <w:szCs w:val="2"/>
                <w:color w:val="auto"/>
              </w:rPr>
            </w:pPr>
          </w:p>
        </w:tc>
        <w:tc>
          <w:tcPr>
            <w:tcW w:w="560" w:type="dxa"/>
            <w:vAlign w:val="bottom"/>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Pr>
          <w:p>
            <w:pPr>
              <w:spacing w:after="0"/>
              <w:rPr>
                <w:sz w:val="2"/>
                <w:szCs w:val="2"/>
                <w:color w:val="auto"/>
              </w:rPr>
            </w:pPr>
          </w:p>
        </w:tc>
        <w:tc>
          <w:tcPr>
            <w:tcW w:w="620" w:type="dxa"/>
            <w:vAlign w:val="bottom"/>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Pr>
          <w:p>
            <w:pPr>
              <w:spacing w:after="0"/>
              <w:rPr>
                <w:sz w:val="2"/>
                <w:szCs w:val="2"/>
                <w:color w:val="auto"/>
              </w:rPr>
            </w:pPr>
          </w:p>
        </w:tc>
        <w:tc>
          <w:tcPr>
            <w:tcW w:w="860" w:type="dxa"/>
            <w:vAlign w:val="bottom"/>
            <w:gridSpan w:val="2"/>
          </w:tcPr>
          <w:p>
            <w:pPr>
              <w:spacing w:after="0"/>
              <w:rPr>
                <w:sz w:val="2"/>
                <w:szCs w:val="2"/>
                <w:color w:val="auto"/>
              </w:rPr>
            </w:pPr>
          </w:p>
        </w:tc>
        <w:tc>
          <w:tcPr>
            <w:tcW w:w="180" w:type="dxa"/>
            <w:vAlign w:val="bottom"/>
          </w:tcPr>
          <w:p>
            <w:pPr>
              <w:spacing w:after="0"/>
              <w:rPr>
                <w:sz w:val="2"/>
                <w:szCs w:val="2"/>
                <w:color w:val="auto"/>
              </w:rPr>
            </w:pPr>
          </w:p>
        </w:tc>
        <w:tc>
          <w:tcPr>
            <w:tcW w:w="660" w:type="dxa"/>
            <w:vAlign w:val="bottom"/>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Pr>
          <w:p>
            <w:pPr>
              <w:spacing w:after="0"/>
              <w:rPr>
                <w:sz w:val="2"/>
                <w:szCs w:val="2"/>
                <w:color w:val="auto"/>
              </w:rPr>
            </w:pPr>
          </w:p>
        </w:tc>
        <w:tc>
          <w:tcPr>
            <w:tcW w:w="560" w:type="dxa"/>
            <w:vAlign w:val="bottom"/>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67"/>
        </w:trPr>
        <w:tc>
          <w:tcPr>
            <w:tcW w:w="4520" w:type="dxa"/>
            <w:vAlign w:val="bottom"/>
            <w:gridSpan w:val="3"/>
            <w:vMerge w:val="continue"/>
          </w:tcPr>
          <w:p>
            <w:pPr>
              <w:spacing w:after="0"/>
              <w:rPr>
                <w:sz w:val="14"/>
                <w:szCs w:val="14"/>
                <w:color w:val="auto"/>
              </w:rPr>
            </w:pPr>
          </w:p>
        </w:tc>
        <w:tc>
          <w:tcPr>
            <w:tcW w:w="140" w:type="dxa"/>
            <w:vAlign w:val="bottom"/>
            <w:tcBorders>
              <w:top w:val="single" w:sz="8" w:color="auto"/>
              <w:bottom w:val="single" w:sz="8" w:color="auto"/>
            </w:tcBorders>
          </w:tcPr>
          <w:p>
            <w:pPr>
              <w:jc w:val="right"/>
              <w:ind w:right="28"/>
              <w:spacing w:after="0"/>
              <w:rPr>
                <w:sz w:val="20"/>
                <w:szCs w:val="20"/>
                <w:color w:val="auto"/>
              </w:rPr>
            </w:pPr>
            <w:r>
              <w:rPr>
                <w:rFonts w:ascii="Arial" w:cs="Arial" w:eastAsia="Arial" w:hAnsi="Arial"/>
                <w:sz w:val="10"/>
                <w:szCs w:val="10"/>
                <w:color w:val="auto"/>
                <w:w w:val="71"/>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54,341</w:t>
            </w:r>
          </w:p>
        </w:tc>
        <w:tc>
          <w:tcPr>
            <w:tcW w:w="160" w:type="dxa"/>
            <w:vAlign w:val="bottom"/>
          </w:tcPr>
          <w:p>
            <w:pPr>
              <w:spacing w:after="0"/>
              <w:rPr>
                <w:sz w:val="14"/>
                <w:szCs w:val="14"/>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w w:val="76"/>
              </w:rPr>
              <w:t>$</w:t>
            </w: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1,227</w:t>
            </w:r>
          </w:p>
        </w:tc>
        <w:tc>
          <w:tcPr>
            <w:tcW w:w="160" w:type="dxa"/>
            <w:vAlign w:val="bottom"/>
          </w:tcPr>
          <w:p>
            <w:pPr>
              <w:spacing w:after="0"/>
              <w:rPr>
                <w:sz w:val="14"/>
                <w:szCs w:val="14"/>
                <w:color w:val="auto"/>
              </w:rPr>
            </w:pPr>
          </w:p>
        </w:tc>
        <w:tc>
          <w:tcPr>
            <w:tcW w:w="180" w:type="dxa"/>
            <w:vAlign w:val="bottom"/>
            <w:tcBorders>
              <w:top w:val="single" w:sz="8" w:color="auto"/>
              <w:bottom w:val="single" w:sz="8" w:color="auto"/>
            </w:tcBorders>
          </w:tcPr>
          <w:p>
            <w:pPr>
              <w:spacing w:after="0"/>
              <w:rPr>
                <w:sz w:val="20"/>
                <w:szCs w:val="20"/>
                <w:color w:val="auto"/>
              </w:rPr>
            </w:pPr>
            <w:r>
              <w:rPr>
                <w:rFonts w:ascii="Arial" w:cs="Arial" w:eastAsia="Arial" w:hAnsi="Arial"/>
                <w:sz w:val="14"/>
                <w:szCs w:val="14"/>
                <w:color w:val="auto"/>
              </w:rPr>
              <w:t>$</w:t>
            </w:r>
          </w:p>
        </w:tc>
        <w:tc>
          <w:tcPr>
            <w:tcW w:w="7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(16,966)</w:t>
            </w:r>
          </w:p>
        </w:tc>
        <w:tc>
          <w:tcPr>
            <w:tcW w:w="160" w:type="dxa"/>
            <w:vAlign w:val="bottom"/>
          </w:tcPr>
          <w:p>
            <w:pPr>
              <w:spacing w:after="0"/>
              <w:rPr>
                <w:sz w:val="14"/>
                <w:szCs w:val="14"/>
                <w:color w:val="auto"/>
              </w:rPr>
            </w:pPr>
          </w:p>
        </w:tc>
        <w:tc>
          <w:tcPr>
            <w:tcW w:w="180" w:type="dxa"/>
            <w:vAlign w:val="bottom"/>
            <w:tcBorders>
              <w:top w:val="single" w:sz="8" w:color="auto"/>
              <w:bottom w:val="single" w:sz="8" w:color="auto"/>
            </w:tcBorders>
          </w:tcPr>
          <w:p>
            <w:pPr>
              <w:spacing w:after="0"/>
              <w:rPr>
                <w:sz w:val="20"/>
                <w:szCs w:val="20"/>
                <w:color w:val="auto"/>
              </w:rPr>
            </w:pPr>
            <w:r>
              <w:rPr>
                <w:rFonts w:ascii="Arial" w:cs="Arial" w:eastAsia="Arial" w:hAnsi="Arial"/>
                <w:sz w:val="14"/>
                <w:szCs w:val="14"/>
                <w:color w:val="auto"/>
              </w:rPr>
              <w:t>$</w:t>
            </w: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47,936</w:t>
            </w:r>
          </w:p>
        </w:tc>
        <w:tc>
          <w:tcPr>
            <w:tcW w:w="160" w:type="dxa"/>
            <w:vAlign w:val="bottom"/>
          </w:tcPr>
          <w:p>
            <w:pPr>
              <w:spacing w:after="0"/>
              <w:rPr>
                <w:sz w:val="14"/>
                <w:szCs w:val="14"/>
                <w:color w:val="auto"/>
              </w:rPr>
            </w:pPr>
          </w:p>
        </w:tc>
        <w:tc>
          <w:tcPr>
            <w:tcW w:w="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w w:val="76"/>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86,538</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32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1"/>
        </w:trPr>
        <w:tc>
          <w:tcPr>
            <w:tcW w:w="20" w:type="dxa"/>
            <w:vAlign w:val="bottom"/>
          </w:tcPr>
          <w:p>
            <w:pPr>
              <w:spacing w:after="0"/>
              <w:rPr>
                <w:sz w:val="11"/>
                <w:szCs w:val="11"/>
                <w:color w:val="auto"/>
              </w:rPr>
            </w:pPr>
          </w:p>
        </w:tc>
        <w:tc>
          <w:tcPr>
            <w:tcW w:w="4500" w:type="dxa"/>
            <w:vAlign w:val="bottom"/>
            <w:gridSpan w:val="2"/>
            <w:shd w:val="clear" w:color="auto" w:fill="CCEEFF"/>
          </w:tcPr>
          <w:p>
            <w:pPr>
              <w:spacing w:after="0" w:line="131" w:lineRule="exact"/>
              <w:rPr>
                <w:sz w:val="20"/>
                <w:szCs w:val="20"/>
                <w:color w:val="auto"/>
              </w:rPr>
            </w:pPr>
            <w:r>
              <w:rPr>
                <w:rFonts w:ascii="Arial" w:cs="Arial" w:eastAsia="Arial" w:hAnsi="Arial"/>
                <w:sz w:val="14"/>
                <w:szCs w:val="14"/>
                <w:color w:val="auto"/>
              </w:rPr>
              <w:t>Net income (loss) per share — basic</w:t>
            </w:r>
          </w:p>
        </w:tc>
        <w:tc>
          <w:tcPr>
            <w:tcW w:w="140" w:type="dxa"/>
            <w:vAlign w:val="bottom"/>
            <w:shd w:val="clear" w:color="auto" w:fill="CCEEFF"/>
          </w:tcPr>
          <w:p>
            <w:pPr>
              <w:jc w:val="right"/>
              <w:ind w:right="28"/>
              <w:spacing w:after="0"/>
              <w:rPr>
                <w:sz w:val="20"/>
                <w:szCs w:val="20"/>
                <w:color w:val="auto"/>
              </w:rPr>
            </w:pPr>
            <w:r>
              <w:rPr>
                <w:rFonts w:ascii="Arial" w:cs="Arial" w:eastAsia="Arial" w:hAnsi="Arial"/>
                <w:sz w:val="10"/>
                <w:szCs w:val="10"/>
                <w:color w:val="auto"/>
                <w:w w:val="71"/>
              </w:rPr>
              <w:t>$</w:t>
            </w:r>
          </w:p>
        </w:tc>
        <w:tc>
          <w:tcPr>
            <w:tcW w:w="560" w:type="dxa"/>
            <w:vAlign w:val="bottom"/>
            <w:shd w:val="clear" w:color="auto" w:fill="CCEEFF"/>
          </w:tcPr>
          <w:p>
            <w:pPr>
              <w:jc w:val="right"/>
              <w:spacing w:after="0" w:line="131" w:lineRule="exact"/>
              <w:rPr>
                <w:sz w:val="20"/>
                <w:szCs w:val="20"/>
                <w:color w:val="auto"/>
              </w:rPr>
            </w:pPr>
            <w:r>
              <w:rPr>
                <w:rFonts w:ascii="Arial" w:cs="Arial" w:eastAsia="Arial" w:hAnsi="Arial"/>
                <w:sz w:val="14"/>
                <w:szCs w:val="14"/>
                <w:color w:val="auto"/>
              </w:rPr>
              <w:t>0.35</w:t>
            </w:r>
          </w:p>
        </w:tc>
        <w:tc>
          <w:tcPr>
            <w:tcW w:w="160" w:type="dxa"/>
            <w:vAlign w:val="bottom"/>
            <w:shd w:val="clear" w:color="auto" w:fill="CCEEFF"/>
          </w:tcPr>
          <w:p>
            <w:pPr>
              <w:spacing w:after="0"/>
              <w:rPr>
                <w:sz w:val="11"/>
                <w:szCs w:val="11"/>
                <w:color w:val="auto"/>
              </w:rPr>
            </w:pPr>
          </w:p>
        </w:tc>
        <w:tc>
          <w:tcPr>
            <w:tcW w:w="80" w:type="dxa"/>
            <w:vAlign w:val="bottom"/>
            <w:shd w:val="clear" w:color="auto" w:fill="CCEEFF"/>
          </w:tcPr>
          <w:p>
            <w:pPr>
              <w:jc w:val="right"/>
              <w:spacing w:after="0" w:line="131" w:lineRule="exact"/>
              <w:rPr>
                <w:sz w:val="20"/>
                <w:szCs w:val="20"/>
                <w:color w:val="auto"/>
              </w:rPr>
            </w:pPr>
            <w:r>
              <w:rPr>
                <w:rFonts w:ascii="Arial" w:cs="Arial" w:eastAsia="Arial" w:hAnsi="Arial"/>
                <w:sz w:val="14"/>
                <w:szCs w:val="14"/>
                <w:color w:val="auto"/>
                <w:w w:val="76"/>
              </w:rPr>
              <w:t>$</w:t>
            </w:r>
          </w:p>
        </w:tc>
        <w:tc>
          <w:tcPr>
            <w:tcW w:w="620" w:type="dxa"/>
            <w:vAlign w:val="bottom"/>
            <w:shd w:val="clear" w:color="auto" w:fill="CCEEFF"/>
          </w:tcPr>
          <w:p>
            <w:pPr>
              <w:jc w:val="right"/>
              <w:spacing w:after="0" w:line="131" w:lineRule="exact"/>
              <w:rPr>
                <w:sz w:val="20"/>
                <w:szCs w:val="20"/>
                <w:color w:val="auto"/>
              </w:rPr>
            </w:pPr>
            <w:r>
              <w:rPr>
                <w:rFonts w:ascii="Arial" w:cs="Arial" w:eastAsia="Arial" w:hAnsi="Arial"/>
                <w:sz w:val="14"/>
                <w:szCs w:val="14"/>
                <w:color w:val="auto"/>
              </w:rPr>
              <w:t>0.01</w:t>
            </w:r>
          </w:p>
        </w:tc>
        <w:tc>
          <w:tcPr>
            <w:tcW w:w="1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line="131" w:lineRule="exact"/>
              <w:rPr>
                <w:sz w:val="20"/>
                <w:szCs w:val="20"/>
                <w:color w:val="auto"/>
              </w:rPr>
            </w:pPr>
            <w:r>
              <w:rPr>
                <w:rFonts w:ascii="Arial" w:cs="Arial" w:eastAsia="Arial" w:hAnsi="Arial"/>
                <w:sz w:val="14"/>
                <w:szCs w:val="14"/>
                <w:color w:val="auto"/>
              </w:rPr>
              <w:t>$</w:t>
            </w:r>
          </w:p>
        </w:tc>
        <w:tc>
          <w:tcPr>
            <w:tcW w:w="860" w:type="dxa"/>
            <w:vAlign w:val="bottom"/>
            <w:gridSpan w:val="2"/>
            <w:shd w:val="clear" w:color="auto" w:fill="CCEEFF"/>
          </w:tcPr>
          <w:p>
            <w:pPr>
              <w:jc w:val="right"/>
              <w:ind w:right="120"/>
              <w:spacing w:after="0" w:line="131" w:lineRule="exact"/>
              <w:rPr>
                <w:sz w:val="20"/>
                <w:szCs w:val="20"/>
                <w:color w:val="auto"/>
              </w:rPr>
            </w:pPr>
            <w:r>
              <w:rPr>
                <w:rFonts w:ascii="Arial" w:cs="Arial" w:eastAsia="Arial" w:hAnsi="Arial"/>
                <w:sz w:val="14"/>
                <w:szCs w:val="14"/>
                <w:color w:val="auto"/>
              </w:rPr>
              <w:t>(0.11)</w:t>
            </w:r>
          </w:p>
        </w:tc>
        <w:tc>
          <w:tcPr>
            <w:tcW w:w="180" w:type="dxa"/>
            <w:vAlign w:val="bottom"/>
            <w:shd w:val="clear" w:color="auto" w:fill="CCEEFF"/>
          </w:tcPr>
          <w:p>
            <w:pPr>
              <w:spacing w:after="0" w:line="131" w:lineRule="exact"/>
              <w:rPr>
                <w:sz w:val="20"/>
                <w:szCs w:val="20"/>
                <w:color w:val="auto"/>
              </w:rPr>
            </w:pPr>
            <w:r>
              <w:rPr>
                <w:rFonts w:ascii="Arial" w:cs="Arial" w:eastAsia="Arial" w:hAnsi="Arial"/>
                <w:sz w:val="14"/>
                <w:szCs w:val="14"/>
                <w:color w:val="auto"/>
              </w:rPr>
              <w:t>$</w:t>
            </w:r>
          </w:p>
        </w:tc>
        <w:tc>
          <w:tcPr>
            <w:tcW w:w="660" w:type="dxa"/>
            <w:vAlign w:val="bottom"/>
            <w:shd w:val="clear" w:color="auto" w:fill="CCEEFF"/>
          </w:tcPr>
          <w:p>
            <w:pPr>
              <w:jc w:val="right"/>
              <w:spacing w:after="0" w:line="131" w:lineRule="exact"/>
              <w:rPr>
                <w:sz w:val="20"/>
                <w:szCs w:val="20"/>
                <w:color w:val="auto"/>
              </w:rPr>
            </w:pPr>
            <w:r>
              <w:rPr>
                <w:rFonts w:ascii="Arial" w:cs="Arial" w:eastAsia="Arial" w:hAnsi="Arial"/>
                <w:sz w:val="14"/>
                <w:szCs w:val="14"/>
                <w:color w:val="auto"/>
              </w:rPr>
              <w:t>0.31</w:t>
            </w:r>
          </w:p>
        </w:tc>
        <w:tc>
          <w:tcPr>
            <w:tcW w:w="160" w:type="dxa"/>
            <w:vAlign w:val="bottom"/>
            <w:shd w:val="clear" w:color="auto" w:fill="CCEEFF"/>
          </w:tcPr>
          <w:p>
            <w:pPr>
              <w:spacing w:after="0"/>
              <w:rPr>
                <w:sz w:val="11"/>
                <w:szCs w:val="11"/>
                <w:color w:val="auto"/>
              </w:rPr>
            </w:pPr>
          </w:p>
        </w:tc>
        <w:tc>
          <w:tcPr>
            <w:tcW w:w="140" w:type="dxa"/>
            <w:vAlign w:val="bottom"/>
            <w:shd w:val="clear" w:color="auto" w:fill="CCEEFF"/>
          </w:tcPr>
          <w:p>
            <w:pPr>
              <w:jc w:val="right"/>
              <w:spacing w:after="0" w:line="131" w:lineRule="exact"/>
              <w:rPr>
                <w:sz w:val="20"/>
                <w:szCs w:val="20"/>
                <w:color w:val="auto"/>
              </w:rPr>
            </w:pPr>
            <w:r>
              <w:rPr>
                <w:rFonts w:ascii="Arial" w:cs="Arial" w:eastAsia="Arial" w:hAnsi="Arial"/>
                <w:sz w:val="14"/>
                <w:szCs w:val="14"/>
                <w:color w:val="auto"/>
                <w:w w:val="76"/>
              </w:rPr>
              <w:t>$</w:t>
            </w:r>
          </w:p>
        </w:tc>
        <w:tc>
          <w:tcPr>
            <w:tcW w:w="560" w:type="dxa"/>
            <w:vAlign w:val="bottom"/>
            <w:shd w:val="clear" w:color="auto" w:fill="CCEEFF"/>
          </w:tcPr>
          <w:p>
            <w:pPr>
              <w:jc w:val="right"/>
              <w:spacing w:after="0" w:line="131" w:lineRule="exact"/>
              <w:rPr>
                <w:sz w:val="20"/>
                <w:szCs w:val="20"/>
                <w:color w:val="auto"/>
              </w:rPr>
            </w:pPr>
            <w:r>
              <w:rPr>
                <w:rFonts w:ascii="Arial" w:cs="Arial" w:eastAsia="Arial" w:hAnsi="Arial"/>
                <w:sz w:val="14"/>
                <w:szCs w:val="14"/>
                <w:color w:val="auto"/>
              </w:rPr>
              <w:t>0.55</w:t>
            </w:r>
          </w:p>
        </w:tc>
        <w:tc>
          <w:tcPr>
            <w:tcW w:w="1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tcPr>
          <w:p>
            <w:pPr>
              <w:spacing w:after="0" w:line="149" w:lineRule="exact"/>
              <w:rPr>
                <w:sz w:val="20"/>
                <w:szCs w:val="20"/>
                <w:color w:val="auto"/>
              </w:rPr>
            </w:pPr>
            <w:r>
              <w:rPr>
                <w:rFonts w:ascii="Arial" w:cs="Arial" w:eastAsia="Arial" w:hAnsi="Arial"/>
                <w:sz w:val="14"/>
                <w:szCs w:val="14"/>
                <w:color w:val="auto"/>
              </w:rPr>
              <w:t>Net income (loss) per share — diluted</w:t>
            </w:r>
          </w:p>
        </w:tc>
        <w:tc>
          <w:tcPr>
            <w:tcW w:w="140" w:type="dxa"/>
            <w:vAlign w:val="bottom"/>
          </w:tcPr>
          <w:p>
            <w:pPr>
              <w:jc w:val="right"/>
              <w:ind w:right="28"/>
              <w:spacing w:after="0"/>
              <w:rPr>
                <w:sz w:val="20"/>
                <w:szCs w:val="20"/>
                <w:color w:val="auto"/>
              </w:rPr>
            </w:pPr>
            <w:r>
              <w:rPr>
                <w:rFonts w:ascii="Arial" w:cs="Arial" w:eastAsia="Arial" w:hAnsi="Arial"/>
                <w:sz w:val="10"/>
                <w:szCs w:val="10"/>
                <w:color w:val="auto"/>
                <w:w w:val="71"/>
              </w:rPr>
              <w:t>$</w:t>
            </w: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0.35</w:t>
            </w:r>
          </w:p>
        </w:tc>
        <w:tc>
          <w:tcPr>
            <w:tcW w:w="160" w:type="dxa"/>
            <w:vAlign w:val="bottom"/>
          </w:tcPr>
          <w:p>
            <w:pPr>
              <w:spacing w:after="0"/>
              <w:rPr>
                <w:sz w:val="12"/>
                <w:szCs w:val="12"/>
                <w:color w:val="auto"/>
              </w:rPr>
            </w:pPr>
          </w:p>
        </w:tc>
        <w:tc>
          <w:tcPr>
            <w:tcW w:w="8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0.01</w:t>
            </w:r>
          </w:p>
        </w:tc>
        <w:tc>
          <w:tcPr>
            <w:tcW w:w="160" w:type="dxa"/>
            <w:vAlign w:val="bottom"/>
          </w:tcPr>
          <w:p>
            <w:pPr>
              <w:spacing w:after="0"/>
              <w:rPr>
                <w:sz w:val="12"/>
                <w:szCs w:val="12"/>
                <w:color w:val="auto"/>
              </w:rPr>
            </w:pPr>
          </w:p>
        </w:tc>
        <w:tc>
          <w:tcPr>
            <w:tcW w:w="18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86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(0.11)</w:t>
            </w:r>
          </w:p>
        </w:tc>
        <w:tc>
          <w:tcPr>
            <w:tcW w:w="18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0.30</w:t>
            </w:r>
          </w:p>
        </w:tc>
        <w:tc>
          <w:tcPr>
            <w:tcW w:w="160" w:type="dxa"/>
            <w:vAlign w:val="bottom"/>
          </w:tcPr>
          <w:p>
            <w:pPr>
              <w:spacing w:after="0"/>
              <w:rPr>
                <w:sz w:val="12"/>
                <w:szCs w:val="12"/>
                <w:color w:val="auto"/>
              </w:rPr>
            </w:pPr>
          </w:p>
        </w:tc>
        <w:tc>
          <w:tcPr>
            <w:tcW w:w="14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0.55</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24"/>
        </w:trPr>
        <w:tc>
          <w:tcPr>
            <w:tcW w:w="20" w:type="dxa"/>
            <w:vAlign w:val="bottom"/>
          </w:tcPr>
          <w:p>
            <w:pPr>
              <w:spacing w:after="0"/>
              <w:rPr>
                <w:sz w:val="24"/>
                <w:szCs w:val="24"/>
                <w:color w:val="auto"/>
              </w:rPr>
            </w:pPr>
          </w:p>
        </w:tc>
        <w:tc>
          <w:tcPr>
            <w:tcW w:w="4500" w:type="dxa"/>
            <w:vAlign w:val="bottom"/>
            <w:gridSpan w:val="2"/>
            <w:shd w:val="clear" w:color="auto" w:fill="CCEEFF"/>
          </w:tcPr>
          <w:p>
            <w:pPr>
              <w:spacing w:after="0"/>
              <w:rPr>
                <w:sz w:val="20"/>
                <w:szCs w:val="20"/>
                <w:color w:val="auto"/>
              </w:rPr>
            </w:pPr>
            <w:r>
              <w:rPr>
                <w:rFonts w:ascii="Arial" w:cs="Arial" w:eastAsia="Arial" w:hAnsi="Arial"/>
                <w:sz w:val="14"/>
                <w:szCs w:val="14"/>
                <w:b w:val="1"/>
                <w:bCs w:val="1"/>
                <w:color w:val="auto"/>
              </w:rPr>
              <w:t>Cash flows</w:t>
            </w:r>
          </w:p>
        </w:tc>
        <w:tc>
          <w:tcPr>
            <w:tcW w:w="140" w:type="dxa"/>
            <w:vAlign w:val="bottom"/>
            <w:shd w:val="clear" w:color="auto" w:fill="CCEEFF"/>
          </w:tcPr>
          <w:p>
            <w:pPr>
              <w:spacing w:after="0"/>
              <w:rPr>
                <w:sz w:val="24"/>
                <w:szCs w:val="24"/>
                <w:color w:val="auto"/>
              </w:rPr>
            </w:pPr>
          </w:p>
        </w:tc>
        <w:tc>
          <w:tcPr>
            <w:tcW w:w="5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62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70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6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5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tcPr>
          <w:p>
            <w:pPr>
              <w:spacing w:after="0" w:line="149" w:lineRule="exact"/>
              <w:rPr>
                <w:sz w:val="20"/>
                <w:szCs w:val="20"/>
                <w:color w:val="auto"/>
              </w:rPr>
            </w:pPr>
            <w:r>
              <w:rPr>
                <w:rFonts w:ascii="Arial" w:cs="Arial" w:eastAsia="Arial" w:hAnsi="Arial"/>
                <w:sz w:val="14"/>
                <w:szCs w:val="14"/>
                <w:color w:val="auto"/>
              </w:rPr>
              <w:t>Operating cash flow</w:t>
            </w:r>
          </w:p>
        </w:tc>
        <w:tc>
          <w:tcPr>
            <w:tcW w:w="140" w:type="dxa"/>
            <w:vAlign w:val="bottom"/>
          </w:tcPr>
          <w:p>
            <w:pPr>
              <w:jc w:val="right"/>
              <w:ind w:right="28"/>
              <w:spacing w:after="0"/>
              <w:rPr>
                <w:sz w:val="20"/>
                <w:szCs w:val="20"/>
                <w:color w:val="auto"/>
              </w:rPr>
            </w:pPr>
            <w:r>
              <w:rPr>
                <w:rFonts w:ascii="Arial" w:cs="Arial" w:eastAsia="Arial" w:hAnsi="Arial"/>
                <w:sz w:val="10"/>
                <w:szCs w:val="10"/>
                <w:color w:val="auto"/>
                <w:w w:val="71"/>
              </w:rPr>
              <w:t>$</w:t>
            </w: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48,823</w:t>
            </w:r>
          </w:p>
        </w:tc>
        <w:tc>
          <w:tcPr>
            <w:tcW w:w="160" w:type="dxa"/>
            <w:vAlign w:val="bottom"/>
          </w:tcPr>
          <w:p>
            <w:pPr>
              <w:spacing w:after="0"/>
              <w:rPr>
                <w:sz w:val="12"/>
                <w:szCs w:val="12"/>
                <w:color w:val="auto"/>
              </w:rPr>
            </w:pPr>
          </w:p>
        </w:tc>
        <w:tc>
          <w:tcPr>
            <w:tcW w:w="8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26,369</w:t>
            </w:r>
          </w:p>
        </w:tc>
        <w:tc>
          <w:tcPr>
            <w:tcW w:w="160" w:type="dxa"/>
            <w:vAlign w:val="bottom"/>
          </w:tcPr>
          <w:p>
            <w:pPr>
              <w:spacing w:after="0"/>
              <w:rPr>
                <w:sz w:val="12"/>
                <w:szCs w:val="12"/>
                <w:color w:val="auto"/>
              </w:rPr>
            </w:pPr>
          </w:p>
        </w:tc>
        <w:tc>
          <w:tcPr>
            <w:tcW w:w="18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86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(13,787)</w:t>
            </w:r>
          </w:p>
        </w:tc>
        <w:tc>
          <w:tcPr>
            <w:tcW w:w="18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53,701</w:t>
            </w:r>
          </w:p>
        </w:tc>
        <w:tc>
          <w:tcPr>
            <w:tcW w:w="160" w:type="dxa"/>
            <w:vAlign w:val="bottom"/>
          </w:tcPr>
          <w:p>
            <w:pPr>
              <w:spacing w:after="0"/>
              <w:rPr>
                <w:sz w:val="12"/>
                <w:szCs w:val="12"/>
                <w:color w:val="auto"/>
              </w:rPr>
            </w:pPr>
          </w:p>
        </w:tc>
        <w:tc>
          <w:tcPr>
            <w:tcW w:w="14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115,106</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Investing cash flow</w:t>
            </w:r>
          </w:p>
        </w:tc>
        <w:tc>
          <w:tcPr>
            <w:tcW w:w="140" w:type="dxa"/>
            <w:vAlign w:val="bottom"/>
            <w:shd w:val="clear" w:color="auto" w:fill="CCEEFF"/>
          </w:tcPr>
          <w:p>
            <w:pPr>
              <w:jc w:val="right"/>
              <w:ind w:right="28"/>
              <w:spacing w:after="0"/>
              <w:rPr>
                <w:sz w:val="20"/>
                <w:szCs w:val="20"/>
                <w:color w:val="auto"/>
              </w:rPr>
            </w:pPr>
            <w:r>
              <w:rPr>
                <w:rFonts w:ascii="Arial" w:cs="Arial" w:eastAsia="Arial" w:hAnsi="Arial"/>
                <w:sz w:val="10"/>
                <w:szCs w:val="10"/>
                <w:color w:val="auto"/>
                <w:w w:val="71"/>
              </w:rPr>
              <w:t>$</w:t>
            </w:r>
          </w:p>
        </w:tc>
        <w:tc>
          <w:tcPr>
            <w:tcW w:w="7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w w:val="96"/>
              </w:rPr>
              <w:t>(155,422)</w:t>
            </w:r>
          </w:p>
        </w:tc>
        <w:tc>
          <w:tcPr>
            <w:tcW w:w="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7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(155,730)</w:t>
            </w:r>
          </w:p>
        </w:tc>
        <w:tc>
          <w:tcPr>
            <w:tcW w:w="1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86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(136,756)</w:t>
            </w:r>
          </w:p>
        </w:tc>
        <w:tc>
          <w:tcPr>
            <w:tcW w:w="1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8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(139,703)</w:t>
            </w:r>
          </w:p>
        </w:tc>
        <w:tc>
          <w:tcPr>
            <w:tcW w:w="1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7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w w:val="96"/>
              </w:rPr>
              <w:t>(587,611)</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tcPr>
          <w:p>
            <w:pPr>
              <w:spacing w:after="0" w:line="149" w:lineRule="exact"/>
              <w:rPr>
                <w:sz w:val="20"/>
                <w:szCs w:val="20"/>
                <w:color w:val="auto"/>
              </w:rPr>
            </w:pPr>
            <w:r>
              <w:rPr>
                <w:rFonts w:ascii="Arial" w:cs="Arial" w:eastAsia="Arial" w:hAnsi="Arial"/>
                <w:sz w:val="14"/>
                <w:szCs w:val="14"/>
                <w:color w:val="auto"/>
              </w:rPr>
              <w:t>Financing cash flow</w:t>
            </w:r>
          </w:p>
        </w:tc>
        <w:tc>
          <w:tcPr>
            <w:tcW w:w="140" w:type="dxa"/>
            <w:vAlign w:val="bottom"/>
          </w:tcPr>
          <w:p>
            <w:pPr>
              <w:jc w:val="right"/>
              <w:ind w:right="28"/>
              <w:spacing w:after="0"/>
              <w:rPr>
                <w:sz w:val="20"/>
                <w:szCs w:val="20"/>
                <w:color w:val="auto"/>
              </w:rPr>
            </w:pPr>
            <w:r>
              <w:rPr>
                <w:rFonts w:ascii="Arial" w:cs="Arial" w:eastAsia="Arial" w:hAnsi="Arial"/>
                <w:sz w:val="10"/>
                <w:szCs w:val="10"/>
                <w:color w:val="auto"/>
                <w:w w:val="71"/>
              </w:rPr>
              <w:t>$</w:t>
            </w: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216,447</w:t>
            </w:r>
          </w:p>
        </w:tc>
        <w:tc>
          <w:tcPr>
            <w:tcW w:w="160" w:type="dxa"/>
            <w:vAlign w:val="bottom"/>
          </w:tcPr>
          <w:p>
            <w:pPr>
              <w:spacing w:after="0"/>
              <w:rPr>
                <w:sz w:val="12"/>
                <w:szCs w:val="12"/>
                <w:color w:val="auto"/>
              </w:rPr>
            </w:pPr>
          </w:p>
        </w:tc>
        <w:tc>
          <w:tcPr>
            <w:tcW w:w="8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88,247</w:t>
            </w:r>
          </w:p>
        </w:tc>
        <w:tc>
          <w:tcPr>
            <w:tcW w:w="160" w:type="dxa"/>
            <w:vAlign w:val="bottom"/>
          </w:tcPr>
          <w:p>
            <w:pPr>
              <w:spacing w:after="0"/>
              <w:rPr>
                <w:sz w:val="12"/>
                <w:szCs w:val="12"/>
                <w:color w:val="auto"/>
              </w:rPr>
            </w:pPr>
          </w:p>
        </w:tc>
        <w:tc>
          <w:tcPr>
            <w:tcW w:w="18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700" w:type="dxa"/>
            <w:vAlign w:val="bottom"/>
          </w:tcPr>
          <w:p>
            <w:pPr>
              <w:jc w:val="right"/>
              <w:spacing w:after="0" w:line="149" w:lineRule="exact"/>
              <w:rPr>
                <w:sz w:val="20"/>
                <w:szCs w:val="20"/>
                <w:color w:val="auto"/>
              </w:rPr>
            </w:pPr>
            <w:r>
              <w:rPr>
                <w:rFonts w:ascii="Arial" w:cs="Arial" w:eastAsia="Arial" w:hAnsi="Arial"/>
                <w:sz w:val="14"/>
                <w:szCs w:val="14"/>
                <w:color w:val="auto"/>
              </w:rPr>
              <w:t>217,590</w:t>
            </w:r>
          </w:p>
        </w:tc>
        <w:tc>
          <w:tcPr>
            <w:tcW w:w="160" w:type="dxa"/>
            <w:vAlign w:val="bottom"/>
          </w:tcPr>
          <w:p>
            <w:pPr>
              <w:spacing w:after="0"/>
              <w:rPr>
                <w:sz w:val="12"/>
                <w:szCs w:val="12"/>
                <w:color w:val="auto"/>
              </w:rPr>
            </w:pPr>
          </w:p>
        </w:tc>
        <w:tc>
          <w:tcPr>
            <w:tcW w:w="18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37,534</w:t>
            </w:r>
          </w:p>
        </w:tc>
        <w:tc>
          <w:tcPr>
            <w:tcW w:w="160" w:type="dxa"/>
            <w:vAlign w:val="bottom"/>
          </w:tcPr>
          <w:p>
            <w:pPr>
              <w:spacing w:after="0"/>
              <w:rPr>
                <w:sz w:val="12"/>
                <w:szCs w:val="12"/>
                <w:color w:val="auto"/>
              </w:rPr>
            </w:pPr>
          </w:p>
        </w:tc>
        <w:tc>
          <w:tcPr>
            <w:tcW w:w="14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559,818</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24"/>
        </w:trPr>
        <w:tc>
          <w:tcPr>
            <w:tcW w:w="20" w:type="dxa"/>
            <w:vAlign w:val="bottom"/>
          </w:tcPr>
          <w:p>
            <w:pPr>
              <w:spacing w:after="0"/>
              <w:rPr>
                <w:sz w:val="24"/>
                <w:szCs w:val="24"/>
                <w:color w:val="auto"/>
              </w:rPr>
            </w:pPr>
          </w:p>
        </w:tc>
        <w:tc>
          <w:tcPr>
            <w:tcW w:w="4500" w:type="dxa"/>
            <w:vAlign w:val="bottom"/>
            <w:gridSpan w:val="2"/>
            <w:shd w:val="clear" w:color="auto" w:fill="CCEEFF"/>
          </w:tcPr>
          <w:p>
            <w:pPr>
              <w:spacing w:after="0"/>
              <w:rPr>
                <w:sz w:val="20"/>
                <w:szCs w:val="20"/>
                <w:color w:val="auto"/>
              </w:rPr>
            </w:pPr>
            <w:r>
              <w:rPr>
                <w:rFonts w:ascii="Arial" w:cs="Arial" w:eastAsia="Arial" w:hAnsi="Arial"/>
                <w:sz w:val="14"/>
                <w:szCs w:val="14"/>
                <w:b w:val="1"/>
                <w:bCs w:val="1"/>
                <w:color w:val="auto"/>
              </w:rPr>
              <w:t>Realized prices</w:t>
            </w:r>
          </w:p>
        </w:tc>
        <w:tc>
          <w:tcPr>
            <w:tcW w:w="140" w:type="dxa"/>
            <w:vAlign w:val="bottom"/>
            <w:shd w:val="clear" w:color="auto" w:fill="CCEEFF"/>
          </w:tcPr>
          <w:p>
            <w:pPr>
              <w:spacing w:after="0"/>
              <w:rPr>
                <w:sz w:val="24"/>
                <w:szCs w:val="24"/>
                <w:color w:val="auto"/>
              </w:rPr>
            </w:pPr>
          </w:p>
        </w:tc>
        <w:tc>
          <w:tcPr>
            <w:tcW w:w="5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62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70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6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5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tcPr>
          <w:p>
            <w:pPr>
              <w:spacing w:after="0" w:line="149" w:lineRule="exact"/>
              <w:rPr>
                <w:sz w:val="20"/>
                <w:szCs w:val="20"/>
                <w:color w:val="auto"/>
              </w:rPr>
            </w:pPr>
            <w:r>
              <w:rPr>
                <w:rFonts w:ascii="Arial" w:cs="Arial" w:eastAsia="Arial" w:hAnsi="Arial"/>
                <w:sz w:val="14"/>
                <w:szCs w:val="14"/>
                <w:color w:val="auto"/>
              </w:rPr>
              <w:t>Gold (per ounce)</w:t>
            </w:r>
          </w:p>
        </w:tc>
        <w:tc>
          <w:tcPr>
            <w:tcW w:w="140" w:type="dxa"/>
            <w:vAlign w:val="bottom"/>
          </w:tcPr>
          <w:p>
            <w:pPr>
              <w:jc w:val="right"/>
              <w:ind w:right="28"/>
              <w:spacing w:after="0"/>
              <w:rPr>
                <w:sz w:val="20"/>
                <w:szCs w:val="20"/>
                <w:color w:val="auto"/>
              </w:rPr>
            </w:pPr>
            <w:r>
              <w:rPr>
                <w:rFonts w:ascii="Arial" w:cs="Arial" w:eastAsia="Arial" w:hAnsi="Arial"/>
                <w:sz w:val="10"/>
                <w:szCs w:val="10"/>
                <w:color w:val="auto"/>
                <w:w w:val="71"/>
              </w:rPr>
              <w:t>$</w:t>
            </w: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969</w:t>
            </w:r>
          </w:p>
        </w:tc>
        <w:tc>
          <w:tcPr>
            <w:tcW w:w="160" w:type="dxa"/>
            <w:vAlign w:val="bottom"/>
          </w:tcPr>
          <w:p>
            <w:pPr>
              <w:spacing w:after="0"/>
              <w:rPr>
                <w:sz w:val="12"/>
                <w:szCs w:val="12"/>
                <w:color w:val="auto"/>
              </w:rPr>
            </w:pPr>
          </w:p>
        </w:tc>
        <w:tc>
          <w:tcPr>
            <w:tcW w:w="8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962</w:t>
            </w:r>
          </w:p>
        </w:tc>
        <w:tc>
          <w:tcPr>
            <w:tcW w:w="160" w:type="dxa"/>
            <w:vAlign w:val="bottom"/>
          </w:tcPr>
          <w:p>
            <w:pPr>
              <w:spacing w:after="0"/>
              <w:rPr>
                <w:sz w:val="12"/>
                <w:szCs w:val="12"/>
                <w:color w:val="auto"/>
              </w:rPr>
            </w:pPr>
          </w:p>
        </w:tc>
        <w:tc>
          <w:tcPr>
            <w:tcW w:w="18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700" w:type="dxa"/>
            <w:vAlign w:val="bottom"/>
          </w:tcPr>
          <w:p>
            <w:pPr>
              <w:jc w:val="right"/>
              <w:spacing w:after="0" w:line="149" w:lineRule="exact"/>
              <w:rPr>
                <w:sz w:val="20"/>
                <w:szCs w:val="20"/>
                <w:color w:val="auto"/>
              </w:rPr>
            </w:pPr>
            <w:r>
              <w:rPr>
                <w:rFonts w:ascii="Arial" w:cs="Arial" w:eastAsia="Arial" w:hAnsi="Arial"/>
                <w:sz w:val="14"/>
                <w:szCs w:val="14"/>
                <w:color w:val="auto"/>
              </w:rPr>
              <w:t>939</w:t>
            </w:r>
          </w:p>
        </w:tc>
        <w:tc>
          <w:tcPr>
            <w:tcW w:w="160" w:type="dxa"/>
            <w:vAlign w:val="bottom"/>
          </w:tcPr>
          <w:p>
            <w:pPr>
              <w:spacing w:after="0"/>
              <w:rPr>
                <w:sz w:val="12"/>
                <w:szCs w:val="12"/>
                <w:color w:val="auto"/>
              </w:rPr>
            </w:pPr>
          </w:p>
        </w:tc>
        <w:tc>
          <w:tcPr>
            <w:tcW w:w="18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1,153</w:t>
            </w:r>
          </w:p>
        </w:tc>
        <w:tc>
          <w:tcPr>
            <w:tcW w:w="160" w:type="dxa"/>
            <w:vAlign w:val="bottom"/>
          </w:tcPr>
          <w:p>
            <w:pPr>
              <w:spacing w:after="0"/>
              <w:rPr>
                <w:sz w:val="12"/>
                <w:szCs w:val="12"/>
                <w:color w:val="auto"/>
              </w:rPr>
            </w:pPr>
          </w:p>
        </w:tc>
        <w:tc>
          <w:tcPr>
            <w:tcW w:w="14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1,024</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Silver (per ounce)</w:t>
            </w:r>
          </w:p>
        </w:tc>
        <w:tc>
          <w:tcPr>
            <w:tcW w:w="140" w:type="dxa"/>
            <w:vAlign w:val="bottom"/>
            <w:shd w:val="clear" w:color="auto" w:fill="CCEEFF"/>
          </w:tcPr>
          <w:p>
            <w:pPr>
              <w:jc w:val="right"/>
              <w:ind w:right="28"/>
              <w:spacing w:after="0"/>
              <w:rPr>
                <w:sz w:val="20"/>
                <w:szCs w:val="20"/>
                <w:color w:val="auto"/>
              </w:rPr>
            </w:pPr>
            <w:r>
              <w:rPr>
                <w:rFonts w:ascii="Arial" w:cs="Arial" w:eastAsia="Arial" w:hAnsi="Arial"/>
                <w:sz w:val="10"/>
                <w:szCs w:val="10"/>
                <w:color w:val="auto"/>
                <w:w w:val="71"/>
              </w:rPr>
              <w:t>$</w:t>
            </w: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13.53</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14.32</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15.59</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19.17</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15.54</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tcPr>
          <w:p>
            <w:pPr>
              <w:spacing w:after="0" w:line="149" w:lineRule="exact"/>
              <w:rPr>
                <w:sz w:val="20"/>
                <w:szCs w:val="20"/>
                <w:color w:val="auto"/>
              </w:rPr>
            </w:pPr>
            <w:r>
              <w:rPr>
                <w:rFonts w:ascii="Arial" w:cs="Arial" w:eastAsia="Arial" w:hAnsi="Arial"/>
                <w:sz w:val="14"/>
                <w:szCs w:val="14"/>
                <w:color w:val="auto"/>
              </w:rPr>
              <w:t>Zinc (per tonne)</w:t>
            </w:r>
          </w:p>
        </w:tc>
        <w:tc>
          <w:tcPr>
            <w:tcW w:w="140" w:type="dxa"/>
            <w:vAlign w:val="bottom"/>
          </w:tcPr>
          <w:p>
            <w:pPr>
              <w:jc w:val="right"/>
              <w:ind w:right="28"/>
              <w:spacing w:after="0"/>
              <w:rPr>
                <w:sz w:val="20"/>
                <w:szCs w:val="20"/>
                <w:color w:val="auto"/>
              </w:rPr>
            </w:pPr>
            <w:r>
              <w:rPr>
                <w:rFonts w:ascii="Arial" w:cs="Arial" w:eastAsia="Arial" w:hAnsi="Arial"/>
                <w:sz w:val="10"/>
                <w:szCs w:val="10"/>
                <w:color w:val="auto"/>
                <w:w w:val="71"/>
              </w:rPr>
              <w:t>$</w:t>
            </w: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1,213</w:t>
            </w:r>
          </w:p>
        </w:tc>
        <w:tc>
          <w:tcPr>
            <w:tcW w:w="160" w:type="dxa"/>
            <w:vAlign w:val="bottom"/>
          </w:tcPr>
          <w:p>
            <w:pPr>
              <w:spacing w:after="0"/>
              <w:rPr>
                <w:sz w:val="12"/>
                <w:szCs w:val="12"/>
                <w:color w:val="auto"/>
              </w:rPr>
            </w:pPr>
          </w:p>
        </w:tc>
        <w:tc>
          <w:tcPr>
            <w:tcW w:w="8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1,698</w:t>
            </w:r>
          </w:p>
        </w:tc>
        <w:tc>
          <w:tcPr>
            <w:tcW w:w="160" w:type="dxa"/>
            <w:vAlign w:val="bottom"/>
          </w:tcPr>
          <w:p>
            <w:pPr>
              <w:spacing w:after="0"/>
              <w:rPr>
                <w:sz w:val="12"/>
                <w:szCs w:val="12"/>
                <w:color w:val="auto"/>
              </w:rPr>
            </w:pPr>
          </w:p>
        </w:tc>
        <w:tc>
          <w:tcPr>
            <w:tcW w:w="18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700" w:type="dxa"/>
            <w:vAlign w:val="bottom"/>
          </w:tcPr>
          <w:p>
            <w:pPr>
              <w:jc w:val="right"/>
              <w:spacing w:after="0" w:line="149" w:lineRule="exact"/>
              <w:rPr>
                <w:sz w:val="20"/>
                <w:szCs w:val="20"/>
                <w:color w:val="auto"/>
              </w:rPr>
            </w:pPr>
            <w:r>
              <w:rPr>
                <w:rFonts w:ascii="Arial" w:cs="Arial" w:eastAsia="Arial" w:hAnsi="Arial"/>
                <w:sz w:val="14"/>
                <w:szCs w:val="14"/>
                <w:color w:val="auto"/>
              </w:rPr>
              <w:t>1,932</w:t>
            </w:r>
          </w:p>
        </w:tc>
        <w:tc>
          <w:tcPr>
            <w:tcW w:w="160" w:type="dxa"/>
            <w:vAlign w:val="bottom"/>
          </w:tcPr>
          <w:p>
            <w:pPr>
              <w:spacing w:after="0"/>
              <w:rPr>
                <w:sz w:val="12"/>
                <w:szCs w:val="12"/>
                <w:color w:val="auto"/>
              </w:rPr>
            </w:pPr>
          </w:p>
        </w:tc>
        <w:tc>
          <w:tcPr>
            <w:tcW w:w="18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2,506</w:t>
            </w:r>
          </w:p>
        </w:tc>
        <w:tc>
          <w:tcPr>
            <w:tcW w:w="160" w:type="dxa"/>
            <w:vAlign w:val="bottom"/>
          </w:tcPr>
          <w:p>
            <w:pPr>
              <w:spacing w:after="0"/>
              <w:rPr>
                <w:sz w:val="12"/>
                <w:szCs w:val="12"/>
                <w:color w:val="auto"/>
              </w:rPr>
            </w:pPr>
          </w:p>
        </w:tc>
        <w:tc>
          <w:tcPr>
            <w:tcW w:w="14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1,808</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Copper (per tonne)</w:t>
            </w:r>
          </w:p>
        </w:tc>
        <w:tc>
          <w:tcPr>
            <w:tcW w:w="140" w:type="dxa"/>
            <w:vAlign w:val="bottom"/>
            <w:shd w:val="clear" w:color="auto" w:fill="CCEEFF"/>
          </w:tcPr>
          <w:p>
            <w:pPr>
              <w:jc w:val="right"/>
              <w:ind w:right="28"/>
              <w:spacing w:after="0"/>
              <w:rPr>
                <w:sz w:val="20"/>
                <w:szCs w:val="20"/>
                <w:color w:val="auto"/>
              </w:rPr>
            </w:pPr>
            <w:r>
              <w:rPr>
                <w:rFonts w:ascii="Arial" w:cs="Arial" w:eastAsia="Arial" w:hAnsi="Arial"/>
                <w:sz w:val="10"/>
                <w:szCs w:val="10"/>
                <w:color w:val="auto"/>
                <w:w w:val="71"/>
              </w:rPr>
              <w:t>$</w:t>
            </w: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4,110</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5,832</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7,580</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7,469</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6,140</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351"/>
        </w:trPr>
        <w:tc>
          <w:tcPr>
            <w:tcW w:w="4520" w:type="dxa"/>
            <w:vAlign w:val="bottom"/>
            <w:gridSpan w:val="3"/>
          </w:tcPr>
          <w:p>
            <w:pPr>
              <w:spacing w:after="0"/>
              <w:rPr>
                <w:sz w:val="20"/>
                <w:szCs w:val="20"/>
                <w:color w:val="auto"/>
              </w:rPr>
            </w:pPr>
            <w:r>
              <w:rPr>
                <w:rFonts w:ascii="Arial" w:cs="Arial" w:eastAsia="Arial" w:hAnsi="Arial"/>
                <w:sz w:val="14"/>
                <w:szCs w:val="14"/>
                <w:b w:val="1"/>
                <w:bCs w:val="1"/>
                <w:color w:val="auto"/>
              </w:rPr>
              <w:t>Payable production:</w:t>
            </w:r>
            <w:r>
              <w:rPr>
                <w:rFonts w:ascii="Arial" w:cs="Arial" w:eastAsia="Arial" w:hAnsi="Arial"/>
                <w:sz w:val="22"/>
                <w:szCs w:val="22"/>
                <w:color w:val="auto"/>
                <w:vertAlign w:val="superscript"/>
              </w:rPr>
              <w:t>(1)</w:t>
            </w:r>
          </w:p>
        </w:tc>
        <w:tc>
          <w:tcPr>
            <w:tcW w:w="1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Gold (ounces)</w:t>
            </w: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tcPr>
          <w:p>
            <w:pPr>
              <w:ind w:left="100"/>
              <w:spacing w:after="0" w:line="149" w:lineRule="exact"/>
              <w:rPr>
                <w:sz w:val="20"/>
                <w:szCs w:val="20"/>
                <w:color w:val="auto"/>
              </w:rPr>
            </w:pPr>
            <w:r>
              <w:rPr>
                <w:rFonts w:ascii="Arial" w:cs="Arial" w:eastAsia="Arial" w:hAnsi="Arial"/>
                <w:sz w:val="14"/>
                <w:szCs w:val="14"/>
                <w:color w:val="auto"/>
              </w:rPr>
              <w:t>LaRonde Mine</w:t>
            </w:r>
          </w:p>
        </w:tc>
        <w:tc>
          <w:tcPr>
            <w:tcW w:w="14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51,339</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58,034</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00" w:type="dxa"/>
            <w:vAlign w:val="bottom"/>
          </w:tcPr>
          <w:p>
            <w:pPr>
              <w:jc w:val="right"/>
              <w:spacing w:after="0" w:line="149" w:lineRule="exact"/>
              <w:rPr>
                <w:sz w:val="20"/>
                <w:szCs w:val="20"/>
                <w:color w:val="auto"/>
              </w:rPr>
            </w:pPr>
            <w:r>
              <w:rPr>
                <w:rFonts w:ascii="Arial" w:cs="Arial" w:eastAsia="Arial" w:hAnsi="Arial"/>
                <w:sz w:val="14"/>
                <w:szCs w:val="14"/>
                <w:color w:val="auto"/>
              </w:rPr>
              <w:t>47,726</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46,395</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203,494</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shd w:val="clear" w:color="auto" w:fill="CCEEFF"/>
          </w:tcPr>
          <w:p>
            <w:pPr>
              <w:ind w:left="100"/>
              <w:spacing w:after="0" w:line="149" w:lineRule="exact"/>
              <w:rPr>
                <w:sz w:val="20"/>
                <w:szCs w:val="20"/>
                <w:color w:val="auto"/>
              </w:rPr>
            </w:pPr>
            <w:r>
              <w:rPr>
                <w:rFonts w:ascii="Arial" w:cs="Arial" w:eastAsia="Arial" w:hAnsi="Arial"/>
                <w:sz w:val="14"/>
                <w:szCs w:val="14"/>
                <w:color w:val="auto"/>
              </w:rPr>
              <w:t>Goldex Mine</w:t>
            </w: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35,959</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35,645</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31,169</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46,076</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148,849</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tcPr>
          <w:p>
            <w:pPr>
              <w:ind w:left="100"/>
              <w:spacing w:after="0" w:line="149" w:lineRule="exact"/>
              <w:rPr>
                <w:sz w:val="20"/>
                <w:szCs w:val="20"/>
                <w:color w:val="auto"/>
              </w:rPr>
            </w:pPr>
            <w:r>
              <w:rPr>
                <w:rFonts w:ascii="Arial" w:cs="Arial" w:eastAsia="Arial" w:hAnsi="Arial"/>
                <w:sz w:val="14"/>
                <w:szCs w:val="14"/>
                <w:color w:val="auto"/>
              </w:rPr>
              <w:t>Kittila Mine</w:t>
            </w:r>
          </w:p>
        </w:tc>
        <w:tc>
          <w:tcPr>
            <w:tcW w:w="14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4,514</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13,771</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00" w:type="dxa"/>
            <w:vAlign w:val="bottom"/>
          </w:tcPr>
          <w:p>
            <w:pPr>
              <w:jc w:val="right"/>
              <w:spacing w:after="0" w:line="149" w:lineRule="exact"/>
              <w:rPr>
                <w:sz w:val="20"/>
                <w:szCs w:val="20"/>
                <w:color w:val="auto"/>
              </w:rPr>
            </w:pPr>
            <w:r>
              <w:rPr>
                <w:rFonts w:ascii="Arial" w:cs="Arial" w:eastAsia="Arial" w:hAnsi="Arial"/>
                <w:sz w:val="14"/>
                <w:szCs w:val="14"/>
                <w:color w:val="auto"/>
              </w:rPr>
              <w:t>18,284</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35,269</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71,838</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shd w:val="clear" w:color="auto" w:fill="CCEEFF"/>
          </w:tcPr>
          <w:p>
            <w:pPr>
              <w:ind w:left="100"/>
              <w:spacing w:after="0" w:line="149" w:lineRule="exact"/>
              <w:rPr>
                <w:sz w:val="20"/>
                <w:szCs w:val="20"/>
                <w:color w:val="auto"/>
              </w:rPr>
            </w:pPr>
            <w:r>
              <w:rPr>
                <w:rFonts w:ascii="Arial" w:cs="Arial" w:eastAsia="Arial" w:hAnsi="Arial"/>
                <w:sz w:val="14"/>
                <w:szCs w:val="14"/>
                <w:color w:val="auto"/>
              </w:rPr>
              <w:t>Lapa Mine</w:t>
            </w:r>
          </w:p>
        </w:tc>
        <w:tc>
          <w:tcPr>
            <w:tcW w:w="14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11,603</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18,409</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22,590</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52,602</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4500" w:type="dxa"/>
            <w:vAlign w:val="bottom"/>
            <w:gridSpan w:val="2"/>
          </w:tcPr>
          <w:p>
            <w:pPr>
              <w:ind w:left="100"/>
              <w:spacing w:after="0"/>
              <w:rPr>
                <w:sz w:val="20"/>
                <w:szCs w:val="20"/>
                <w:color w:val="auto"/>
              </w:rPr>
            </w:pPr>
            <w:r>
              <w:rPr>
                <w:rFonts w:ascii="Arial" w:cs="Arial" w:eastAsia="Arial" w:hAnsi="Arial"/>
                <w:sz w:val="14"/>
                <w:szCs w:val="14"/>
                <w:color w:val="auto"/>
              </w:rPr>
              <w:t>Pinos Altos Mine</w:t>
            </w:r>
          </w:p>
        </w:tc>
        <w:tc>
          <w:tcPr>
            <w:tcW w:w="140" w:type="dxa"/>
            <w:vAlign w:val="bottom"/>
          </w:tcPr>
          <w:p>
            <w:pPr>
              <w:spacing w:after="0"/>
              <w:rPr>
                <w:sz w:val="15"/>
                <w:szCs w:val="15"/>
                <w:color w:val="auto"/>
              </w:rPr>
            </w:pPr>
          </w:p>
        </w:tc>
        <w:tc>
          <w:tcPr>
            <w:tcW w:w="72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15"/>
                <w:szCs w:val="15"/>
                <w:color w:val="auto"/>
              </w:rPr>
            </w:pPr>
          </w:p>
        </w:tc>
        <w:tc>
          <w:tcPr>
            <w:tcW w:w="780" w:type="dxa"/>
            <w:vAlign w:val="bottom"/>
            <w:gridSpan w:val="2"/>
          </w:tcPr>
          <w:p>
            <w:pPr>
              <w:jc w:val="right"/>
              <w:ind w:right="160"/>
              <w:spacing w:after="0"/>
              <w:rPr>
                <w:sz w:val="20"/>
                <w:szCs w:val="20"/>
                <w:color w:val="auto"/>
              </w:rPr>
            </w:pPr>
            <w:r>
              <w:rPr>
                <w:rFonts w:ascii="Arial" w:cs="Arial" w:eastAsia="Arial" w:hAnsi="Arial"/>
                <w:sz w:val="14"/>
                <w:szCs w:val="14"/>
                <w:color w:val="auto"/>
              </w:rPr>
              <w:t>—</w:t>
            </w:r>
          </w:p>
        </w:tc>
        <w:tc>
          <w:tcPr>
            <w:tcW w:w="180" w:type="dxa"/>
            <w:vAlign w:val="bottom"/>
          </w:tcPr>
          <w:p>
            <w:pPr>
              <w:spacing w:after="0"/>
              <w:rPr>
                <w:sz w:val="15"/>
                <w:szCs w:val="15"/>
                <w:color w:val="auto"/>
              </w:rPr>
            </w:pPr>
          </w:p>
        </w:tc>
        <w:tc>
          <w:tcPr>
            <w:tcW w:w="700" w:type="dxa"/>
            <w:vAlign w:val="bottom"/>
          </w:tcPr>
          <w:p>
            <w:pPr>
              <w:jc w:val="right"/>
              <w:spacing w:after="0"/>
              <w:rPr>
                <w:sz w:val="20"/>
                <w:szCs w:val="20"/>
                <w:color w:val="auto"/>
              </w:rPr>
            </w:pPr>
            <w:r>
              <w:rPr>
                <w:rFonts w:ascii="Arial" w:cs="Arial" w:eastAsia="Arial" w:hAnsi="Arial"/>
                <w:sz w:val="14"/>
                <w:szCs w:val="14"/>
                <w:color w:val="auto"/>
              </w:rPr>
              <w:t>3,175</w:t>
            </w:r>
          </w:p>
        </w:tc>
        <w:tc>
          <w:tcPr>
            <w:tcW w:w="1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660" w:type="dxa"/>
            <w:vAlign w:val="bottom"/>
          </w:tcPr>
          <w:p>
            <w:pPr>
              <w:jc w:val="right"/>
              <w:spacing w:after="0"/>
              <w:rPr>
                <w:sz w:val="20"/>
                <w:szCs w:val="20"/>
                <w:color w:val="auto"/>
              </w:rPr>
            </w:pPr>
            <w:r>
              <w:rPr>
                <w:rFonts w:ascii="Arial" w:cs="Arial" w:eastAsia="Arial" w:hAnsi="Arial"/>
                <w:sz w:val="14"/>
                <w:szCs w:val="14"/>
                <w:color w:val="auto"/>
              </w:rPr>
              <w:t>13,014</w:t>
            </w:r>
          </w:p>
        </w:tc>
        <w:tc>
          <w:tcPr>
            <w:tcW w:w="1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560" w:type="dxa"/>
            <w:vAlign w:val="bottom"/>
          </w:tcPr>
          <w:p>
            <w:pPr>
              <w:jc w:val="right"/>
              <w:spacing w:after="0"/>
              <w:rPr>
                <w:sz w:val="20"/>
                <w:szCs w:val="20"/>
                <w:color w:val="auto"/>
              </w:rPr>
            </w:pPr>
            <w:r>
              <w:rPr>
                <w:rFonts w:ascii="Arial" w:cs="Arial" w:eastAsia="Arial" w:hAnsi="Arial"/>
                <w:sz w:val="14"/>
                <w:szCs w:val="14"/>
                <w:color w:val="auto"/>
              </w:rPr>
              <w:t>16,189</w:t>
            </w: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11"/>
        </w:trPr>
        <w:tc>
          <w:tcPr>
            <w:tcW w:w="20" w:type="dxa"/>
            <w:vAlign w:val="bottom"/>
          </w:tcPr>
          <w:p>
            <w:pPr>
              <w:spacing w:after="0"/>
              <w:rPr>
                <w:sz w:val="18"/>
                <w:szCs w:val="18"/>
                <w:color w:val="auto"/>
              </w:rPr>
            </w:pPr>
          </w:p>
        </w:tc>
        <w:tc>
          <w:tcPr>
            <w:tcW w:w="1260" w:type="dxa"/>
            <w:vAlign w:val="bottom"/>
            <w:shd w:val="clear" w:color="auto" w:fill="CCEEFF"/>
          </w:tcPr>
          <w:p>
            <w:pPr>
              <w:spacing w:after="0"/>
              <w:rPr>
                <w:sz w:val="18"/>
                <w:szCs w:val="18"/>
                <w:color w:val="auto"/>
              </w:rPr>
            </w:pPr>
          </w:p>
        </w:tc>
        <w:tc>
          <w:tcPr>
            <w:tcW w:w="3240" w:type="dxa"/>
            <w:vAlign w:val="bottom"/>
            <w:shd w:val="clear" w:color="auto" w:fill="CCEEFF"/>
          </w:tcPr>
          <w:p>
            <w:pPr>
              <w:spacing w:after="0"/>
              <w:rPr>
                <w:sz w:val="18"/>
                <w:szCs w:val="18"/>
                <w:color w:val="auto"/>
              </w:rPr>
            </w:pPr>
          </w:p>
        </w:tc>
        <w:tc>
          <w:tcPr>
            <w:tcW w:w="140" w:type="dxa"/>
            <w:vAlign w:val="bottom"/>
            <w:tcBorders>
              <w:top w:val="single" w:sz="8" w:color="auto"/>
            </w:tcBorders>
            <w:shd w:val="clear" w:color="auto" w:fill="CCEEFF"/>
          </w:tcPr>
          <w:p>
            <w:pPr>
              <w:spacing w:after="0"/>
              <w:rPr>
                <w:sz w:val="18"/>
                <w:szCs w:val="18"/>
                <w:color w:val="auto"/>
              </w:rPr>
            </w:pPr>
          </w:p>
        </w:tc>
        <w:tc>
          <w:tcPr>
            <w:tcW w:w="5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91,812</w:t>
            </w:r>
          </w:p>
        </w:tc>
        <w:tc>
          <w:tcPr>
            <w:tcW w:w="160" w:type="dxa"/>
            <w:vAlign w:val="bottom"/>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6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119,053</w:t>
            </w:r>
          </w:p>
        </w:tc>
        <w:tc>
          <w:tcPr>
            <w:tcW w:w="160" w:type="dxa"/>
            <w:vAlign w:val="bottom"/>
            <w:shd w:val="clear" w:color="auto" w:fill="CCEEFF"/>
          </w:tcPr>
          <w:p>
            <w:pPr>
              <w:spacing w:after="0"/>
              <w:rPr>
                <w:sz w:val="18"/>
                <w:szCs w:val="18"/>
                <w:color w:val="auto"/>
              </w:rPr>
            </w:pPr>
          </w:p>
        </w:tc>
        <w:tc>
          <w:tcPr>
            <w:tcW w:w="180" w:type="dxa"/>
            <w:vAlign w:val="bottom"/>
            <w:tcBorders>
              <w:top w:val="single" w:sz="8" w:color="auto"/>
            </w:tcBorders>
            <w:shd w:val="clear" w:color="auto" w:fill="CCEEFF"/>
          </w:tcPr>
          <w:p>
            <w:pPr>
              <w:spacing w:after="0"/>
              <w:rPr>
                <w:sz w:val="18"/>
                <w:szCs w:val="18"/>
                <w:color w:val="auto"/>
              </w:rPr>
            </w:pPr>
          </w:p>
        </w:tc>
        <w:tc>
          <w:tcPr>
            <w:tcW w:w="7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118,763</w:t>
            </w:r>
          </w:p>
        </w:tc>
        <w:tc>
          <w:tcPr>
            <w:tcW w:w="160" w:type="dxa"/>
            <w:vAlign w:val="bottom"/>
            <w:shd w:val="clear" w:color="auto" w:fill="CCEEFF"/>
          </w:tcPr>
          <w:p>
            <w:pPr>
              <w:spacing w:after="0"/>
              <w:rPr>
                <w:sz w:val="18"/>
                <w:szCs w:val="18"/>
                <w:color w:val="auto"/>
              </w:rPr>
            </w:pPr>
          </w:p>
        </w:tc>
        <w:tc>
          <w:tcPr>
            <w:tcW w:w="180" w:type="dxa"/>
            <w:vAlign w:val="bottom"/>
            <w:tcBorders>
              <w:top w:val="single" w:sz="8" w:color="auto"/>
            </w:tcBorders>
            <w:shd w:val="clear" w:color="auto" w:fill="CCEEFF"/>
          </w:tcPr>
          <w:p>
            <w:pPr>
              <w:spacing w:after="0"/>
              <w:rPr>
                <w:sz w:val="18"/>
                <w:szCs w:val="18"/>
                <w:color w:val="auto"/>
              </w:rPr>
            </w:pPr>
          </w:p>
        </w:tc>
        <w:tc>
          <w:tcPr>
            <w:tcW w:w="6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163,344</w:t>
            </w:r>
          </w:p>
        </w:tc>
        <w:tc>
          <w:tcPr>
            <w:tcW w:w="160" w:type="dxa"/>
            <w:vAlign w:val="bottom"/>
            <w:shd w:val="clear" w:color="auto" w:fill="CCEEFF"/>
          </w:tcPr>
          <w:p>
            <w:pPr>
              <w:spacing w:after="0"/>
              <w:rPr>
                <w:sz w:val="18"/>
                <w:szCs w:val="18"/>
                <w:color w:val="auto"/>
              </w:rPr>
            </w:pPr>
          </w:p>
        </w:tc>
        <w:tc>
          <w:tcPr>
            <w:tcW w:w="140" w:type="dxa"/>
            <w:vAlign w:val="bottom"/>
            <w:tcBorders>
              <w:top w:val="single" w:sz="8" w:color="auto"/>
            </w:tcBorders>
            <w:shd w:val="clear" w:color="auto" w:fill="CCEEFF"/>
          </w:tcPr>
          <w:p>
            <w:pPr>
              <w:spacing w:after="0"/>
              <w:rPr>
                <w:sz w:val="18"/>
                <w:szCs w:val="18"/>
                <w:color w:val="auto"/>
              </w:rPr>
            </w:pPr>
          </w:p>
        </w:tc>
        <w:tc>
          <w:tcPr>
            <w:tcW w:w="5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492,972</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4520" w:type="dxa"/>
            <w:vAlign w:val="bottom"/>
            <w:gridSpan w:val="3"/>
            <w:vMerge w:val="restart"/>
          </w:tcPr>
          <w:p>
            <w:pPr>
              <w:spacing w:after="0"/>
              <w:rPr>
                <w:sz w:val="20"/>
                <w:szCs w:val="20"/>
                <w:color w:val="auto"/>
              </w:rPr>
            </w:pPr>
            <w:r>
              <w:rPr>
                <w:rFonts w:ascii="Arial" w:cs="Arial" w:eastAsia="Arial" w:hAnsi="Arial"/>
                <w:sz w:val="14"/>
                <w:szCs w:val="14"/>
                <w:color w:val="auto"/>
              </w:rPr>
              <w:t>Silver (ounces in thousands)</w:t>
            </w:r>
          </w:p>
        </w:tc>
        <w:tc>
          <w:tcPr>
            <w:tcW w:w="14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42"/>
        </w:trPr>
        <w:tc>
          <w:tcPr>
            <w:tcW w:w="4520" w:type="dxa"/>
            <w:vAlign w:val="bottom"/>
            <w:gridSpan w:val="3"/>
            <w:vMerge w:val="continue"/>
          </w:tcPr>
          <w:p>
            <w:pPr>
              <w:spacing w:after="0"/>
              <w:rPr>
                <w:sz w:val="12"/>
                <w:szCs w:val="12"/>
                <w:color w:val="auto"/>
              </w:rPr>
            </w:pPr>
          </w:p>
        </w:tc>
        <w:tc>
          <w:tcPr>
            <w:tcW w:w="14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shd w:val="clear" w:color="auto" w:fill="CCEEFF"/>
          </w:tcPr>
          <w:p>
            <w:pPr>
              <w:ind w:left="100"/>
              <w:spacing w:after="0" w:line="149" w:lineRule="exact"/>
              <w:rPr>
                <w:sz w:val="20"/>
                <w:szCs w:val="20"/>
                <w:color w:val="auto"/>
              </w:rPr>
            </w:pPr>
            <w:r>
              <w:rPr>
                <w:rFonts w:ascii="Arial" w:cs="Arial" w:eastAsia="Arial" w:hAnsi="Arial"/>
                <w:sz w:val="14"/>
                <w:szCs w:val="14"/>
                <w:color w:val="auto"/>
              </w:rPr>
              <w:t>LaRonde Mine</w:t>
            </w: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1,029</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1,034</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995</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861</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3,919</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4500" w:type="dxa"/>
            <w:vAlign w:val="bottom"/>
            <w:gridSpan w:val="2"/>
          </w:tcPr>
          <w:p>
            <w:pPr>
              <w:ind w:left="100"/>
              <w:spacing w:after="0"/>
              <w:rPr>
                <w:sz w:val="20"/>
                <w:szCs w:val="20"/>
                <w:color w:val="auto"/>
              </w:rPr>
            </w:pPr>
            <w:r>
              <w:rPr>
                <w:rFonts w:ascii="Arial" w:cs="Arial" w:eastAsia="Arial" w:hAnsi="Arial"/>
                <w:sz w:val="14"/>
                <w:szCs w:val="14"/>
                <w:color w:val="auto"/>
              </w:rPr>
              <w:t>Pinos Altos Mine</w:t>
            </w:r>
          </w:p>
        </w:tc>
        <w:tc>
          <w:tcPr>
            <w:tcW w:w="140" w:type="dxa"/>
            <w:vAlign w:val="bottom"/>
          </w:tcPr>
          <w:p>
            <w:pPr>
              <w:spacing w:after="0"/>
              <w:rPr>
                <w:sz w:val="15"/>
                <w:szCs w:val="15"/>
                <w:color w:val="auto"/>
              </w:rPr>
            </w:pPr>
          </w:p>
        </w:tc>
        <w:tc>
          <w:tcPr>
            <w:tcW w:w="72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15"/>
                <w:szCs w:val="15"/>
                <w:color w:val="auto"/>
              </w:rPr>
            </w:pPr>
          </w:p>
        </w:tc>
        <w:tc>
          <w:tcPr>
            <w:tcW w:w="780" w:type="dxa"/>
            <w:vAlign w:val="bottom"/>
            <w:gridSpan w:val="2"/>
          </w:tcPr>
          <w:p>
            <w:pPr>
              <w:jc w:val="right"/>
              <w:ind w:right="160"/>
              <w:spacing w:after="0"/>
              <w:rPr>
                <w:sz w:val="20"/>
                <w:szCs w:val="20"/>
                <w:color w:val="auto"/>
              </w:rPr>
            </w:pPr>
            <w:r>
              <w:rPr>
                <w:rFonts w:ascii="Arial" w:cs="Arial" w:eastAsia="Arial" w:hAnsi="Arial"/>
                <w:sz w:val="14"/>
                <w:szCs w:val="14"/>
                <w:color w:val="auto"/>
              </w:rPr>
              <w:t>—</w:t>
            </w:r>
          </w:p>
        </w:tc>
        <w:tc>
          <w:tcPr>
            <w:tcW w:w="180" w:type="dxa"/>
            <w:vAlign w:val="bottom"/>
          </w:tcPr>
          <w:p>
            <w:pPr>
              <w:spacing w:after="0"/>
              <w:rPr>
                <w:sz w:val="15"/>
                <w:szCs w:val="15"/>
                <w:color w:val="auto"/>
              </w:rPr>
            </w:pPr>
          </w:p>
        </w:tc>
        <w:tc>
          <w:tcPr>
            <w:tcW w:w="700" w:type="dxa"/>
            <w:vAlign w:val="bottom"/>
          </w:tcPr>
          <w:p>
            <w:pPr>
              <w:jc w:val="right"/>
              <w:spacing w:after="0"/>
              <w:rPr>
                <w:sz w:val="20"/>
                <w:szCs w:val="20"/>
                <w:color w:val="auto"/>
              </w:rPr>
            </w:pPr>
            <w:r>
              <w:rPr>
                <w:rFonts w:ascii="Arial" w:cs="Arial" w:eastAsia="Arial" w:hAnsi="Arial"/>
                <w:sz w:val="14"/>
                <w:szCs w:val="14"/>
                <w:color w:val="auto"/>
              </w:rPr>
              <w:t>16</w:t>
            </w:r>
          </w:p>
        </w:tc>
        <w:tc>
          <w:tcPr>
            <w:tcW w:w="1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660" w:type="dxa"/>
            <w:vAlign w:val="bottom"/>
          </w:tcPr>
          <w:p>
            <w:pPr>
              <w:jc w:val="right"/>
              <w:spacing w:after="0"/>
              <w:rPr>
                <w:sz w:val="20"/>
                <w:szCs w:val="20"/>
                <w:color w:val="auto"/>
              </w:rPr>
            </w:pPr>
            <w:r>
              <w:rPr>
                <w:rFonts w:ascii="Arial" w:cs="Arial" w:eastAsia="Arial" w:hAnsi="Arial"/>
                <w:sz w:val="14"/>
                <w:szCs w:val="14"/>
                <w:color w:val="auto"/>
              </w:rPr>
              <w:t>100</w:t>
            </w:r>
          </w:p>
        </w:tc>
        <w:tc>
          <w:tcPr>
            <w:tcW w:w="1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560" w:type="dxa"/>
            <w:vAlign w:val="bottom"/>
          </w:tcPr>
          <w:p>
            <w:pPr>
              <w:jc w:val="right"/>
              <w:spacing w:after="0"/>
              <w:rPr>
                <w:sz w:val="20"/>
                <w:szCs w:val="20"/>
                <w:color w:val="auto"/>
              </w:rPr>
            </w:pPr>
            <w:r>
              <w:rPr>
                <w:rFonts w:ascii="Arial" w:cs="Arial" w:eastAsia="Arial" w:hAnsi="Arial"/>
                <w:sz w:val="14"/>
                <w:szCs w:val="14"/>
                <w:color w:val="auto"/>
              </w:rPr>
              <w:t>116</w:t>
            </w: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11"/>
        </w:trPr>
        <w:tc>
          <w:tcPr>
            <w:tcW w:w="20" w:type="dxa"/>
            <w:vAlign w:val="bottom"/>
          </w:tcPr>
          <w:p>
            <w:pPr>
              <w:spacing w:after="0"/>
              <w:rPr>
                <w:sz w:val="18"/>
                <w:szCs w:val="18"/>
                <w:color w:val="auto"/>
              </w:rPr>
            </w:pPr>
          </w:p>
        </w:tc>
        <w:tc>
          <w:tcPr>
            <w:tcW w:w="1260" w:type="dxa"/>
            <w:vAlign w:val="bottom"/>
            <w:shd w:val="clear" w:color="auto" w:fill="CCEEFF"/>
          </w:tcPr>
          <w:p>
            <w:pPr>
              <w:spacing w:after="0"/>
              <w:rPr>
                <w:sz w:val="18"/>
                <w:szCs w:val="18"/>
                <w:color w:val="auto"/>
              </w:rPr>
            </w:pPr>
          </w:p>
        </w:tc>
        <w:tc>
          <w:tcPr>
            <w:tcW w:w="3240" w:type="dxa"/>
            <w:vAlign w:val="bottom"/>
            <w:shd w:val="clear" w:color="auto" w:fill="CCEEFF"/>
          </w:tcPr>
          <w:p>
            <w:pPr>
              <w:spacing w:after="0"/>
              <w:rPr>
                <w:sz w:val="18"/>
                <w:szCs w:val="18"/>
                <w:color w:val="auto"/>
              </w:rPr>
            </w:pPr>
          </w:p>
        </w:tc>
        <w:tc>
          <w:tcPr>
            <w:tcW w:w="140" w:type="dxa"/>
            <w:vAlign w:val="bottom"/>
            <w:tcBorders>
              <w:top w:val="single" w:sz="8" w:color="auto"/>
            </w:tcBorders>
            <w:shd w:val="clear" w:color="auto" w:fill="CCEEFF"/>
          </w:tcPr>
          <w:p>
            <w:pPr>
              <w:spacing w:after="0"/>
              <w:rPr>
                <w:sz w:val="18"/>
                <w:szCs w:val="18"/>
                <w:color w:val="auto"/>
              </w:rPr>
            </w:pPr>
          </w:p>
        </w:tc>
        <w:tc>
          <w:tcPr>
            <w:tcW w:w="5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1,029</w:t>
            </w:r>
          </w:p>
        </w:tc>
        <w:tc>
          <w:tcPr>
            <w:tcW w:w="160" w:type="dxa"/>
            <w:vAlign w:val="bottom"/>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6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1,034</w:t>
            </w:r>
          </w:p>
        </w:tc>
        <w:tc>
          <w:tcPr>
            <w:tcW w:w="160" w:type="dxa"/>
            <w:vAlign w:val="bottom"/>
            <w:shd w:val="clear" w:color="auto" w:fill="CCEEFF"/>
          </w:tcPr>
          <w:p>
            <w:pPr>
              <w:spacing w:after="0"/>
              <w:rPr>
                <w:sz w:val="18"/>
                <w:szCs w:val="18"/>
                <w:color w:val="auto"/>
              </w:rPr>
            </w:pPr>
          </w:p>
        </w:tc>
        <w:tc>
          <w:tcPr>
            <w:tcW w:w="180" w:type="dxa"/>
            <w:vAlign w:val="bottom"/>
            <w:tcBorders>
              <w:top w:val="single" w:sz="8" w:color="auto"/>
            </w:tcBorders>
            <w:shd w:val="clear" w:color="auto" w:fill="CCEEFF"/>
          </w:tcPr>
          <w:p>
            <w:pPr>
              <w:spacing w:after="0"/>
              <w:rPr>
                <w:sz w:val="18"/>
                <w:szCs w:val="18"/>
                <w:color w:val="auto"/>
              </w:rPr>
            </w:pPr>
          </w:p>
        </w:tc>
        <w:tc>
          <w:tcPr>
            <w:tcW w:w="7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1,011</w:t>
            </w:r>
          </w:p>
        </w:tc>
        <w:tc>
          <w:tcPr>
            <w:tcW w:w="160" w:type="dxa"/>
            <w:vAlign w:val="bottom"/>
            <w:shd w:val="clear" w:color="auto" w:fill="CCEEFF"/>
          </w:tcPr>
          <w:p>
            <w:pPr>
              <w:spacing w:after="0"/>
              <w:rPr>
                <w:sz w:val="18"/>
                <w:szCs w:val="18"/>
                <w:color w:val="auto"/>
              </w:rPr>
            </w:pPr>
          </w:p>
        </w:tc>
        <w:tc>
          <w:tcPr>
            <w:tcW w:w="180" w:type="dxa"/>
            <w:vAlign w:val="bottom"/>
            <w:tcBorders>
              <w:top w:val="single" w:sz="8" w:color="auto"/>
            </w:tcBorders>
            <w:shd w:val="clear" w:color="auto" w:fill="CCEEFF"/>
          </w:tcPr>
          <w:p>
            <w:pPr>
              <w:spacing w:after="0"/>
              <w:rPr>
                <w:sz w:val="18"/>
                <w:szCs w:val="18"/>
                <w:color w:val="auto"/>
              </w:rPr>
            </w:pPr>
          </w:p>
        </w:tc>
        <w:tc>
          <w:tcPr>
            <w:tcW w:w="6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961</w:t>
            </w:r>
          </w:p>
        </w:tc>
        <w:tc>
          <w:tcPr>
            <w:tcW w:w="160" w:type="dxa"/>
            <w:vAlign w:val="bottom"/>
            <w:shd w:val="clear" w:color="auto" w:fill="CCEEFF"/>
          </w:tcPr>
          <w:p>
            <w:pPr>
              <w:spacing w:after="0"/>
              <w:rPr>
                <w:sz w:val="18"/>
                <w:szCs w:val="18"/>
                <w:color w:val="auto"/>
              </w:rPr>
            </w:pPr>
          </w:p>
        </w:tc>
        <w:tc>
          <w:tcPr>
            <w:tcW w:w="140" w:type="dxa"/>
            <w:vAlign w:val="bottom"/>
            <w:tcBorders>
              <w:top w:val="single" w:sz="8" w:color="auto"/>
            </w:tcBorders>
            <w:shd w:val="clear" w:color="auto" w:fill="CCEEFF"/>
          </w:tcPr>
          <w:p>
            <w:pPr>
              <w:spacing w:after="0"/>
              <w:rPr>
                <w:sz w:val="18"/>
                <w:szCs w:val="18"/>
                <w:color w:val="auto"/>
              </w:rPr>
            </w:pPr>
          </w:p>
        </w:tc>
        <w:tc>
          <w:tcPr>
            <w:tcW w:w="5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4,035</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tcPr>
          <w:p>
            <w:pPr>
              <w:spacing w:after="0" w:line="149" w:lineRule="exact"/>
              <w:rPr>
                <w:sz w:val="20"/>
                <w:szCs w:val="20"/>
                <w:color w:val="auto"/>
              </w:rPr>
            </w:pPr>
            <w:r>
              <w:rPr>
                <w:rFonts w:ascii="Arial" w:cs="Arial" w:eastAsia="Arial" w:hAnsi="Arial"/>
                <w:sz w:val="14"/>
                <w:szCs w:val="14"/>
                <w:color w:val="auto"/>
              </w:rPr>
              <w:t>Zinc (LaRonde Mine) (tonnes)</w:t>
            </w:r>
          </w:p>
        </w:tc>
        <w:tc>
          <w:tcPr>
            <w:tcW w:w="14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13,291</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14,928</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00" w:type="dxa"/>
            <w:vAlign w:val="bottom"/>
          </w:tcPr>
          <w:p>
            <w:pPr>
              <w:jc w:val="right"/>
              <w:spacing w:after="0" w:line="149" w:lineRule="exact"/>
              <w:rPr>
                <w:sz w:val="20"/>
                <w:szCs w:val="20"/>
                <w:color w:val="auto"/>
              </w:rPr>
            </w:pPr>
            <w:r>
              <w:rPr>
                <w:rFonts w:ascii="Arial" w:cs="Arial" w:eastAsia="Arial" w:hAnsi="Arial"/>
                <w:sz w:val="14"/>
                <w:szCs w:val="14"/>
                <w:color w:val="auto"/>
              </w:rPr>
              <w:t>12,516</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15,451</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56,186</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Copper (LaRonde Mine) (tonnes)</w:t>
            </w: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1,682</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2,066</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1,400</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1,523</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6,671</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324"/>
        </w:trPr>
        <w:tc>
          <w:tcPr>
            <w:tcW w:w="4520" w:type="dxa"/>
            <w:vAlign w:val="bottom"/>
            <w:gridSpan w:val="3"/>
          </w:tcPr>
          <w:p>
            <w:pPr>
              <w:spacing w:after="0"/>
              <w:rPr>
                <w:sz w:val="20"/>
                <w:szCs w:val="20"/>
                <w:color w:val="auto"/>
              </w:rPr>
            </w:pPr>
            <w:r>
              <w:rPr>
                <w:rFonts w:ascii="Arial" w:cs="Arial" w:eastAsia="Arial" w:hAnsi="Arial"/>
                <w:sz w:val="14"/>
                <w:szCs w:val="14"/>
                <w:b w:val="1"/>
                <w:bCs w:val="1"/>
                <w:color w:val="auto"/>
              </w:rPr>
              <w:t>Payable metal sold:</w:t>
            </w:r>
          </w:p>
        </w:tc>
        <w:tc>
          <w:tcPr>
            <w:tcW w:w="1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Gold (ounces)</w:t>
            </w: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tcPr>
          <w:p>
            <w:pPr>
              <w:ind w:left="100"/>
              <w:spacing w:after="0" w:line="149" w:lineRule="exact"/>
              <w:rPr>
                <w:sz w:val="20"/>
                <w:szCs w:val="20"/>
                <w:color w:val="auto"/>
              </w:rPr>
            </w:pPr>
            <w:r>
              <w:rPr>
                <w:rFonts w:ascii="Arial" w:cs="Arial" w:eastAsia="Arial" w:hAnsi="Arial"/>
                <w:sz w:val="14"/>
                <w:szCs w:val="14"/>
                <w:color w:val="auto"/>
              </w:rPr>
              <w:t>LaRonde Mine</w:t>
            </w:r>
          </w:p>
        </w:tc>
        <w:tc>
          <w:tcPr>
            <w:tcW w:w="14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53,516</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59,608</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00" w:type="dxa"/>
            <w:vAlign w:val="bottom"/>
          </w:tcPr>
          <w:p>
            <w:pPr>
              <w:jc w:val="right"/>
              <w:spacing w:after="0" w:line="149" w:lineRule="exact"/>
              <w:rPr>
                <w:sz w:val="20"/>
                <w:szCs w:val="20"/>
                <w:color w:val="auto"/>
              </w:rPr>
            </w:pPr>
            <w:r>
              <w:rPr>
                <w:rFonts w:ascii="Arial" w:cs="Arial" w:eastAsia="Arial" w:hAnsi="Arial"/>
                <w:sz w:val="14"/>
                <w:szCs w:val="14"/>
                <w:color w:val="auto"/>
              </w:rPr>
              <w:t>48,959</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42,751</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204,834</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shd w:val="clear" w:color="auto" w:fill="CCEEFF"/>
          </w:tcPr>
          <w:p>
            <w:pPr>
              <w:ind w:left="100"/>
              <w:spacing w:after="0" w:line="149" w:lineRule="exact"/>
              <w:rPr>
                <w:sz w:val="20"/>
                <w:szCs w:val="20"/>
                <w:color w:val="auto"/>
              </w:rPr>
            </w:pPr>
            <w:r>
              <w:rPr>
                <w:rFonts w:ascii="Arial" w:cs="Arial" w:eastAsia="Arial" w:hAnsi="Arial"/>
                <w:sz w:val="14"/>
                <w:szCs w:val="14"/>
                <w:color w:val="auto"/>
              </w:rPr>
              <w:t>Goldex Mine</w:t>
            </w: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30,901</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33,501</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32,572</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48,241</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145,215</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tcPr>
          <w:p>
            <w:pPr>
              <w:ind w:left="100"/>
              <w:spacing w:after="0" w:line="149" w:lineRule="exact"/>
              <w:rPr>
                <w:sz w:val="20"/>
                <w:szCs w:val="20"/>
                <w:color w:val="auto"/>
              </w:rPr>
            </w:pPr>
            <w:r>
              <w:rPr>
                <w:rFonts w:ascii="Arial" w:cs="Arial" w:eastAsia="Arial" w:hAnsi="Arial"/>
                <w:sz w:val="14"/>
                <w:szCs w:val="14"/>
                <w:color w:val="auto"/>
              </w:rPr>
              <w:t>Kittila Mine</w:t>
            </w:r>
          </w:p>
        </w:tc>
        <w:tc>
          <w:tcPr>
            <w:tcW w:w="140" w:type="dxa"/>
            <w:vAlign w:val="bottom"/>
          </w:tcPr>
          <w:p>
            <w:pPr>
              <w:spacing w:after="0"/>
              <w:rPr>
                <w:sz w:val="12"/>
                <w:szCs w:val="12"/>
                <w:color w:val="auto"/>
              </w:rPr>
            </w:pPr>
          </w:p>
        </w:tc>
        <w:tc>
          <w:tcPr>
            <w:tcW w:w="72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6,780</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00" w:type="dxa"/>
            <w:vAlign w:val="bottom"/>
          </w:tcPr>
          <w:p>
            <w:pPr>
              <w:jc w:val="right"/>
              <w:spacing w:after="0" w:line="149" w:lineRule="exact"/>
              <w:rPr>
                <w:sz w:val="20"/>
                <w:szCs w:val="20"/>
                <w:color w:val="auto"/>
              </w:rPr>
            </w:pPr>
            <w:r>
              <w:rPr>
                <w:rFonts w:ascii="Arial" w:cs="Arial" w:eastAsia="Arial" w:hAnsi="Arial"/>
                <w:sz w:val="14"/>
                <w:szCs w:val="14"/>
                <w:color w:val="auto"/>
              </w:rPr>
              <w:t>21,946</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30,635</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59,361</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gridSpan w:val="2"/>
            <w:shd w:val="clear" w:color="auto" w:fill="CCEEFF"/>
          </w:tcPr>
          <w:p>
            <w:pPr>
              <w:ind w:left="100"/>
              <w:spacing w:after="0" w:line="149" w:lineRule="exact"/>
              <w:rPr>
                <w:sz w:val="20"/>
                <w:szCs w:val="20"/>
                <w:color w:val="auto"/>
              </w:rPr>
            </w:pPr>
            <w:r>
              <w:rPr>
                <w:rFonts w:ascii="Arial" w:cs="Arial" w:eastAsia="Arial" w:hAnsi="Arial"/>
                <w:sz w:val="14"/>
                <w:szCs w:val="14"/>
                <w:color w:val="auto"/>
              </w:rPr>
              <w:t>Lapa Mine</w:t>
            </w:r>
          </w:p>
        </w:tc>
        <w:tc>
          <w:tcPr>
            <w:tcW w:w="14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3,167</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14,669</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23,885</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41,721</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4500" w:type="dxa"/>
            <w:vAlign w:val="bottom"/>
            <w:gridSpan w:val="2"/>
          </w:tcPr>
          <w:p>
            <w:pPr>
              <w:ind w:left="100"/>
              <w:spacing w:after="0"/>
              <w:rPr>
                <w:sz w:val="20"/>
                <w:szCs w:val="20"/>
                <w:color w:val="auto"/>
              </w:rPr>
            </w:pPr>
            <w:r>
              <w:rPr>
                <w:rFonts w:ascii="Arial" w:cs="Arial" w:eastAsia="Arial" w:hAnsi="Arial"/>
                <w:sz w:val="14"/>
                <w:szCs w:val="14"/>
                <w:color w:val="auto"/>
              </w:rPr>
              <w:t>Pinos Altos Mine</w:t>
            </w:r>
          </w:p>
        </w:tc>
        <w:tc>
          <w:tcPr>
            <w:tcW w:w="140" w:type="dxa"/>
            <w:vAlign w:val="bottom"/>
          </w:tcPr>
          <w:p>
            <w:pPr>
              <w:spacing w:after="0"/>
              <w:rPr>
                <w:sz w:val="15"/>
                <w:szCs w:val="15"/>
                <w:color w:val="auto"/>
              </w:rPr>
            </w:pPr>
          </w:p>
        </w:tc>
        <w:tc>
          <w:tcPr>
            <w:tcW w:w="72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15"/>
                <w:szCs w:val="15"/>
                <w:color w:val="auto"/>
              </w:rPr>
            </w:pPr>
          </w:p>
        </w:tc>
        <w:tc>
          <w:tcPr>
            <w:tcW w:w="780" w:type="dxa"/>
            <w:vAlign w:val="bottom"/>
            <w:gridSpan w:val="2"/>
          </w:tcPr>
          <w:p>
            <w:pPr>
              <w:jc w:val="right"/>
              <w:ind w:right="160"/>
              <w:spacing w:after="0"/>
              <w:rPr>
                <w:sz w:val="20"/>
                <w:szCs w:val="20"/>
                <w:color w:val="auto"/>
              </w:rPr>
            </w:pPr>
            <w:r>
              <w:rPr>
                <w:rFonts w:ascii="Arial" w:cs="Arial" w:eastAsia="Arial" w:hAnsi="Arial"/>
                <w:sz w:val="14"/>
                <w:szCs w:val="14"/>
                <w:color w:val="auto"/>
              </w:rPr>
              <w:t>—</w:t>
            </w:r>
          </w:p>
        </w:tc>
        <w:tc>
          <w:tcPr>
            <w:tcW w:w="180" w:type="dxa"/>
            <w:vAlign w:val="bottom"/>
          </w:tcPr>
          <w:p>
            <w:pPr>
              <w:spacing w:after="0"/>
              <w:rPr>
                <w:sz w:val="15"/>
                <w:szCs w:val="15"/>
                <w:color w:val="auto"/>
              </w:rPr>
            </w:pPr>
          </w:p>
        </w:tc>
        <w:tc>
          <w:tcPr>
            <w:tcW w:w="700" w:type="dxa"/>
            <w:vAlign w:val="bottom"/>
          </w:tcPr>
          <w:p>
            <w:pPr>
              <w:jc w:val="right"/>
              <w:spacing w:after="0"/>
              <w:rPr>
                <w:sz w:val="20"/>
                <w:szCs w:val="20"/>
                <w:color w:val="auto"/>
              </w:rPr>
            </w:pPr>
            <w:r>
              <w:rPr>
                <w:rFonts w:ascii="Arial" w:cs="Arial" w:eastAsia="Arial" w:hAnsi="Arial"/>
                <w:sz w:val="14"/>
                <w:szCs w:val="14"/>
                <w:color w:val="auto"/>
              </w:rPr>
              <w:t>594</w:t>
            </w:r>
          </w:p>
        </w:tc>
        <w:tc>
          <w:tcPr>
            <w:tcW w:w="1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660" w:type="dxa"/>
            <w:vAlign w:val="bottom"/>
          </w:tcPr>
          <w:p>
            <w:pPr>
              <w:jc w:val="right"/>
              <w:spacing w:after="0"/>
              <w:rPr>
                <w:sz w:val="20"/>
                <w:szCs w:val="20"/>
                <w:color w:val="auto"/>
              </w:rPr>
            </w:pPr>
            <w:r>
              <w:rPr>
                <w:rFonts w:ascii="Arial" w:cs="Arial" w:eastAsia="Arial" w:hAnsi="Arial"/>
                <w:sz w:val="14"/>
                <w:szCs w:val="14"/>
                <w:color w:val="auto"/>
              </w:rPr>
              <w:t>11,935</w:t>
            </w:r>
          </w:p>
        </w:tc>
        <w:tc>
          <w:tcPr>
            <w:tcW w:w="1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560" w:type="dxa"/>
            <w:vAlign w:val="bottom"/>
          </w:tcPr>
          <w:p>
            <w:pPr>
              <w:jc w:val="right"/>
              <w:spacing w:after="0"/>
              <w:rPr>
                <w:sz w:val="20"/>
                <w:szCs w:val="20"/>
                <w:color w:val="auto"/>
              </w:rPr>
            </w:pPr>
            <w:r>
              <w:rPr>
                <w:rFonts w:ascii="Arial" w:cs="Arial" w:eastAsia="Arial" w:hAnsi="Arial"/>
                <w:sz w:val="14"/>
                <w:szCs w:val="14"/>
                <w:color w:val="auto"/>
              </w:rPr>
              <w:t>12,529</w:t>
            </w: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11"/>
        </w:trPr>
        <w:tc>
          <w:tcPr>
            <w:tcW w:w="20" w:type="dxa"/>
            <w:vAlign w:val="bottom"/>
          </w:tcPr>
          <w:p>
            <w:pPr>
              <w:spacing w:after="0"/>
              <w:rPr>
                <w:sz w:val="18"/>
                <w:szCs w:val="18"/>
                <w:color w:val="auto"/>
              </w:rPr>
            </w:pPr>
          </w:p>
        </w:tc>
        <w:tc>
          <w:tcPr>
            <w:tcW w:w="1260" w:type="dxa"/>
            <w:vAlign w:val="bottom"/>
            <w:shd w:val="clear" w:color="auto" w:fill="CCEEFF"/>
          </w:tcPr>
          <w:p>
            <w:pPr>
              <w:spacing w:after="0"/>
              <w:rPr>
                <w:sz w:val="18"/>
                <w:szCs w:val="18"/>
                <w:color w:val="auto"/>
              </w:rPr>
            </w:pPr>
          </w:p>
        </w:tc>
        <w:tc>
          <w:tcPr>
            <w:tcW w:w="3240" w:type="dxa"/>
            <w:vAlign w:val="bottom"/>
            <w:shd w:val="clear" w:color="auto" w:fill="CCEEFF"/>
          </w:tcPr>
          <w:p>
            <w:pPr>
              <w:spacing w:after="0"/>
              <w:rPr>
                <w:sz w:val="18"/>
                <w:szCs w:val="18"/>
                <w:color w:val="auto"/>
              </w:rPr>
            </w:pPr>
          </w:p>
        </w:tc>
        <w:tc>
          <w:tcPr>
            <w:tcW w:w="140" w:type="dxa"/>
            <w:vAlign w:val="bottom"/>
            <w:tcBorders>
              <w:top w:val="single" w:sz="8" w:color="auto"/>
            </w:tcBorders>
            <w:shd w:val="clear" w:color="auto" w:fill="CCEEFF"/>
          </w:tcPr>
          <w:p>
            <w:pPr>
              <w:spacing w:after="0"/>
              <w:rPr>
                <w:sz w:val="18"/>
                <w:szCs w:val="18"/>
                <w:color w:val="auto"/>
              </w:rPr>
            </w:pPr>
          </w:p>
        </w:tc>
        <w:tc>
          <w:tcPr>
            <w:tcW w:w="5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84,417</w:t>
            </w:r>
          </w:p>
        </w:tc>
        <w:tc>
          <w:tcPr>
            <w:tcW w:w="160" w:type="dxa"/>
            <w:vAlign w:val="bottom"/>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6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103,056</w:t>
            </w:r>
          </w:p>
        </w:tc>
        <w:tc>
          <w:tcPr>
            <w:tcW w:w="160" w:type="dxa"/>
            <w:vAlign w:val="bottom"/>
            <w:shd w:val="clear" w:color="auto" w:fill="CCEEFF"/>
          </w:tcPr>
          <w:p>
            <w:pPr>
              <w:spacing w:after="0"/>
              <w:rPr>
                <w:sz w:val="18"/>
                <w:szCs w:val="18"/>
                <w:color w:val="auto"/>
              </w:rPr>
            </w:pPr>
          </w:p>
        </w:tc>
        <w:tc>
          <w:tcPr>
            <w:tcW w:w="180" w:type="dxa"/>
            <w:vAlign w:val="bottom"/>
            <w:tcBorders>
              <w:top w:val="single" w:sz="8" w:color="auto"/>
            </w:tcBorders>
            <w:shd w:val="clear" w:color="auto" w:fill="CCEEFF"/>
          </w:tcPr>
          <w:p>
            <w:pPr>
              <w:spacing w:after="0"/>
              <w:rPr>
                <w:sz w:val="18"/>
                <w:szCs w:val="18"/>
                <w:color w:val="auto"/>
              </w:rPr>
            </w:pPr>
          </w:p>
        </w:tc>
        <w:tc>
          <w:tcPr>
            <w:tcW w:w="7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118,740</w:t>
            </w:r>
          </w:p>
        </w:tc>
        <w:tc>
          <w:tcPr>
            <w:tcW w:w="160" w:type="dxa"/>
            <w:vAlign w:val="bottom"/>
            <w:shd w:val="clear" w:color="auto" w:fill="CCEEFF"/>
          </w:tcPr>
          <w:p>
            <w:pPr>
              <w:spacing w:after="0"/>
              <w:rPr>
                <w:sz w:val="18"/>
                <w:szCs w:val="18"/>
                <w:color w:val="auto"/>
              </w:rPr>
            </w:pPr>
          </w:p>
        </w:tc>
        <w:tc>
          <w:tcPr>
            <w:tcW w:w="180" w:type="dxa"/>
            <w:vAlign w:val="bottom"/>
            <w:tcBorders>
              <w:top w:val="single" w:sz="8" w:color="auto"/>
            </w:tcBorders>
            <w:shd w:val="clear" w:color="auto" w:fill="CCEEFF"/>
          </w:tcPr>
          <w:p>
            <w:pPr>
              <w:spacing w:after="0"/>
              <w:rPr>
                <w:sz w:val="18"/>
                <w:szCs w:val="18"/>
                <w:color w:val="auto"/>
              </w:rPr>
            </w:pPr>
          </w:p>
        </w:tc>
        <w:tc>
          <w:tcPr>
            <w:tcW w:w="6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157,447</w:t>
            </w:r>
          </w:p>
        </w:tc>
        <w:tc>
          <w:tcPr>
            <w:tcW w:w="160" w:type="dxa"/>
            <w:vAlign w:val="bottom"/>
            <w:shd w:val="clear" w:color="auto" w:fill="CCEEFF"/>
          </w:tcPr>
          <w:p>
            <w:pPr>
              <w:spacing w:after="0"/>
              <w:rPr>
                <w:sz w:val="18"/>
                <w:szCs w:val="18"/>
                <w:color w:val="auto"/>
              </w:rPr>
            </w:pPr>
          </w:p>
        </w:tc>
        <w:tc>
          <w:tcPr>
            <w:tcW w:w="140" w:type="dxa"/>
            <w:vAlign w:val="bottom"/>
            <w:tcBorders>
              <w:top w:val="single" w:sz="8" w:color="auto"/>
            </w:tcBorders>
            <w:shd w:val="clear" w:color="auto" w:fill="CCEEFF"/>
          </w:tcPr>
          <w:p>
            <w:pPr>
              <w:spacing w:after="0"/>
              <w:rPr>
                <w:sz w:val="18"/>
                <w:szCs w:val="18"/>
                <w:color w:val="auto"/>
              </w:rPr>
            </w:pPr>
          </w:p>
        </w:tc>
        <w:tc>
          <w:tcPr>
            <w:tcW w:w="5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463,660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1260" w:type="dxa"/>
            <w:vAlign w:val="bottom"/>
          </w:tcPr>
          <w:p>
            <w:pPr>
              <w:spacing w:after="0"/>
              <w:rPr>
                <w:sz w:val="2"/>
                <w:szCs w:val="2"/>
                <w:color w:val="auto"/>
              </w:rPr>
            </w:pPr>
          </w:p>
        </w:tc>
        <w:tc>
          <w:tcPr>
            <w:tcW w:w="324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32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89"/>
        </w:trPr>
        <w:tc>
          <w:tcPr>
            <w:tcW w:w="20" w:type="dxa"/>
            <w:vAlign w:val="bottom"/>
          </w:tcPr>
          <w:p>
            <w:pPr>
              <w:spacing w:after="0"/>
              <w:rPr>
                <w:sz w:val="7"/>
                <w:szCs w:val="7"/>
                <w:color w:val="auto"/>
              </w:rPr>
            </w:pPr>
          </w:p>
        </w:tc>
        <w:tc>
          <w:tcPr>
            <w:tcW w:w="1260" w:type="dxa"/>
            <w:vAlign w:val="bottom"/>
            <w:tcBorders>
              <w:bottom w:val="single" w:sz="8" w:color="auto"/>
            </w:tcBorders>
          </w:tcPr>
          <w:p>
            <w:pPr>
              <w:spacing w:after="0"/>
              <w:rPr>
                <w:sz w:val="7"/>
                <w:szCs w:val="7"/>
                <w:color w:val="auto"/>
              </w:rPr>
            </w:pPr>
          </w:p>
        </w:tc>
        <w:tc>
          <w:tcPr>
            <w:tcW w:w="3240" w:type="dxa"/>
            <w:vAlign w:val="bottom"/>
          </w:tcPr>
          <w:p>
            <w:pPr>
              <w:spacing w:after="0"/>
              <w:rPr>
                <w:sz w:val="7"/>
                <w:szCs w:val="7"/>
                <w:color w:val="auto"/>
              </w:rPr>
            </w:pPr>
          </w:p>
        </w:tc>
        <w:tc>
          <w:tcPr>
            <w:tcW w:w="140" w:type="dxa"/>
            <w:vAlign w:val="bottom"/>
          </w:tcPr>
          <w:p>
            <w:pPr>
              <w:spacing w:after="0"/>
              <w:rPr>
                <w:sz w:val="7"/>
                <w:szCs w:val="7"/>
                <w:color w:val="auto"/>
              </w:rPr>
            </w:pPr>
          </w:p>
        </w:tc>
        <w:tc>
          <w:tcPr>
            <w:tcW w:w="560" w:type="dxa"/>
            <w:vAlign w:val="bottom"/>
          </w:tcPr>
          <w:p>
            <w:pPr>
              <w:spacing w:after="0"/>
              <w:rPr>
                <w:sz w:val="7"/>
                <w:szCs w:val="7"/>
                <w:color w:val="auto"/>
              </w:rPr>
            </w:pPr>
          </w:p>
        </w:tc>
        <w:tc>
          <w:tcPr>
            <w:tcW w:w="160" w:type="dxa"/>
            <w:vAlign w:val="bottom"/>
          </w:tcPr>
          <w:p>
            <w:pPr>
              <w:spacing w:after="0"/>
              <w:rPr>
                <w:sz w:val="7"/>
                <w:szCs w:val="7"/>
                <w:color w:val="auto"/>
              </w:rPr>
            </w:pPr>
          </w:p>
        </w:tc>
        <w:tc>
          <w:tcPr>
            <w:tcW w:w="80" w:type="dxa"/>
            <w:vAlign w:val="bottom"/>
          </w:tcPr>
          <w:p>
            <w:pPr>
              <w:spacing w:after="0"/>
              <w:rPr>
                <w:sz w:val="7"/>
                <w:szCs w:val="7"/>
                <w:color w:val="auto"/>
              </w:rPr>
            </w:pPr>
          </w:p>
        </w:tc>
        <w:tc>
          <w:tcPr>
            <w:tcW w:w="620" w:type="dxa"/>
            <w:vAlign w:val="bottom"/>
          </w:tcPr>
          <w:p>
            <w:pPr>
              <w:spacing w:after="0"/>
              <w:rPr>
                <w:sz w:val="7"/>
                <w:szCs w:val="7"/>
                <w:color w:val="auto"/>
              </w:rPr>
            </w:pPr>
          </w:p>
        </w:tc>
        <w:tc>
          <w:tcPr>
            <w:tcW w:w="160" w:type="dxa"/>
            <w:vAlign w:val="bottom"/>
          </w:tcPr>
          <w:p>
            <w:pPr>
              <w:spacing w:after="0"/>
              <w:rPr>
                <w:sz w:val="7"/>
                <w:szCs w:val="7"/>
                <w:color w:val="auto"/>
              </w:rPr>
            </w:pPr>
          </w:p>
        </w:tc>
        <w:tc>
          <w:tcPr>
            <w:tcW w:w="180" w:type="dxa"/>
            <w:vAlign w:val="bottom"/>
          </w:tcPr>
          <w:p>
            <w:pPr>
              <w:spacing w:after="0"/>
              <w:rPr>
                <w:sz w:val="7"/>
                <w:szCs w:val="7"/>
                <w:color w:val="auto"/>
              </w:rPr>
            </w:pPr>
          </w:p>
        </w:tc>
        <w:tc>
          <w:tcPr>
            <w:tcW w:w="700" w:type="dxa"/>
            <w:vAlign w:val="bottom"/>
          </w:tcPr>
          <w:p>
            <w:pPr>
              <w:spacing w:after="0"/>
              <w:rPr>
                <w:sz w:val="7"/>
                <w:szCs w:val="7"/>
                <w:color w:val="auto"/>
              </w:rPr>
            </w:pPr>
          </w:p>
        </w:tc>
        <w:tc>
          <w:tcPr>
            <w:tcW w:w="160" w:type="dxa"/>
            <w:vAlign w:val="bottom"/>
          </w:tcPr>
          <w:p>
            <w:pPr>
              <w:spacing w:after="0"/>
              <w:rPr>
                <w:sz w:val="7"/>
                <w:szCs w:val="7"/>
                <w:color w:val="auto"/>
              </w:rPr>
            </w:pPr>
          </w:p>
        </w:tc>
        <w:tc>
          <w:tcPr>
            <w:tcW w:w="180" w:type="dxa"/>
            <w:vAlign w:val="bottom"/>
          </w:tcPr>
          <w:p>
            <w:pPr>
              <w:spacing w:after="0"/>
              <w:rPr>
                <w:sz w:val="7"/>
                <w:szCs w:val="7"/>
                <w:color w:val="auto"/>
              </w:rPr>
            </w:pPr>
          </w:p>
        </w:tc>
        <w:tc>
          <w:tcPr>
            <w:tcW w:w="660" w:type="dxa"/>
            <w:vAlign w:val="bottom"/>
          </w:tcPr>
          <w:p>
            <w:pPr>
              <w:spacing w:after="0"/>
              <w:rPr>
                <w:sz w:val="7"/>
                <w:szCs w:val="7"/>
                <w:color w:val="auto"/>
              </w:rPr>
            </w:pPr>
          </w:p>
        </w:tc>
        <w:tc>
          <w:tcPr>
            <w:tcW w:w="160" w:type="dxa"/>
            <w:vAlign w:val="bottom"/>
          </w:tcPr>
          <w:p>
            <w:pPr>
              <w:spacing w:after="0"/>
              <w:rPr>
                <w:sz w:val="7"/>
                <w:szCs w:val="7"/>
                <w:color w:val="auto"/>
              </w:rPr>
            </w:pPr>
          </w:p>
        </w:tc>
        <w:tc>
          <w:tcPr>
            <w:tcW w:w="140" w:type="dxa"/>
            <w:vAlign w:val="bottom"/>
          </w:tcPr>
          <w:p>
            <w:pPr>
              <w:spacing w:after="0"/>
              <w:rPr>
                <w:sz w:val="7"/>
                <w:szCs w:val="7"/>
                <w:color w:val="auto"/>
              </w:rPr>
            </w:pPr>
          </w:p>
        </w:tc>
        <w:tc>
          <w:tcPr>
            <w:tcW w:w="560" w:type="dxa"/>
            <w:vAlign w:val="bottom"/>
          </w:tcPr>
          <w:p>
            <w:pPr>
              <w:spacing w:after="0"/>
              <w:rPr>
                <w:sz w:val="7"/>
                <w:szCs w:val="7"/>
                <w:color w:val="auto"/>
              </w:rPr>
            </w:pPr>
          </w:p>
        </w:tc>
        <w:tc>
          <w:tcPr>
            <w:tcW w:w="16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205" w:lineRule="exact"/>
        <w:rPr>
          <w:sz w:val="20"/>
          <w:szCs w:val="20"/>
          <w:color w:val="auto"/>
        </w:rPr>
      </w:pPr>
    </w:p>
    <w:p>
      <w:pPr>
        <w:spacing w:after="0"/>
        <w:rPr>
          <w:sz w:val="20"/>
          <w:szCs w:val="20"/>
          <w:color w:val="auto"/>
        </w:rPr>
      </w:pPr>
      <w:r>
        <w:rPr>
          <w:rFonts w:ascii="Arial" w:cs="Arial" w:eastAsia="Arial" w:hAnsi="Arial"/>
          <w:sz w:val="14"/>
          <w:szCs w:val="14"/>
          <w:color w:val="auto"/>
        </w:rPr>
        <w:t>Notes:</w:t>
      </w:r>
    </w:p>
    <w:p>
      <w:pPr>
        <w:spacing w:after="0" w:line="190" w:lineRule="exact"/>
        <w:rPr>
          <w:sz w:val="20"/>
          <w:szCs w:val="20"/>
          <w:color w:val="auto"/>
        </w:rPr>
      </w:pPr>
    </w:p>
    <w:p>
      <w:pPr>
        <w:ind w:left="540" w:hanging="531"/>
        <w:spacing w:after="0" w:line="239" w:lineRule="auto"/>
        <w:tabs>
          <w:tab w:leader="none" w:pos="540" w:val="left"/>
        </w:tabs>
        <w:numPr>
          <w:ilvl w:val="0"/>
          <w:numId w:val="42"/>
        </w:numPr>
        <w:rPr>
          <w:rFonts w:ascii="Arial" w:cs="Arial" w:eastAsia="Arial" w:hAnsi="Arial"/>
          <w:sz w:val="14"/>
          <w:szCs w:val="14"/>
          <w:color w:val="auto"/>
        </w:rPr>
      </w:pPr>
      <w:r>
        <w:rPr>
          <w:rFonts w:ascii="Arial" w:cs="Arial" w:eastAsia="Arial" w:hAnsi="Arial"/>
          <w:sz w:val="14"/>
          <w:szCs w:val="14"/>
          <w:color w:val="auto"/>
        </w:rPr>
        <w:t>Payable mineral production means the quantity of mineral produced during a period contained in products that are or will be sold by the Company, whether such products are sold during the period or held as inventory at the end of the period.</w:t>
      </w:r>
    </w:p>
    <w:p>
      <w:pPr>
        <w:spacing w:after="0" w:line="195" w:lineRule="exact"/>
        <w:rPr>
          <w:sz w:val="20"/>
          <w:szCs w:val="20"/>
          <w:color w:val="auto"/>
        </w:rPr>
      </w:pPr>
    </w:p>
    <w:p>
      <w:pPr>
        <w:ind w:left="4480"/>
        <w:spacing w:after="0"/>
        <w:rPr>
          <w:sz w:val="20"/>
          <w:szCs w:val="20"/>
          <w:color w:val="auto"/>
        </w:rPr>
      </w:pPr>
      <w:r>
        <w:rPr>
          <w:rFonts w:ascii="Arial" w:cs="Arial" w:eastAsia="Arial" w:hAnsi="Arial"/>
          <w:sz w:val="18"/>
          <w:szCs w:val="18"/>
          <w:color w:val="auto"/>
        </w:rPr>
        <w:t>95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-720090</wp:posOffset>
            </wp:positionH>
            <wp:positionV relativeFrom="paragraph">
              <wp:posOffset>146050</wp:posOffset>
            </wp:positionV>
            <wp:extent cx="7250430" cy="2159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280"/>
          </w:cols>
          <w:pgMar w:left="1380" w:top="125" w:right="239" w:bottom="1440" w:gutter="0" w:footer="0" w:header="0"/>
        </w:sectPr>
      </w:pPr>
    </w:p>
    <w:bookmarkStart w:id="138" w:name="page139"/>
    <w:bookmarkEnd w:id="138"/>
    <w:p>
      <w:pPr>
        <w:spacing w:after="0"/>
        <w:rPr>
          <w:sz w:val="20"/>
          <w:szCs w:val="20"/>
          <w:color w:val="auto"/>
        </w:rPr>
      </w:pPr>
      <w:r>
        <w:rPr>
          <w:rFonts w:ascii="Arial" w:cs="Arial" w:eastAsia="Arial" w:hAnsi="Arial"/>
          <w:sz w:val="18"/>
          <w:szCs w:val="18"/>
          <w:b w:val="1"/>
          <w:bCs w:val="1"/>
          <w:color w:val="auto"/>
        </w:rPr>
        <w:t>FIVE YEAR FINANCIAL AND OPERATING SUMMARY</w:t>
      </w:r>
    </w:p>
    <w:p>
      <w:pPr>
        <w:spacing w:after="0" w:line="200" w:lineRule="exact"/>
        <w:rPr>
          <w:sz w:val="20"/>
          <w:szCs w:val="20"/>
          <w:color w:val="auto"/>
        </w:rPr>
      </w:pPr>
    </w:p>
    <w:p>
      <w:pPr>
        <w:spacing w:after="0" w:line="24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FINANCIAL DATA</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(thousands of United States dollars, except where noted)</w:t>
      </w:r>
    </w:p>
    <w:p>
      <w:pPr>
        <w:spacing w:after="0" w:line="227"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260" w:type="dxa"/>
            <w:vAlign w:val="bottom"/>
          </w:tcPr>
          <w:p>
            <w:pPr>
              <w:spacing w:after="0"/>
              <w:rPr>
                <w:sz w:val="14"/>
                <w:szCs w:val="14"/>
                <w:color w:val="auto"/>
              </w:rPr>
            </w:pPr>
          </w:p>
        </w:tc>
        <w:tc>
          <w:tcPr>
            <w:tcW w:w="27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jc w:val="right"/>
              <w:ind w:right="212"/>
              <w:spacing w:after="0"/>
              <w:rPr>
                <w:sz w:val="20"/>
                <w:szCs w:val="20"/>
                <w:color w:val="auto"/>
              </w:rPr>
            </w:pPr>
            <w:r>
              <w:rPr>
                <w:rFonts w:ascii="Arial" w:cs="Arial" w:eastAsia="Arial" w:hAnsi="Arial"/>
                <w:sz w:val="14"/>
                <w:szCs w:val="14"/>
                <w:b w:val="1"/>
                <w:bCs w:val="1"/>
                <w:color w:val="auto"/>
              </w:rPr>
              <w:t>2009</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jc w:val="right"/>
              <w:ind w:right="212"/>
              <w:spacing w:after="0"/>
              <w:rPr>
                <w:sz w:val="20"/>
                <w:szCs w:val="20"/>
                <w:color w:val="auto"/>
              </w:rPr>
            </w:pPr>
            <w:r>
              <w:rPr>
                <w:rFonts w:ascii="Arial" w:cs="Arial" w:eastAsia="Arial" w:hAnsi="Arial"/>
                <w:sz w:val="14"/>
                <w:szCs w:val="14"/>
                <w:b w:val="1"/>
                <w:bCs w:val="1"/>
                <w:color w:val="auto"/>
              </w:rPr>
              <w:t>2008</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24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jc w:val="right"/>
              <w:ind w:right="232"/>
              <w:spacing w:after="0"/>
              <w:rPr>
                <w:sz w:val="20"/>
                <w:szCs w:val="20"/>
                <w:color w:val="auto"/>
              </w:rPr>
            </w:pPr>
            <w:r>
              <w:rPr>
                <w:rFonts w:ascii="Arial" w:cs="Arial" w:eastAsia="Arial" w:hAnsi="Arial"/>
                <w:sz w:val="14"/>
                <w:szCs w:val="14"/>
                <w:b w:val="1"/>
                <w:bCs w:val="1"/>
                <w:color w:val="auto"/>
                <w:w w:val="96"/>
              </w:rPr>
              <w:t>2007</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640" w:type="dxa"/>
            <w:vAlign w:val="bottom"/>
            <w:tcBorders>
              <w:bottom w:val="single" w:sz="8" w:color="auto"/>
            </w:tcBorders>
          </w:tcPr>
          <w:p>
            <w:pPr>
              <w:jc w:val="right"/>
              <w:ind w:right="232"/>
              <w:spacing w:after="0"/>
              <w:rPr>
                <w:sz w:val="20"/>
                <w:szCs w:val="20"/>
                <w:color w:val="auto"/>
              </w:rPr>
            </w:pPr>
            <w:r>
              <w:rPr>
                <w:rFonts w:ascii="Arial" w:cs="Arial" w:eastAsia="Arial" w:hAnsi="Arial"/>
                <w:sz w:val="14"/>
                <w:szCs w:val="14"/>
                <w:b w:val="1"/>
                <w:bCs w:val="1"/>
                <w:color w:val="auto"/>
              </w:rPr>
              <w:t>2006</w:t>
            </w: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jc w:val="right"/>
              <w:ind w:right="232"/>
              <w:spacing w:after="0"/>
              <w:rPr>
                <w:sz w:val="20"/>
                <w:szCs w:val="20"/>
                <w:color w:val="auto"/>
              </w:rPr>
            </w:pPr>
            <w:r>
              <w:rPr>
                <w:rFonts w:ascii="Arial" w:cs="Arial" w:eastAsia="Arial" w:hAnsi="Arial"/>
                <w:sz w:val="14"/>
                <w:szCs w:val="14"/>
                <w:b w:val="1"/>
                <w:bCs w:val="1"/>
                <w:color w:val="auto"/>
                <w:w w:val="96"/>
              </w:rPr>
              <w:t>2005</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3980" w:type="dxa"/>
            <w:vAlign w:val="bottom"/>
            <w:gridSpan w:val="2"/>
            <w:shd w:val="clear" w:color="auto" w:fill="CCEEFF"/>
          </w:tcPr>
          <w:p>
            <w:pPr>
              <w:spacing w:after="0" w:line="142" w:lineRule="exact"/>
              <w:rPr>
                <w:sz w:val="20"/>
                <w:szCs w:val="20"/>
                <w:color w:val="auto"/>
              </w:rPr>
            </w:pPr>
            <w:r>
              <w:rPr>
                <w:rFonts w:ascii="Arial" w:cs="Arial" w:eastAsia="Arial" w:hAnsi="Arial"/>
                <w:sz w:val="14"/>
                <w:szCs w:val="14"/>
                <w:color w:val="auto"/>
              </w:rPr>
              <w:t>Revenues from mining operations</w:t>
            </w:r>
          </w:p>
        </w:tc>
        <w:tc>
          <w:tcPr>
            <w:tcW w:w="32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613,762</w:t>
            </w:r>
          </w:p>
        </w:tc>
        <w:tc>
          <w:tcPr>
            <w:tcW w:w="100" w:type="dxa"/>
            <w:vAlign w:val="bottom"/>
            <w:shd w:val="clear" w:color="auto" w:fill="CCEEFF"/>
          </w:tcPr>
          <w:p>
            <w:pPr>
              <w:spacing w:after="0"/>
              <w:rPr>
                <w:sz w:val="12"/>
                <w:szCs w:val="12"/>
                <w:color w:val="auto"/>
              </w:rPr>
            </w:pPr>
          </w:p>
        </w:tc>
        <w:tc>
          <w:tcPr>
            <w:tcW w:w="28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368,938</w:t>
            </w:r>
          </w:p>
        </w:tc>
        <w:tc>
          <w:tcPr>
            <w:tcW w:w="100" w:type="dxa"/>
            <w:vAlign w:val="bottom"/>
            <w:shd w:val="clear" w:color="auto" w:fill="CCEEFF"/>
          </w:tcPr>
          <w:p>
            <w:pPr>
              <w:spacing w:after="0"/>
              <w:rPr>
                <w:sz w:val="12"/>
                <w:szCs w:val="12"/>
                <w:color w:val="auto"/>
              </w:rPr>
            </w:pPr>
          </w:p>
        </w:tc>
        <w:tc>
          <w:tcPr>
            <w:tcW w:w="30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432,205</w:t>
            </w:r>
          </w:p>
        </w:tc>
        <w:tc>
          <w:tcPr>
            <w:tcW w:w="100" w:type="dxa"/>
            <w:vAlign w:val="bottom"/>
            <w:shd w:val="clear" w:color="auto" w:fill="CCEEFF"/>
          </w:tcPr>
          <w:p>
            <w:pPr>
              <w:spacing w:after="0"/>
              <w:rPr>
                <w:sz w:val="12"/>
                <w:szCs w:val="12"/>
                <w:color w:val="auto"/>
              </w:rPr>
            </w:pPr>
          </w:p>
        </w:tc>
        <w:tc>
          <w:tcPr>
            <w:tcW w:w="28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64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464,632</w:t>
            </w:r>
          </w:p>
        </w:tc>
        <w:tc>
          <w:tcPr>
            <w:tcW w:w="80" w:type="dxa"/>
            <w:vAlign w:val="bottom"/>
            <w:shd w:val="clear" w:color="auto" w:fill="CCEEFF"/>
          </w:tcPr>
          <w:p>
            <w:pPr>
              <w:spacing w:after="0"/>
              <w:rPr>
                <w:sz w:val="12"/>
                <w:szCs w:val="12"/>
                <w:color w:val="auto"/>
              </w:rPr>
            </w:pPr>
          </w:p>
        </w:tc>
        <w:tc>
          <w:tcPr>
            <w:tcW w:w="30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241,338</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3980" w:type="dxa"/>
            <w:vAlign w:val="bottom"/>
            <w:gridSpan w:val="2"/>
          </w:tcPr>
          <w:p>
            <w:pPr>
              <w:spacing w:after="0"/>
              <w:rPr>
                <w:sz w:val="20"/>
                <w:szCs w:val="20"/>
                <w:color w:val="auto"/>
              </w:rPr>
            </w:pPr>
            <w:r>
              <w:rPr>
                <w:rFonts w:ascii="Arial" w:cs="Arial" w:eastAsia="Arial" w:hAnsi="Arial"/>
                <w:sz w:val="14"/>
                <w:szCs w:val="14"/>
                <w:color w:val="auto"/>
                <w:w w:val="99"/>
              </w:rPr>
              <w:t>Interest, sundry income and gain on available-for-sale securities</w:t>
            </w:r>
          </w:p>
        </w:tc>
        <w:tc>
          <w:tcPr>
            <w:tcW w:w="10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620" w:type="dxa"/>
            <w:vAlign w:val="bottom"/>
          </w:tcPr>
          <w:p>
            <w:pPr>
              <w:jc w:val="right"/>
              <w:spacing w:after="0"/>
              <w:rPr>
                <w:sz w:val="20"/>
                <w:szCs w:val="20"/>
                <w:color w:val="auto"/>
              </w:rPr>
            </w:pPr>
            <w:r>
              <w:rPr>
                <w:rFonts w:ascii="Arial" w:cs="Arial" w:eastAsia="Arial" w:hAnsi="Arial"/>
                <w:sz w:val="14"/>
                <w:szCs w:val="14"/>
                <w:color w:val="auto"/>
              </w:rPr>
              <w:t>26,314</w:t>
            </w: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4"/>
                <w:szCs w:val="14"/>
                <w:color w:val="auto"/>
              </w:rPr>
              <w:t>(37,465)</w:t>
            </w:r>
          </w:p>
        </w:tc>
        <w:tc>
          <w:tcPr>
            <w:tcW w:w="6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620" w:type="dxa"/>
            <w:vAlign w:val="bottom"/>
          </w:tcPr>
          <w:p>
            <w:pPr>
              <w:jc w:val="right"/>
              <w:spacing w:after="0"/>
              <w:rPr>
                <w:sz w:val="20"/>
                <w:szCs w:val="20"/>
                <w:color w:val="auto"/>
              </w:rPr>
            </w:pPr>
            <w:r>
              <w:rPr>
                <w:rFonts w:ascii="Arial" w:cs="Arial" w:eastAsia="Arial" w:hAnsi="Arial"/>
                <w:sz w:val="14"/>
                <w:szCs w:val="14"/>
                <w:color w:val="auto"/>
              </w:rPr>
              <w:t>29,230</w:t>
            </w: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640" w:type="dxa"/>
            <w:vAlign w:val="bottom"/>
          </w:tcPr>
          <w:p>
            <w:pPr>
              <w:jc w:val="right"/>
              <w:spacing w:after="0"/>
              <w:rPr>
                <w:sz w:val="20"/>
                <w:szCs w:val="20"/>
                <w:color w:val="auto"/>
              </w:rPr>
            </w:pPr>
            <w:r>
              <w:rPr>
                <w:rFonts w:ascii="Arial" w:cs="Arial" w:eastAsia="Arial" w:hAnsi="Arial"/>
                <w:sz w:val="14"/>
                <w:szCs w:val="14"/>
                <w:color w:val="auto"/>
              </w:rPr>
              <w:t>45,915</w:t>
            </w: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620" w:type="dxa"/>
            <w:vAlign w:val="bottom"/>
          </w:tcPr>
          <w:p>
            <w:pPr>
              <w:jc w:val="right"/>
              <w:spacing w:after="0"/>
              <w:rPr>
                <w:sz w:val="20"/>
                <w:szCs w:val="20"/>
                <w:color w:val="auto"/>
              </w:rPr>
            </w:pPr>
            <w:r>
              <w:rPr>
                <w:rFonts w:ascii="Arial" w:cs="Arial" w:eastAsia="Arial" w:hAnsi="Arial"/>
                <w:sz w:val="14"/>
                <w:szCs w:val="14"/>
                <w:color w:val="auto"/>
              </w:rPr>
              <w:t>4,996</w:t>
            </w: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11"/>
        </w:trPr>
        <w:tc>
          <w:tcPr>
            <w:tcW w:w="20" w:type="dxa"/>
            <w:vAlign w:val="bottom"/>
          </w:tcPr>
          <w:p>
            <w:pPr>
              <w:spacing w:after="0"/>
              <w:rPr>
                <w:sz w:val="18"/>
                <w:szCs w:val="18"/>
                <w:color w:val="auto"/>
              </w:rPr>
            </w:pPr>
          </w:p>
        </w:tc>
        <w:tc>
          <w:tcPr>
            <w:tcW w:w="1260" w:type="dxa"/>
            <w:vAlign w:val="bottom"/>
            <w:shd w:val="clear" w:color="auto" w:fill="CCEEFF"/>
          </w:tcPr>
          <w:p>
            <w:pPr>
              <w:spacing w:after="0"/>
              <w:rPr>
                <w:sz w:val="18"/>
                <w:szCs w:val="18"/>
                <w:color w:val="auto"/>
              </w:rPr>
            </w:pPr>
          </w:p>
        </w:tc>
        <w:tc>
          <w:tcPr>
            <w:tcW w:w="2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220" w:type="dxa"/>
            <w:vAlign w:val="bottom"/>
            <w:tcBorders>
              <w:top w:val="single" w:sz="8" w:color="auto"/>
            </w:tcBorders>
            <w:shd w:val="clear" w:color="auto" w:fill="CCEEFF"/>
          </w:tcPr>
          <w:p>
            <w:pPr>
              <w:spacing w:after="0"/>
              <w:rPr>
                <w:sz w:val="18"/>
                <w:szCs w:val="18"/>
                <w:color w:val="auto"/>
              </w:rPr>
            </w:pPr>
          </w:p>
        </w:tc>
        <w:tc>
          <w:tcPr>
            <w:tcW w:w="6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640,076</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20" w:type="dxa"/>
            <w:vAlign w:val="bottom"/>
            <w:tcBorders>
              <w:top w:val="single" w:sz="8" w:color="auto"/>
            </w:tcBorders>
            <w:shd w:val="clear" w:color="auto" w:fill="CCEEFF"/>
          </w:tcPr>
          <w:p>
            <w:pPr>
              <w:spacing w:after="0"/>
              <w:rPr>
                <w:sz w:val="18"/>
                <w:szCs w:val="18"/>
                <w:color w:val="auto"/>
              </w:rPr>
            </w:pPr>
          </w:p>
        </w:tc>
        <w:tc>
          <w:tcPr>
            <w:tcW w:w="6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331,473</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40" w:type="dxa"/>
            <w:vAlign w:val="bottom"/>
            <w:tcBorders>
              <w:top w:val="single" w:sz="8" w:color="auto"/>
            </w:tcBorders>
            <w:shd w:val="clear" w:color="auto" w:fill="CCEEFF"/>
          </w:tcPr>
          <w:p>
            <w:pPr>
              <w:spacing w:after="0"/>
              <w:rPr>
                <w:sz w:val="18"/>
                <w:szCs w:val="18"/>
                <w:color w:val="auto"/>
              </w:rPr>
            </w:pPr>
          </w:p>
        </w:tc>
        <w:tc>
          <w:tcPr>
            <w:tcW w:w="6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461,435</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20" w:type="dxa"/>
            <w:vAlign w:val="bottom"/>
            <w:tcBorders>
              <w:top w:val="single" w:sz="8" w:color="auto"/>
            </w:tcBorders>
            <w:shd w:val="clear" w:color="auto" w:fill="CCEEFF"/>
          </w:tcPr>
          <w:p>
            <w:pPr>
              <w:spacing w:after="0"/>
              <w:rPr>
                <w:sz w:val="18"/>
                <w:szCs w:val="18"/>
                <w:color w:val="auto"/>
              </w:rPr>
            </w:pPr>
          </w:p>
        </w:tc>
        <w:tc>
          <w:tcPr>
            <w:tcW w:w="6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510,547</w:t>
            </w: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20" w:type="dxa"/>
            <w:vAlign w:val="bottom"/>
            <w:tcBorders>
              <w:top w:val="single" w:sz="8" w:color="auto"/>
            </w:tcBorders>
            <w:shd w:val="clear" w:color="auto" w:fill="CCEEFF"/>
          </w:tcPr>
          <w:p>
            <w:pPr>
              <w:spacing w:after="0"/>
              <w:rPr>
                <w:sz w:val="18"/>
                <w:szCs w:val="18"/>
                <w:color w:val="auto"/>
              </w:rPr>
            </w:pPr>
          </w:p>
        </w:tc>
        <w:tc>
          <w:tcPr>
            <w:tcW w:w="6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246,334</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3980" w:type="dxa"/>
            <w:vAlign w:val="bottom"/>
            <w:gridSpan w:val="2"/>
          </w:tcPr>
          <w:p>
            <w:pPr>
              <w:spacing w:after="0"/>
              <w:rPr>
                <w:sz w:val="20"/>
                <w:szCs w:val="20"/>
                <w:color w:val="auto"/>
              </w:rPr>
            </w:pPr>
            <w:r>
              <w:rPr>
                <w:rFonts w:ascii="Arial" w:cs="Arial" w:eastAsia="Arial" w:hAnsi="Arial"/>
                <w:sz w:val="14"/>
                <w:szCs w:val="14"/>
                <w:color w:val="auto"/>
              </w:rPr>
              <w:t>Costs and expenses</w:t>
            </w:r>
          </w:p>
        </w:tc>
        <w:tc>
          <w:tcPr>
            <w:tcW w:w="100" w:type="dxa"/>
            <w:vAlign w:val="bottom"/>
          </w:tcPr>
          <w:p>
            <w:pPr>
              <w:spacing w:after="0"/>
              <w:rPr>
                <w:sz w:val="15"/>
                <w:szCs w:val="15"/>
                <w:color w:val="auto"/>
              </w:rPr>
            </w:pPr>
          </w:p>
        </w:tc>
        <w:tc>
          <w:tcPr>
            <w:tcW w:w="220" w:type="dxa"/>
            <w:vAlign w:val="bottom"/>
            <w:tcBorders>
              <w:bottom w:val="single" w:sz="8" w:color="auto"/>
            </w:tcBorders>
          </w:tcPr>
          <w:p>
            <w:pPr>
              <w:spacing w:after="0"/>
              <w:rPr>
                <w:sz w:val="15"/>
                <w:szCs w:val="15"/>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532,038</w:t>
            </w: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220" w:type="dxa"/>
            <w:vAlign w:val="bottom"/>
            <w:tcBorders>
              <w:bottom w:val="single" w:sz="8" w:color="auto"/>
            </w:tcBorders>
          </w:tcPr>
          <w:p>
            <w:pPr>
              <w:spacing w:after="0"/>
              <w:rPr>
                <w:sz w:val="15"/>
                <w:szCs w:val="15"/>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235,482</w:t>
            </w: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240" w:type="dxa"/>
            <w:vAlign w:val="bottom"/>
            <w:tcBorders>
              <w:bottom w:val="single" w:sz="8" w:color="auto"/>
            </w:tcBorders>
          </w:tcPr>
          <w:p>
            <w:pPr>
              <w:spacing w:after="0"/>
              <w:rPr>
                <w:sz w:val="15"/>
                <w:szCs w:val="15"/>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302,157</w:t>
            </w: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220" w:type="dxa"/>
            <w:vAlign w:val="bottom"/>
            <w:tcBorders>
              <w:bottom w:val="single" w:sz="8" w:color="auto"/>
            </w:tcBorders>
          </w:tcPr>
          <w:p>
            <w:pPr>
              <w:spacing w:after="0"/>
              <w:rPr>
                <w:sz w:val="15"/>
                <w:szCs w:val="15"/>
                <w:color w:val="auto"/>
              </w:rPr>
            </w:pP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249,904</w:t>
            </w: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20" w:type="dxa"/>
            <w:vAlign w:val="bottom"/>
            <w:tcBorders>
              <w:bottom w:val="single" w:sz="8" w:color="auto"/>
            </w:tcBorders>
          </w:tcPr>
          <w:p>
            <w:pPr>
              <w:spacing w:after="0"/>
              <w:rPr>
                <w:sz w:val="15"/>
                <w:szCs w:val="15"/>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211,055</w:t>
            </w: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3980" w:type="dxa"/>
            <w:vAlign w:val="bottom"/>
            <w:gridSpan w:val="2"/>
            <w:shd w:val="clear" w:color="auto" w:fill="CCEEFF"/>
          </w:tcPr>
          <w:p>
            <w:pPr>
              <w:spacing w:after="0" w:line="144" w:lineRule="exact"/>
              <w:rPr>
                <w:sz w:val="20"/>
                <w:szCs w:val="20"/>
                <w:color w:val="auto"/>
              </w:rPr>
            </w:pPr>
            <w:r>
              <w:rPr>
                <w:rFonts w:ascii="Arial" w:cs="Arial" w:eastAsia="Arial" w:hAnsi="Arial"/>
                <w:sz w:val="14"/>
                <w:szCs w:val="14"/>
                <w:color w:val="auto"/>
              </w:rPr>
              <w:t>Income before income taxes</w:t>
            </w:r>
          </w:p>
        </w:tc>
        <w:tc>
          <w:tcPr>
            <w:tcW w:w="1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108,038</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95,991</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159,278</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260,643</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35,279</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3980" w:type="dxa"/>
            <w:vAlign w:val="bottom"/>
            <w:gridSpan w:val="2"/>
          </w:tcPr>
          <w:p>
            <w:pPr>
              <w:spacing w:after="0"/>
              <w:rPr>
                <w:sz w:val="20"/>
                <w:szCs w:val="20"/>
                <w:color w:val="auto"/>
              </w:rPr>
            </w:pPr>
            <w:r>
              <w:rPr>
                <w:rFonts w:ascii="Arial" w:cs="Arial" w:eastAsia="Arial" w:hAnsi="Arial"/>
                <w:sz w:val="14"/>
                <w:szCs w:val="14"/>
                <w:color w:val="auto"/>
              </w:rPr>
              <w:t>Income and mining taxes expense (recovery)</w:t>
            </w:r>
          </w:p>
        </w:tc>
        <w:tc>
          <w:tcPr>
            <w:tcW w:w="10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620" w:type="dxa"/>
            <w:vAlign w:val="bottom"/>
          </w:tcPr>
          <w:p>
            <w:pPr>
              <w:jc w:val="right"/>
              <w:spacing w:after="0"/>
              <w:rPr>
                <w:sz w:val="20"/>
                <w:szCs w:val="20"/>
                <w:color w:val="auto"/>
              </w:rPr>
            </w:pPr>
            <w:r>
              <w:rPr>
                <w:rFonts w:ascii="Arial" w:cs="Arial" w:eastAsia="Arial" w:hAnsi="Arial"/>
                <w:sz w:val="14"/>
                <w:szCs w:val="14"/>
                <w:color w:val="auto"/>
              </w:rPr>
              <w:t>21,500</w:t>
            </w: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620" w:type="dxa"/>
            <w:vAlign w:val="bottom"/>
          </w:tcPr>
          <w:p>
            <w:pPr>
              <w:jc w:val="right"/>
              <w:spacing w:after="0"/>
              <w:rPr>
                <w:sz w:val="20"/>
                <w:szCs w:val="20"/>
                <w:color w:val="auto"/>
              </w:rPr>
            </w:pPr>
            <w:r>
              <w:rPr>
                <w:rFonts w:ascii="Arial" w:cs="Arial" w:eastAsia="Arial" w:hAnsi="Arial"/>
                <w:sz w:val="14"/>
                <w:szCs w:val="14"/>
                <w:color w:val="auto"/>
              </w:rPr>
              <w:t>22,824</w:t>
            </w: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620" w:type="dxa"/>
            <w:vAlign w:val="bottom"/>
          </w:tcPr>
          <w:p>
            <w:pPr>
              <w:jc w:val="right"/>
              <w:spacing w:after="0"/>
              <w:rPr>
                <w:sz w:val="20"/>
                <w:szCs w:val="20"/>
                <w:color w:val="auto"/>
              </w:rPr>
            </w:pPr>
            <w:r>
              <w:rPr>
                <w:rFonts w:ascii="Arial" w:cs="Arial" w:eastAsia="Arial" w:hAnsi="Arial"/>
                <w:sz w:val="14"/>
                <w:szCs w:val="14"/>
                <w:color w:val="auto"/>
              </w:rPr>
              <w:t>19,933</w:t>
            </w: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640" w:type="dxa"/>
            <w:vAlign w:val="bottom"/>
          </w:tcPr>
          <w:p>
            <w:pPr>
              <w:jc w:val="right"/>
              <w:spacing w:after="0"/>
              <w:rPr>
                <w:sz w:val="20"/>
                <w:szCs w:val="20"/>
                <w:color w:val="auto"/>
              </w:rPr>
            </w:pPr>
            <w:r>
              <w:rPr>
                <w:rFonts w:ascii="Arial" w:cs="Arial" w:eastAsia="Arial" w:hAnsi="Arial"/>
                <w:sz w:val="14"/>
                <w:szCs w:val="14"/>
                <w:color w:val="auto"/>
              </w:rPr>
              <w:t>99,306</w:t>
            </w: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780" w:type="dxa"/>
            <w:vAlign w:val="bottom"/>
            <w:gridSpan w:val="2"/>
          </w:tcPr>
          <w:p>
            <w:pPr>
              <w:jc w:val="right"/>
              <w:ind w:right="120"/>
              <w:spacing w:after="0"/>
              <w:rPr>
                <w:sz w:val="20"/>
                <w:szCs w:val="20"/>
                <w:color w:val="auto"/>
              </w:rPr>
            </w:pPr>
            <w:r>
              <w:rPr>
                <w:rFonts w:ascii="Arial" w:cs="Arial" w:eastAsia="Arial" w:hAnsi="Arial"/>
                <w:sz w:val="14"/>
                <w:szCs w:val="14"/>
                <w:color w:val="auto"/>
              </w:rPr>
              <w:t>(1,715)</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3980" w:type="dxa"/>
            <w:vAlign w:val="bottom"/>
            <w:gridSpan w:val="2"/>
            <w:shd w:val="clear" w:color="auto" w:fill="CCEEFF"/>
          </w:tcPr>
          <w:p>
            <w:pPr>
              <w:spacing w:after="0" w:line="144" w:lineRule="exact"/>
              <w:rPr>
                <w:sz w:val="20"/>
                <w:szCs w:val="20"/>
                <w:color w:val="auto"/>
              </w:rPr>
            </w:pPr>
            <w:r>
              <w:rPr>
                <w:rFonts w:ascii="Arial" w:cs="Arial" w:eastAsia="Arial" w:hAnsi="Arial"/>
                <w:sz w:val="14"/>
                <w:szCs w:val="14"/>
                <w:color w:val="auto"/>
              </w:rPr>
              <w:t>Net income</w:t>
            </w:r>
          </w:p>
        </w:tc>
        <w:tc>
          <w:tcPr>
            <w:tcW w:w="100" w:type="dxa"/>
            <w:vAlign w:val="bottom"/>
            <w:shd w:val="clear" w:color="auto" w:fill="CCEEFF"/>
          </w:tcPr>
          <w:p>
            <w:pPr>
              <w:spacing w:after="0"/>
              <w:rPr>
                <w:sz w:val="12"/>
                <w:szCs w:val="12"/>
                <w:color w:val="auto"/>
              </w:rPr>
            </w:pPr>
          </w:p>
        </w:tc>
        <w:tc>
          <w:tcPr>
            <w:tcW w:w="220" w:type="dxa"/>
            <w:vAlign w:val="bottom"/>
            <w:tcBorders>
              <w:top w:val="single" w:sz="8" w:color="auto"/>
            </w:tcBorders>
            <w:shd w:val="clear" w:color="auto" w:fill="CCEEFF"/>
          </w:tcPr>
          <w:p>
            <w:pPr>
              <w:jc w:val="right"/>
              <w:spacing w:after="0" w:line="144" w:lineRule="exact"/>
              <w:rPr>
                <w:sz w:val="20"/>
                <w:szCs w:val="20"/>
                <w:color w:val="auto"/>
              </w:rPr>
            </w:pPr>
            <w:r>
              <w:rPr>
                <w:rFonts w:ascii="Arial" w:cs="Arial" w:eastAsia="Arial" w:hAnsi="Arial"/>
                <w:sz w:val="14"/>
                <w:szCs w:val="14"/>
                <w:color w:val="auto"/>
              </w:rPr>
              <w:t>$</w:t>
            </w:r>
          </w:p>
        </w:tc>
        <w:tc>
          <w:tcPr>
            <w:tcW w:w="620" w:type="dxa"/>
            <w:vAlign w:val="bottom"/>
            <w:tcBorders>
              <w:top w:val="single" w:sz="8" w:color="auto"/>
            </w:tcBorders>
            <w:shd w:val="clear" w:color="auto" w:fill="CCEEFF"/>
          </w:tcPr>
          <w:p>
            <w:pPr>
              <w:jc w:val="right"/>
              <w:spacing w:after="0" w:line="144" w:lineRule="exact"/>
              <w:rPr>
                <w:sz w:val="20"/>
                <w:szCs w:val="20"/>
                <w:color w:val="auto"/>
              </w:rPr>
            </w:pPr>
            <w:r>
              <w:rPr>
                <w:rFonts w:ascii="Arial" w:cs="Arial" w:eastAsia="Arial" w:hAnsi="Arial"/>
                <w:sz w:val="14"/>
                <w:szCs w:val="14"/>
                <w:color w:val="auto"/>
              </w:rPr>
              <w:t>86,538</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20" w:type="dxa"/>
            <w:vAlign w:val="bottom"/>
            <w:tcBorders>
              <w:top w:val="single" w:sz="8" w:color="auto"/>
            </w:tcBorders>
            <w:shd w:val="clear" w:color="auto" w:fill="CCEEFF"/>
          </w:tcPr>
          <w:p>
            <w:pPr>
              <w:jc w:val="right"/>
              <w:spacing w:after="0" w:line="144" w:lineRule="exact"/>
              <w:rPr>
                <w:sz w:val="20"/>
                <w:szCs w:val="20"/>
                <w:color w:val="auto"/>
              </w:rPr>
            </w:pPr>
            <w:r>
              <w:rPr>
                <w:rFonts w:ascii="Arial" w:cs="Arial" w:eastAsia="Arial" w:hAnsi="Arial"/>
                <w:sz w:val="14"/>
                <w:szCs w:val="14"/>
                <w:color w:val="auto"/>
              </w:rPr>
              <w:t>$</w:t>
            </w:r>
          </w:p>
        </w:tc>
        <w:tc>
          <w:tcPr>
            <w:tcW w:w="620" w:type="dxa"/>
            <w:vAlign w:val="bottom"/>
            <w:tcBorders>
              <w:top w:val="single" w:sz="8" w:color="auto"/>
            </w:tcBorders>
            <w:shd w:val="clear" w:color="auto" w:fill="CCEEFF"/>
          </w:tcPr>
          <w:p>
            <w:pPr>
              <w:jc w:val="right"/>
              <w:spacing w:after="0" w:line="144" w:lineRule="exact"/>
              <w:rPr>
                <w:sz w:val="20"/>
                <w:szCs w:val="20"/>
                <w:color w:val="auto"/>
              </w:rPr>
            </w:pPr>
            <w:r>
              <w:rPr>
                <w:rFonts w:ascii="Arial" w:cs="Arial" w:eastAsia="Arial" w:hAnsi="Arial"/>
                <w:sz w:val="14"/>
                <w:szCs w:val="14"/>
                <w:color w:val="auto"/>
              </w:rPr>
              <w:t>73,167</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40" w:type="dxa"/>
            <w:vAlign w:val="bottom"/>
            <w:tcBorders>
              <w:top w:val="single" w:sz="8" w:color="auto"/>
            </w:tcBorders>
            <w:shd w:val="clear" w:color="auto" w:fill="CCEEFF"/>
          </w:tcPr>
          <w:p>
            <w:pPr>
              <w:jc w:val="right"/>
              <w:spacing w:after="0" w:line="144" w:lineRule="exact"/>
              <w:rPr>
                <w:sz w:val="20"/>
                <w:szCs w:val="20"/>
                <w:color w:val="auto"/>
              </w:rPr>
            </w:pPr>
            <w:r>
              <w:rPr>
                <w:rFonts w:ascii="Arial" w:cs="Arial" w:eastAsia="Arial" w:hAnsi="Arial"/>
                <w:sz w:val="14"/>
                <w:szCs w:val="14"/>
                <w:color w:val="auto"/>
              </w:rPr>
              <w:t>$</w:t>
            </w:r>
          </w:p>
        </w:tc>
        <w:tc>
          <w:tcPr>
            <w:tcW w:w="620" w:type="dxa"/>
            <w:vAlign w:val="bottom"/>
            <w:tcBorders>
              <w:top w:val="single" w:sz="8" w:color="auto"/>
            </w:tcBorders>
            <w:shd w:val="clear" w:color="auto" w:fill="CCEEFF"/>
          </w:tcPr>
          <w:p>
            <w:pPr>
              <w:jc w:val="right"/>
              <w:spacing w:after="0" w:line="144" w:lineRule="exact"/>
              <w:rPr>
                <w:sz w:val="20"/>
                <w:szCs w:val="20"/>
                <w:color w:val="auto"/>
              </w:rPr>
            </w:pPr>
            <w:r>
              <w:rPr>
                <w:rFonts w:ascii="Arial" w:cs="Arial" w:eastAsia="Arial" w:hAnsi="Arial"/>
                <w:sz w:val="14"/>
                <w:szCs w:val="14"/>
                <w:color w:val="auto"/>
              </w:rPr>
              <w:t>139,345</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20" w:type="dxa"/>
            <w:vAlign w:val="bottom"/>
            <w:tcBorders>
              <w:top w:val="single" w:sz="8" w:color="auto"/>
            </w:tcBorders>
            <w:shd w:val="clear" w:color="auto" w:fill="CCEEFF"/>
          </w:tcPr>
          <w:p>
            <w:pPr>
              <w:jc w:val="right"/>
              <w:spacing w:after="0" w:line="144" w:lineRule="exact"/>
              <w:rPr>
                <w:sz w:val="20"/>
                <w:szCs w:val="20"/>
                <w:color w:val="auto"/>
              </w:rPr>
            </w:pPr>
            <w:r>
              <w:rPr>
                <w:rFonts w:ascii="Arial" w:cs="Arial" w:eastAsia="Arial" w:hAnsi="Arial"/>
                <w:sz w:val="14"/>
                <w:szCs w:val="14"/>
                <w:color w:val="auto"/>
              </w:rPr>
              <w:t>$</w:t>
            </w:r>
          </w:p>
        </w:tc>
        <w:tc>
          <w:tcPr>
            <w:tcW w:w="640" w:type="dxa"/>
            <w:vAlign w:val="bottom"/>
            <w:tcBorders>
              <w:top w:val="single" w:sz="8" w:color="auto"/>
            </w:tcBorders>
            <w:shd w:val="clear" w:color="auto" w:fill="CCEEFF"/>
          </w:tcPr>
          <w:p>
            <w:pPr>
              <w:jc w:val="right"/>
              <w:spacing w:after="0" w:line="144" w:lineRule="exact"/>
              <w:rPr>
                <w:sz w:val="20"/>
                <w:szCs w:val="20"/>
                <w:color w:val="auto"/>
              </w:rPr>
            </w:pPr>
            <w:r>
              <w:rPr>
                <w:rFonts w:ascii="Arial" w:cs="Arial" w:eastAsia="Arial" w:hAnsi="Arial"/>
                <w:sz w:val="14"/>
                <w:szCs w:val="14"/>
                <w:color w:val="auto"/>
              </w:rPr>
              <w:t>161,337</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tcBorders>
              <w:top w:val="single" w:sz="8" w:color="auto"/>
            </w:tcBorders>
            <w:shd w:val="clear" w:color="auto" w:fill="CCEEFF"/>
          </w:tcPr>
          <w:p>
            <w:pPr>
              <w:jc w:val="right"/>
              <w:spacing w:after="0" w:line="144" w:lineRule="exact"/>
              <w:rPr>
                <w:sz w:val="20"/>
                <w:szCs w:val="20"/>
                <w:color w:val="auto"/>
              </w:rPr>
            </w:pPr>
            <w:r>
              <w:rPr>
                <w:rFonts w:ascii="Arial" w:cs="Arial" w:eastAsia="Arial" w:hAnsi="Arial"/>
                <w:sz w:val="14"/>
                <w:szCs w:val="14"/>
                <w:color w:val="auto"/>
              </w:rPr>
              <w:t>$</w:t>
            </w:r>
          </w:p>
        </w:tc>
        <w:tc>
          <w:tcPr>
            <w:tcW w:w="620" w:type="dxa"/>
            <w:vAlign w:val="bottom"/>
            <w:tcBorders>
              <w:top w:val="single" w:sz="8" w:color="auto"/>
            </w:tcBorders>
            <w:shd w:val="clear" w:color="auto" w:fill="CCEEFF"/>
          </w:tcPr>
          <w:p>
            <w:pPr>
              <w:jc w:val="right"/>
              <w:spacing w:after="0" w:line="144" w:lineRule="exact"/>
              <w:rPr>
                <w:sz w:val="20"/>
                <w:szCs w:val="20"/>
                <w:color w:val="auto"/>
              </w:rPr>
            </w:pPr>
            <w:r>
              <w:rPr>
                <w:rFonts w:ascii="Arial" w:cs="Arial" w:eastAsia="Arial" w:hAnsi="Arial"/>
                <w:sz w:val="14"/>
                <w:szCs w:val="14"/>
                <w:color w:val="auto"/>
              </w:rPr>
              <w:t>36,994</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7"/>
        </w:trPr>
        <w:tc>
          <w:tcPr>
            <w:tcW w:w="4000" w:type="dxa"/>
            <w:vAlign w:val="bottom"/>
            <w:gridSpan w:val="3"/>
            <w:vMerge w:val="restart"/>
          </w:tcPr>
          <w:p>
            <w:pPr>
              <w:spacing w:after="0"/>
              <w:rPr>
                <w:sz w:val="20"/>
                <w:szCs w:val="20"/>
                <w:color w:val="auto"/>
              </w:rPr>
            </w:pPr>
            <w:r>
              <w:rPr>
                <w:rFonts w:ascii="Arial" w:cs="Arial" w:eastAsia="Arial" w:hAnsi="Arial"/>
                <w:sz w:val="14"/>
                <w:szCs w:val="14"/>
                <w:color w:val="auto"/>
              </w:rPr>
              <w:t>Net income per share — basic</w:t>
            </w:r>
          </w:p>
        </w:tc>
        <w:tc>
          <w:tcPr>
            <w:tcW w:w="100" w:type="dxa"/>
            <w:vAlign w:val="bottom"/>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4000" w:type="dxa"/>
            <w:vAlign w:val="bottom"/>
            <w:gridSpan w:val="3"/>
            <w:vMerge w:val="continue"/>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80" w:type="dxa"/>
            <w:vAlign w:val="bottom"/>
            <w:gridSpan w:val="2"/>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80" w:type="dxa"/>
            <w:vAlign w:val="bottom"/>
            <w:gridSpan w:val="2"/>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9"/>
        </w:trPr>
        <w:tc>
          <w:tcPr>
            <w:tcW w:w="4000" w:type="dxa"/>
            <w:vAlign w:val="bottom"/>
            <w:gridSpan w:val="3"/>
            <w:vMerge w:val="continue"/>
          </w:tcPr>
          <w:p>
            <w:pPr>
              <w:spacing w:after="0"/>
              <w:rPr>
                <w:sz w:val="11"/>
                <w:szCs w:val="11"/>
                <w:color w:val="auto"/>
              </w:rPr>
            </w:pPr>
          </w:p>
        </w:tc>
        <w:tc>
          <w:tcPr>
            <w:tcW w:w="100" w:type="dxa"/>
            <w:vAlign w:val="bottom"/>
          </w:tcPr>
          <w:p>
            <w:pPr>
              <w:spacing w:after="0"/>
              <w:rPr>
                <w:sz w:val="11"/>
                <w:szCs w:val="11"/>
                <w:color w:val="auto"/>
              </w:rPr>
            </w:pPr>
          </w:p>
        </w:tc>
        <w:tc>
          <w:tcPr>
            <w:tcW w:w="220" w:type="dxa"/>
            <w:vAlign w:val="bottom"/>
            <w:tcBorders>
              <w:top w:val="single" w:sz="8" w:color="auto"/>
            </w:tcBorders>
          </w:tcPr>
          <w:p>
            <w:pPr>
              <w:jc w:val="right"/>
              <w:spacing w:after="0" w:line="129" w:lineRule="exact"/>
              <w:rPr>
                <w:sz w:val="20"/>
                <w:szCs w:val="20"/>
                <w:color w:val="auto"/>
              </w:rPr>
            </w:pPr>
            <w:r>
              <w:rPr>
                <w:rFonts w:ascii="Arial" w:cs="Arial" w:eastAsia="Arial" w:hAnsi="Arial"/>
                <w:sz w:val="14"/>
                <w:szCs w:val="14"/>
                <w:color w:val="auto"/>
              </w:rPr>
              <w:t>$</w:t>
            </w:r>
          </w:p>
        </w:tc>
        <w:tc>
          <w:tcPr>
            <w:tcW w:w="620" w:type="dxa"/>
            <w:vAlign w:val="bottom"/>
            <w:tcBorders>
              <w:top w:val="single" w:sz="8" w:color="auto"/>
            </w:tcBorders>
          </w:tcPr>
          <w:p>
            <w:pPr>
              <w:jc w:val="right"/>
              <w:spacing w:after="0" w:line="129" w:lineRule="exact"/>
              <w:rPr>
                <w:sz w:val="20"/>
                <w:szCs w:val="20"/>
                <w:color w:val="auto"/>
              </w:rPr>
            </w:pPr>
            <w:r>
              <w:rPr>
                <w:rFonts w:ascii="Arial" w:cs="Arial" w:eastAsia="Arial" w:hAnsi="Arial"/>
                <w:sz w:val="14"/>
                <w:szCs w:val="14"/>
                <w:color w:val="auto"/>
              </w:rPr>
              <w:t>0.55</w:t>
            </w: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20" w:type="dxa"/>
            <w:vAlign w:val="bottom"/>
            <w:tcBorders>
              <w:top w:val="single" w:sz="8" w:color="auto"/>
            </w:tcBorders>
          </w:tcPr>
          <w:p>
            <w:pPr>
              <w:jc w:val="right"/>
              <w:spacing w:after="0" w:line="129" w:lineRule="exact"/>
              <w:rPr>
                <w:sz w:val="20"/>
                <w:szCs w:val="20"/>
                <w:color w:val="auto"/>
              </w:rPr>
            </w:pPr>
            <w:r>
              <w:rPr>
                <w:rFonts w:ascii="Arial" w:cs="Arial" w:eastAsia="Arial" w:hAnsi="Arial"/>
                <w:sz w:val="14"/>
                <w:szCs w:val="14"/>
                <w:color w:val="auto"/>
              </w:rPr>
              <w:t>$</w:t>
            </w:r>
          </w:p>
        </w:tc>
        <w:tc>
          <w:tcPr>
            <w:tcW w:w="620" w:type="dxa"/>
            <w:vAlign w:val="bottom"/>
            <w:tcBorders>
              <w:top w:val="single" w:sz="8" w:color="auto"/>
            </w:tcBorders>
          </w:tcPr>
          <w:p>
            <w:pPr>
              <w:jc w:val="right"/>
              <w:spacing w:after="0" w:line="129" w:lineRule="exact"/>
              <w:rPr>
                <w:sz w:val="20"/>
                <w:szCs w:val="20"/>
                <w:color w:val="auto"/>
              </w:rPr>
            </w:pPr>
            <w:r>
              <w:rPr>
                <w:rFonts w:ascii="Arial" w:cs="Arial" w:eastAsia="Arial" w:hAnsi="Arial"/>
                <w:sz w:val="14"/>
                <w:szCs w:val="14"/>
                <w:color w:val="auto"/>
              </w:rPr>
              <w:t>0.51</w:t>
            </w: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Borders>
              <w:top w:val="single" w:sz="8" w:color="auto"/>
            </w:tcBorders>
          </w:tcPr>
          <w:p>
            <w:pPr>
              <w:jc w:val="right"/>
              <w:spacing w:after="0" w:line="129" w:lineRule="exact"/>
              <w:rPr>
                <w:sz w:val="20"/>
                <w:szCs w:val="20"/>
                <w:color w:val="auto"/>
              </w:rPr>
            </w:pPr>
            <w:r>
              <w:rPr>
                <w:rFonts w:ascii="Arial" w:cs="Arial" w:eastAsia="Arial" w:hAnsi="Arial"/>
                <w:sz w:val="14"/>
                <w:szCs w:val="14"/>
                <w:color w:val="auto"/>
              </w:rPr>
              <w:t>$</w:t>
            </w:r>
          </w:p>
        </w:tc>
        <w:tc>
          <w:tcPr>
            <w:tcW w:w="620" w:type="dxa"/>
            <w:vAlign w:val="bottom"/>
            <w:tcBorders>
              <w:top w:val="single" w:sz="8" w:color="auto"/>
            </w:tcBorders>
          </w:tcPr>
          <w:p>
            <w:pPr>
              <w:jc w:val="right"/>
              <w:spacing w:after="0" w:line="129" w:lineRule="exact"/>
              <w:rPr>
                <w:sz w:val="20"/>
                <w:szCs w:val="20"/>
                <w:color w:val="auto"/>
              </w:rPr>
            </w:pPr>
            <w:r>
              <w:rPr>
                <w:rFonts w:ascii="Arial" w:cs="Arial" w:eastAsia="Arial" w:hAnsi="Arial"/>
                <w:sz w:val="14"/>
                <w:szCs w:val="14"/>
                <w:color w:val="auto"/>
              </w:rPr>
              <w:t>1.05</w:t>
            </w: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20" w:type="dxa"/>
            <w:vAlign w:val="bottom"/>
            <w:tcBorders>
              <w:top w:val="single" w:sz="8" w:color="auto"/>
            </w:tcBorders>
          </w:tcPr>
          <w:p>
            <w:pPr>
              <w:jc w:val="right"/>
              <w:spacing w:after="0" w:line="129" w:lineRule="exact"/>
              <w:rPr>
                <w:sz w:val="20"/>
                <w:szCs w:val="20"/>
                <w:color w:val="auto"/>
              </w:rPr>
            </w:pPr>
            <w:r>
              <w:rPr>
                <w:rFonts w:ascii="Arial" w:cs="Arial" w:eastAsia="Arial" w:hAnsi="Arial"/>
                <w:sz w:val="14"/>
                <w:szCs w:val="14"/>
                <w:color w:val="auto"/>
              </w:rPr>
              <w:t>$</w:t>
            </w:r>
          </w:p>
        </w:tc>
        <w:tc>
          <w:tcPr>
            <w:tcW w:w="640" w:type="dxa"/>
            <w:vAlign w:val="bottom"/>
            <w:tcBorders>
              <w:top w:val="single" w:sz="8" w:color="auto"/>
            </w:tcBorders>
          </w:tcPr>
          <w:p>
            <w:pPr>
              <w:jc w:val="right"/>
              <w:spacing w:after="0" w:line="129" w:lineRule="exact"/>
              <w:rPr>
                <w:sz w:val="20"/>
                <w:szCs w:val="20"/>
                <w:color w:val="auto"/>
              </w:rPr>
            </w:pPr>
            <w:r>
              <w:rPr>
                <w:rFonts w:ascii="Arial" w:cs="Arial" w:eastAsia="Arial" w:hAnsi="Arial"/>
                <w:sz w:val="14"/>
                <w:szCs w:val="14"/>
                <w:color w:val="auto"/>
              </w:rPr>
              <w:t>1.40</w:t>
            </w: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20" w:type="dxa"/>
            <w:vAlign w:val="bottom"/>
            <w:tcBorders>
              <w:top w:val="single" w:sz="8" w:color="auto"/>
            </w:tcBorders>
          </w:tcPr>
          <w:p>
            <w:pPr>
              <w:jc w:val="right"/>
              <w:spacing w:after="0" w:line="129" w:lineRule="exact"/>
              <w:rPr>
                <w:sz w:val="20"/>
                <w:szCs w:val="20"/>
                <w:color w:val="auto"/>
              </w:rPr>
            </w:pPr>
            <w:r>
              <w:rPr>
                <w:rFonts w:ascii="Arial" w:cs="Arial" w:eastAsia="Arial" w:hAnsi="Arial"/>
                <w:sz w:val="14"/>
                <w:szCs w:val="14"/>
                <w:color w:val="auto"/>
              </w:rPr>
              <w:t>$</w:t>
            </w:r>
          </w:p>
        </w:tc>
        <w:tc>
          <w:tcPr>
            <w:tcW w:w="620" w:type="dxa"/>
            <w:vAlign w:val="bottom"/>
            <w:tcBorders>
              <w:top w:val="single" w:sz="8" w:color="auto"/>
            </w:tcBorders>
          </w:tcPr>
          <w:p>
            <w:pPr>
              <w:jc w:val="right"/>
              <w:spacing w:after="0" w:line="129" w:lineRule="exact"/>
              <w:rPr>
                <w:sz w:val="20"/>
                <w:szCs w:val="20"/>
                <w:color w:val="auto"/>
              </w:rPr>
            </w:pPr>
            <w:r>
              <w:rPr>
                <w:rFonts w:ascii="Arial" w:cs="Arial" w:eastAsia="Arial" w:hAnsi="Arial"/>
                <w:sz w:val="14"/>
                <w:szCs w:val="14"/>
                <w:color w:val="auto"/>
              </w:rPr>
              <w:t>0.42</w:t>
            </w: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98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Net income per share — diluted</w:t>
            </w:r>
          </w:p>
        </w:tc>
        <w:tc>
          <w:tcPr>
            <w:tcW w:w="1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0.55</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0.50</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1.04</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1.35</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0.42</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980" w:type="dxa"/>
            <w:vAlign w:val="bottom"/>
            <w:gridSpan w:val="2"/>
          </w:tcPr>
          <w:p>
            <w:pPr>
              <w:spacing w:after="0" w:line="149" w:lineRule="exact"/>
              <w:rPr>
                <w:sz w:val="20"/>
                <w:szCs w:val="20"/>
                <w:color w:val="auto"/>
              </w:rPr>
            </w:pPr>
            <w:r>
              <w:rPr>
                <w:rFonts w:ascii="Arial" w:cs="Arial" w:eastAsia="Arial" w:hAnsi="Arial"/>
                <w:sz w:val="14"/>
                <w:szCs w:val="14"/>
                <w:color w:val="auto"/>
              </w:rPr>
              <w:t>Operating cash flow</w:t>
            </w:r>
          </w:p>
        </w:tc>
        <w:tc>
          <w:tcPr>
            <w:tcW w:w="3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115,106</w:t>
            </w:r>
          </w:p>
        </w:tc>
        <w:tc>
          <w:tcPr>
            <w:tcW w:w="100" w:type="dxa"/>
            <w:vAlign w:val="bottom"/>
          </w:tcPr>
          <w:p>
            <w:pPr>
              <w:spacing w:after="0"/>
              <w:rPr>
                <w:sz w:val="12"/>
                <w:szCs w:val="12"/>
                <w:color w:val="auto"/>
              </w:rPr>
            </w:pPr>
          </w:p>
        </w:tc>
        <w:tc>
          <w:tcPr>
            <w:tcW w:w="2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121,175</w:t>
            </w:r>
          </w:p>
        </w:tc>
        <w:tc>
          <w:tcPr>
            <w:tcW w:w="100" w:type="dxa"/>
            <w:vAlign w:val="bottom"/>
          </w:tcPr>
          <w:p>
            <w:pPr>
              <w:spacing w:after="0"/>
              <w:rPr>
                <w:sz w:val="12"/>
                <w:szCs w:val="12"/>
                <w:color w:val="auto"/>
              </w:rPr>
            </w:pPr>
          </w:p>
        </w:tc>
        <w:tc>
          <w:tcPr>
            <w:tcW w:w="30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246,329</w:t>
            </w:r>
          </w:p>
        </w:tc>
        <w:tc>
          <w:tcPr>
            <w:tcW w:w="100" w:type="dxa"/>
            <w:vAlign w:val="bottom"/>
          </w:tcPr>
          <w:p>
            <w:pPr>
              <w:spacing w:after="0"/>
              <w:rPr>
                <w:sz w:val="12"/>
                <w:szCs w:val="12"/>
                <w:color w:val="auto"/>
              </w:rPr>
            </w:pPr>
          </w:p>
        </w:tc>
        <w:tc>
          <w:tcPr>
            <w:tcW w:w="2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227,015</w:t>
            </w:r>
          </w:p>
        </w:tc>
        <w:tc>
          <w:tcPr>
            <w:tcW w:w="80" w:type="dxa"/>
            <w:vAlign w:val="bottom"/>
          </w:tcPr>
          <w:p>
            <w:pPr>
              <w:spacing w:after="0"/>
              <w:rPr>
                <w:sz w:val="12"/>
                <w:szCs w:val="12"/>
                <w:color w:val="auto"/>
              </w:rPr>
            </w:pPr>
          </w:p>
        </w:tc>
        <w:tc>
          <w:tcPr>
            <w:tcW w:w="30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84,827</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98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Investing cash flow</w:t>
            </w:r>
          </w:p>
        </w:tc>
        <w:tc>
          <w:tcPr>
            <w:tcW w:w="3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7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(587,611)</w:t>
            </w:r>
          </w:p>
        </w:tc>
        <w:tc>
          <w:tcPr>
            <w:tcW w:w="2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7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(917,549)</w:t>
            </w:r>
          </w:p>
        </w:tc>
        <w:tc>
          <w:tcPr>
            <w:tcW w:w="30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7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(373,099)</w:t>
            </w:r>
          </w:p>
        </w:tc>
        <w:tc>
          <w:tcPr>
            <w:tcW w:w="2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7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(299,723)</w:t>
            </w:r>
          </w:p>
        </w:tc>
        <w:tc>
          <w:tcPr>
            <w:tcW w:w="30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7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(66,539)</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980" w:type="dxa"/>
            <w:vAlign w:val="bottom"/>
            <w:gridSpan w:val="2"/>
          </w:tcPr>
          <w:p>
            <w:pPr>
              <w:spacing w:after="0" w:line="149" w:lineRule="exact"/>
              <w:rPr>
                <w:sz w:val="20"/>
                <w:szCs w:val="20"/>
                <w:color w:val="auto"/>
              </w:rPr>
            </w:pPr>
            <w:r>
              <w:rPr>
                <w:rFonts w:ascii="Arial" w:cs="Arial" w:eastAsia="Arial" w:hAnsi="Arial"/>
                <w:sz w:val="14"/>
                <w:szCs w:val="14"/>
                <w:color w:val="auto"/>
              </w:rPr>
              <w:t>Financing cash flow</w:t>
            </w:r>
          </w:p>
        </w:tc>
        <w:tc>
          <w:tcPr>
            <w:tcW w:w="3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559,818</w:t>
            </w:r>
          </w:p>
        </w:tc>
        <w:tc>
          <w:tcPr>
            <w:tcW w:w="100" w:type="dxa"/>
            <w:vAlign w:val="bottom"/>
          </w:tcPr>
          <w:p>
            <w:pPr>
              <w:spacing w:after="0"/>
              <w:rPr>
                <w:sz w:val="12"/>
                <w:szCs w:val="12"/>
                <w:color w:val="auto"/>
              </w:rPr>
            </w:pPr>
          </w:p>
        </w:tc>
        <w:tc>
          <w:tcPr>
            <w:tcW w:w="2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558,072</w:t>
            </w:r>
          </w:p>
        </w:tc>
        <w:tc>
          <w:tcPr>
            <w:tcW w:w="100" w:type="dxa"/>
            <w:vAlign w:val="bottom"/>
          </w:tcPr>
          <w:p>
            <w:pPr>
              <w:spacing w:after="0"/>
              <w:rPr>
                <w:sz w:val="12"/>
                <w:szCs w:val="12"/>
                <w:color w:val="auto"/>
              </w:rPr>
            </w:pPr>
          </w:p>
        </w:tc>
        <w:tc>
          <w:tcPr>
            <w:tcW w:w="30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126,508</w:t>
            </w:r>
          </w:p>
        </w:tc>
        <w:tc>
          <w:tcPr>
            <w:tcW w:w="100" w:type="dxa"/>
            <w:vAlign w:val="bottom"/>
          </w:tcPr>
          <w:p>
            <w:pPr>
              <w:spacing w:after="0"/>
              <w:rPr>
                <w:sz w:val="12"/>
                <w:szCs w:val="12"/>
                <w:color w:val="auto"/>
              </w:rPr>
            </w:pPr>
          </w:p>
        </w:tc>
        <w:tc>
          <w:tcPr>
            <w:tcW w:w="2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297,816</w:t>
            </w:r>
          </w:p>
        </w:tc>
        <w:tc>
          <w:tcPr>
            <w:tcW w:w="80" w:type="dxa"/>
            <w:vAlign w:val="bottom"/>
          </w:tcPr>
          <w:p>
            <w:pPr>
              <w:spacing w:after="0"/>
              <w:rPr>
                <w:sz w:val="12"/>
                <w:szCs w:val="12"/>
                <w:color w:val="auto"/>
              </w:rPr>
            </w:pPr>
          </w:p>
        </w:tc>
        <w:tc>
          <w:tcPr>
            <w:tcW w:w="30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9,842</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98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Dividends declared per share</w:t>
            </w:r>
          </w:p>
        </w:tc>
        <w:tc>
          <w:tcPr>
            <w:tcW w:w="3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0.18</w:t>
            </w:r>
          </w:p>
        </w:tc>
        <w:tc>
          <w:tcPr>
            <w:tcW w:w="100" w:type="dxa"/>
            <w:vAlign w:val="bottom"/>
            <w:shd w:val="clear" w:color="auto" w:fill="CCEEFF"/>
          </w:tcPr>
          <w:p>
            <w:pPr>
              <w:spacing w:after="0"/>
              <w:rPr>
                <w:sz w:val="12"/>
                <w:szCs w:val="12"/>
                <w:color w:val="auto"/>
              </w:rPr>
            </w:pPr>
          </w:p>
        </w:tc>
        <w:tc>
          <w:tcPr>
            <w:tcW w:w="2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0.18</w:t>
            </w:r>
          </w:p>
        </w:tc>
        <w:tc>
          <w:tcPr>
            <w:tcW w:w="100" w:type="dxa"/>
            <w:vAlign w:val="bottom"/>
            <w:shd w:val="clear" w:color="auto" w:fill="CCEEFF"/>
          </w:tcPr>
          <w:p>
            <w:pPr>
              <w:spacing w:after="0"/>
              <w:rPr>
                <w:sz w:val="12"/>
                <w:szCs w:val="12"/>
                <w:color w:val="auto"/>
              </w:rPr>
            </w:pPr>
          </w:p>
        </w:tc>
        <w:tc>
          <w:tcPr>
            <w:tcW w:w="30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0.18</w:t>
            </w:r>
          </w:p>
        </w:tc>
        <w:tc>
          <w:tcPr>
            <w:tcW w:w="100" w:type="dxa"/>
            <w:vAlign w:val="bottom"/>
            <w:shd w:val="clear" w:color="auto" w:fill="CCEEFF"/>
          </w:tcPr>
          <w:p>
            <w:pPr>
              <w:spacing w:after="0"/>
              <w:rPr>
                <w:sz w:val="12"/>
                <w:szCs w:val="12"/>
                <w:color w:val="auto"/>
              </w:rPr>
            </w:pPr>
          </w:p>
        </w:tc>
        <w:tc>
          <w:tcPr>
            <w:tcW w:w="2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0.12</w:t>
            </w:r>
          </w:p>
        </w:tc>
        <w:tc>
          <w:tcPr>
            <w:tcW w:w="80" w:type="dxa"/>
            <w:vAlign w:val="bottom"/>
            <w:shd w:val="clear" w:color="auto" w:fill="CCEEFF"/>
          </w:tcPr>
          <w:p>
            <w:pPr>
              <w:spacing w:after="0"/>
              <w:rPr>
                <w:sz w:val="12"/>
                <w:szCs w:val="12"/>
                <w:color w:val="auto"/>
              </w:rPr>
            </w:pPr>
          </w:p>
        </w:tc>
        <w:tc>
          <w:tcPr>
            <w:tcW w:w="30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0.03</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980" w:type="dxa"/>
            <w:vAlign w:val="bottom"/>
            <w:gridSpan w:val="2"/>
          </w:tcPr>
          <w:p>
            <w:pPr>
              <w:spacing w:after="0" w:line="149" w:lineRule="exact"/>
              <w:rPr>
                <w:sz w:val="20"/>
                <w:szCs w:val="20"/>
                <w:color w:val="auto"/>
              </w:rPr>
            </w:pPr>
            <w:r>
              <w:rPr>
                <w:rFonts w:ascii="Arial" w:cs="Arial" w:eastAsia="Arial" w:hAnsi="Arial"/>
                <w:sz w:val="14"/>
                <w:szCs w:val="14"/>
                <w:color w:val="auto"/>
              </w:rPr>
              <w:t>Capital expenditures</w:t>
            </w:r>
          </w:p>
        </w:tc>
        <w:tc>
          <w:tcPr>
            <w:tcW w:w="3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657,175</w:t>
            </w:r>
          </w:p>
        </w:tc>
        <w:tc>
          <w:tcPr>
            <w:tcW w:w="100" w:type="dxa"/>
            <w:vAlign w:val="bottom"/>
          </w:tcPr>
          <w:p>
            <w:pPr>
              <w:spacing w:after="0"/>
              <w:rPr>
                <w:sz w:val="12"/>
                <w:szCs w:val="12"/>
                <w:color w:val="auto"/>
              </w:rPr>
            </w:pPr>
          </w:p>
        </w:tc>
        <w:tc>
          <w:tcPr>
            <w:tcW w:w="2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908,853</w:t>
            </w:r>
          </w:p>
        </w:tc>
        <w:tc>
          <w:tcPr>
            <w:tcW w:w="100" w:type="dxa"/>
            <w:vAlign w:val="bottom"/>
          </w:tcPr>
          <w:p>
            <w:pPr>
              <w:spacing w:after="0"/>
              <w:rPr>
                <w:sz w:val="12"/>
                <w:szCs w:val="12"/>
                <w:color w:val="auto"/>
              </w:rPr>
            </w:pPr>
          </w:p>
        </w:tc>
        <w:tc>
          <w:tcPr>
            <w:tcW w:w="30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523,793</w:t>
            </w:r>
          </w:p>
        </w:tc>
        <w:tc>
          <w:tcPr>
            <w:tcW w:w="100" w:type="dxa"/>
            <w:vAlign w:val="bottom"/>
          </w:tcPr>
          <w:p>
            <w:pPr>
              <w:spacing w:after="0"/>
              <w:rPr>
                <w:sz w:val="12"/>
                <w:szCs w:val="12"/>
                <w:color w:val="auto"/>
              </w:rPr>
            </w:pPr>
          </w:p>
        </w:tc>
        <w:tc>
          <w:tcPr>
            <w:tcW w:w="2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149,185</w:t>
            </w:r>
          </w:p>
        </w:tc>
        <w:tc>
          <w:tcPr>
            <w:tcW w:w="80" w:type="dxa"/>
            <w:vAlign w:val="bottom"/>
          </w:tcPr>
          <w:p>
            <w:pPr>
              <w:spacing w:after="0"/>
              <w:rPr>
                <w:sz w:val="12"/>
                <w:szCs w:val="12"/>
                <w:color w:val="auto"/>
              </w:rPr>
            </w:pPr>
          </w:p>
        </w:tc>
        <w:tc>
          <w:tcPr>
            <w:tcW w:w="30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70,270</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98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Average gold price per ounce realized</w:t>
            </w:r>
          </w:p>
        </w:tc>
        <w:tc>
          <w:tcPr>
            <w:tcW w:w="3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1,024</w:t>
            </w:r>
          </w:p>
        </w:tc>
        <w:tc>
          <w:tcPr>
            <w:tcW w:w="100" w:type="dxa"/>
            <w:vAlign w:val="bottom"/>
            <w:shd w:val="clear" w:color="auto" w:fill="CCEEFF"/>
          </w:tcPr>
          <w:p>
            <w:pPr>
              <w:spacing w:after="0"/>
              <w:rPr>
                <w:sz w:val="12"/>
                <w:szCs w:val="12"/>
                <w:color w:val="auto"/>
              </w:rPr>
            </w:pPr>
          </w:p>
        </w:tc>
        <w:tc>
          <w:tcPr>
            <w:tcW w:w="2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879</w:t>
            </w:r>
          </w:p>
        </w:tc>
        <w:tc>
          <w:tcPr>
            <w:tcW w:w="100" w:type="dxa"/>
            <w:vAlign w:val="bottom"/>
            <w:shd w:val="clear" w:color="auto" w:fill="CCEEFF"/>
          </w:tcPr>
          <w:p>
            <w:pPr>
              <w:spacing w:after="0"/>
              <w:rPr>
                <w:sz w:val="12"/>
                <w:szCs w:val="12"/>
                <w:color w:val="auto"/>
              </w:rPr>
            </w:pPr>
          </w:p>
        </w:tc>
        <w:tc>
          <w:tcPr>
            <w:tcW w:w="30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748</w:t>
            </w:r>
          </w:p>
        </w:tc>
        <w:tc>
          <w:tcPr>
            <w:tcW w:w="100" w:type="dxa"/>
            <w:vAlign w:val="bottom"/>
            <w:shd w:val="clear" w:color="auto" w:fill="CCEEFF"/>
          </w:tcPr>
          <w:p>
            <w:pPr>
              <w:spacing w:after="0"/>
              <w:rPr>
                <w:sz w:val="12"/>
                <w:szCs w:val="12"/>
                <w:color w:val="auto"/>
              </w:rPr>
            </w:pPr>
          </w:p>
        </w:tc>
        <w:tc>
          <w:tcPr>
            <w:tcW w:w="2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622</w:t>
            </w:r>
          </w:p>
        </w:tc>
        <w:tc>
          <w:tcPr>
            <w:tcW w:w="80" w:type="dxa"/>
            <w:vAlign w:val="bottom"/>
            <w:shd w:val="clear" w:color="auto" w:fill="CCEEFF"/>
          </w:tcPr>
          <w:p>
            <w:pPr>
              <w:spacing w:after="0"/>
              <w:rPr>
                <w:sz w:val="12"/>
                <w:szCs w:val="12"/>
                <w:color w:val="auto"/>
              </w:rPr>
            </w:pPr>
          </w:p>
        </w:tc>
        <w:tc>
          <w:tcPr>
            <w:tcW w:w="30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449</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980" w:type="dxa"/>
            <w:vAlign w:val="bottom"/>
            <w:gridSpan w:val="2"/>
          </w:tcPr>
          <w:p>
            <w:pPr>
              <w:spacing w:after="0" w:line="149" w:lineRule="exact"/>
              <w:rPr>
                <w:sz w:val="20"/>
                <w:szCs w:val="20"/>
                <w:color w:val="auto"/>
              </w:rPr>
            </w:pPr>
            <w:r>
              <w:rPr>
                <w:rFonts w:ascii="Arial" w:cs="Arial" w:eastAsia="Arial" w:hAnsi="Arial"/>
                <w:sz w:val="14"/>
                <w:szCs w:val="14"/>
                <w:color w:val="auto"/>
              </w:rPr>
              <w:t>Average exchange rate — C$ per $</w:t>
            </w:r>
          </w:p>
        </w:tc>
        <w:tc>
          <w:tcPr>
            <w:tcW w:w="3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C$</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1.1415</w:t>
            </w:r>
          </w:p>
        </w:tc>
        <w:tc>
          <w:tcPr>
            <w:tcW w:w="100" w:type="dxa"/>
            <w:vAlign w:val="bottom"/>
          </w:tcPr>
          <w:p>
            <w:pPr>
              <w:spacing w:after="0"/>
              <w:rPr>
                <w:sz w:val="12"/>
                <w:szCs w:val="12"/>
                <w:color w:val="auto"/>
              </w:rPr>
            </w:pPr>
          </w:p>
        </w:tc>
        <w:tc>
          <w:tcPr>
            <w:tcW w:w="2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C$</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1.0669</w:t>
            </w:r>
          </w:p>
        </w:tc>
        <w:tc>
          <w:tcPr>
            <w:tcW w:w="100" w:type="dxa"/>
            <w:vAlign w:val="bottom"/>
          </w:tcPr>
          <w:p>
            <w:pPr>
              <w:spacing w:after="0"/>
              <w:rPr>
                <w:sz w:val="12"/>
                <w:szCs w:val="12"/>
                <w:color w:val="auto"/>
              </w:rPr>
            </w:pPr>
          </w:p>
        </w:tc>
        <w:tc>
          <w:tcPr>
            <w:tcW w:w="300" w:type="dxa"/>
            <w:vAlign w:val="bottom"/>
            <w:gridSpan w:val="2"/>
          </w:tcPr>
          <w:p>
            <w:pPr>
              <w:jc w:val="right"/>
              <w:ind w:right="12"/>
              <w:spacing w:after="0" w:line="149" w:lineRule="exact"/>
              <w:rPr>
                <w:sz w:val="20"/>
                <w:szCs w:val="20"/>
                <w:color w:val="auto"/>
              </w:rPr>
            </w:pPr>
            <w:r>
              <w:rPr>
                <w:rFonts w:ascii="Arial" w:cs="Arial" w:eastAsia="Arial" w:hAnsi="Arial"/>
                <w:sz w:val="14"/>
                <w:szCs w:val="14"/>
                <w:color w:val="auto"/>
              </w:rPr>
              <w:t>C$</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1.0738</w:t>
            </w:r>
          </w:p>
        </w:tc>
        <w:tc>
          <w:tcPr>
            <w:tcW w:w="100" w:type="dxa"/>
            <w:vAlign w:val="bottom"/>
          </w:tcPr>
          <w:p>
            <w:pPr>
              <w:spacing w:after="0"/>
              <w:rPr>
                <w:sz w:val="12"/>
                <w:szCs w:val="12"/>
                <w:color w:val="auto"/>
              </w:rPr>
            </w:pPr>
          </w:p>
        </w:tc>
        <w:tc>
          <w:tcPr>
            <w:tcW w:w="2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C$</w:t>
            </w: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1.1344</w:t>
            </w:r>
          </w:p>
        </w:tc>
        <w:tc>
          <w:tcPr>
            <w:tcW w:w="80" w:type="dxa"/>
            <w:vAlign w:val="bottom"/>
          </w:tcPr>
          <w:p>
            <w:pPr>
              <w:spacing w:after="0"/>
              <w:rPr>
                <w:sz w:val="12"/>
                <w:szCs w:val="12"/>
                <w:color w:val="auto"/>
              </w:rPr>
            </w:pPr>
          </w:p>
        </w:tc>
        <w:tc>
          <w:tcPr>
            <w:tcW w:w="300" w:type="dxa"/>
            <w:vAlign w:val="bottom"/>
            <w:gridSpan w:val="2"/>
          </w:tcPr>
          <w:p>
            <w:pPr>
              <w:jc w:val="right"/>
              <w:ind w:right="12"/>
              <w:spacing w:after="0" w:line="149" w:lineRule="exact"/>
              <w:rPr>
                <w:sz w:val="20"/>
                <w:szCs w:val="20"/>
                <w:color w:val="auto"/>
              </w:rPr>
            </w:pPr>
            <w:r>
              <w:rPr>
                <w:rFonts w:ascii="Arial" w:cs="Arial" w:eastAsia="Arial" w:hAnsi="Arial"/>
                <w:sz w:val="14"/>
                <w:szCs w:val="14"/>
                <w:color w:val="auto"/>
              </w:rPr>
              <w:t>C$</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1.2115</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98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w w:val="87"/>
              </w:rPr>
              <w:t>Weighted average number of common shares outstanding (in thousands)</w:t>
            </w:r>
          </w:p>
        </w:tc>
        <w:tc>
          <w:tcPr>
            <w:tcW w:w="1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155,972</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144,741</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132,768</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115,461</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89,030</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980" w:type="dxa"/>
            <w:vAlign w:val="bottom"/>
            <w:gridSpan w:val="2"/>
          </w:tcPr>
          <w:p>
            <w:pPr>
              <w:spacing w:after="0" w:line="149" w:lineRule="exact"/>
              <w:rPr>
                <w:sz w:val="20"/>
                <w:szCs w:val="20"/>
                <w:color w:val="auto"/>
              </w:rPr>
            </w:pPr>
            <w:r>
              <w:rPr>
                <w:rFonts w:ascii="Arial" w:cs="Arial" w:eastAsia="Arial" w:hAnsi="Arial"/>
                <w:sz w:val="14"/>
                <w:szCs w:val="14"/>
                <w:color w:val="auto"/>
              </w:rPr>
              <w:t>Working capital (including undrawn credit lines)</w:t>
            </w:r>
          </w:p>
        </w:tc>
        <w:tc>
          <w:tcPr>
            <w:tcW w:w="3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598,581</w:t>
            </w:r>
          </w:p>
        </w:tc>
        <w:tc>
          <w:tcPr>
            <w:tcW w:w="100" w:type="dxa"/>
            <w:vAlign w:val="bottom"/>
          </w:tcPr>
          <w:p>
            <w:pPr>
              <w:spacing w:after="0"/>
              <w:rPr>
                <w:sz w:val="12"/>
                <w:szCs w:val="12"/>
                <w:color w:val="auto"/>
              </w:rPr>
            </w:pPr>
          </w:p>
        </w:tc>
        <w:tc>
          <w:tcPr>
            <w:tcW w:w="2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508,335</w:t>
            </w:r>
          </w:p>
        </w:tc>
        <w:tc>
          <w:tcPr>
            <w:tcW w:w="100" w:type="dxa"/>
            <w:vAlign w:val="bottom"/>
          </w:tcPr>
          <w:p>
            <w:pPr>
              <w:spacing w:after="0"/>
              <w:rPr>
                <w:sz w:val="12"/>
                <w:szCs w:val="12"/>
                <w:color w:val="auto"/>
              </w:rPr>
            </w:pPr>
          </w:p>
        </w:tc>
        <w:tc>
          <w:tcPr>
            <w:tcW w:w="30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751,587</w:t>
            </w:r>
          </w:p>
        </w:tc>
        <w:tc>
          <w:tcPr>
            <w:tcW w:w="100" w:type="dxa"/>
            <w:vAlign w:val="bottom"/>
          </w:tcPr>
          <w:p>
            <w:pPr>
              <w:spacing w:after="0"/>
              <w:rPr>
                <w:sz w:val="12"/>
                <w:szCs w:val="12"/>
                <w:color w:val="auto"/>
              </w:rPr>
            </w:pPr>
          </w:p>
        </w:tc>
        <w:tc>
          <w:tcPr>
            <w:tcW w:w="2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839,898</w:t>
            </w:r>
          </w:p>
        </w:tc>
        <w:tc>
          <w:tcPr>
            <w:tcW w:w="80" w:type="dxa"/>
            <w:vAlign w:val="bottom"/>
          </w:tcPr>
          <w:p>
            <w:pPr>
              <w:spacing w:after="0"/>
              <w:rPr>
                <w:sz w:val="12"/>
                <w:szCs w:val="12"/>
                <w:color w:val="auto"/>
              </w:rPr>
            </w:pPr>
          </w:p>
        </w:tc>
        <w:tc>
          <w:tcPr>
            <w:tcW w:w="30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338,490</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98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Total assets</w:t>
            </w:r>
          </w:p>
        </w:tc>
        <w:tc>
          <w:tcPr>
            <w:tcW w:w="3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96"/>
              </w:rPr>
              <w:t>4,427,357</w:t>
            </w:r>
          </w:p>
        </w:tc>
        <w:tc>
          <w:tcPr>
            <w:tcW w:w="100" w:type="dxa"/>
            <w:vAlign w:val="bottom"/>
            <w:shd w:val="clear" w:color="auto" w:fill="CCEEFF"/>
          </w:tcPr>
          <w:p>
            <w:pPr>
              <w:spacing w:after="0"/>
              <w:rPr>
                <w:sz w:val="12"/>
                <w:szCs w:val="12"/>
                <w:color w:val="auto"/>
              </w:rPr>
            </w:pPr>
          </w:p>
        </w:tc>
        <w:tc>
          <w:tcPr>
            <w:tcW w:w="2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96"/>
              </w:rPr>
              <w:t>3,378,824</w:t>
            </w:r>
          </w:p>
        </w:tc>
        <w:tc>
          <w:tcPr>
            <w:tcW w:w="100" w:type="dxa"/>
            <w:vAlign w:val="bottom"/>
            <w:shd w:val="clear" w:color="auto" w:fill="CCEEFF"/>
          </w:tcPr>
          <w:p>
            <w:pPr>
              <w:spacing w:after="0"/>
              <w:rPr>
                <w:sz w:val="12"/>
                <w:szCs w:val="12"/>
                <w:color w:val="auto"/>
              </w:rPr>
            </w:pPr>
          </w:p>
        </w:tc>
        <w:tc>
          <w:tcPr>
            <w:tcW w:w="30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96"/>
              </w:rPr>
              <w:t>2,735,498</w:t>
            </w:r>
          </w:p>
        </w:tc>
        <w:tc>
          <w:tcPr>
            <w:tcW w:w="100" w:type="dxa"/>
            <w:vAlign w:val="bottom"/>
            <w:shd w:val="clear" w:color="auto" w:fill="CCEEFF"/>
          </w:tcPr>
          <w:p>
            <w:pPr>
              <w:spacing w:after="0"/>
              <w:rPr>
                <w:sz w:val="12"/>
                <w:szCs w:val="12"/>
                <w:color w:val="auto"/>
              </w:rPr>
            </w:pPr>
          </w:p>
        </w:tc>
        <w:tc>
          <w:tcPr>
            <w:tcW w:w="2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96"/>
              </w:rPr>
              <w:t>1,521,488</w:t>
            </w:r>
          </w:p>
        </w:tc>
        <w:tc>
          <w:tcPr>
            <w:tcW w:w="80" w:type="dxa"/>
            <w:vAlign w:val="bottom"/>
            <w:shd w:val="clear" w:color="auto" w:fill="CCEEFF"/>
          </w:tcPr>
          <w:p>
            <w:pPr>
              <w:spacing w:after="0"/>
              <w:rPr>
                <w:sz w:val="12"/>
                <w:szCs w:val="12"/>
                <w:color w:val="auto"/>
              </w:rPr>
            </w:pPr>
          </w:p>
        </w:tc>
        <w:tc>
          <w:tcPr>
            <w:tcW w:w="30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976,069</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980" w:type="dxa"/>
            <w:vAlign w:val="bottom"/>
            <w:gridSpan w:val="2"/>
          </w:tcPr>
          <w:p>
            <w:pPr>
              <w:spacing w:after="0" w:line="149" w:lineRule="exact"/>
              <w:rPr>
                <w:sz w:val="20"/>
                <w:szCs w:val="20"/>
                <w:color w:val="auto"/>
              </w:rPr>
            </w:pPr>
            <w:r>
              <w:rPr>
                <w:rFonts w:ascii="Arial" w:cs="Arial" w:eastAsia="Arial" w:hAnsi="Arial"/>
                <w:sz w:val="14"/>
                <w:szCs w:val="14"/>
                <w:color w:val="auto"/>
              </w:rPr>
              <w:t>Long-term debt</w:t>
            </w:r>
          </w:p>
        </w:tc>
        <w:tc>
          <w:tcPr>
            <w:tcW w:w="3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715,000</w:t>
            </w:r>
          </w:p>
        </w:tc>
        <w:tc>
          <w:tcPr>
            <w:tcW w:w="100" w:type="dxa"/>
            <w:vAlign w:val="bottom"/>
          </w:tcPr>
          <w:p>
            <w:pPr>
              <w:spacing w:after="0"/>
              <w:rPr>
                <w:sz w:val="12"/>
                <w:szCs w:val="12"/>
                <w:color w:val="auto"/>
              </w:rPr>
            </w:pPr>
          </w:p>
        </w:tc>
        <w:tc>
          <w:tcPr>
            <w:tcW w:w="2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200,000</w:t>
            </w:r>
          </w:p>
        </w:tc>
        <w:tc>
          <w:tcPr>
            <w:tcW w:w="100" w:type="dxa"/>
            <w:vAlign w:val="bottom"/>
          </w:tcPr>
          <w:p>
            <w:pPr>
              <w:spacing w:after="0"/>
              <w:rPr>
                <w:sz w:val="12"/>
                <w:szCs w:val="12"/>
                <w:color w:val="auto"/>
              </w:rPr>
            </w:pPr>
          </w:p>
        </w:tc>
        <w:tc>
          <w:tcPr>
            <w:tcW w:w="30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7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2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7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30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131,056</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98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Shareholders' equity</w:t>
            </w:r>
          </w:p>
        </w:tc>
        <w:tc>
          <w:tcPr>
            <w:tcW w:w="3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96"/>
              </w:rPr>
              <w:t>2,751,761</w:t>
            </w:r>
          </w:p>
        </w:tc>
        <w:tc>
          <w:tcPr>
            <w:tcW w:w="100" w:type="dxa"/>
            <w:vAlign w:val="bottom"/>
            <w:shd w:val="clear" w:color="auto" w:fill="CCEEFF"/>
          </w:tcPr>
          <w:p>
            <w:pPr>
              <w:spacing w:after="0"/>
              <w:rPr>
                <w:sz w:val="12"/>
                <w:szCs w:val="12"/>
                <w:color w:val="auto"/>
              </w:rPr>
            </w:pPr>
          </w:p>
        </w:tc>
        <w:tc>
          <w:tcPr>
            <w:tcW w:w="2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96"/>
              </w:rPr>
              <w:t>2,517,756</w:t>
            </w:r>
          </w:p>
        </w:tc>
        <w:tc>
          <w:tcPr>
            <w:tcW w:w="100" w:type="dxa"/>
            <w:vAlign w:val="bottom"/>
            <w:shd w:val="clear" w:color="auto" w:fill="CCEEFF"/>
          </w:tcPr>
          <w:p>
            <w:pPr>
              <w:spacing w:after="0"/>
              <w:rPr>
                <w:sz w:val="12"/>
                <w:szCs w:val="12"/>
                <w:color w:val="auto"/>
              </w:rPr>
            </w:pPr>
          </w:p>
        </w:tc>
        <w:tc>
          <w:tcPr>
            <w:tcW w:w="30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96"/>
              </w:rPr>
              <w:t>2,058,934</w:t>
            </w:r>
          </w:p>
        </w:tc>
        <w:tc>
          <w:tcPr>
            <w:tcW w:w="100" w:type="dxa"/>
            <w:vAlign w:val="bottom"/>
            <w:shd w:val="clear" w:color="auto" w:fill="CCEEFF"/>
          </w:tcPr>
          <w:p>
            <w:pPr>
              <w:spacing w:after="0"/>
              <w:rPr>
                <w:sz w:val="12"/>
                <w:szCs w:val="12"/>
                <w:color w:val="auto"/>
              </w:rPr>
            </w:pPr>
          </w:p>
        </w:tc>
        <w:tc>
          <w:tcPr>
            <w:tcW w:w="2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96"/>
              </w:rPr>
              <w:t>1,252,405</w:t>
            </w:r>
          </w:p>
        </w:tc>
        <w:tc>
          <w:tcPr>
            <w:tcW w:w="80" w:type="dxa"/>
            <w:vAlign w:val="bottom"/>
            <w:shd w:val="clear" w:color="auto" w:fill="CCEEFF"/>
          </w:tcPr>
          <w:p>
            <w:pPr>
              <w:spacing w:after="0"/>
              <w:rPr>
                <w:sz w:val="12"/>
                <w:szCs w:val="12"/>
                <w:color w:val="auto"/>
              </w:rPr>
            </w:pPr>
          </w:p>
        </w:tc>
        <w:tc>
          <w:tcPr>
            <w:tcW w:w="30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655,067</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324"/>
        </w:trPr>
        <w:tc>
          <w:tcPr>
            <w:tcW w:w="4000" w:type="dxa"/>
            <w:vAlign w:val="bottom"/>
            <w:gridSpan w:val="3"/>
          </w:tcPr>
          <w:p>
            <w:pPr>
              <w:spacing w:after="0"/>
              <w:rPr>
                <w:sz w:val="20"/>
                <w:szCs w:val="20"/>
                <w:color w:val="auto"/>
              </w:rPr>
            </w:pPr>
            <w:r>
              <w:rPr>
                <w:rFonts w:ascii="Arial" w:cs="Arial" w:eastAsia="Arial" w:hAnsi="Arial"/>
                <w:sz w:val="14"/>
                <w:szCs w:val="14"/>
                <w:b w:val="1"/>
                <w:bCs w:val="1"/>
                <w:color w:val="auto"/>
              </w:rPr>
              <w:t>Operating Summary</w:t>
            </w:r>
          </w:p>
        </w:tc>
        <w:tc>
          <w:tcPr>
            <w:tcW w:w="1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20" w:type="dxa"/>
            <w:vAlign w:val="bottom"/>
          </w:tcPr>
          <w:p>
            <w:pPr>
              <w:spacing w:after="0"/>
              <w:rPr>
                <w:sz w:val="24"/>
                <w:szCs w:val="24"/>
                <w:color w:val="auto"/>
              </w:rPr>
            </w:pPr>
          </w:p>
        </w:tc>
        <w:tc>
          <w:tcPr>
            <w:tcW w:w="3980" w:type="dxa"/>
            <w:vAlign w:val="bottom"/>
            <w:gridSpan w:val="2"/>
            <w:shd w:val="clear" w:color="auto" w:fill="CCEEFF"/>
          </w:tcPr>
          <w:p>
            <w:pPr>
              <w:spacing w:after="0"/>
              <w:rPr>
                <w:sz w:val="20"/>
                <w:szCs w:val="20"/>
                <w:color w:val="auto"/>
              </w:rPr>
            </w:pPr>
            <w:r>
              <w:rPr>
                <w:rFonts w:ascii="Arial" w:cs="Arial" w:eastAsia="Arial" w:hAnsi="Arial"/>
                <w:sz w:val="14"/>
                <w:szCs w:val="14"/>
                <w:i w:val="1"/>
                <w:iCs w:val="1"/>
                <w:color w:val="auto"/>
              </w:rPr>
              <w:t>LaRonde Mine</w:t>
            </w:r>
          </w:p>
        </w:tc>
        <w:tc>
          <w:tcPr>
            <w:tcW w:w="10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62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62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240" w:type="dxa"/>
            <w:vAlign w:val="bottom"/>
            <w:shd w:val="clear" w:color="auto" w:fill="CCEEFF"/>
          </w:tcPr>
          <w:p>
            <w:pPr>
              <w:spacing w:after="0"/>
              <w:rPr>
                <w:sz w:val="24"/>
                <w:szCs w:val="24"/>
                <w:color w:val="auto"/>
              </w:rPr>
            </w:pPr>
          </w:p>
        </w:tc>
        <w:tc>
          <w:tcPr>
            <w:tcW w:w="62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64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62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980" w:type="dxa"/>
            <w:vAlign w:val="bottom"/>
            <w:gridSpan w:val="2"/>
          </w:tcPr>
          <w:p>
            <w:pPr>
              <w:spacing w:after="0" w:line="149" w:lineRule="exact"/>
              <w:rPr>
                <w:sz w:val="20"/>
                <w:szCs w:val="20"/>
                <w:color w:val="auto"/>
              </w:rPr>
            </w:pPr>
            <w:r>
              <w:rPr>
                <w:rFonts w:ascii="Arial" w:cs="Arial" w:eastAsia="Arial" w:hAnsi="Arial"/>
                <w:sz w:val="14"/>
                <w:szCs w:val="14"/>
                <w:color w:val="auto"/>
              </w:rPr>
              <w:t>Revenues from mining operations</w:t>
            </w:r>
          </w:p>
        </w:tc>
        <w:tc>
          <w:tcPr>
            <w:tcW w:w="3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352,221</w:t>
            </w:r>
          </w:p>
        </w:tc>
        <w:tc>
          <w:tcPr>
            <w:tcW w:w="100" w:type="dxa"/>
            <w:vAlign w:val="bottom"/>
          </w:tcPr>
          <w:p>
            <w:pPr>
              <w:spacing w:after="0"/>
              <w:rPr>
                <w:sz w:val="12"/>
                <w:szCs w:val="12"/>
                <w:color w:val="auto"/>
              </w:rPr>
            </w:pPr>
          </w:p>
        </w:tc>
        <w:tc>
          <w:tcPr>
            <w:tcW w:w="2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330,652</w:t>
            </w:r>
          </w:p>
        </w:tc>
        <w:tc>
          <w:tcPr>
            <w:tcW w:w="100" w:type="dxa"/>
            <w:vAlign w:val="bottom"/>
          </w:tcPr>
          <w:p>
            <w:pPr>
              <w:spacing w:after="0"/>
              <w:rPr>
                <w:sz w:val="12"/>
                <w:szCs w:val="12"/>
                <w:color w:val="auto"/>
              </w:rPr>
            </w:pPr>
          </w:p>
        </w:tc>
        <w:tc>
          <w:tcPr>
            <w:tcW w:w="30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432,205</w:t>
            </w:r>
          </w:p>
        </w:tc>
        <w:tc>
          <w:tcPr>
            <w:tcW w:w="100" w:type="dxa"/>
            <w:vAlign w:val="bottom"/>
          </w:tcPr>
          <w:p>
            <w:pPr>
              <w:spacing w:after="0"/>
              <w:rPr>
                <w:sz w:val="12"/>
                <w:szCs w:val="12"/>
                <w:color w:val="auto"/>
              </w:rPr>
            </w:pPr>
          </w:p>
        </w:tc>
        <w:tc>
          <w:tcPr>
            <w:tcW w:w="2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464,632</w:t>
            </w:r>
          </w:p>
        </w:tc>
        <w:tc>
          <w:tcPr>
            <w:tcW w:w="80" w:type="dxa"/>
            <w:vAlign w:val="bottom"/>
          </w:tcPr>
          <w:p>
            <w:pPr>
              <w:spacing w:after="0"/>
              <w:rPr>
                <w:sz w:val="12"/>
                <w:szCs w:val="12"/>
                <w:color w:val="auto"/>
              </w:rPr>
            </w:pPr>
          </w:p>
        </w:tc>
        <w:tc>
          <w:tcPr>
            <w:tcW w:w="30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241,338</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98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Production costs</w:t>
            </w:r>
          </w:p>
        </w:tc>
        <w:tc>
          <w:tcPr>
            <w:tcW w:w="1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164,221</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166,496</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166,104</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143,753</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127,365</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7"/>
        </w:trPr>
        <w:tc>
          <w:tcPr>
            <w:tcW w:w="4000" w:type="dxa"/>
            <w:vAlign w:val="bottom"/>
            <w:gridSpan w:val="3"/>
            <w:vMerge w:val="restart"/>
          </w:tcPr>
          <w:p>
            <w:pPr>
              <w:spacing w:after="0"/>
              <w:rPr>
                <w:sz w:val="20"/>
                <w:szCs w:val="20"/>
                <w:color w:val="auto"/>
              </w:rPr>
            </w:pPr>
            <w:r>
              <w:rPr>
                <w:rFonts w:ascii="Arial" w:cs="Arial" w:eastAsia="Arial" w:hAnsi="Arial"/>
                <w:sz w:val="14"/>
                <w:szCs w:val="14"/>
                <w:color w:val="auto"/>
              </w:rPr>
              <w:t>Gross profit (exclusive of amortization shown below)</w:t>
            </w:r>
          </w:p>
        </w:tc>
        <w:tc>
          <w:tcPr>
            <w:tcW w:w="320" w:type="dxa"/>
            <w:vAlign w:val="bottom"/>
            <w:gridSpan w:val="2"/>
          </w:tcPr>
          <w:p>
            <w:pPr>
              <w:spacing w:after="0"/>
              <w:rPr>
                <w:sz w:val="2"/>
                <w:szCs w:val="2"/>
                <w:color w:val="auto"/>
              </w:rPr>
            </w:pPr>
          </w:p>
        </w:tc>
        <w:tc>
          <w:tcPr>
            <w:tcW w:w="620" w:type="dxa"/>
            <w:vAlign w:val="bottom"/>
          </w:tcPr>
          <w:p>
            <w:pPr>
              <w:spacing w:after="0"/>
              <w:rPr>
                <w:sz w:val="2"/>
                <w:szCs w:val="2"/>
                <w:color w:val="auto"/>
              </w:rPr>
            </w:pPr>
          </w:p>
        </w:tc>
        <w:tc>
          <w:tcPr>
            <w:tcW w:w="100" w:type="dxa"/>
            <w:vAlign w:val="bottom"/>
          </w:tcPr>
          <w:p>
            <w:pPr>
              <w:spacing w:after="0"/>
              <w:rPr>
                <w:sz w:val="2"/>
                <w:szCs w:val="2"/>
                <w:color w:val="auto"/>
              </w:rPr>
            </w:pPr>
          </w:p>
        </w:tc>
        <w:tc>
          <w:tcPr>
            <w:tcW w:w="280" w:type="dxa"/>
            <w:vAlign w:val="bottom"/>
            <w:gridSpan w:val="2"/>
          </w:tcPr>
          <w:p>
            <w:pPr>
              <w:spacing w:after="0"/>
              <w:rPr>
                <w:sz w:val="2"/>
                <w:szCs w:val="2"/>
                <w:color w:val="auto"/>
              </w:rPr>
            </w:pPr>
          </w:p>
        </w:tc>
        <w:tc>
          <w:tcPr>
            <w:tcW w:w="6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00" w:type="dxa"/>
            <w:vAlign w:val="bottom"/>
            <w:gridSpan w:val="2"/>
          </w:tcPr>
          <w:p>
            <w:pPr>
              <w:spacing w:after="0"/>
              <w:rPr>
                <w:sz w:val="2"/>
                <w:szCs w:val="2"/>
                <w:color w:val="auto"/>
              </w:rPr>
            </w:pPr>
          </w:p>
        </w:tc>
        <w:tc>
          <w:tcPr>
            <w:tcW w:w="620" w:type="dxa"/>
            <w:vAlign w:val="bottom"/>
          </w:tcPr>
          <w:p>
            <w:pPr>
              <w:spacing w:after="0"/>
              <w:rPr>
                <w:sz w:val="2"/>
                <w:szCs w:val="2"/>
                <w:color w:val="auto"/>
              </w:rPr>
            </w:pPr>
          </w:p>
        </w:tc>
        <w:tc>
          <w:tcPr>
            <w:tcW w:w="100" w:type="dxa"/>
            <w:vAlign w:val="bottom"/>
          </w:tcPr>
          <w:p>
            <w:pPr>
              <w:spacing w:after="0"/>
              <w:rPr>
                <w:sz w:val="2"/>
                <w:szCs w:val="2"/>
                <w:color w:val="auto"/>
              </w:rPr>
            </w:pPr>
          </w:p>
        </w:tc>
        <w:tc>
          <w:tcPr>
            <w:tcW w:w="280" w:type="dxa"/>
            <w:vAlign w:val="bottom"/>
            <w:gridSpan w:val="2"/>
          </w:tcPr>
          <w:p>
            <w:pPr>
              <w:spacing w:after="0"/>
              <w:rPr>
                <w:sz w:val="2"/>
                <w:szCs w:val="2"/>
                <w:color w:val="auto"/>
              </w:rPr>
            </w:pPr>
          </w:p>
        </w:tc>
        <w:tc>
          <w:tcPr>
            <w:tcW w:w="640" w:type="dxa"/>
            <w:vAlign w:val="bottom"/>
          </w:tcPr>
          <w:p>
            <w:pPr>
              <w:spacing w:after="0"/>
              <w:rPr>
                <w:sz w:val="2"/>
                <w:szCs w:val="2"/>
                <w:color w:val="auto"/>
              </w:rPr>
            </w:pPr>
          </w:p>
        </w:tc>
        <w:tc>
          <w:tcPr>
            <w:tcW w:w="80" w:type="dxa"/>
            <w:vAlign w:val="bottom"/>
          </w:tcPr>
          <w:p>
            <w:pPr>
              <w:spacing w:after="0"/>
              <w:rPr>
                <w:sz w:val="2"/>
                <w:szCs w:val="2"/>
                <w:color w:val="auto"/>
              </w:rPr>
            </w:pPr>
          </w:p>
        </w:tc>
        <w:tc>
          <w:tcPr>
            <w:tcW w:w="300" w:type="dxa"/>
            <w:vAlign w:val="bottom"/>
            <w:gridSpan w:val="2"/>
          </w:tcPr>
          <w:p>
            <w:pPr>
              <w:spacing w:after="0"/>
              <w:rPr>
                <w:sz w:val="2"/>
                <w:szCs w:val="2"/>
                <w:color w:val="auto"/>
              </w:rPr>
            </w:pPr>
          </w:p>
        </w:tc>
        <w:tc>
          <w:tcPr>
            <w:tcW w:w="620" w:type="dxa"/>
            <w:vAlign w:val="bottom"/>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42"/>
        </w:trPr>
        <w:tc>
          <w:tcPr>
            <w:tcW w:w="4000" w:type="dxa"/>
            <w:vAlign w:val="bottom"/>
            <w:gridSpan w:val="3"/>
            <w:vMerge w:val="continue"/>
          </w:tcPr>
          <w:p>
            <w:pPr>
              <w:spacing w:after="0"/>
              <w:rPr>
                <w:sz w:val="12"/>
                <w:szCs w:val="12"/>
                <w:color w:val="auto"/>
              </w:rPr>
            </w:pPr>
          </w:p>
        </w:tc>
        <w:tc>
          <w:tcPr>
            <w:tcW w:w="100" w:type="dxa"/>
            <w:vAlign w:val="bottom"/>
          </w:tcPr>
          <w:p>
            <w:pPr>
              <w:spacing w:after="0"/>
              <w:rPr>
                <w:sz w:val="12"/>
                <w:szCs w:val="12"/>
                <w:color w:val="auto"/>
              </w:rPr>
            </w:pPr>
          </w:p>
        </w:tc>
        <w:tc>
          <w:tcPr>
            <w:tcW w:w="22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color w:val="auto"/>
              </w:rPr>
              <w:t>$</w:t>
            </w:r>
          </w:p>
        </w:tc>
        <w:tc>
          <w:tcPr>
            <w:tcW w:w="62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color w:val="auto"/>
              </w:rPr>
              <w:t>188,000</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2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color w:val="auto"/>
              </w:rPr>
              <w:t>$</w:t>
            </w:r>
          </w:p>
        </w:tc>
        <w:tc>
          <w:tcPr>
            <w:tcW w:w="62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color w:val="auto"/>
              </w:rPr>
              <w:t>164,156</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4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color w:val="auto"/>
              </w:rPr>
              <w:t>$</w:t>
            </w:r>
          </w:p>
        </w:tc>
        <w:tc>
          <w:tcPr>
            <w:tcW w:w="62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color w:val="auto"/>
              </w:rPr>
              <w:t>266,101</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2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color w:val="auto"/>
              </w:rPr>
              <w:t>$</w:t>
            </w:r>
          </w:p>
        </w:tc>
        <w:tc>
          <w:tcPr>
            <w:tcW w:w="64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color w:val="auto"/>
              </w:rPr>
              <w:t>320,879</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2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color w:val="auto"/>
              </w:rPr>
              <w:t>$</w:t>
            </w:r>
          </w:p>
        </w:tc>
        <w:tc>
          <w:tcPr>
            <w:tcW w:w="62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color w:val="auto"/>
              </w:rPr>
              <w:t>113,973</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98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Amortization</w:t>
            </w:r>
          </w:p>
        </w:tc>
        <w:tc>
          <w:tcPr>
            <w:tcW w:w="1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28,392</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28,285</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27,757</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25,255</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26,062</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7"/>
        </w:trPr>
        <w:tc>
          <w:tcPr>
            <w:tcW w:w="4000" w:type="dxa"/>
            <w:vAlign w:val="bottom"/>
            <w:gridSpan w:val="3"/>
            <w:vMerge w:val="restart"/>
          </w:tcPr>
          <w:p>
            <w:pPr>
              <w:spacing w:after="0"/>
              <w:rPr>
                <w:sz w:val="20"/>
                <w:szCs w:val="20"/>
                <w:color w:val="auto"/>
              </w:rPr>
            </w:pPr>
            <w:r>
              <w:rPr>
                <w:rFonts w:ascii="Arial" w:cs="Arial" w:eastAsia="Arial" w:hAnsi="Arial"/>
                <w:sz w:val="14"/>
                <w:szCs w:val="14"/>
                <w:color w:val="auto"/>
              </w:rPr>
              <w:t>Gross profit</w:t>
            </w:r>
          </w:p>
        </w:tc>
        <w:tc>
          <w:tcPr>
            <w:tcW w:w="320" w:type="dxa"/>
            <w:vAlign w:val="bottom"/>
            <w:gridSpan w:val="2"/>
          </w:tcPr>
          <w:p>
            <w:pPr>
              <w:spacing w:after="0"/>
              <w:rPr>
                <w:sz w:val="2"/>
                <w:szCs w:val="2"/>
                <w:color w:val="auto"/>
              </w:rPr>
            </w:pPr>
          </w:p>
        </w:tc>
        <w:tc>
          <w:tcPr>
            <w:tcW w:w="620" w:type="dxa"/>
            <w:vAlign w:val="bottom"/>
          </w:tcPr>
          <w:p>
            <w:pPr>
              <w:spacing w:after="0"/>
              <w:rPr>
                <w:sz w:val="2"/>
                <w:szCs w:val="2"/>
                <w:color w:val="auto"/>
              </w:rPr>
            </w:pPr>
          </w:p>
        </w:tc>
        <w:tc>
          <w:tcPr>
            <w:tcW w:w="100" w:type="dxa"/>
            <w:vAlign w:val="bottom"/>
          </w:tcPr>
          <w:p>
            <w:pPr>
              <w:spacing w:after="0"/>
              <w:rPr>
                <w:sz w:val="2"/>
                <w:szCs w:val="2"/>
                <w:color w:val="auto"/>
              </w:rPr>
            </w:pPr>
          </w:p>
        </w:tc>
        <w:tc>
          <w:tcPr>
            <w:tcW w:w="280" w:type="dxa"/>
            <w:vAlign w:val="bottom"/>
            <w:gridSpan w:val="2"/>
          </w:tcPr>
          <w:p>
            <w:pPr>
              <w:spacing w:after="0"/>
              <w:rPr>
                <w:sz w:val="2"/>
                <w:szCs w:val="2"/>
                <w:color w:val="auto"/>
              </w:rPr>
            </w:pPr>
          </w:p>
        </w:tc>
        <w:tc>
          <w:tcPr>
            <w:tcW w:w="6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00" w:type="dxa"/>
            <w:vAlign w:val="bottom"/>
            <w:gridSpan w:val="2"/>
          </w:tcPr>
          <w:p>
            <w:pPr>
              <w:spacing w:after="0"/>
              <w:rPr>
                <w:sz w:val="2"/>
                <w:szCs w:val="2"/>
                <w:color w:val="auto"/>
              </w:rPr>
            </w:pPr>
          </w:p>
        </w:tc>
        <w:tc>
          <w:tcPr>
            <w:tcW w:w="620" w:type="dxa"/>
            <w:vAlign w:val="bottom"/>
          </w:tcPr>
          <w:p>
            <w:pPr>
              <w:spacing w:after="0"/>
              <w:rPr>
                <w:sz w:val="2"/>
                <w:szCs w:val="2"/>
                <w:color w:val="auto"/>
              </w:rPr>
            </w:pPr>
          </w:p>
        </w:tc>
        <w:tc>
          <w:tcPr>
            <w:tcW w:w="100" w:type="dxa"/>
            <w:vAlign w:val="bottom"/>
          </w:tcPr>
          <w:p>
            <w:pPr>
              <w:spacing w:after="0"/>
              <w:rPr>
                <w:sz w:val="2"/>
                <w:szCs w:val="2"/>
                <w:color w:val="auto"/>
              </w:rPr>
            </w:pPr>
          </w:p>
        </w:tc>
        <w:tc>
          <w:tcPr>
            <w:tcW w:w="280" w:type="dxa"/>
            <w:vAlign w:val="bottom"/>
            <w:gridSpan w:val="2"/>
          </w:tcPr>
          <w:p>
            <w:pPr>
              <w:spacing w:after="0"/>
              <w:rPr>
                <w:sz w:val="2"/>
                <w:szCs w:val="2"/>
                <w:color w:val="auto"/>
              </w:rPr>
            </w:pPr>
          </w:p>
        </w:tc>
        <w:tc>
          <w:tcPr>
            <w:tcW w:w="640" w:type="dxa"/>
            <w:vAlign w:val="bottom"/>
          </w:tcPr>
          <w:p>
            <w:pPr>
              <w:spacing w:after="0"/>
              <w:rPr>
                <w:sz w:val="2"/>
                <w:szCs w:val="2"/>
                <w:color w:val="auto"/>
              </w:rPr>
            </w:pPr>
          </w:p>
        </w:tc>
        <w:tc>
          <w:tcPr>
            <w:tcW w:w="80" w:type="dxa"/>
            <w:vAlign w:val="bottom"/>
          </w:tcPr>
          <w:p>
            <w:pPr>
              <w:spacing w:after="0"/>
              <w:rPr>
                <w:sz w:val="2"/>
                <w:szCs w:val="2"/>
                <w:color w:val="auto"/>
              </w:rPr>
            </w:pPr>
          </w:p>
        </w:tc>
        <w:tc>
          <w:tcPr>
            <w:tcW w:w="300" w:type="dxa"/>
            <w:vAlign w:val="bottom"/>
            <w:gridSpan w:val="2"/>
          </w:tcPr>
          <w:p>
            <w:pPr>
              <w:spacing w:after="0"/>
              <w:rPr>
                <w:sz w:val="2"/>
                <w:szCs w:val="2"/>
                <w:color w:val="auto"/>
              </w:rPr>
            </w:pPr>
          </w:p>
        </w:tc>
        <w:tc>
          <w:tcPr>
            <w:tcW w:w="620" w:type="dxa"/>
            <w:vAlign w:val="bottom"/>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67"/>
        </w:trPr>
        <w:tc>
          <w:tcPr>
            <w:tcW w:w="4000" w:type="dxa"/>
            <w:vAlign w:val="bottom"/>
            <w:gridSpan w:val="3"/>
            <w:vMerge w:val="continue"/>
          </w:tcPr>
          <w:p>
            <w:pPr>
              <w:spacing w:after="0"/>
              <w:rPr>
                <w:sz w:val="14"/>
                <w:szCs w:val="14"/>
                <w:color w:val="auto"/>
              </w:rPr>
            </w:pPr>
          </w:p>
        </w:tc>
        <w:tc>
          <w:tcPr>
            <w:tcW w:w="100" w:type="dxa"/>
            <w:vAlign w:val="bottom"/>
          </w:tcPr>
          <w:p>
            <w:pPr>
              <w:spacing w:after="0"/>
              <w:rPr>
                <w:sz w:val="14"/>
                <w:szCs w:val="14"/>
                <w:color w:val="auto"/>
              </w:rPr>
            </w:pPr>
          </w:p>
        </w:tc>
        <w:tc>
          <w:tcPr>
            <w:tcW w:w="2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w:t>
            </w: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159,608</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2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w:t>
            </w: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135,871</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2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w:t>
            </w: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238,344</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2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w:t>
            </w: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295,624</w:t>
            </w: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w:t>
            </w: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87,911</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27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1"/>
        </w:trPr>
        <w:tc>
          <w:tcPr>
            <w:tcW w:w="20" w:type="dxa"/>
            <w:vAlign w:val="bottom"/>
          </w:tcPr>
          <w:p>
            <w:pPr>
              <w:spacing w:after="0"/>
              <w:rPr>
                <w:sz w:val="11"/>
                <w:szCs w:val="11"/>
                <w:color w:val="auto"/>
              </w:rPr>
            </w:pPr>
          </w:p>
        </w:tc>
        <w:tc>
          <w:tcPr>
            <w:tcW w:w="3980" w:type="dxa"/>
            <w:vAlign w:val="bottom"/>
            <w:gridSpan w:val="2"/>
            <w:shd w:val="clear" w:color="auto" w:fill="CCEEFF"/>
          </w:tcPr>
          <w:p>
            <w:pPr>
              <w:spacing w:after="0" w:line="131" w:lineRule="exact"/>
              <w:rPr>
                <w:sz w:val="20"/>
                <w:szCs w:val="20"/>
                <w:color w:val="auto"/>
              </w:rPr>
            </w:pPr>
            <w:r>
              <w:rPr>
                <w:rFonts w:ascii="Arial" w:cs="Arial" w:eastAsia="Arial" w:hAnsi="Arial"/>
                <w:sz w:val="14"/>
                <w:szCs w:val="14"/>
                <w:color w:val="auto"/>
              </w:rPr>
              <w:t>Tonnes of ore milled</w:t>
            </w:r>
          </w:p>
        </w:tc>
        <w:tc>
          <w:tcPr>
            <w:tcW w:w="10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20" w:type="dxa"/>
            <w:vAlign w:val="bottom"/>
            <w:shd w:val="clear" w:color="auto" w:fill="CCEEFF"/>
          </w:tcPr>
          <w:p>
            <w:pPr>
              <w:jc w:val="right"/>
              <w:spacing w:after="0" w:line="131" w:lineRule="exact"/>
              <w:rPr>
                <w:sz w:val="20"/>
                <w:szCs w:val="20"/>
                <w:color w:val="auto"/>
              </w:rPr>
            </w:pPr>
            <w:r>
              <w:rPr>
                <w:rFonts w:ascii="Arial" w:cs="Arial" w:eastAsia="Arial" w:hAnsi="Arial"/>
                <w:sz w:val="14"/>
                <w:szCs w:val="14"/>
                <w:color w:val="auto"/>
                <w:w w:val="96"/>
              </w:rPr>
              <w:t>2,545,831</w:t>
            </w: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20" w:type="dxa"/>
            <w:vAlign w:val="bottom"/>
            <w:shd w:val="clear" w:color="auto" w:fill="CCEEFF"/>
          </w:tcPr>
          <w:p>
            <w:pPr>
              <w:jc w:val="right"/>
              <w:spacing w:after="0" w:line="131" w:lineRule="exact"/>
              <w:rPr>
                <w:sz w:val="20"/>
                <w:szCs w:val="20"/>
                <w:color w:val="auto"/>
              </w:rPr>
            </w:pPr>
            <w:r>
              <w:rPr>
                <w:rFonts w:ascii="Arial" w:cs="Arial" w:eastAsia="Arial" w:hAnsi="Arial"/>
                <w:sz w:val="14"/>
                <w:szCs w:val="14"/>
                <w:color w:val="auto"/>
                <w:w w:val="96"/>
              </w:rPr>
              <w:t>2,638,691</w:t>
            </w: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20" w:type="dxa"/>
            <w:vAlign w:val="bottom"/>
            <w:shd w:val="clear" w:color="auto" w:fill="CCEEFF"/>
          </w:tcPr>
          <w:p>
            <w:pPr>
              <w:jc w:val="right"/>
              <w:spacing w:after="0" w:line="131" w:lineRule="exact"/>
              <w:rPr>
                <w:sz w:val="20"/>
                <w:szCs w:val="20"/>
                <w:color w:val="auto"/>
              </w:rPr>
            </w:pPr>
            <w:r>
              <w:rPr>
                <w:rFonts w:ascii="Arial" w:cs="Arial" w:eastAsia="Arial" w:hAnsi="Arial"/>
                <w:sz w:val="14"/>
                <w:szCs w:val="14"/>
                <w:color w:val="auto"/>
                <w:w w:val="96"/>
              </w:rPr>
              <w:t>2,673,463</w:t>
            </w: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40" w:type="dxa"/>
            <w:vAlign w:val="bottom"/>
            <w:shd w:val="clear" w:color="auto" w:fill="CCEEFF"/>
          </w:tcPr>
          <w:p>
            <w:pPr>
              <w:jc w:val="right"/>
              <w:spacing w:after="0" w:line="131" w:lineRule="exact"/>
              <w:rPr>
                <w:sz w:val="20"/>
                <w:szCs w:val="20"/>
                <w:color w:val="auto"/>
              </w:rPr>
            </w:pPr>
            <w:r>
              <w:rPr>
                <w:rFonts w:ascii="Arial" w:cs="Arial" w:eastAsia="Arial" w:hAnsi="Arial"/>
                <w:sz w:val="14"/>
                <w:szCs w:val="14"/>
                <w:color w:val="auto"/>
                <w:w w:val="96"/>
              </w:rPr>
              <w:t>2,673,080</w:t>
            </w: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20" w:type="dxa"/>
            <w:vAlign w:val="bottom"/>
            <w:shd w:val="clear" w:color="auto" w:fill="CCEEFF"/>
          </w:tcPr>
          <w:p>
            <w:pPr>
              <w:jc w:val="right"/>
              <w:spacing w:after="0" w:line="131" w:lineRule="exact"/>
              <w:rPr>
                <w:sz w:val="20"/>
                <w:szCs w:val="20"/>
                <w:color w:val="auto"/>
              </w:rPr>
            </w:pPr>
            <w:r>
              <w:rPr>
                <w:rFonts w:ascii="Arial" w:cs="Arial" w:eastAsia="Arial" w:hAnsi="Arial"/>
                <w:sz w:val="14"/>
                <w:szCs w:val="14"/>
                <w:color w:val="auto"/>
                <w:w w:val="96"/>
              </w:rPr>
              <w:t>2,671,811</w:t>
            </w:r>
          </w:p>
        </w:tc>
        <w:tc>
          <w:tcPr>
            <w:tcW w:w="1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980" w:type="dxa"/>
            <w:vAlign w:val="bottom"/>
            <w:gridSpan w:val="2"/>
          </w:tcPr>
          <w:p>
            <w:pPr>
              <w:spacing w:after="0" w:line="149" w:lineRule="exact"/>
              <w:rPr>
                <w:sz w:val="20"/>
                <w:szCs w:val="20"/>
                <w:color w:val="auto"/>
              </w:rPr>
            </w:pPr>
            <w:r>
              <w:rPr>
                <w:rFonts w:ascii="Arial" w:cs="Arial" w:eastAsia="Arial" w:hAnsi="Arial"/>
                <w:sz w:val="14"/>
                <w:szCs w:val="14"/>
                <w:color w:val="auto"/>
              </w:rPr>
              <w:t>Gold — grams per tonne</w:t>
            </w:r>
          </w:p>
        </w:tc>
        <w:tc>
          <w:tcPr>
            <w:tcW w:w="1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2.75</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2.84</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2.95</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3.13</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3.11</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98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Gold production — ounces</w:t>
            </w:r>
          </w:p>
        </w:tc>
        <w:tc>
          <w:tcPr>
            <w:tcW w:w="1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203,494</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216,208</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230,992</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245,826</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241,807</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980" w:type="dxa"/>
            <w:vAlign w:val="bottom"/>
            <w:gridSpan w:val="2"/>
          </w:tcPr>
          <w:p>
            <w:pPr>
              <w:spacing w:after="0" w:line="149" w:lineRule="exact"/>
              <w:rPr>
                <w:sz w:val="20"/>
                <w:szCs w:val="20"/>
                <w:color w:val="auto"/>
              </w:rPr>
            </w:pPr>
            <w:r>
              <w:rPr>
                <w:rFonts w:ascii="Arial" w:cs="Arial" w:eastAsia="Arial" w:hAnsi="Arial"/>
                <w:sz w:val="14"/>
                <w:szCs w:val="14"/>
                <w:color w:val="auto"/>
              </w:rPr>
              <w:t>Silver production — ounces (in thousands)</w:t>
            </w:r>
          </w:p>
        </w:tc>
        <w:tc>
          <w:tcPr>
            <w:tcW w:w="1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3,919</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4,079</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4,920</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4,956</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4,831</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98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Zinc production — tonnes</w:t>
            </w:r>
          </w:p>
        </w:tc>
        <w:tc>
          <w:tcPr>
            <w:tcW w:w="1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56,186</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65,755</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71,577</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82,183</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76,545</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980" w:type="dxa"/>
            <w:vAlign w:val="bottom"/>
            <w:gridSpan w:val="2"/>
          </w:tcPr>
          <w:p>
            <w:pPr>
              <w:spacing w:after="0" w:line="149" w:lineRule="exact"/>
              <w:rPr>
                <w:sz w:val="20"/>
                <w:szCs w:val="20"/>
                <w:color w:val="auto"/>
              </w:rPr>
            </w:pPr>
            <w:r>
              <w:rPr>
                <w:rFonts w:ascii="Arial" w:cs="Arial" w:eastAsia="Arial" w:hAnsi="Arial"/>
                <w:sz w:val="14"/>
                <w:szCs w:val="14"/>
                <w:color w:val="auto"/>
              </w:rPr>
              <w:t>Copper production — tonnes</w:t>
            </w:r>
          </w:p>
        </w:tc>
        <w:tc>
          <w:tcPr>
            <w:tcW w:w="1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6,671</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6,922</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7,482</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7,289</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7,378</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24"/>
        </w:trPr>
        <w:tc>
          <w:tcPr>
            <w:tcW w:w="20" w:type="dxa"/>
            <w:vAlign w:val="bottom"/>
          </w:tcPr>
          <w:p>
            <w:pPr>
              <w:spacing w:after="0"/>
              <w:rPr>
                <w:sz w:val="24"/>
                <w:szCs w:val="24"/>
                <w:color w:val="auto"/>
              </w:rPr>
            </w:pPr>
          </w:p>
        </w:tc>
        <w:tc>
          <w:tcPr>
            <w:tcW w:w="3980" w:type="dxa"/>
            <w:vAlign w:val="bottom"/>
            <w:gridSpan w:val="2"/>
            <w:shd w:val="clear" w:color="auto" w:fill="CCEEFF"/>
          </w:tcPr>
          <w:p>
            <w:pPr>
              <w:spacing w:after="0"/>
              <w:rPr>
                <w:sz w:val="20"/>
                <w:szCs w:val="20"/>
                <w:color w:val="auto"/>
              </w:rPr>
            </w:pPr>
            <w:r>
              <w:rPr>
                <w:rFonts w:ascii="Arial" w:cs="Arial" w:eastAsia="Arial" w:hAnsi="Arial"/>
                <w:sz w:val="14"/>
                <w:szCs w:val="14"/>
                <w:b w:val="1"/>
                <w:bCs w:val="1"/>
                <w:color w:val="auto"/>
              </w:rPr>
              <w:t>Total cash costs (per ounce):</w:t>
            </w:r>
          </w:p>
        </w:tc>
        <w:tc>
          <w:tcPr>
            <w:tcW w:w="10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62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62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240" w:type="dxa"/>
            <w:vAlign w:val="bottom"/>
            <w:shd w:val="clear" w:color="auto" w:fill="CCEEFF"/>
          </w:tcPr>
          <w:p>
            <w:pPr>
              <w:spacing w:after="0"/>
              <w:rPr>
                <w:sz w:val="24"/>
                <w:szCs w:val="24"/>
                <w:color w:val="auto"/>
              </w:rPr>
            </w:pPr>
          </w:p>
        </w:tc>
        <w:tc>
          <w:tcPr>
            <w:tcW w:w="62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64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62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980" w:type="dxa"/>
            <w:vAlign w:val="bottom"/>
            <w:gridSpan w:val="2"/>
          </w:tcPr>
          <w:p>
            <w:pPr>
              <w:spacing w:after="0" w:line="149" w:lineRule="exact"/>
              <w:rPr>
                <w:sz w:val="20"/>
                <w:szCs w:val="20"/>
                <w:color w:val="auto"/>
              </w:rPr>
            </w:pPr>
            <w:r>
              <w:rPr>
                <w:rFonts w:ascii="Arial" w:cs="Arial" w:eastAsia="Arial" w:hAnsi="Arial"/>
                <w:sz w:val="14"/>
                <w:szCs w:val="14"/>
                <w:color w:val="auto"/>
              </w:rPr>
              <w:t>Production costs</w:t>
            </w:r>
          </w:p>
        </w:tc>
        <w:tc>
          <w:tcPr>
            <w:tcW w:w="3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807</w:t>
            </w:r>
          </w:p>
        </w:tc>
        <w:tc>
          <w:tcPr>
            <w:tcW w:w="100" w:type="dxa"/>
            <w:vAlign w:val="bottom"/>
          </w:tcPr>
          <w:p>
            <w:pPr>
              <w:spacing w:after="0"/>
              <w:rPr>
                <w:sz w:val="12"/>
                <w:szCs w:val="12"/>
                <w:color w:val="auto"/>
              </w:rPr>
            </w:pPr>
          </w:p>
        </w:tc>
        <w:tc>
          <w:tcPr>
            <w:tcW w:w="2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770</w:t>
            </w:r>
          </w:p>
        </w:tc>
        <w:tc>
          <w:tcPr>
            <w:tcW w:w="100" w:type="dxa"/>
            <w:vAlign w:val="bottom"/>
          </w:tcPr>
          <w:p>
            <w:pPr>
              <w:spacing w:after="0"/>
              <w:rPr>
                <w:sz w:val="12"/>
                <w:szCs w:val="12"/>
                <w:color w:val="auto"/>
              </w:rPr>
            </w:pPr>
          </w:p>
        </w:tc>
        <w:tc>
          <w:tcPr>
            <w:tcW w:w="30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719</w:t>
            </w:r>
          </w:p>
        </w:tc>
        <w:tc>
          <w:tcPr>
            <w:tcW w:w="100" w:type="dxa"/>
            <w:vAlign w:val="bottom"/>
          </w:tcPr>
          <w:p>
            <w:pPr>
              <w:spacing w:after="0"/>
              <w:rPr>
                <w:sz w:val="12"/>
                <w:szCs w:val="12"/>
                <w:color w:val="auto"/>
              </w:rPr>
            </w:pPr>
          </w:p>
        </w:tc>
        <w:tc>
          <w:tcPr>
            <w:tcW w:w="2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585</w:t>
            </w:r>
          </w:p>
        </w:tc>
        <w:tc>
          <w:tcPr>
            <w:tcW w:w="80" w:type="dxa"/>
            <w:vAlign w:val="bottom"/>
          </w:tcPr>
          <w:p>
            <w:pPr>
              <w:spacing w:after="0"/>
              <w:rPr>
                <w:sz w:val="12"/>
                <w:szCs w:val="12"/>
                <w:color w:val="auto"/>
              </w:rPr>
            </w:pPr>
          </w:p>
        </w:tc>
        <w:tc>
          <w:tcPr>
            <w:tcW w:w="30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527</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98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Less: Net byproduct revenues</w:t>
            </w:r>
          </w:p>
        </w:tc>
        <w:tc>
          <w:tcPr>
            <w:tcW w:w="1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(699)</w:t>
            </w:r>
          </w:p>
        </w:tc>
        <w:tc>
          <w:tcPr>
            <w:tcW w:w="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(658)</w:t>
            </w:r>
          </w:p>
        </w:tc>
        <w:tc>
          <w:tcPr>
            <w:tcW w:w="6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(1,082)</w:t>
            </w:r>
          </w:p>
        </w:tc>
        <w:tc>
          <w:tcPr>
            <w:tcW w:w="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(1,240)</w:t>
            </w: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(511)</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980" w:type="dxa"/>
            <w:vAlign w:val="bottom"/>
            <w:gridSpan w:val="2"/>
          </w:tcPr>
          <w:p>
            <w:pPr>
              <w:ind w:left="100"/>
              <w:spacing w:after="0" w:line="149" w:lineRule="exact"/>
              <w:rPr>
                <w:sz w:val="20"/>
                <w:szCs w:val="20"/>
                <w:color w:val="auto"/>
              </w:rPr>
            </w:pPr>
            <w:r>
              <w:rPr>
                <w:rFonts w:ascii="Arial" w:cs="Arial" w:eastAsia="Arial" w:hAnsi="Arial"/>
                <w:sz w:val="14"/>
                <w:szCs w:val="14"/>
                <w:color w:val="auto"/>
              </w:rPr>
              <w:t>Inventory adjustments</w:t>
            </w:r>
          </w:p>
        </w:tc>
        <w:tc>
          <w:tcPr>
            <w:tcW w:w="1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1</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7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4</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72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(31)</w:t>
            </w:r>
          </w:p>
        </w:tc>
        <w:tc>
          <w:tcPr>
            <w:tcW w:w="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29</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980" w:type="dxa"/>
            <w:vAlign w:val="bottom"/>
            <w:gridSpan w:val="2"/>
            <w:shd w:val="clear" w:color="auto" w:fill="CCEEFF"/>
          </w:tcPr>
          <w:p>
            <w:pPr>
              <w:ind w:left="100"/>
              <w:spacing w:after="0" w:line="149" w:lineRule="exact"/>
              <w:rPr>
                <w:sz w:val="20"/>
                <w:szCs w:val="20"/>
                <w:color w:val="auto"/>
              </w:rPr>
            </w:pPr>
            <w:r>
              <w:rPr>
                <w:rFonts w:ascii="Arial" w:cs="Arial" w:eastAsia="Arial" w:hAnsi="Arial"/>
                <w:sz w:val="14"/>
                <w:szCs w:val="14"/>
                <w:color w:val="auto"/>
              </w:rPr>
              <w:t>Accretion expense and other</w:t>
            </w:r>
          </w:p>
        </w:tc>
        <w:tc>
          <w:tcPr>
            <w:tcW w:w="1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(6)</w:t>
            </w:r>
          </w:p>
        </w:tc>
        <w:tc>
          <w:tcPr>
            <w:tcW w:w="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(6)</w:t>
            </w:r>
          </w:p>
        </w:tc>
        <w:tc>
          <w:tcPr>
            <w:tcW w:w="6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(6)</w:t>
            </w:r>
          </w:p>
        </w:tc>
        <w:tc>
          <w:tcPr>
            <w:tcW w:w="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(4)</w:t>
            </w: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(2)</w:t>
            </w:r>
          </w:p>
        </w:tc>
        <w:tc>
          <w:tcPr>
            <w:tcW w:w="0" w:type="dxa"/>
            <w:vAlign w:val="bottom"/>
          </w:tcPr>
          <w:p>
            <w:pPr>
              <w:spacing w:after="0"/>
              <w:rPr>
                <w:sz w:val="1"/>
                <w:szCs w:val="1"/>
                <w:color w:val="auto"/>
              </w:rPr>
            </w:pPr>
          </w:p>
        </w:tc>
      </w:tr>
      <w:tr>
        <w:trPr>
          <w:trHeight w:val="27"/>
        </w:trPr>
        <w:tc>
          <w:tcPr>
            <w:tcW w:w="4000" w:type="dxa"/>
            <w:vAlign w:val="bottom"/>
            <w:gridSpan w:val="3"/>
            <w:vMerge w:val="restart"/>
          </w:tcPr>
          <w:p>
            <w:pPr>
              <w:spacing w:after="0" w:line="243" w:lineRule="exact"/>
              <w:rPr>
                <w:sz w:val="20"/>
                <w:szCs w:val="20"/>
                <w:color w:val="auto"/>
              </w:rPr>
            </w:pPr>
            <w:r>
              <w:rPr>
                <w:rFonts w:ascii="Arial" w:cs="Arial" w:eastAsia="Arial" w:hAnsi="Arial"/>
                <w:sz w:val="14"/>
                <w:szCs w:val="14"/>
                <w:color w:val="auto"/>
              </w:rPr>
              <w:t>Total cash costs (per ounce)</w:t>
            </w:r>
            <w:r>
              <w:rPr>
                <w:rFonts w:ascii="Arial" w:cs="Arial" w:eastAsia="Arial" w:hAnsi="Arial"/>
                <w:sz w:val="22"/>
                <w:szCs w:val="22"/>
                <w:color w:val="auto"/>
                <w:vertAlign w:val="superscript"/>
              </w:rPr>
              <w:t>(1)</w:t>
            </w:r>
          </w:p>
        </w:tc>
        <w:tc>
          <w:tcPr>
            <w:tcW w:w="100" w:type="dxa"/>
            <w:vAlign w:val="bottom"/>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96"/>
        </w:trPr>
        <w:tc>
          <w:tcPr>
            <w:tcW w:w="4000" w:type="dxa"/>
            <w:vAlign w:val="bottom"/>
            <w:gridSpan w:val="3"/>
            <w:vMerge w:val="continue"/>
          </w:tcPr>
          <w:p>
            <w:pPr>
              <w:spacing w:after="0"/>
              <w:rPr>
                <w:sz w:val="17"/>
                <w:szCs w:val="17"/>
                <w:color w:val="auto"/>
              </w:rPr>
            </w:pPr>
          </w:p>
        </w:tc>
        <w:tc>
          <w:tcPr>
            <w:tcW w:w="320" w:type="dxa"/>
            <w:vAlign w:val="bottom"/>
            <w:gridSpan w:val="2"/>
          </w:tcPr>
          <w:p>
            <w:pPr>
              <w:jc w:val="right"/>
              <w:spacing w:after="0"/>
              <w:rPr>
                <w:sz w:val="20"/>
                <w:szCs w:val="20"/>
                <w:color w:val="auto"/>
              </w:rPr>
            </w:pPr>
            <w:r>
              <w:rPr>
                <w:rFonts w:ascii="Arial" w:cs="Arial" w:eastAsia="Arial" w:hAnsi="Arial"/>
                <w:sz w:val="14"/>
                <w:szCs w:val="14"/>
                <w:color w:val="auto"/>
              </w:rPr>
              <w:t>$</w:t>
            </w:r>
          </w:p>
        </w:tc>
        <w:tc>
          <w:tcPr>
            <w:tcW w:w="620" w:type="dxa"/>
            <w:vAlign w:val="bottom"/>
          </w:tcPr>
          <w:p>
            <w:pPr>
              <w:jc w:val="right"/>
              <w:spacing w:after="0"/>
              <w:rPr>
                <w:sz w:val="20"/>
                <w:szCs w:val="20"/>
                <w:color w:val="auto"/>
              </w:rPr>
            </w:pPr>
            <w:r>
              <w:rPr>
                <w:rFonts w:ascii="Arial" w:cs="Arial" w:eastAsia="Arial" w:hAnsi="Arial"/>
                <w:sz w:val="14"/>
                <w:szCs w:val="14"/>
                <w:color w:val="auto"/>
              </w:rPr>
              <w:t>103</w:t>
            </w:r>
          </w:p>
        </w:tc>
        <w:tc>
          <w:tcPr>
            <w:tcW w:w="100" w:type="dxa"/>
            <w:vAlign w:val="bottom"/>
          </w:tcPr>
          <w:p>
            <w:pPr>
              <w:spacing w:after="0"/>
              <w:rPr>
                <w:sz w:val="17"/>
                <w:szCs w:val="17"/>
                <w:color w:val="auto"/>
              </w:rPr>
            </w:pPr>
          </w:p>
        </w:tc>
        <w:tc>
          <w:tcPr>
            <w:tcW w:w="280" w:type="dxa"/>
            <w:vAlign w:val="bottom"/>
            <w:gridSpan w:val="2"/>
          </w:tcPr>
          <w:p>
            <w:pPr>
              <w:jc w:val="right"/>
              <w:spacing w:after="0"/>
              <w:rPr>
                <w:sz w:val="20"/>
                <w:szCs w:val="20"/>
                <w:color w:val="auto"/>
              </w:rPr>
            </w:pPr>
            <w:r>
              <w:rPr>
                <w:rFonts w:ascii="Arial" w:cs="Arial" w:eastAsia="Arial" w:hAnsi="Arial"/>
                <w:sz w:val="14"/>
                <w:szCs w:val="14"/>
                <w:color w:val="auto"/>
              </w:rPr>
              <w:t>$</w:t>
            </w:r>
          </w:p>
        </w:tc>
        <w:tc>
          <w:tcPr>
            <w:tcW w:w="620" w:type="dxa"/>
            <w:vAlign w:val="bottom"/>
          </w:tcPr>
          <w:p>
            <w:pPr>
              <w:jc w:val="right"/>
              <w:spacing w:after="0"/>
              <w:rPr>
                <w:sz w:val="20"/>
                <w:szCs w:val="20"/>
                <w:color w:val="auto"/>
              </w:rPr>
            </w:pPr>
            <w:r>
              <w:rPr>
                <w:rFonts w:ascii="Arial" w:cs="Arial" w:eastAsia="Arial" w:hAnsi="Arial"/>
                <w:sz w:val="14"/>
                <w:szCs w:val="14"/>
                <w:color w:val="auto"/>
              </w:rPr>
              <w:t>106</w:t>
            </w:r>
          </w:p>
        </w:tc>
        <w:tc>
          <w:tcPr>
            <w:tcW w:w="100" w:type="dxa"/>
            <w:vAlign w:val="bottom"/>
          </w:tcPr>
          <w:p>
            <w:pPr>
              <w:spacing w:after="0"/>
              <w:rPr>
                <w:sz w:val="17"/>
                <w:szCs w:val="17"/>
                <w:color w:val="auto"/>
              </w:rPr>
            </w:pPr>
          </w:p>
        </w:tc>
        <w:tc>
          <w:tcPr>
            <w:tcW w:w="300" w:type="dxa"/>
            <w:vAlign w:val="bottom"/>
            <w:gridSpan w:val="2"/>
          </w:tcPr>
          <w:p>
            <w:pPr>
              <w:jc w:val="right"/>
              <w:spacing w:after="0"/>
              <w:rPr>
                <w:sz w:val="20"/>
                <w:szCs w:val="20"/>
                <w:color w:val="auto"/>
              </w:rPr>
            </w:pPr>
            <w:r>
              <w:rPr>
                <w:rFonts w:ascii="Arial" w:cs="Arial" w:eastAsia="Arial" w:hAnsi="Arial"/>
                <w:sz w:val="14"/>
                <w:szCs w:val="14"/>
                <w:color w:val="auto"/>
              </w:rPr>
              <w:t>$</w:t>
            </w:r>
          </w:p>
        </w:tc>
        <w:tc>
          <w:tcPr>
            <w:tcW w:w="720" w:type="dxa"/>
            <w:vAlign w:val="bottom"/>
            <w:gridSpan w:val="2"/>
          </w:tcPr>
          <w:p>
            <w:pPr>
              <w:jc w:val="right"/>
              <w:ind w:right="60"/>
              <w:spacing w:after="0"/>
              <w:rPr>
                <w:sz w:val="20"/>
                <w:szCs w:val="20"/>
                <w:color w:val="auto"/>
              </w:rPr>
            </w:pPr>
            <w:r>
              <w:rPr>
                <w:rFonts w:ascii="Arial" w:cs="Arial" w:eastAsia="Arial" w:hAnsi="Arial"/>
                <w:sz w:val="14"/>
                <w:szCs w:val="14"/>
                <w:color w:val="auto"/>
              </w:rPr>
              <w:t>(365)</w:t>
            </w:r>
          </w:p>
        </w:tc>
        <w:tc>
          <w:tcPr>
            <w:tcW w:w="280" w:type="dxa"/>
            <w:vAlign w:val="bottom"/>
            <w:gridSpan w:val="2"/>
          </w:tcPr>
          <w:p>
            <w:pPr>
              <w:jc w:val="right"/>
              <w:spacing w:after="0"/>
              <w:rPr>
                <w:sz w:val="20"/>
                <w:szCs w:val="20"/>
                <w:color w:val="auto"/>
              </w:rPr>
            </w:pPr>
            <w:r>
              <w:rPr>
                <w:rFonts w:ascii="Arial" w:cs="Arial" w:eastAsia="Arial" w:hAnsi="Arial"/>
                <w:sz w:val="14"/>
                <w:szCs w:val="14"/>
                <w:color w:val="auto"/>
              </w:rPr>
              <w:t>$</w:t>
            </w:r>
          </w:p>
        </w:tc>
        <w:tc>
          <w:tcPr>
            <w:tcW w:w="720" w:type="dxa"/>
            <w:vAlign w:val="bottom"/>
            <w:gridSpan w:val="2"/>
          </w:tcPr>
          <w:p>
            <w:pPr>
              <w:jc w:val="right"/>
              <w:ind w:right="60"/>
              <w:spacing w:after="0"/>
              <w:rPr>
                <w:sz w:val="20"/>
                <w:szCs w:val="20"/>
                <w:color w:val="auto"/>
              </w:rPr>
            </w:pPr>
            <w:r>
              <w:rPr>
                <w:rFonts w:ascii="Arial" w:cs="Arial" w:eastAsia="Arial" w:hAnsi="Arial"/>
                <w:sz w:val="14"/>
                <w:szCs w:val="14"/>
                <w:color w:val="auto"/>
              </w:rPr>
              <w:t>(690)</w:t>
            </w:r>
          </w:p>
        </w:tc>
        <w:tc>
          <w:tcPr>
            <w:tcW w:w="300" w:type="dxa"/>
            <w:vAlign w:val="bottom"/>
            <w:gridSpan w:val="2"/>
          </w:tcPr>
          <w:p>
            <w:pPr>
              <w:jc w:val="right"/>
              <w:spacing w:after="0"/>
              <w:rPr>
                <w:sz w:val="20"/>
                <w:szCs w:val="20"/>
                <w:color w:val="auto"/>
              </w:rPr>
            </w:pPr>
            <w:r>
              <w:rPr>
                <w:rFonts w:ascii="Arial" w:cs="Arial" w:eastAsia="Arial" w:hAnsi="Arial"/>
                <w:sz w:val="14"/>
                <w:szCs w:val="14"/>
                <w:color w:val="auto"/>
              </w:rPr>
              <w:t>$</w:t>
            </w:r>
          </w:p>
        </w:tc>
        <w:tc>
          <w:tcPr>
            <w:tcW w:w="620" w:type="dxa"/>
            <w:vAlign w:val="bottom"/>
          </w:tcPr>
          <w:p>
            <w:pPr>
              <w:jc w:val="right"/>
              <w:spacing w:after="0"/>
              <w:rPr>
                <w:sz w:val="20"/>
                <w:szCs w:val="20"/>
                <w:color w:val="auto"/>
              </w:rPr>
            </w:pPr>
            <w:r>
              <w:rPr>
                <w:rFonts w:ascii="Arial" w:cs="Arial" w:eastAsia="Arial" w:hAnsi="Arial"/>
                <w:sz w:val="14"/>
                <w:szCs w:val="14"/>
                <w:color w:val="auto"/>
              </w:rPr>
              <w:t>43</w:t>
            </w: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27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6"/>
        </w:trPr>
        <w:tc>
          <w:tcPr>
            <w:tcW w:w="20" w:type="dxa"/>
            <w:vAlign w:val="bottom"/>
          </w:tcPr>
          <w:p>
            <w:pPr>
              <w:spacing w:after="0"/>
              <w:rPr>
                <w:sz w:val="13"/>
                <w:szCs w:val="13"/>
                <w:color w:val="auto"/>
              </w:rPr>
            </w:pPr>
          </w:p>
        </w:tc>
        <w:tc>
          <w:tcPr>
            <w:tcW w:w="3980" w:type="dxa"/>
            <w:vAlign w:val="bottom"/>
            <w:gridSpan w:val="2"/>
            <w:shd w:val="clear" w:color="auto" w:fill="CCEEFF"/>
          </w:tcPr>
          <w:p>
            <w:pPr>
              <w:spacing w:after="0" w:line="156" w:lineRule="exact"/>
              <w:rPr>
                <w:sz w:val="20"/>
                <w:szCs w:val="20"/>
                <w:color w:val="auto"/>
              </w:rPr>
            </w:pPr>
            <w:r>
              <w:rPr>
                <w:rFonts w:ascii="Arial" w:cs="Arial" w:eastAsia="Arial" w:hAnsi="Arial"/>
                <w:sz w:val="12"/>
                <w:szCs w:val="12"/>
                <w:color w:val="auto"/>
              </w:rPr>
              <w:t>Minesite costs per tonne</w:t>
            </w:r>
            <w:r>
              <w:rPr>
                <w:rFonts w:ascii="Arial" w:cs="Arial" w:eastAsia="Arial" w:hAnsi="Arial"/>
                <w:sz w:val="18"/>
                <w:szCs w:val="18"/>
                <w:color w:val="auto"/>
                <w:vertAlign w:val="superscript"/>
              </w:rPr>
              <w:t>(1)</w:t>
            </w:r>
          </w:p>
        </w:tc>
        <w:tc>
          <w:tcPr>
            <w:tcW w:w="320" w:type="dxa"/>
            <w:vAlign w:val="bottom"/>
            <w:gridSpan w:val="2"/>
            <w:shd w:val="clear" w:color="auto" w:fill="CCEEFF"/>
          </w:tcPr>
          <w:p>
            <w:pPr>
              <w:jc w:val="right"/>
              <w:spacing w:after="0" w:line="156" w:lineRule="exact"/>
              <w:rPr>
                <w:sz w:val="20"/>
                <w:szCs w:val="20"/>
                <w:color w:val="auto"/>
              </w:rPr>
            </w:pPr>
            <w:r>
              <w:rPr>
                <w:rFonts w:ascii="Arial" w:cs="Arial" w:eastAsia="Arial" w:hAnsi="Arial"/>
                <w:sz w:val="14"/>
                <w:szCs w:val="14"/>
                <w:color w:val="auto"/>
              </w:rPr>
              <w:t>C$</w:t>
            </w:r>
          </w:p>
        </w:tc>
        <w:tc>
          <w:tcPr>
            <w:tcW w:w="620" w:type="dxa"/>
            <w:vAlign w:val="bottom"/>
            <w:shd w:val="clear" w:color="auto" w:fill="CCEEFF"/>
          </w:tcPr>
          <w:p>
            <w:pPr>
              <w:jc w:val="right"/>
              <w:spacing w:after="0" w:line="156" w:lineRule="exact"/>
              <w:rPr>
                <w:sz w:val="20"/>
                <w:szCs w:val="20"/>
                <w:color w:val="auto"/>
              </w:rPr>
            </w:pPr>
            <w:r>
              <w:rPr>
                <w:rFonts w:ascii="Arial" w:cs="Arial" w:eastAsia="Arial" w:hAnsi="Arial"/>
                <w:sz w:val="14"/>
                <w:szCs w:val="14"/>
                <w:color w:val="auto"/>
              </w:rPr>
              <w:t>72</w:t>
            </w:r>
          </w:p>
        </w:tc>
        <w:tc>
          <w:tcPr>
            <w:tcW w:w="100" w:type="dxa"/>
            <w:vAlign w:val="bottom"/>
            <w:shd w:val="clear" w:color="auto" w:fill="CCEEFF"/>
          </w:tcPr>
          <w:p>
            <w:pPr>
              <w:spacing w:after="0"/>
              <w:rPr>
                <w:sz w:val="13"/>
                <w:szCs w:val="13"/>
                <w:color w:val="auto"/>
              </w:rPr>
            </w:pPr>
          </w:p>
        </w:tc>
        <w:tc>
          <w:tcPr>
            <w:tcW w:w="280" w:type="dxa"/>
            <w:vAlign w:val="bottom"/>
            <w:gridSpan w:val="2"/>
            <w:shd w:val="clear" w:color="auto" w:fill="CCEEFF"/>
          </w:tcPr>
          <w:p>
            <w:pPr>
              <w:jc w:val="right"/>
              <w:spacing w:after="0" w:line="156" w:lineRule="exact"/>
              <w:rPr>
                <w:sz w:val="20"/>
                <w:szCs w:val="20"/>
                <w:color w:val="auto"/>
              </w:rPr>
            </w:pPr>
            <w:r>
              <w:rPr>
                <w:rFonts w:ascii="Arial" w:cs="Arial" w:eastAsia="Arial" w:hAnsi="Arial"/>
                <w:sz w:val="14"/>
                <w:szCs w:val="14"/>
                <w:color w:val="auto"/>
              </w:rPr>
              <w:t>C$</w:t>
            </w:r>
          </w:p>
        </w:tc>
        <w:tc>
          <w:tcPr>
            <w:tcW w:w="620" w:type="dxa"/>
            <w:vAlign w:val="bottom"/>
            <w:shd w:val="clear" w:color="auto" w:fill="CCEEFF"/>
          </w:tcPr>
          <w:p>
            <w:pPr>
              <w:jc w:val="right"/>
              <w:spacing w:after="0" w:line="156" w:lineRule="exact"/>
              <w:rPr>
                <w:sz w:val="20"/>
                <w:szCs w:val="20"/>
                <w:color w:val="auto"/>
              </w:rPr>
            </w:pPr>
            <w:r>
              <w:rPr>
                <w:rFonts w:ascii="Arial" w:cs="Arial" w:eastAsia="Arial" w:hAnsi="Arial"/>
                <w:sz w:val="14"/>
                <w:szCs w:val="14"/>
                <w:color w:val="auto"/>
              </w:rPr>
              <w:t>67</w:t>
            </w:r>
          </w:p>
        </w:tc>
        <w:tc>
          <w:tcPr>
            <w:tcW w:w="100" w:type="dxa"/>
            <w:vAlign w:val="bottom"/>
            <w:shd w:val="clear" w:color="auto" w:fill="CCEEFF"/>
          </w:tcPr>
          <w:p>
            <w:pPr>
              <w:spacing w:after="0"/>
              <w:rPr>
                <w:sz w:val="13"/>
                <w:szCs w:val="13"/>
                <w:color w:val="auto"/>
              </w:rPr>
            </w:pPr>
          </w:p>
        </w:tc>
        <w:tc>
          <w:tcPr>
            <w:tcW w:w="300" w:type="dxa"/>
            <w:vAlign w:val="bottom"/>
            <w:gridSpan w:val="2"/>
            <w:shd w:val="clear" w:color="auto" w:fill="CCEEFF"/>
          </w:tcPr>
          <w:p>
            <w:pPr>
              <w:jc w:val="right"/>
              <w:ind w:right="12"/>
              <w:spacing w:after="0" w:line="156" w:lineRule="exact"/>
              <w:rPr>
                <w:sz w:val="20"/>
                <w:szCs w:val="20"/>
                <w:color w:val="auto"/>
              </w:rPr>
            </w:pPr>
            <w:r>
              <w:rPr>
                <w:rFonts w:ascii="Arial" w:cs="Arial" w:eastAsia="Arial" w:hAnsi="Arial"/>
                <w:sz w:val="14"/>
                <w:szCs w:val="14"/>
                <w:color w:val="auto"/>
              </w:rPr>
              <w:t>C$</w:t>
            </w:r>
          </w:p>
        </w:tc>
        <w:tc>
          <w:tcPr>
            <w:tcW w:w="620" w:type="dxa"/>
            <w:vAlign w:val="bottom"/>
            <w:shd w:val="clear" w:color="auto" w:fill="CCEEFF"/>
          </w:tcPr>
          <w:p>
            <w:pPr>
              <w:jc w:val="right"/>
              <w:spacing w:after="0" w:line="156" w:lineRule="exact"/>
              <w:rPr>
                <w:sz w:val="20"/>
                <w:szCs w:val="20"/>
                <w:color w:val="auto"/>
              </w:rPr>
            </w:pPr>
            <w:r>
              <w:rPr>
                <w:rFonts w:ascii="Arial" w:cs="Arial" w:eastAsia="Arial" w:hAnsi="Arial"/>
                <w:sz w:val="14"/>
                <w:szCs w:val="14"/>
                <w:color w:val="auto"/>
              </w:rPr>
              <w:t>66</w:t>
            </w:r>
          </w:p>
        </w:tc>
        <w:tc>
          <w:tcPr>
            <w:tcW w:w="100" w:type="dxa"/>
            <w:vAlign w:val="bottom"/>
            <w:shd w:val="clear" w:color="auto" w:fill="CCEEFF"/>
          </w:tcPr>
          <w:p>
            <w:pPr>
              <w:spacing w:after="0"/>
              <w:rPr>
                <w:sz w:val="13"/>
                <w:szCs w:val="13"/>
                <w:color w:val="auto"/>
              </w:rPr>
            </w:pPr>
          </w:p>
        </w:tc>
        <w:tc>
          <w:tcPr>
            <w:tcW w:w="280" w:type="dxa"/>
            <w:vAlign w:val="bottom"/>
            <w:gridSpan w:val="2"/>
            <w:shd w:val="clear" w:color="auto" w:fill="CCEEFF"/>
          </w:tcPr>
          <w:p>
            <w:pPr>
              <w:jc w:val="right"/>
              <w:spacing w:after="0" w:line="156" w:lineRule="exact"/>
              <w:rPr>
                <w:sz w:val="20"/>
                <w:szCs w:val="20"/>
                <w:color w:val="auto"/>
              </w:rPr>
            </w:pPr>
            <w:r>
              <w:rPr>
                <w:rFonts w:ascii="Arial" w:cs="Arial" w:eastAsia="Arial" w:hAnsi="Arial"/>
                <w:sz w:val="14"/>
                <w:szCs w:val="14"/>
                <w:color w:val="auto"/>
              </w:rPr>
              <w:t>C$</w:t>
            </w:r>
          </w:p>
        </w:tc>
        <w:tc>
          <w:tcPr>
            <w:tcW w:w="640" w:type="dxa"/>
            <w:vAlign w:val="bottom"/>
            <w:shd w:val="clear" w:color="auto" w:fill="CCEEFF"/>
          </w:tcPr>
          <w:p>
            <w:pPr>
              <w:jc w:val="right"/>
              <w:spacing w:after="0" w:line="156" w:lineRule="exact"/>
              <w:rPr>
                <w:sz w:val="20"/>
                <w:szCs w:val="20"/>
                <w:color w:val="auto"/>
              </w:rPr>
            </w:pPr>
            <w:r>
              <w:rPr>
                <w:rFonts w:ascii="Arial" w:cs="Arial" w:eastAsia="Arial" w:hAnsi="Arial"/>
                <w:sz w:val="14"/>
                <w:szCs w:val="14"/>
                <w:color w:val="auto"/>
              </w:rPr>
              <w:t>62</w:t>
            </w:r>
          </w:p>
        </w:tc>
        <w:tc>
          <w:tcPr>
            <w:tcW w:w="80" w:type="dxa"/>
            <w:vAlign w:val="bottom"/>
            <w:shd w:val="clear" w:color="auto" w:fill="CCEEFF"/>
          </w:tcPr>
          <w:p>
            <w:pPr>
              <w:spacing w:after="0"/>
              <w:rPr>
                <w:sz w:val="13"/>
                <w:szCs w:val="13"/>
                <w:color w:val="auto"/>
              </w:rPr>
            </w:pPr>
          </w:p>
        </w:tc>
        <w:tc>
          <w:tcPr>
            <w:tcW w:w="300" w:type="dxa"/>
            <w:vAlign w:val="bottom"/>
            <w:gridSpan w:val="2"/>
            <w:shd w:val="clear" w:color="auto" w:fill="CCEEFF"/>
          </w:tcPr>
          <w:p>
            <w:pPr>
              <w:jc w:val="right"/>
              <w:ind w:right="12"/>
              <w:spacing w:after="0" w:line="156" w:lineRule="exact"/>
              <w:rPr>
                <w:sz w:val="20"/>
                <w:szCs w:val="20"/>
                <w:color w:val="auto"/>
              </w:rPr>
            </w:pPr>
            <w:r>
              <w:rPr>
                <w:rFonts w:ascii="Arial" w:cs="Arial" w:eastAsia="Arial" w:hAnsi="Arial"/>
                <w:sz w:val="14"/>
                <w:szCs w:val="14"/>
                <w:color w:val="auto"/>
              </w:rPr>
              <w:t>C$</w:t>
            </w:r>
          </w:p>
        </w:tc>
        <w:tc>
          <w:tcPr>
            <w:tcW w:w="620" w:type="dxa"/>
            <w:vAlign w:val="bottom"/>
            <w:shd w:val="clear" w:color="auto" w:fill="CCEEFF"/>
          </w:tcPr>
          <w:p>
            <w:pPr>
              <w:jc w:val="right"/>
              <w:spacing w:after="0" w:line="156" w:lineRule="exact"/>
              <w:rPr>
                <w:sz w:val="20"/>
                <w:szCs w:val="20"/>
                <w:color w:val="auto"/>
              </w:rPr>
            </w:pPr>
            <w:r>
              <w:rPr>
                <w:rFonts w:ascii="Arial" w:cs="Arial" w:eastAsia="Arial" w:hAnsi="Arial"/>
                <w:sz w:val="14"/>
                <w:szCs w:val="14"/>
                <w:color w:val="auto"/>
              </w:rPr>
              <w:t>55</w:t>
            </w:r>
          </w:p>
        </w:tc>
        <w:tc>
          <w:tcPr>
            <w:tcW w:w="1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1260" w:type="dxa"/>
            <w:vAlign w:val="bottom"/>
          </w:tcPr>
          <w:p>
            <w:pPr>
              <w:spacing w:after="0"/>
              <w:rPr>
                <w:sz w:val="2"/>
                <w:szCs w:val="2"/>
                <w:color w:val="auto"/>
              </w:rPr>
            </w:pPr>
          </w:p>
        </w:tc>
        <w:tc>
          <w:tcPr>
            <w:tcW w:w="2720" w:type="dxa"/>
            <w:vAlign w:val="bottom"/>
          </w:tcPr>
          <w:p>
            <w:pPr>
              <w:spacing w:after="0"/>
              <w:rPr>
                <w:sz w:val="2"/>
                <w:szCs w:val="2"/>
                <w:color w:val="auto"/>
              </w:rPr>
            </w:pPr>
          </w:p>
        </w:tc>
        <w:tc>
          <w:tcPr>
            <w:tcW w:w="100" w:type="dxa"/>
            <w:vAlign w:val="bottom"/>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27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89"/>
        </w:trPr>
        <w:tc>
          <w:tcPr>
            <w:tcW w:w="20" w:type="dxa"/>
            <w:vAlign w:val="bottom"/>
          </w:tcPr>
          <w:p>
            <w:pPr>
              <w:spacing w:after="0"/>
              <w:rPr>
                <w:sz w:val="7"/>
                <w:szCs w:val="7"/>
                <w:color w:val="auto"/>
              </w:rPr>
            </w:pPr>
          </w:p>
        </w:tc>
        <w:tc>
          <w:tcPr>
            <w:tcW w:w="1260" w:type="dxa"/>
            <w:vAlign w:val="bottom"/>
            <w:tcBorders>
              <w:bottom w:val="single" w:sz="8" w:color="auto"/>
            </w:tcBorders>
          </w:tcPr>
          <w:p>
            <w:pPr>
              <w:spacing w:after="0"/>
              <w:rPr>
                <w:sz w:val="7"/>
                <w:szCs w:val="7"/>
                <w:color w:val="auto"/>
              </w:rPr>
            </w:pPr>
          </w:p>
        </w:tc>
        <w:tc>
          <w:tcPr>
            <w:tcW w:w="2720" w:type="dxa"/>
            <w:vAlign w:val="bottom"/>
          </w:tcPr>
          <w:p>
            <w:pPr>
              <w:spacing w:after="0"/>
              <w:rPr>
                <w:sz w:val="7"/>
                <w:szCs w:val="7"/>
                <w:color w:val="auto"/>
              </w:rPr>
            </w:pPr>
          </w:p>
        </w:tc>
        <w:tc>
          <w:tcPr>
            <w:tcW w:w="100" w:type="dxa"/>
            <w:vAlign w:val="bottom"/>
          </w:tcPr>
          <w:p>
            <w:pPr>
              <w:spacing w:after="0"/>
              <w:rPr>
                <w:sz w:val="7"/>
                <w:szCs w:val="7"/>
                <w:color w:val="auto"/>
              </w:rPr>
            </w:pPr>
          </w:p>
        </w:tc>
        <w:tc>
          <w:tcPr>
            <w:tcW w:w="220" w:type="dxa"/>
            <w:vAlign w:val="bottom"/>
          </w:tcPr>
          <w:p>
            <w:pPr>
              <w:spacing w:after="0"/>
              <w:rPr>
                <w:sz w:val="7"/>
                <w:szCs w:val="7"/>
                <w:color w:val="auto"/>
              </w:rPr>
            </w:pPr>
          </w:p>
        </w:tc>
        <w:tc>
          <w:tcPr>
            <w:tcW w:w="620" w:type="dxa"/>
            <w:vAlign w:val="bottom"/>
          </w:tcPr>
          <w:p>
            <w:pPr>
              <w:spacing w:after="0"/>
              <w:rPr>
                <w:sz w:val="7"/>
                <w:szCs w:val="7"/>
                <w:color w:val="auto"/>
              </w:rPr>
            </w:pPr>
          </w:p>
        </w:tc>
        <w:tc>
          <w:tcPr>
            <w:tcW w:w="100" w:type="dxa"/>
            <w:vAlign w:val="bottom"/>
          </w:tcPr>
          <w:p>
            <w:pPr>
              <w:spacing w:after="0"/>
              <w:rPr>
                <w:sz w:val="7"/>
                <w:szCs w:val="7"/>
                <w:color w:val="auto"/>
              </w:rPr>
            </w:pPr>
          </w:p>
        </w:tc>
        <w:tc>
          <w:tcPr>
            <w:tcW w:w="60" w:type="dxa"/>
            <w:vAlign w:val="bottom"/>
          </w:tcPr>
          <w:p>
            <w:pPr>
              <w:spacing w:after="0"/>
              <w:rPr>
                <w:sz w:val="7"/>
                <w:szCs w:val="7"/>
                <w:color w:val="auto"/>
              </w:rPr>
            </w:pPr>
          </w:p>
        </w:tc>
        <w:tc>
          <w:tcPr>
            <w:tcW w:w="220" w:type="dxa"/>
            <w:vAlign w:val="bottom"/>
          </w:tcPr>
          <w:p>
            <w:pPr>
              <w:spacing w:after="0"/>
              <w:rPr>
                <w:sz w:val="7"/>
                <w:szCs w:val="7"/>
                <w:color w:val="auto"/>
              </w:rPr>
            </w:pPr>
          </w:p>
        </w:tc>
        <w:tc>
          <w:tcPr>
            <w:tcW w:w="620" w:type="dxa"/>
            <w:vAlign w:val="bottom"/>
          </w:tcPr>
          <w:p>
            <w:pPr>
              <w:spacing w:after="0"/>
              <w:rPr>
                <w:sz w:val="7"/>
                <w:szCs w:val="7"/>
                <w:color w:val="auto"/>
              </w:rPr>
            </w:pPr>
          </w:p>
        </w:tc>
        <w:tc>
          <w:tcPr>
            <w:tcW w:w="100" w:type="dxa"/>
            <w:vAlign w:val="bottom"/>
          </w:tcPr>
          <w:p>
            <w:pPr>
              <w:spacing w:after="0"/>
              <w:rPr>
                <w:sz w:val="7"/>
                <w:szCs w:val="7"/>
                <w:color w:val="auto"/>
              </w:rPr>
            </w:pPr>
          </w:p>
        </w:tc>
        <w:tc>
          <w:tcPr>
            <w:tcW w:w="60" w:type="dxa"/>
            <w:vAlign w:val="bottom"/>
          </w:tcPr>
          <w:p>
            <w:pPr>
              <w:spacing w:after="0"/>
              <w:rPr>
                <w:sz w:val="7"/>
                <w:szCs w:val="7"/>
                <w:color w:val="auto"/>
              </w:rPr>
            </w:pPr>
          </w:p>
        </w:tc>
        <w:tc>
          <w:tcPr>
            <w:tcW w:w="240" w:type="dxa"/>
            <w:vAlign w:val="bottom"/>
          </w:tcPr>
          <w:p>
            <w:pPr>
              <w:spacing w:after="0"/>
              <w:rPr>
                <w:sz w:val="7"/>
                <w:szCs w:val="7"/>
                <w:color w:val="auto"/>
              </w:rPr>
            </w:pPr>
          </w:p>
        </w:tc>
        <w:tc>
          <w:tcPr>
            <w:tcW w:w="620" w:type="dxa"/>
            <w:vAlign w:val="bottom"/>
          </w:tcPr>
          <w:p>
            <w:pPr>
              <w:spacing w:after="0"/>
              <w:rPr>
                <w:sz w:val="7"/>
                <w:szCs w:val="7"/>
                <w:color w:val="auto"/>
              </w:rPr>
            </w:pPr>
          </w:p>
        </w:tc>
        <w:tc>
          <w:tcPr>
            <w:tcW w:w="100" w:type="dxa"/>
            <w:vAlign w:val="bottom"/>
          </w:tcPr>
          <w:p>
            <w:pPr>
              <w:spacing w:after="0"/>
              <w:rPr>
                <w:sz w:val="7"/>
                <w:szCs w:val="7"/>
                <w:color w:val="auto"/>
              </w:rPr>
            </w:pPr>
          </w:p>
        </w:tc>
        <w:tc>
          <w:tcPr>
            <w:tcW w:w="60" w:type="dxa"/>
            <w:vAlign w:val="bottom"/>
          </w:tcPr>
          <w:p>
            <w:pPr>
              <w:spacing w:after="0"/>
              <w:rPr>
                <w:sz w:val="7"/>
                <w:szCs w:val="7"/>
                <w:color w:val="auto"/>
              </w:rPr>
            </w:pPr>
          </w:p>
        </w:tc>
        <w:tc>
          <w:tcPr>
            <w:tcW w:w="220" w:type="dxa"/>
            <w:vAlign w:val="bottom"/>
          </w:tcPr>
          <w:p>
            <w:pPr>
              <w:spacing w:after="0"/>
              <w:rPr>
                <w:sz w:val="7"/>
                <w:szCs w:val="7"/>
                <w:color w:val="auto"/>
              </w:rPr>
            </w:pPr>
          </w:p>
        </w:tc>
        <w:tc>
          <w:tcPr>
            <w:tcW w:w="640" w:type="dxa"/>
            <w:vAlign w:val="bottom"/>
          </w:tcPr>
          <w:p>
            <w:pPr>
              <w:spacing w:after="0"/>
              <w:rPr>
                <w:sz w:val="7"/>
                <w:szCs w:val="7"/>
                <w:color w:val="auto"/>
              </w:rPr>
            </w:pPr>
          </w:p>
        </w:tc>
        <w:tc>
          <w:tcPr>
            <w:tcW w:w="80" w:type="dxa"/>
            <w:vAlign w:val="bottom"/>
          </w:tcPr>
          <w:p>
            <w:pPr>
              <w:spacing w:after="0"/>
              <w:rPr>
                <w:sz w:val="7"/>
                <w:szCs w:val="7"/>
                <w:color w:val="auto"/>
              </w:rPr>
            </w:pPr>
          </w:p>
        </w:tc>
        <w:tc>
          <w:tcPr>
            <w:tcW w:w="80" w:type="dxa"/>
            <w:vAlign w:val="bottom"/>
          </w:tcPr>
          <w:p>
            <w:pPr>
              <w:spacing w:after="0"/>
              <w:rPr>
                <w:sz w:val="7"/>
                <w:szCs w:val="7"/>
                <w:color w:val="auto"/>
              </w:rPr>
            </w:pPr>
          </w:p>
        </w:tc>
        <w:tc>
          <w:tcPr>
            <w:tcW w:w="220" w:type="dxa"/>
            <w:vAlign w:val="bottom"/>
          </w:tcPr>
          <w:p>
            <w:pPr>
              <w:spacing w:after="0"/>
              <w:rPr>
                <w:sz w:val="7"/>
                <w:szCs w:val="7"/>
                <w:color w:val="auto"/>
              </w:rPr>
            </w:pPr>
          </w:p>
        </w:tc>
        <w:tc>
          <w:tcPr>
            <w:tcW w:w="620" w:type="dxa"/>
            <w:vAlign w:val="bottom"/>
          </w:tcPr>
          <w:p>
            <w:pPr>
              <w:spacing w:after="0"/>
              <w:rPr>
                <w:sz w:val="7"/>
                <w:szCs w:val="7"/>
                <w:color w:val="auto"/>
              </w:rPr>
            </w:pPr>
          </w:p>
        </w:tc>
        <w:tc>
          <w:tcPr>
            <w:tcW w:w="16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205" w:lineRule="exact"/>
        <w:rPr>
          <w:sz w:val="20"/>
          <w:szCs w:val="20"/>
          <w:color w:val="auto"/>
        </w:rPr>
      </w:pPr>
    </w:p>
    <w:p>
      <w:pPr>
        <w:ind w:left="1140"/>
        <w:spacing w:after="0"/>
        <w:rPr>
          <w:sz w:val="20"/>
          <w:szCs w:val="20"/>
          <w:color w:val="auto"/>
        </w:rPr>
      </w:pPr>
      <w:r>
        <w:rPr>
          <w:rFonts w:ascii="Arial" w:cs="Arial" w:eastAsia="Arial" w:hAnsi="Arial"/>
          <w:sz w:val="14"/>
          <w:szCs w:val="14"/>
          <w:color w:val="auto"/>
        </w:rPr>
        <w:t>Notes:</w:t>
      </w:r>
    </w:p>
    <w:p>
      <w:pPr>
        <w:spacing w:after="0" w:line="190" w:lineRule="exact"/>
        <w:rPr>
          <w:sz w:val="20"/>
          <w:szCs w:val="20"/>
          <w:color w:val="auto"/>
        </w:rPr>
      </w:pPr>
    </w:p>
    <w:p>
      <w:pPr>
        <w:ind w:left="1680" w:hanging="531"/>
        <w:spacing w:after="0" w:line="239" w:lineRule="auto"/>
        <w:tabs>
          <w:tab w:leader="none" w:pos="1680" w:val="left"/>
        </w:tabs>
        <w:numPr>
          <w:ilvl w:val="0"/>
          <w:numId w:val="43"/>
        </w:numPr>
        <w:rPr>
          <w:rFonts w:ascii="Arial" w:cs="Arial" w:eastAsia="Arial" w:hAnsi="Arial"/>
          <w:sz w:val="14"/>
          <w:szCs w:val="14"/>
          <w:color w:val="auto"/>
        </w:rPr>
      </w:pPr>
      <w:r>
        <w:rPr>
          <w:rFonts w:ascii="Arial" w:cs="Arial" w:eastAsia="Arial" w:hAnsi="Arial"/>
          <w:sz w:val="14"/>
          <w:szCs w:val="14"/>
          <w:color w:val="auto"/>
        </w:rPr>
        <w:t>Minesite costs per tonne and total cash costs per ounce are non-US GAAP measures of performance that the Company uses to monitor the performance of its operations. See "Item 5 Operating and Financial Review and Prospects — Results of Operations — Production Costs".</w:t>
      </w:r>
    </w:p>
    <w:p>
      <w:pPr>
        <w:spacing w:after="0" w:line="19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274" w:right="259" w:bottom="1440" w:gutter="0" w:footer="0" w:header="0"/>
        </w:sectPr>
      </w:pPr>
    </w:p>
    <w:bookmarkStart w:id="139" w:name="page140"/>
    <w:bookmarkEnd w:id="139"/>
    <w:p>
      <w:pPr>
        <w:jc w:val="center"/>
        <w:spacing w:after="0"/>
        <w:rPr>
          <w:sz w:val="20"/>
          <w:szCs w:val="20"/>
          <w:color w:val="auto"/>
        </w:rPr>
      </w:pPr>
      <w:r>
        <w:rPr>
          <w:rFonts w:ascii="Arial" w:cs="Arial" w:eastAsia="Arial" w:hAnsi="Arial"/>
          <w:sz w:val="18"/>
          <w:szCs w:val="18"/>
          <w:b w:val="1"/>
          <w:bCs w:val="1"/>
          <w:color w:val="auto"/>
        </w:rPr>
        <w:t>FINANCIAL DATA (Continued)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(thousands of United States dollars, except where noted)</w:t>
      </w:r>
    </w:p>
    <w:p>
      <w:pPr>
        <w:spacing w:after="0" w:line="227"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8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620" w:type="dxa"/>
            <w:vAlign w:val="bottom"/>
          </w:tcPr>
          <w:p>
            <w:pPr>
              <w:jc w:val="right"/>
              <w:ind w:right="232"/>
              <w:spacing w:after="0"/>
              <w:rPr>
                <w:sz w:val="20"/>
                <w:szCs w:val="20"/>
                <w:color w:val="auto"/>
              </w:rPr>
            </w:pPr>
            <w:r>
              <w:rPr>
                <w:rFonts w:ascii="Arial" w:cs="Arial" w:eastAsia="Arial" w:hAnsi="Arial"/>
                <w:sz w:val="14"/>
                <w:szCs w:val="14"/>
                <w:b w:val="1"/>
                <w:bCs w:val="1"/>
                <w:color w:val="auto"/>
                <w:w w:val="96"/>
              </w:rPr>
              <w:t>2009</w:t>
            </w: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640" w:type="dxa"/>
            <w:vAlign w:val="bottom"/>
          </w:tcPr>
          <w:p>
            <w:pPr>
              <w:jc w:val="right"/>
              <w:ind w:right="252"/>
              <w:spacing w:after="0"/>
              <w:rPr>
                <w:sz w:val="20"/>
                <w:szCs w:val="20"/>
                <w:color w:val="auto"/>
              </w:rPr>
            </w:pPr>
            <w:r>
              <w:rPr>
                <w:rFonts w:ascii="Arial" w:cs="Arial" w:eastAsia="Arial" w:hAnsi="Arial"/>
                <w:sz w:val="14"/>
                <w:szCs w:val="14"/>
                <w:b w:val="1"/>
                <w:bCs w:val="1"/>
                <w:color w:val="auto"/>
                <w:w w:val="96"/>
              </w:rPr>
              <w:t>2008</w:t>
            </w:r>
          </w:p>
        </w:tc>
        <w:tc>
          <w:tcPr>
            <w:tcW w:w="100" w:type="dxa"/>
            <w:vAlign w:val="bottom"/>
          </w:tcPr>
          <w:p>
            <w:pPr>
              <w:spacing w:after="0"/>
              <w:rPr>
                <w:sz w:val="14"/>
                <w:szCs w:val="14"/>
                <w:color w:val="auto"/>
              </w:rPr>
            </w:pPr>
          </w:p>
        </w:tc>
        <w:tc>
          <w:tcPr>
            <w:tcW w:w="720" w:type="dxa"/>
            <w:vAlign w:val="bottom"/>
            <w:gridSpan w:val="2"/>
          </w:tcPr>
          <w:p>
            <w:pPr>
              <w:jc w:val="right"/>
              <w:ind w:right="12"/>
              <w:spacing w:after="0"/>
              <w:rPr>
                <w:sz w:val="20"/>
                <w:szCs w:val="20"/>
                <w:color w:val="auto"/>
              </w:rPr>
            </w:pPr>
            <w:r>
              <w:rPr>
                <w:rFonts w:ascii="Arial" w:cs="Arial" w:eastAsia="Arial" w:hAnsi="Arial"/>
                <w:sz w:val="14"/>
                <w:szCs w:val="14"/>
                <w:b w:val="1"/>
                <w:bCs w:val="1"/>
                <w:color w:val="auto"/>
              </w:rPr>
              <w:t>2007</w:t>
            </w:r>
          </w:p>
        </w:tc>
        <w:tc>
          <w:tcPr>
            <w:tcW w:w="240" w:type="dxa"/>
            <w:vAlign w:val="bottom"/>
          </w:tcPr>
          <w:p>
            <w:pPr>
              <w:spacing w:after="0"/>
              <w:rPr>
                <w:sz w:val="14"/>
                <w:szCs w:val="14"/>
                <w:color w:val="auto"/>
              </w:rPr>
            </w:pPr>
          </w:p>
        </w:tc>
        <w:tc>
          <w:tcPr>
            <w:tcW w:w="820" w:type="dxa"/>
            <w:vAlign w:val="bottom"/>
            <w:gridSpan w:val="2"/>
          </w:tcPr>
          <w:p>
            <w:pPr>
              <w:jc w:val="right"/>
              <w:ind w:right="12"/>
              <w:spacing w:after="0"/>
              <w:rPr>
                <w:sz w:val="20"/>
                <w:szCs w:val="20"/>
                <w:color w:val="auto"/>
              </w:rPr>
            </w:pPr>
            <w:r>
              <w:rPr>
                <w:rFonts w:ascii="Arial" w:cs="Arial" w:eastAsia="Arial" w:hAnsi="Arial"/>
                <w:sz w:val="14"/>
                <w:szCs w:val="14"/>
                <w:b w:val="1"/>
                <w:bCs w:val="1"/>
                <w:color w:val="auto"/>
              </w:rPr>
              <w:t>2006</w:t>
            </w:r>
          </w:p>
        </w:tc>
        <w:tc>
          <w:tcPr>
            <w:tcW w:w="2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640" w:type="dxa"/>
            <w:vAlign w:val="bottom"/>
          </w:tcPr>
          <w:p>
            <w:pPr>
              <w:ind w:left="60"/>
              <w:spacing w:after="0"/>
              <w:rPr>
                <w:sz w:val="20"/>
                <w:szCs w:val="20"/>
                <w:color w:val="auto"/>
              </w:rPr>
            </w:pPr>
            <w:r>
              <w:rPr>
                <w:rFonts w:ascii="Arial" w:cs="Arial" w:eastAsia="Arial" w:hAnsi="Arial"/>
                <w:sz w:val="14"/>
                <w:szCs w:val="14"/>
                <w:b w:val="1"/>
                <w:bCs w:val="1"/>
                <w:color w:val="auto"/>
              </w:rPr>
              <w:t>2005</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18"/>
        </w:trPr>
        <w:tc>
          <w:tcPr>
            <w:tcW w:w="20" w:type="dxa"/>
            <w:vAlign w:val="bottom"/>
          </w:tcPr>
          <w:p>
            <w:pPr>
              <w:spacing w:after="0"/>
              <w:rPr>
                <w:sz w:val="24"/>
                <w:szCs w:val="24"/>
                <w:color w:val="auto"/>
              </w:rPr>
            </w:pPr>
          </w:p>
        </w:tc>
        <w:tc>
          <w:tcPr>
            <w:tcW w:w="3860" w:type="dxa"/>
            <w:vAlign w:val="bottom"/>
            <w:shd w:val="clear" w:color="auto" w:fill="CCEEFF"/>
          </w:tcPr>
          <w:p>
            <w:pPr>
              <w:spacing w:after="0"/>
              <w:rPr>
                <w:sz w:val="20"/>
                <w:szCs w:val="20"/>
                <w:color w:val="auto"/>
              </w:rPr>
            </w:pPr>
            <w:r>
              <w:rPr>
                <w:rFonts w:ascii="Arial" w:cs="Arial" w:eastAsia="Arial" w:hAnsi="Arial"/>
                <w:sz w:val="14"/>
                <w:szCs w:val="14"/>
                <w:i w:val="1"/>
                <w:iCs w:val="1"/>
                <w:color w:val="auto"/>
              </w:rPr>
              <w:t>Goldex Mine</w:t>
            </w:r>
          </w:p>
        </w:tc>
        <w:tc>
          <w:tcPr>
            <w:tcW w:w="20" w:type="dxa"/>
            <w:vAlign w:val="bottom"/>
            <w:shd w:val="clear" w:color="auto" w:fill="CCEEFF"/>
          </w:tcPr>
          <w:p>
            <w:pPr>
              <w:spacing w:after="0"/>
              <w:rPr>
                <w:sz w:val="24"/>
                <w:szCs w:val="24"/>
                <w:color w:val="auto"/>
              </w:rPr>
            </w:pPr>
          </w:p>
        </w:tc>
        <w:tc>
          <w:tcPr>
            <w:tcW w:w="240" w:type="dxa"/>
            <w:vAlign w:val="bottom"/>
            <w:tcBorders>
              <w:top w:val="single" w:sz="8" w:color="auto"/>
            </w:tcBorders>
            <w:shd w:val="clear" w:color="auto" w:fill="CCEEFF"/>
          </w:tcPr>
          <w:p>
            <w:pPr>
              <w:spacing w:after="0"/>
              <w:rPr>
                <w:sz w:val="24"/>
                <w:szCs w:val="24"/>
                <w:color w:val="auto"/>
              </w:rPr>
            </w:pPr>
          </w:p>
        </w:tc>
        <w:tc>
          <w:tcPr>
            <w:tcW w:w="620" w:type="dxa"/>
            <w:vAlign w:val="bottom"/>
            <w:tcBorders>
              <w:top w:val="single" w:sz="8" w:color="auto"/>
            </w:tcBorders>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240" w:type="dxa"/>
            <w:vAlign w:val="bottom"/>
            <w:tcBorders>
              <w:top w:val="single" w:sz="8" w:color="auto"/>
            </w:tcBorders>
            <w:shd w:val="clear" w:color="auto" w:fill="CCEEFF"/>
          </w:tcPr>
          <w:p>
            <w:pPr>
              <w:spacing w:after="0"/>
              <w:rPr>
                <w:sz w:val="24"/>
                <w:szCs w:val="24"/>
                <w:color w:val="auto"/>
              </w:rPr>
            </w:pPr>
          </w:p>
        </w:tc>
        <w:tc>
          <w:tcPr>
            <w:tcW w:w="640" w:type="dxa"/>
            <w:vAlign w:val="bottom"/>
            <w:tcBorders>
              <w:top w:val="single" w:sz="8" w:color="auto"/>
            </w:tcBorders>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660" w:type="dxa"/>
            <w:vAlign w:val="bottom"/>
            <w:tcBorders>
              <w:top w:val="single" w:sz="8" w:color="auto"/>
            </w:tcBorders>
            <w:shd w:val="clear" w:color="auto" w:fill="CCEEFF"/>
          </w:tcPr>
          <w:p>
            <w:pPr>
              <w:spacing w:after="0"/>
              <w:rPr>
                <w:sz w:val="24"/>
                <w:szCs w:val="24"/>
                <w:color w:val="auto"/>
              </w:rPr>
            </w:pPr>
          </w:p>
        </w:tc>
        <w:tc>
          <w:tcPr>
            <w:tcW w:w="240" w:type="dxa"/>
            <w:vAlign w:val="bottom"/>
            <w:tcBorders>
              <w:top w:val="single" w:sz="8" w:color="auto"/>
            </w:tcBorders>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660" w:type="dxa"/>
            <w:vAlign w:val="bottom"/>
            <w:tcBorders>
              <w:top w:val="single" w:sz="8" w:color="auto"/>
            </w:tcBorders>
            <w:shd w:val="clear" w:color="auto" w:fill="CCEEFF"/>
          </w:tcPr>
          <w:p>
            <w:pPr>
              <w:spacing w:after="0"/>
              <w:rPr>
                <w:sz w:val="24"/>
                <w:szCs w:val="24"/>
                <w:color w:val="auto"/>
              </w:rPr>
            </w:pPr>
          </w:p>
        </w:tc>
        <w:tc>
          <w:tcPr>
            <w:tcW w:w="240" w:type="dxa"/>
            <w:vAlign w:val="bottom"/>
            <w:tcBorders>
              <w:top w:val="single" w:sz="8" w:color="auto"/>
            </w:tcBorders>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240" w:type="dxa"/>
            <w:vAlign w:val="bottom"/>
            <w:tcBorders>
              <w:top w:val="single" w:sz="8" w:color="auto"/>
            </w:tcBorders>
            <w:shd w:val="clear" w:color="auto" w:fill="CCEEFF"/>
          </w:tcPr>
          <w:p>
            <w:pPr>
              <w:spacing w:after="0"/>
              <w:rPr>
                <w:sz w:val="24"/>
                <w:szCs w:val="24"/>
                <w:color w:val="auto"/>
              </w:rPr>
            </w:pPr>
          </w:p>
        </w:tc>
        <w:tc>
          <w:tcPr>
            <w:tcW w:w="640" w:type="dxa"/>
            <w:vAlign w:val="bottom"/>
            <w:tcBorders>
              <w:top w:val="single" w:sz="8" w:color="auto"/>
            </w:tcBorders>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860" w:type="dxa"/>
            <w:vAlign w:val="bottom"/>
          </w:tcPr>
          <w:p>
            <w:pPr>
              <w:spacing w:after="0" w:line="149" w:lineRule="exact"/>
              <w:rPr>
                <w:sz w:val="20"/>
                <w:szCs w:val="20"/>
                <w:color w:val="auto"/>
              </w:rPr>
            </w:pPr>
            <w:r>
              <w:rPr>
                <w:rFonts w:ascii="Arial" w:cs="Arial" w:eastAsia="Arial" w:hAnsi="Arial"/>
                <w:sz w:val="14"/>
                <w:szCs w:val="14"/>
                <w:color w:val="auto"/>
              </w:rPr>
              <w:t>Revenues from mining operations</w:t>
            </w:r>
          </w:p>
        </w:tc>
        <w:tc>
          <w:tcPr>
            <w:tcW w:w="26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142,493</w:t>
            </w:r>
          </w:p>
        </w:tc>
        <w:tc>
          <w:tcPr>
            <w:tcW w:w="100" w:type="dxa"/>
            <w:vAlign w:val="bottom"/>
          </w:tcPr>
          <w:p>
            <w:pPr>
              <w:spacing w:after="0"/>
              <w:rPr>
                <w:sz w:val="12"/>
                <w:szCs w:val="12"/>
                <w:color w:val="auto"/>
              </w:rPr>
            </w:pPr>
          </w:p>
        </w:tc>
        <w:tc>
          <w:tcPr>
            <w:tcW w:w="3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38,286</w:t>
            </w:r>
          </w:p>
        </w:tc>
        <w:tc>
          <w:tcPr>
            <w:tcW w:w="100" w:type="dxa"/>
            <w:vAlign w:val="bottom"/>
          </w:tcPr>
          <w:p>
            <w:pPr>
              <w:spacing w:after="0"/>
              <w:rPr>
                <w:sz w:val="12"/>
                <w:szCs w:val="12"/>
                <w:color w:val="auto"/>
              </w:rPr>
            </w:pPr>
          </w:p>
        </w:tc>
        <w:tc>
          <w:tcPr>
            <w:tcW w:w="720" w:type="dxa"/>
            <w:vAlign w:val="bottom"/>
            <w:gridSpan w:val="2"/>
          </w:tcPr>
          <w:p>
            <w:pPr>
              <w:jc w:val="right"/>
              <w:ind w:right="372"/>
              <w:spacing w:after="0" w:line="149" w:lineRule="exact"/>
              <w:rPr>
                <w:sz w:val="20"/>
                <w:szCs w:val="20"/>
                <w:color w:val="auto"/>
              </w:rPr>
            </w:pPr>
            <w:r>
              <w:rPr>
                <w:rFonts w:ascii="Arial" w:cs="Arial" w:eastAsia="Arial" w:hAnsi="Arial"/>
                <w:sz w:val="14"/>
                <w:szCs w:val="14"/>
                <w:color w:val="auto"/>
              </w:rPr>
              <w:t>$</w:t>
            </w:r>
          </w:p>
        </w:tc>
        <w:tc>
          <w:tcPr>
            <w:tcW w:w="240" w:type="dxa"/>
            <w:vAlign w:val="bottom"/>
          </w:tcPr>
          <w:p>
            <w:pPr>
              <w:ind w:left="100"/>
              <w:spacing w:after="0" w:line="149" w:lineRule="exact"/>
              <w:rPr>
                <w:sz w:val="20"/>
                <w:szCs w:val="20"/>
                <w:color w:val="auto"/>
              </w:rPr>
            </w:pPr>
            <w:r>
              <w:rPr>
                <w:rFonts w:ascii="Arial" w:cs="Arial" w:eastAsia="Arial" w:hAnsi="Arial"/>
                <w:sz w:val="14"/>
                <w:szCs w:val="14"/>
                <w:color w:val="auto"/>
                <w:w w:val="85"/>
              </w:rPr>
              <w:t>—</w:t>
            </w:r>
          </w:p>
        </w:tc>
        <w:tc>
          <w:tcPr>
            <w:tcW w:w="820" w:type="dxa"/>
            <w:vAlign w:val="bottom"/>
            <w:gridSpan w:val="2"/>
          </w:tcPr>
          <w:p>
            <w:pPr>
              <w:jc w:val="right"/>
              <w:ind w:right="392"/>
              <w:spacing w:after="0" w:line="149" w:lineRule="exact"/>
              <w:rPr>
                <w:sz w:val="20"/>
                <w:szCs w:val="20"/>
                <w:color w:val="auto"/>
              </w:rPr>
            </w:pPr>
            <w:r>
              <w:rPr>
                <w:rFonts w:ascii="Arial" w:cs="Arial" w:eastAsia="Arial" w:hAnsi="Arial"/>
                <w:sz w:val="14"/>
                <w:szCs w:val="14"/>
                <w:color w:val="auto"/>
              </w:rPr>
              <w:t>$</w:t>
            </w:r>
          </w:p>
        </w:tc>
        <w:tc>
          <w:tcPr>
            <w:tcW w:w="240" w:type="dxa"/>
            <w:vAlign w:val="bottom"/>
          </w:tcPr>
          <w:p>
            <w:pPr>
              <w:ind w:left="80"/>
              <w:spacing w:after="0" w:line="149" w:lineRule="exact"/>
              <w:rPr>
                <w:sz w:val="20"/>
                <w:szCs w:val="20"/>
                <w:color w:val="auto"/>
              </w:rPr>
            </w:pPr>
            <w:r>
              <w:rPr>
                <w:rFonts w:ascii="Arial" w:cs="Arial" w:eastAsia="Arial" w:hAnsi="Arial"/>
                <w:sz w:val="14"/>
                <w:szCs w:val="14"/>
                <w:color w:val="auto"/>
                <w:w w:val="99"/>
              </w:rPr>
              <w:t>—</w:t>
            </w:r>
          </w:p>
        </w:tc>
        <w:tc>
          <w:tcPr>
            <w:tcW w:w="40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tcPr>
          <w:p>
            <w:pPr>
              <w:ind w:left="50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8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Production costs</w:t>
            </w:r>
          </w:p>
        </w:tc>
        <w:tc>
          <w:tcPr>
            <w:tcW w:w="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54,342</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20,366</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240" w:type="dxa"/>
            <w:vAlign w:val="bottom"/>
            <w:shd w:val="clear" w:color="auto" w:fill="CCEEFF"/>
          </w:tcPr>
          <w:p>
            <w:pPr>
              <w:ind w:left="100"/>
              <w:spacing w:after="0" w:line="149" w:lineRule="exact"/>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240" w:type="dxa"/>
            <w:vAlign w:val="bottom"/>
            <w:shd w:val="clear" w:color="auto" w:fill="CCEEFF"/>
          </w:tcPr>
          <w:p>
            <w:pPr>
              <w:ind w:left="80"/>
              <w:spacing w:after="0" w:line="149" w:lineRule="exact"/>
              <w:rPr>
                <w:sz w:val="20"/>
                <w:szCs w:val="20"/>
                <w:color w:val="auto"/>
              </w:rPr>
            </w:pPr>
            <w:r>
              <w:rPr>
                <w:rFonts w:ascii="Arial" w:cs="Arial" w:eastAsia="Arial" w:hAnsi="Arial"/>
                <w:sz w:val="14"/>
                <w:szCs w:val="14"/>
                <w:color w:val="auto"/>
                <w:w w:val="99"/>
              </w:rPr>
              <w:t>—</w:t>
            </w:r>
          </w:p>
        </w:tc>
        <w:tc>
          <w:tcPr>
            <w:tcW w:w="16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00" w:type="dxa"/>
            <w:vAlign w:val="bottom"/>
            <w:gridSpan w:val="2"/>
            <w:shd w:val="clear" w:color="auto" w:fill="CCEEFF"/>
          </w:tcPr>
          <w:p>
            <w:pPr>
              <w:ind w:left="50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7"/>
        </w:trPr>
        <w:tc>
          <w:tcPr>
            <w:tcW w:w="3880" w:type="dxa"/>
            <w:vAlign w:val="bottom"/>
            <w:gridSpan w:val="2"/>
            <w:vMerge w:val="restart"/>
          </w:tcPr>
          <w:p>
            <w:pPr>
              <w:spacing w:after="0"/>
              <w:rPr>
                <w:sz w:val="20"/>
                <w:szCs w:val="20"/>
                <w:color w:val="auto"/>
              </w:rPr>
            </w:pPr>
            <w:r>
              <w:rPr>
                <w:rFonts w:ascii="Arial" w:cs="Arial" w:eastAsia="Arial" w:hAnsi="Arial"/>
                <w:sz w:val="14"/>
                <w:szCs w:val="14"/>
                <w:color w:val="auto"/>
              </w:rPr>
              <w:t>Gross profit (exclusive of amortization shown below)</w:t>
            </w:r>
          </w:p>
        </w:tc>
        <w:tc>
          <w:tcPr>
            <w:tcW w:w="260" w:type="dxa"/>
            <w:vAlign w:val="bottom"/>
            <w:gridSpan w:val="2"/>
          </w:tcPr>
          <w:p>
            <w:pPr>
              <w:spacing w:after="0"/>
              <w:rPr>
                <w:sz w:val="2"/>
                <w:szCs w:val="2"/>
                <w:color w:val="auto"/>
              </w:rPr>
            </w:pPr>
          </w:p>
        </w:tc>
        <w:tc>
          <w:tcPr>
            <w:tcW w:w="6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20" w:type="dxa"/>
            <w:vAlign w:val="bottom"/>
            <w:gridSpan w:val="2"/>
          </w:tcPr>
          <w:p>
            <w:pPr>
              <w:spacing w:after="0"/>
              <w:rPr>
                <w:sz w:val="2"/>
                <w:szCs w:val="2"/>
                <w:color w:val="auto"/>
              </w:rPr>
            </w:pPr>
          </w:p>
        </w:tc>
        <w:tc>
          <w:tcPr>
            <w:tcW w:w="640" w:type="dxa"/>
            <w:vAlign w:val="bottom"/>
          </w:tcPr>
          <w:p>
            <w:pPr>
              <w:spacing w:after="0"/>
              <w:rPr>
                <w:sz w:val="2"/>
                <w:szCs w:val="2"/>
                <w:color w:val="auto"/>
              </w:rPr>
            </w:pPr>
          </w:p>
        </w:tc>
        <w:tc>
          <w:tcPr>
            <w:tcW w:w="100" w:type="dxa"/>
            <w:vAlign w:val="bottom"/>
          </w:tcPr>
          <w:p>
            <w:pPr>
              <w:spacing w:after="0"/>
              <w:rPr>
                <w:sz w:val="2"/>
                <w:szCs w:val="2"/>
                <w:color w:val="auto"/>
              </w:rPr>
            </w:pPr>
          </w:p>
        </w:tc>
        <w:tc>
          <w:tcPr>
            <w:tcW w:w="720" w:type="dxa"/>
            <w:vAlign w:val="bottom"/>
            <w:gridSpan w:val="2"/>
          </w:tcPr>
          <w:p>
            <w:pPr>
              <w:spacing w:after="0"/>
              <w:rPr>
                <w:sz w:val="2"/>
                <w:szCs w:val="2"/>
                <w:color w:val="auto"/>
              </w:rPr>
            </w:pPr>
          </w:p>
        </w:tc>
        <w:tc>
          <w:tcPr>
            <w:tcW w:w="240" w:type="dxa"/>
            <w:vAlign w:val="bottom"/>
          </w:tcPr>
          <w:p>
            <w:pPr>
              <w:spacing w:after="0"/>
              <w:rPr>
                <w:sz w:val="2"/>
                <w:szCs w:val="2"/>
                <w:color w:val="auto"/>
              </w:rPr>
            </w:pPr>
          </w:p>
        </w:tc>
        <w:tc>
          <w:tcPr>
            <w:tcW w:w="820" w:type="dxa"/>
            <w:vAlign w:val="bottom"/>
            <w:gridSpan w:val="2"/>
          </w:tcPr>
          <w:p>
            <w:pPr>
              <w:spacing w:after="0"/>
              <w:rPr>
                <w:sz w:val="2"/>
                <w:szCs w:val="2"/>
                <w:color w:val="auto"/>
              </w:rPr>
            </w:pPr>
          </w:p>
        </w:tc>
        <w:tc>
          <w:tcPr>
            <w:tcW w:w="240" w:type="dxa"/>
            <w:vAlign w:val="bottom"/>
          </w:tcPr>
          <w:p>
            <w:pPr>
              <w:spacing w:after="0"/>
              <w:rPr>
                <w:sz w:val="2"/>
                <w:szCs w:val="2"/>
                <w:color w:val="auto"/>
              </w:rPr>
            </w:pPr>
          </w:p>
        </w:tc>
        <w:tc>
          <w:tcPr>
            <w:tcW w:w="400" w:type="dxa"/>
            <w:vAlign w:val="bottom"/>
            <w:gridSpan w:val="2"/>
          </w:tcPr>
          <w:p>
            <w:pPr>
              <w:spacing w:after="0"/>
              <w:rPr>
                <w:sz w:val="2"/>
                <w:szCs w:val="2"/>
                <w:color w:val="auto"/>
              </w:rPr>
            </w:pPr>
          </w:p>
        </w:tc>
        <w:tc>
          <w:tcPr>
            <w:tcW w:w="800" w:type="dxa"/>
            <w:vAlign w:val="bottom"/>
            <w:gridSpan w:val="2"/>
          </w:tcPr>
          <w:p>
            <w:pPr>
              <w:spacing w:after="0"/>
              <w:rPr>
                <w:sz w:val="2"/>
                <w:szCs w:val="2"/>
                <w:color w:val="auto"/>
              </w:rPr>
            </w:pPr>
          </w:p>
        </w:tc>
        <w:tc>
          <w:tcPr>
            <w:tcW w:w="0" w:type="dxa"/>
            <w:vAlign w:val="bottom"/>
          </w:tcPr>
          <w:p>
            <w:pPr>
              <w:spacing w:after="0"/>
              <w:rPr>
                <w:sz w:val="1"/>
                <w:szCs w:val="1"/>
                <w:color w:val="auto"/>
              </w:rPr>
            </w:pPr>
          </w:p>
        </w:tc>
      </w:tr>
      <w:tr>
        <w:trPr>
          <w:trHeight w:val="142"/>
        </w:trPr>
        <w:tc>
          <w:tcPr>
            <w:tcW w:w="3880" w:type="dxa"/>
            <w:vAlign w:val="bottom"/>
            <w:gridSpan w:val="2"/>
            <w:vMerge w:val="continue"/>
          </w:tcPr>
          <w:p>
            <w:pPr>
              <w:spacing w:after="0"/>
              <w:rPr>
                <w:sz w:val="12"/>
                <w:szCs w:val="12"/>
                <w:color w:val="auto"/>
              </w:rPr>
            </w:pPr>
          </w:p>
        </w:tc>
        <w:tc>
          <w:tcPr>
            <w:tcW w:w="20" w:type="dxa"/>
            <w:vAlign w:val="bottom"/>
          </w:tcPr>
          <w:p>
            <w:pPr>
              <w:spacing w:after="0"/>
              <w:rPr>
                <w:sz w:val="12"/>
                <w:szCs w:val="12"/>
                <w:color w:val="auto"/>
              </w:rPr>
            </w:pPr>
          </w:p>
        </w:tc>
        <w:tc>
          <w:tcPr>
            <w:tcW w:w="24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color w:val="auto"/>
              </w:rPr>
              <w:t>$</w:t>
            </w:r>
          </w:p>
        </w:tc>
        <w:tc>
          <w:tcPr>
            <w:tcW w:w="62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color w:val="auto"/>
              </w:rPr>
              <w:t>88,151</w:t>
            </w: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4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color w:val="auto"/>
              </w:rPr>
              <w:t>$</w:t>
            </w:r>
          </w:p>
        </w:tc>
        <w:tc>
          <w:tcPr>
            <w:tcW w:w="64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color w:val="auto"/>
              </w:rPr>
              <w:t>17,920</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60" w:type="dxa"/>
            <w:vAlign w:val="bottom"/>
            <w:tcBorders>
              <w:top w:val="single" w:sz="8" w:color="auto"/>
            </w:tcBorders>
          </w:tcPr>
          <w:p>
            <w:pPr>
              <w:jc w:val="right"/>
              <w:ind w:right="372"/>
              <w:spacing w:after="0" w:line="142" w:lineRule="exact"/>
              <w:rPr>
                <w:sz w:val="20"/>
                <w:szCs w:val="20"/>
                <w:color w:val="auto"/>
              </w:rPr>
            </w:pPr>
            <w:r>
              <w:rPr>
                <w:rFonts w:ascii="Arial" w:cs="Arial" w:eastAsia="Arial" w:hAnsi="Arial"/>
                <w:sz w:val="14"/>
                <w:szCs w:val="14"/>
                <w:color w:val="auto"/>
              </w:rPr>
              <w:t>$</w:t>
            </w:r>
          </w:p>
        </w:tc>
        <w:tc>
          <w:tcPr>
            <w:tcW w:w="240" w:type="dxa"/>
            <w:vAlign w:val="bottom"/>
            <w:tcBorders>
              <w:top w:val="single" w:sz="8" w:color="auto"/>
            </w:tcBorders>
          </w:tcPr>
          <w:p>
            <w:pPr>
              <w:ind w:left="100"/>
              <w:spacing w:after="0" w:line="142" w:lineRule="exact"/>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2"/>
                <w:szCs w:val="12"/>
                <w:color w:val="auto"/>
              </w:rPr>
            </w:pPr>
          </w:p>
        </w:tc>
        <w:tc>
          <w:tcPr>
            <w:tcW w:w="660" w:type="dxa"/>
            <w:vAlign w:val="bottom"/>
            <w:tcBorders>
              <w:top w:val="single" w:sz="8" w:color="auto"/>
            </w:tcBorders>
          </w:tcPr>
          <w:p>
            <w:pPr>
              <w:jc w:val="right"/>
              <w:ind w:right="392"/>
              <w:spacing w:after="0" w:line="142" w:lineRule="exact"/>
              <w:rPr>
                <w:sz w:val="20"/>
                <w:szCs w:val="20"/>
                <w:color w:val="auto"/>
              </w:rPr>
            </w:pPr>
            <w:r>
              <w:rPr>
                <w:rFonts w:ascii="Arial" w:cs="Arial" w:eastAsia="Arial" w:hAnsi="Arial"/>
                <w:sz w:val="14"/>
                <w:szCs w:val="14"/>
                <w:color w:val="auto"/>
              </w:rPr>
              <w:t>$</w:t>
            </w:r>
          </w:p>
        </w:tc>
        <w:tc>
          <w:tcPr>
            <w:tcW w:w="240" w:type="dxa"/>
            <w:vAlign w:val="bottom"/>
            <w:tcBorders>
              <w:top w:val="single" w:sz="8" w:color="auto"/>
            </w:tcBorders>
          </w:tcPr>
          <w:p>
            <w:pPr>
              <w:ind w:left="80"/>
              <w:spacing w:after="0" w:line="142" w:lineRule="exact"/>
              <w:rPr>
                <w:sz w:val="20"/>
                <w:szCs w:val="20"/>
                <w:color w:val="auto"/>
              </w:rPr>
            </w:pPr>
            <w:r>
              <w:rPr>
                <w:rFonts w:ascii="Arial" w:cs="Arial" w:eastAsia="Arial" w:hAnsi="Arial"/>
                <w:sz w:val="14"/>
                <w:szCs w:val="14"/>
                <w:color w:val="auto"/>
                <w:w w:val="99"/>
              </w:rPr>
              <w:t>—</w:t>
            </w:r>
          </w:p>
        </w:tc>
        <w:tc>
          <w:tcPr>
            <w:tcW w:w="160" w:type="dxa"/>
            <w:vAlign w:val="bottom"/>
          </w:tcPr>
          <w:p>
            <w:pPr>
              <w:spacing w:after="0"/>
              <w:rPr>
                <w:sz w:val="12"/>
                <w:szCs w:val="12"/>
                <w:color w:val="auto"/>
              </w:rPr>
            </w:pPr>
          </w:p>
        </w:tc>
        <w:tc>
          <w:tcPr>
            <w:tcW w:w="24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color w:val="auto"/>
              </w:rPr>
              <w:t>$</w:t>
            </w:r>
          </w:p>
        </w:tc>
        <w:tc>
          <w:tcPr>
            <w:tcW w:w="640" w:type="dxa"/>
            <w:vAlign w:val="bottom"/>
            <w:tcBorders>
              <w:top w:val="single" w:sz="8" w:color="auto"/>
            </w:tcBorders>
          </w:tcPr>
          <w:p>
            <w:pPr>
              <w:ind w:left="500"/>
              <w:spacing w:after="0" w:line="142" w:lineRule="exact"/>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8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Amortization</w:t>
            </w:r>
          </w:p>
        </w:tc>
        <w:tc>
          <w:tcPr>
            <w:tcW w:w="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21,716</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7,250</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240" w:type="dxa"/>
            <w:vAlign w:val="bottom"/>
            <w:shd w:val="clear" w:color="auto" w:fill="CCEEFF"/>
          </w:tcPr>
          <w:p>
            <w:pPr>
              <w:ind w:left="100"/>
              <w:spacing w:after="0" w:line="149" w:lineRule="exact"/>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240" w:type="dxa"/>
            <w:vAlign w:val="bottom"/>
            <w:shd w:val="clear" w:color="auto" w:fill="CCEEFF"/>
          </w:tcPr>
          <w:p>
            <w:pPr>
              <w:ind w:left="80"/>
              <w:spacing w:after="0" w:line="149" w:lineRule="exact"/>
              <w:rPr>
                <w:sz w:val="20"/>
                <w:szCs w:val="20"/>
                <w:color w:val="auto"/>
              </w:rPr>
            </w:pPr>
            <w:r>
              <w:rPr>
                <w:rFonts w:ascii="Arial" w:cs="Arial" w:eastAsia="Arial" w:hAnsi="Arial"/>
                <w:sz w:val="14"/>
                <w:szCs w:val="14"/>
                <w:color w:val="auto"/>
                <w:w w:val="99"/>
              </w:rPr>
              <w:t>—</w:t>
            </w:r>
          </w:p>
        </w:tc>
        <w:tc>
          <w:tcPr>
            <w:tcW w:w="16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00" w:type="dxa"/>
            <w:vAlign w:val="bottom"/>
            <w:gridSpan w:val="2"/>
            <w:shd w:val="clear" w:color="auto" w:fill="CCEEFF"/>
          </w:tcPr>
          <w:p>
            <w:pPr>
              <w:ind w:left="50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7"/>
        </w:trPr>
        <w:tc>
          <w:tcPr>
            <w:tcW w:w="3880" w:type="dxa"/>
            <w:vAlign w:val="bottom"/>
            <w:gridSpan w:val="2"/>
            <w:vMerge w:val="restart"/>
          </w:tcPr>
          <w:p>
            <w:pPr>
              <w:spacing w:after="0"/>
              <w:rPr>
                <w:sz w:val="20"/>
                <w:szCs w:val="20"/>
                <w:color w:val="auto"/>
              </w:rPr>
            </w:pPr>
            <w:r>
              <w:rPr>
                <w:rFonts w:ascii="Arial" w:cs="Arial" w:eastAsia="Arial" w:hAnsi="Arial"/>
                <w:sz w:val="14"/>
                <w:szCs w:val="14"/>
                <w:color w:val="auto"/>
              </w:rPr>
              <w:t>Gross profit</w:t>
            </w:r>
          </w:p>
        </w:tc>
        <w:tc>
          <w:tcPr>
            <w:tcW w:w="260" w:type="dxa"/>
            <w:vAlign w:val="bottom"/>
            <w:gridSpan w:val="2"/>
          </w:tcPr>
          <w:p>
            <w:pPr>
              <w:spacing w:after="0"/>
              <w:rPr>
                <w:sz w:val="2"/>
                <w:szCs w:val="2"/>
                <w:color w:val="auto"/>
              </w:rPr>
            </w:pPr>
          </w:p>
        </w:tc>
        <w:tc>
          <w:tcPr>
            <w:tcW w:w="6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20" w:type="dxa"/>
            <w:vAlign w:val="bottom"/>
            <w:gridSpan w:val="2"/>
          </w:tcPr>
          <w:p>
            <w:pPr>
              <w:spacing w:after="0"/>
              <w:rPr>
                <w:sz w:val="2"/>
                <w:szCs w:val="2"/>
                <w:color w:val="auto"/>
              </w:rPr>
            </w:pPr>
          </w:p>
        </w:tc>
        <w:tc>
          <w:tcPr>
            <w:tcW w:w="640" w:type="dxa"/>
            <w:vAlign w:val="bottom"/>
          </w:tcPr>
          <w:p>
            <w:pPr>
              <w:spacing w:after="0"/>
              <w:rPr>
                <w:sz w:val="2"/>
                <w:szCs w:val="2"/>
                <w:color w:val="auto"/>
              </w:rPr>
            </w:pPr>
          </w:p>
        </w:tc>
        <w:tc>
          <w:tcPr>
            <w:tcW w:w="100" w:type="dxa"/>
            <w:vAlign w:val="bottom"/>
          </w:tcPr>
          <w:p>
            <w:pPr>
              <w:spacing w:after="0"/>
              <w:rPr>
                <w:sz w:val="2"/>
                <w:szCs w:val="2"/>
                <w:color w:val="auto"/>
              </w:rPr>
            </w:pPr>
          </w:p>
        </w:tc>
        <w:tc>
          <w:tcPr>
            <w:tcW w:w="720" w:type="dxa"/>
            <w:vAlign w:val="bottom"/>
            <w:gridSpan w:val="2"/>
          </w:tcPr>
          <w:p>
            <w:pPr>
              <w:spacing w:after="0"/>
              <w:rPr>
                <w:sz w:val="2"/>
                <w:szCs w:val="2"/>
                <w:color w:val="auto"/>
              </w:rPr>
            </w:pPr>
          </w:p>
        </w:tc>
        <w:tc>
          <w:tcPr>
            <w:tcW w:w="240" w:type="dxa"/>
            <w:vAlign w:val="bottom"/>
          </w:tcPr>
          <w:p>
            <w:pPr>
              <w:spacing w:after="0"/>
              <w:rPr>
                <w:sz w:val="2"/>
                <w:szCs w:val="2"/>
                <w:color w:val="auto"/>
              </w:rPr>
            </w:pPr>
          </w:p>
        </w:tc>
        <w:tc>
          <w:tcPr>
            <w:tcW w:w="820" w:type="dxa"/>
            <w:vAlign w:val="bottom"/>
            <w:gridSpan w:val="2"/>
          </w:tcPr>
          <w:p>
            <w:pPr>
              <w:spacing w:after="0"/>
              <w:rPr>
                <w:sz w:val="2"/>
                <w:szCs w:val="2"/>
                <w:color w:val="auto"/>
              </w:rPr>
            </w:pPr>
          </w:p>
        </w:tc>
        <w:tc>
          <w:tcPr>
            <w:tcW w:w="240" w:type="dxa"/>
            <w:vAlign w:val="bottom"/>
          </w:tcPr>
          <w:p>
            <w:pPr>
              <w:spacing w:after="0"/>
              <w:rPr>
                <w:sz w:val="2"/>
                <w:szCs w:val="2"/>
                <w:color w:val="auto"/>
              </w:rPr>
            </w:pPr>
          </w:p>
        </w:tc>
        <w:tc>
          <w:tcPr>
            <w:tcW w:w="400" w:type="dxa"/>
            <w:vAlign w:val="bottom"/>
            <w:gridSpan w:val="2"/>
          </w:tcPr>
          <w:p>
            <w:pPr>
              <w:spacing w:after="0"/>
              <w:rPr>
                <w:sz w:val="2"/>
                <w:szCs w:val="2"/>
                <w:color w:val="auto"/>
              </w:rPr>
            </w:pPr>
          </w:p>
        </w:tc>
        <w:tc>
          <w:tcPr>
            <w:tcW w:w="800" w:type="dxa"/>
            <w:vAlign w:val="bottom"/>
            <w:gridSpan w:val="2"/>
          </w:tcPr>
          <w:p>
            <w:pPr>
              <w:spacing w:after="0"/>
              <w:rPr>
                <w:sz w:val="2"/>
                <w:szCs w:val="2"/>
                <w:color w:val="auto"/>
              </w:rPr>
            </w:pPr>
          </w:p>
        </w:tc>
        <w:tc>
          <w:tcPr>
            <w:tcW w:w="0" w:type="dxa"/>
            <w:vAlign w:val="bottom"/>
          </w:tcPr>
          <w:p>
            <w:pPr>
              <w:spacing w:after="0"/>
              <w:rPr>
                <w:sz w:val="1"/>
                <w:szCs w:val="1"/>
                <w:color w:val="auto"/>
              </w:rPr>
            </w:pPr>
          </w:p>
        </w:tc>
      </w:tr>
      <w:tr>
        <w:trPr>
          <w:trHeight w:val="167"/>
        </w:trPr>
        <w:tc>
          <w:tcPr>
            <w:tcW w:w="3880" w:type="dxa"/>
            <w:vAlign w:val="bottom"/>
            <w:gridSpan w:val="2"/>
            <w:vMerge w:val="continue"/>
          </w:tcPr>
          <w:p>
            <w:pPr>
              <w:spacing w:after="0"/>
              <w:rPr>
                <w:sz w:val="14"/>
                <w:szCs w:val="14"/>
                <w:color w:val="auto"/>
              </w:rPr>
            </w:pPr>
          </w:p>
        </w:tc>
        <w:tc>
          <w:tcPr>
            <w:tcW w:w="20" w:type="dxa"/>
            <w:vAlign w:val="bottom"/>
          </w:tcPr>
          <w:p>
            <w:pPr>
              <w:spacing w:after="0"/>
              <w:rPr>
                <w:sz w:val="14"/>
                <w:szCs w:val="14"/>
                <w:color w:val="auto"/>
              </w:rPr>
            </w:pPr>
          </w:p>
        </w:tc>
        <w:tc>
          <w:tcPr>
            <w:tcW w:w="2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w:t>
            </w: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66,435</w:t>
            </w: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w:t>
            </w: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10,670</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660" w:type="dxa"/>
            <w:vAlign w:val="bottom"/>
            <w:tcBorders>
              <w:top w:val="single" w:sz="8" w:color="auto"/>
              <w:bottom w:val="single" w:sz="8" w:color="auto"/>
            </w:tcBorders>
          </w:tcPr>
          <w:p>
            <w:pPr>
              <w:jc w:val="right"/>
              <w:ind w:right="372"/>
              <w:spacing w:after="0"/>
              <w:rPr>
                <w:sz w:val="20"/>
                <w:szCs w:val="20"/>
                <w:color w:val="auto"/>
              </w:rPr>
            </w:pPr>
            <w:r>
              <w:rPr>
                <w:rFonts w:ascii="Arial" w:cs="Arial" w:eastAsia="Arial" w:hAnsi="Arial"/>
                <w:sz w:val="14"/>
                <w:szCs w:val="14"/>
                <w:color w:val="auto"/>
              </w:rPr>
              <w:t>$</w:t>
            </w:r>
          </w:p>
        </w:tc>
        <w:tc>
          <w:tcPr>
            <w:tcW w:w="240" w:type="dxa"/>
            <w:vAlign w:val="bottom"/>
            <w:tcBorders>
              <w:top w:val="single" w:sz="8" w:color="auto"/>
              <w:bottom w:val="single" w:sz="8" w:color="auto"/>
            </w:tcBorders>
          </w:tcPr>
          <w:p>
            <w:pPr>
              <w:ind w:left="100"/>
              <w:spacing w:after="0"/>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4"/>
                <w:szCs w:val="14"/>
                <w:color w:val="auto"/>
              </w:rPr>
            </w:pPr>
          </w:p>
        </w:tc>
        <w:tc>
          <w:tcPr>
            <w:tcW w:w="660" w:type="dxa"/>
            <w:vAlign w:val="bottom"/>
            <w:tcBorders>
              <w:top w:val="single" w:sz="8" w:color="auto"/>
              <w:bottom w:val="single" w:sz="8" w:color="auto"/>
            </w:tcBorders>
          </w:tcPr>
          <w:p>
            <w:pPr>
              <w:jc w:val="right"/>
              <w:ind w:right="392"/>
              <w:spacing w:after="0"/>
              <w:rPr>
                <w:sz w:val="20"/>
                <w:szCs w:val="20"/>
                <w:color w:val="auto"/>
              </w:rPr>
            </w:pPr>
            <w:r>
              <w:rPr>
                <w:rFonts w:ascii="Arial" w:cs="Arial" w:eastAsia="Arial" w:hAnsi="Arial"/>
                <w:sz w:val="14"/>
                <w:szCs w:val="14"/>
                <w:color w:val="auto"/>
              </w:rPr>
              <w:t>$</w:t>
            </w:r>
          </w:p>
        </w:tc>
        <w:tc>
          <w:tcPr>
            <w:tcW w:w="240" w:type="dxa"/>
            <w:vAlign w:val="bottom"/>
            <w:tcBorders>
              <w:top w:val="single" w:sz="8" w:color="auto"/>
              <w:bottom w:val="single" w:sz="8" w:color="auto"/>
            </w:tcBorders>
          </w:tcPr>
          <w:p>
            <w:pPr>
              <w:ind w:left="80"/>
              <w:spacing w:after="0"/>
              <w:rPr>
                <w:sz w:val="20"/>
                <w:szCs w:val="20"/>
                <w:color w:val="auto"/>
              </w:rPr>
            </w:pPr>
            <w:r>
              <w:rPr>
                <w:rFonts w:ascii="Arial" w:cs="Arial" w:eastAsia="Arial" w:hAnsi="Arial"/>
                <w:sz w:val="14"/>
                <w:szCs w:val="14"/>
                <w:color w:val="auto"/>
                <w:w w:val="99"/>
              </w:rPr>
              <w:t>—</w:t>
            </w:r>
          </w:p>
        </w:tc>
        <w:tc>
          <w:tcPr>
            <w:tcW w:w="160" w:type="dxa"/>
            <w:vAlign w:val="bottom"/>
          </w:tcPr>
          <w:p>
            <w:pPr>
              <w:spacing w:after="0"/>
              <w:rPr>
                <w:sz w:val="14"/>
                <w:szCs w:val="14"/>
                <w:color w:val="auto"/>
              </w:rPr>
            </w:pPr>
          </w:p>
        </w:tc>
        <w:tc>
          <w:tcPr>
            <w:tcW w:w="2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w:t>
            </w:r>
          </w:p>
        </w:tc>
        <w:tc>
          <w:tcPr>
            <w:tcW w:w="640" w:type="dxa"/>
            <w:vAlign w:val="bottom"/>
            <w:tcBorders>
              <w:top w:val="single" w:sz="8" w:color="auto"/>
              <w:bottom w:val="single" w:sz="8" w:color="auto"/>
            </w:tcBorders>
          </w:tcPr>
          <w:p>
            <w:pPr>
              <w:ind w:left="500"/>
              <w:spacing w:after="0"/>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8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1"/>
        </w:trPr>
        <w:tc>
          <w:tcPr>
            <w:tcW w:w="20" w:type="dxa"/>
            <w:vAlign w:val="bottom"/>
          </w:tcPr>
          <w:p>
            <w:pPr>
              <w:spacing w:after="0"/>
              <w:rPr>
                <w:sz w:val="11"/>
                <w:szCs w:val="11"/>
                <w:color w:val="auto"/>
              </w:rPr>
            </w:pPr>
          </w:p>
        </w:tc>
        <w:tc>
          <w:tcPr>
            <w:tcW w:w="3860" w:type="dxa"/>
            <w:vAlign w:val="bottom"/>
            <w:shd w:val="clear" w:color="auto" w:fill="CCEEFF"/>
          </w:tcPr>
          <w:p>
            <w:pPr>
              <w:spacing w:after="0" w:line="131" w:lineRule="exact"/>
              <w:rPr>
                <w:sz w:val="20"/>
                <w:szCs w:val="20"/>
                <w:color w:val="auto"/>
              </w:rPr>
            </w:pPr>
            <w:r>
              <w:rPr>
                <w:rFonts w:ascii="Arial" w:cs="Arial" w:eastAsia="Arial" w:hAnsi="Arial"/>
                <w:sz w:val="14"/>
                <w:szCs w:val="14"/>
                <w:color w:val="auto"/>
              </w:rPr>
              <w:t>Tonnes of ore milled</w:t>
            </w:r>
          </w:p>
        </w:tc>
        <w:tc>
          <w:tcPr>
            <w:tcW w:w="2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20" w:type="dxa"/>
            <w:vAlign w:val="bottom"/>
            <w:shd w:val="clear" w:color="auto" w:fill="CCEEFF"/>
          </w:tcPr>
          <w:p>
            <w:pPr>
              <w:jc w:val="right"/>
              <w:spacing w:after="0" w:line="131" w:lineRule="exact"/>
              <w:rPr>
                <w:sz w:val="20"/>
                <w:szCs w:val="20"/>
                <w:color w:val="auto"/>
              </w:rPr>
            </w:pPr>
            <w:r>
              <w:rPr>
                <w:rFonts w:ascii="Arial" w:cs="Arial" w:eastAsia="Arial" w:hAnsi="Arial"/>
                <w:sz w:val="14"/>
                <w:szCs w:val="14"/>
                <w:color w:val="auto"/>
                <w:w w:val="96"/>
              </w:rPr>
              <w:t>2,614,645</w:t>
            </w: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40" w:type="dxa"/>
            <w:vAlign w:val="bottom"/>
            <w:shd w:val="clear" w:color="auto" w:fill="CCEEFF"/>
          </w:tcPr>
          <w:p>
            <w:pPr>
              <w:jc w:val="right"/>
              <w:spacing w:after="0" w:line="131" w:lineRule="exact"/>
              <w:rPr>
                <w:sz w:val="20"/>
                <w:szCs w:val="20"/>
                <w:color w:val="auto"/>
              </w:rPr>
            </w:pPr>
            <w:r>
              <w:rPr>
                <w:rFonts w:ascii="Arial" w:cs="Arial" w:eastAsia="Arial" w:hAnsi="Arial"/>
                <w:sz w:val="14"/>
                <w:szCs w:val="14"/>
                <w:color w:val="auto"/>
                <w:w w:val="99"/>
              </w:rPr>
              <w:t>1,118,543</w:t>
            </w: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240" w:type="dxa"/>
            <w:vAlign w:val="bottom"/>
            <w:shd w:val="clear" w:color="auto" w:fill="CCEEFF"/>
          </w:tcPr>
          <w:p>
            <w:pPr>
              <w:ind w:left="100"/>
              <w:spacing w:after="0" w:line="131" w:lineRule="exact"/>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240" w:type="dxa"/>
            <w:vAlign w:val="bottom"/>
            <w:shd w:val="clear" w:color="auto" w:fill="CCEEFF"/>
          </w:tcPr>
          <w:p>
            <w:pPr>
              <w:ind w:left="80"/>
              <w:spacing w:after="0" w:line="131" w:lineRule="exact"/>
              <w:rPr>
                <w:sz w:val="20"/>
                <w:szCs w:val="20"/>
                <w:color w:val="auto"/>
              </w:rPr>
            </w:pPr>
            <w:r>
              <w:rPr>
                <w:rFonts w:ascii="Arial" w:cs="Arial" w:eastAsia="Arial" w:hAnsi="Arial"/>
                <w:sz w:val="14"/>
                <w:szCs w:val="14"/>
                <w:color w:val="auto"/>
                <w:w w:val="99"/>
              </w:rPr>
              <w:t>—</w:t>
            </w:r>
          </w:p>
        </w:tc>
        <w:tc>
          <w:tcPr>
            <w:tcW w:w="16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800" w:type="dxa"/>
            <w:vAlign w:val="bottom"/>
            <w:gridSpan w:val="2"/>
            <w:shd w:val="clear" w:color="auto" w:fill="CCEEFF"/>
          </w:tcPr>
          <w:p>
            <w:pPr>
              <w:ind w:left="500"/>
              <w:spacing w:after="0" w:line="131"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860" w:type="dxa"/>
            <w:vAlign w:val="bottom"/>
          </w:tcPr>
          <w:p>
            <w:pPr>
              <w:spacing w:after="0" w:line="149" w:lineRule="exact"/>
              <w:rPr>
                <w:sz w:val="20"/>
                <w:szCs w:val="20"/>
                <w:color w:val="auto"/>
              </w:rPr>
            </w:pPr>
            <w:r>
              <w:rPr>
                <w:rFonts w:ascii="Arial" w:cs="Arial" w:eastAsia="Arial" w:hAnsi="Arial"/>
                <w:sz w:val="14"/>
                <w:szCs w:val="14"/>
                <w:color w:val="auto"/>
              </w:rPr>
              <w:t>Gold — grams per tonne</w:t>
            </w:r>
          </w:p>
        </w:tc>
        <w:tc>
          <w:tcPr>
            <w:tcW w:w="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1.98</w:t>
            </w: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1.86</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240" w:type="dxa"/>
            <w:vAlign w:val="bottom"/>
          </w:tcPr>
          <w:p>
            <w:pPr>
              <w:ind w:left="100"/>
              <w:spacing w:after="0" w:line="149" w:lineRule="exact"/>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240" w:type="dxa"/>
            <w:vAlign w:val="bottom"/>
          </w:tcPr>
          <w:p>
            <w:pPr>
              <w:ind w:left="80"/>
              <w:spacing w:after="0" w:line="149" w:lineRule="exact"/>
              <w:rPr>
                <w:sz w:val="20"/>
                <w:szCs w:val="20"/>
                <w:color w:val="auto"/>
              </w:rPr>
            </w:pPr>
            <w:r>
              <w:rPr>
                <w:rFonts w:ascii="Arial" w:cs="Arial" w:eastAsia="Arial" w:hAnsi="Arial"/>
                <w:sz w:val="14"/>
                <w:szCs w:val="14"/>
                <w:color w:val="auto"/>
                <w:w w:val="99"/>
              </w:rPr>
              <w:t>—</w:t>
            </w:r>
          </w:p>
        </w:tc>
        <w:tc>
          <w:tcPr>
            <w:tcW w:w="1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00" w:type="dxa"/>
            <w:vAlign w:val="bottom"/>
            <w:gridSpan w:val="2"/>
          </w:tcPr>
          <w:p>
            <w:pPr>
              <w:ind w:left="50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8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Gold production — ounces</w:t>
            </w:r>
          </w:p>
        </w:tc>
        <w:tc>
          <w:tcPr>
            <w:tcW w:w="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148,849</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57,436</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240" w:type="dxa"/>
            <w:vAlign w:val="bottom"/>
            <w:shd w:val="clear" w:color="auto" w:fill="CCEEFF"/>
          </w:tcPr>
          <w:p>
            <w:pPr>
              <w:ind w:left="100"/>
              <w:spacing w:after="0" w:line="149" w:lineRule="exact"/>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240" w:type="dxa"/>
            <w:vAlign w:val="bottom"/>
            <w:shd w:val="clear" w:color="auto" w:fill="CCEEFF"/>
          </w:tcPr>
          <w:p>
            <w:pPr>
              <w:ind w:left="80"/>
              <w:spacing w:after="0" w:line="149" w:lineRule="exact"/>
              <w:rPr>
                <w:sz w:val="20"/>
                <w:szCs w:val="20"/>
                <w:color w:val="auto"/>
              </w:rPr>
            </w:pPr>
            <w:r>
              <w:rPr>
                <w:rFonts w:ascii="Arial" w:cs="Arial" w:eastAsia="Arial" w:hAnsi="Arial"/>
                <w:sz w:val="14"/>
                <w:szCs w:val="14"/>
                <w:color w:val="auto"/>
                <w:w w:val="99"/>
              </w:rPr>
              <w:t>—</w:t>
            </w:r>
          </w:p>
        </w:tc>
        <w:tc>
          <w:tcPr>
            <w:tcW w:w="16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00" w:type="dxa"/>
            <w:vAlign w:val="bottom"/>
            <w:gridSpan w:val="2"/>
            <w:shd w:val="clear" w:color="auto" w:fill="CCEEFF"/>
          </w:tcPr>
          <w:p>
            <w:pPr>
              <w:ind w:left="50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324"/>
        </w:trPr>
        <w:tc>
          <w:tcPr>
            <w:tcW w:w="3880" w:type="dxa"/>
            <w:vAlign w:val="bottom"/>
            <w:gridSpan w:val="2"/>
          </w:tcPr>
          <w:p>
            <w:pPr>
              <w:spacing w:after="0"/>
              <w:rPr>
                <w:sz w:val="20"/>
                <w:szCs w:val="20"/>
                <w:color w:val="auto"/>
              </w:rPr>
            </w:pPr>
            <w:r>
              <w:rPr>
                <w:rFonts w:ascii="Arial" w:cs="Arial" w:eastAsia="Arial" w:hAnsi="Arial"/>
                <w:sz w:val="14"/>
                <w:szCs w:val="14"/>
                <w:b w:val="1"/>
                <w:bCs w:val="1"/>
                <w:color w:val="auto"/>
              </w:rPr>
              <w:t>Total cash costs (per ounce):</w:t>
            </w:r>
          </w:p>
        </w:tc>
        <w:tc>
          <w:tcPr>
            <w:tcW w:w="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8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Production costs</w:t>
            </w:r>
          </w:p>
        </w:tc>
        <w:tc>
          <w:tcPr>
            <w:tcW w:w="2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365</w:t>
            </w:r>
          </w:p>
        </w:tc>
        <w:tc>
          <w:tcPr>
            <w:tcW w:w="100" w:type="dxa"/>
            <w:vAlign w:val="bottom"/>
            <w:shd w:val="clear" w:color="auto" w:fill="CCEEFF"/>
          </w:tcPr>
          <w:p>
            <w:pPr>
              <w:spacing w:after="0"/>
              <w:rPr>
                <w:sz w:val="12"/>
                <w:szCs w:val="12"/>
                <w:color w:val="auto"/>
              </w:rPr>
            </w:pPr>
          </w:p>
        </w:tc>
        <w:tc>
          <w:tcPr>
            <w:tcW w:w="3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430</w:t>
            </w:r>
          </w:p>
        </w:tc>
        <w:tc>
          <w:tcPr>
            <w:tcW w:w="10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372"/>
              <w:spacing w:after="0" w:line="149" w:lineRule="exact"/>
              <w:rPr>
                <w:sz w:val="20"/>
                <w:szCs w:val="20"/>
                <w:color w:val="auto"/>
              </w:rPr>
            </w:pPr>
            <w:r>
              <w:rPr>
                <w:rFonts w:ascii="Arial" w:cs="Arial" w:eastAsia="Arial" w:hAnsi="Arial"/>
                <w:sz w:val="14"/>
                <w:szCs w:val="14"/>
                <w:color w:val="auto"/>
              </w:rPr>
              <w:t>$</w:t>
            </w:r>
          </w:p>
        </w:tc>
        <w:tc>
          <w:tcPr>
            <w:tcW w:w="240" w:type="dxa"/>
            <w:vAlign w:val="bottom"/>
            <w:shd w:val="clear" w:color="auto" w:fill="CCEEFF"/>
          </w:tcPr>
          <w:p>
            <w:pPr>
              <w:ind w:left="100"/>
              <w:spacing w:after="0" w:line="149" w:lineRule="exact"/>
              <w:rPr>
                <w:sz w:val="20"/>
                <w:szCs w:val="20"/>
                <w:color w:val="auto"/>
              </w:rPr>
            </w:pPr>
            <w:r>
              <w:rPr>
                <w:rFonts w:ascii="Arial" w:cs="Arial" w:eastAsia="Arial" w:hAnsi="Arial"/>
                <w:sz w:val="14"/>
                <w:szCs w:val="14"/>
                <w:color w:val="auto"/>
                <w:w w:val="85"/>
              </w:rPr>
              <w:t>—</w:t>
            </w:r>
          </w:p>
        </w:tc>
        <w:tc>
          <w:tcPr>
            <w:tcW w:w="820" w:type="dxa"/>
            <w:vAlign w:val="bottom"/>
            <w:gridSpan w:val="2"/>
            <w:shd w:val="clear" w:color="auto" w:fill="CCEEFF"/>
          </w:tcPr>
          <w:p>
            <w:pPr>
              <w:jc w:val="right"/>
              <w:ind w:right="392"/>
              <w:spacing w:after="0" w:line="149" w:lineRule="exact"/>
              <w:rPr>
                <w:sz w:val="20"/>
                <w:szCs w:val="20"/>
                <w:color w:val="auto"/>
              </w:rPr>
            </w:pPr>
            <w:r>
              <w:rPr>
                <w:rFonts w:ascii="Arial" w:cs="Arial" w:eastAsia="Arial" w:hAnsi="Arial"/>
                <w:sz w:val="14"/>
                <w:szCs w:val="14"/>
                <w:color w:val="auto"/>
              </w:rPr>
              <w:t>$</w:t>
            </w:r>
          </w:p>
        </w:tc>
        <w:tc>
          <w:tcPr>
            <w:tcW w:w="240" w:type="dxa"/>
            <w:vAlign w:val="bottom"/>
            <w:shd w:val="clear" w:color="auto" w:fill="CCEEFF"/>
          </w:tcPr>
          <w:p>
            <w:pPr>
              <w:ind w:left="80"/>
              <w:spacing w:after="0" w:line="149" w:lineRule="exact"/>
              <w:rPr>
                <w:sz w:val="20"/>
                <w:szCs w:val="20"/>
                <w:color w:val="auto"/>
              </w:rPr>
            </w:pPr>
            <w:r>
              <w:rPr>
                <w:rFonts w:ascii="Arial" w:cs="Arial" w:eastAsia="Arial" w:hAnsi="Arial"/>
                <w:sz w:val="14"/>
                <w:szCs w:val="14"/>
                <w:color w:val="auto"/>
                <w:w w:val="99"/>
              </w:rPr>
              <w:t>—</w:t>
            </w:r>
          </w:p>
        </w:tc>
        <w:tc>
          <w:tcPr>
            <w:tcW w:w="40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shd w:val="clear" w:color="auto" w:fill="CCEEFF"/>
          </w:tcPr>
          <w:p>
            <w:pPr>
              <w:ind w:left="50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860" w:type="dxa"/>
            <w:vAlign w:val="bottom"/>
          </w:tcPr>
          <w:p>
            <w:pPr>
              <w:spacing w:after="0" w:line="149" w:lineRule="exact"/>
              <w:rPr>
                <w:sz w:val="20"/>
                <w:szCs w:val="20"/>
                <w:color w:val="auto"/>
              </w:rPr>
            </w:pPr>
            <w:r>
              <w:rPr>
                <w:rFonts w:ascii="Arial" w:cs="Arial" w:eastAsia="Arial" w:hAnsi="Arial"/>
                <w:sz w:val="14"/>
                <w:szCs w:val="14"/>
                <w:color w:val="auto"/>
              </w:rPr>
              <w:t>Less:</w:t>
            </w:r>
          </w:p>
        </w:tc>
        <w:tc>
          <w:tcPr>
            <w:tcW w:w="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860" w:type="dxa"/>
            <w:vAlign w:val="bottom"/>
            <w:shd w:val="clear" w:color="auto" w:fill="CCEEFF"/>
          </w:tcPr>
          <w:p>
            <w:pPr>
              <w:ind w:left="100"/>
              <w:spacing w:after="0" w:line="149" w:lineRule="exact"/>
              <w:rPr>
                <w:sz w:val="20"/>
                <w:szCs w:val="20"/>
                <w:color w:val="auto"/>
              </w:rPr>
            </w:pPr>
            <w:r>
              <w:rPr>
                <w:rFonts w:ascii="Arial" w:cs="Arial" w:eastAsia="Arial" w:hAnsi="Arial"/>
                <w:sz w:val="14"/>
                <w:szCs w:val="14"/>
                <w:color w:val="auto"/>
              </w:rPr>
              <w:t>Inventory adjustments</w:t>
            </w:r>
          </w:p>
        </w:tc>
        <w:tc>
          <w:tcPr>
            <w:tcW w:w="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(9)</w:t>
            </w:r>
          </w:p>
        </w:tc>
        <w:tc>
          <w:tcPr>
            <w:tcW w:w="6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240" w:type="dxa"/>
            <w:vAlign w:val="bottom"/>
            <w:shd w:val="clear" w:color="auto" w:fill="CCEEFF"/>
          </w:tcPr>
          <w:p>
            <w:pPr>
              <w:ind w:left="100"/>
              <w:spacing w:after="0" w:line="149" w:lineRule="exact"/>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240" w:type="dxa"/>
            <w:vAlign w:val="bottom"/>
            <w:shd w:val="clear" w:color="auto" w:fill="CCEEFF"/>
          </w:tcPr>
          <w:p>
            <w:pPr>
              <w:ind w:left="80"/>
              <w:spacing w:after="0" w:line="149" w:lineRule="exact"/>
              <w:rPr>
                <w:sz w:val="20"/>
                <w:szCs w:val="20"/>
                <w:color w:val="auto"/>
              </w:rPr>
            </w:pPr>
            <w:r>
              <w:rPr>
                <w:rFonts w:ascii="Arial" w:cs="Arial" w:eastAsia="Arial" w:hAnsi="Arial"/>
                <w:sz w:val="14"/>
                <w:szCs w:val="14"/>
                <w:color w:val="auto"/>
                <w:w w:val="99"/>
              </w:rPr>
              <w:t>—</w:t>
            </w:r>
          </w:p>
        </w:tc>
        <w:tc>
          <w:tcPr>
            <w:tcW w:w="16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00" w:type="dxa"/>
            <w:vAlign w:val="bottom"/>
            <w:gridSpan w:val="2"/>
            <w:shd w:val="clear" w:color="auto" w:fill="CCEEFF"/>
          </w:tcPr>
          <w:p>
            <w:pPr>
              <w:ind w:left="50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3860" w:type="dxa"/>
            <w:vAlign w:val="bottom"/>
          </w:tcPr>
          <w:p>
            <w:pPr>
              <w:ind w:left="100"/>
              <w:spacing w:after="0"/>
              <w:rPr>
                <w:sz w:val="20"/>
                <w:szCs w:val="20"/>
                <w:color w:val="auto"/>
              </w:rPr>
            </w:pPr>
            <w:r>
              <w:rPr>
                <w:rFonts w:ascii="Arial" w:cs="Arial" w:eastAsia="Arial" w:hAnsi="Arial"/>
                <w:sz w:val="14"/>
                <w:szCs w:val="14"/>
                <w:color w:val="auto"/>
              </w:rPr>
              <w:t>Accretion expense and other</w:t>
            </w:r>
          </w:p>
        </w:tc>
        <w:tc>
          <w:tcPr>
            <w:tcW w:w="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4"/>
                <w:szCs w:val="14"/>
                <w:color w:val="auto"/>
              </w:rPr>
              <w:t>(1)</w:t>
            </w:r>
          </w:p>
        </w:tc>
        <w:tc>
          <w:tcPr>
            <w:tcW w:w="8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740" w:type="dxa"/>
            <w:vAlign w:val="bottom"/>
            <w:gridSpan w:val="2"/>
          </w:tcPr>
          <w:p>
            <w:pPr>
              <w:jc w:val="right"/>
              <w:ind w:right="60"/>
              <w:spacing w:after="0"/>
              <w:rPr>
                <w:sz w:val="20"/>
                <w:szCs w:val="20"/>
                <w:color w:val="auto"/>
              </w:rPr>
            </w:pPr>
            <w:r>
              <w:rPr>
                <w:rFonts w:ascii="Arial" w:cs="Arial" w:eastAsia="Arial" w:hAnsi="Arial"/>
                <w:sz w:val="14"/>
                <w:szCs w:val="14"/>
                <w:color w:val="auto"/>
              </w:rPr>
              <w:t>(2)</w:t>
            </w:r>
          </w:p>
        </w:tc>
        <w:tc>
          <w:tcPr>
            <w:tcW w:w="6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240" w:type="dxa"/>
            <w:vAlign w:val="bottom"/>
          </w:tcPr>
          <w:p>
            <w:pPr>
              <w:ind w:left="100"/>
              <w:spacing w:after="0"/>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240" w:type="dxa"/>
            <w:vAlign w:val="bottom"/>
          </w:tcPr>
          <w:p>
            <w:pPr>
              <w:ind w:left="80"/>
              <w:spacing w:after="0"/>
              <w:rPr>
                <w:sz w:val="20"/>
                <w:szCs w:val="20"/>
                <w:color w:val="auto"/>
              </w:rPr>
            </w:pPr>
            <w:r>
              <w:rPr>
                <w:rFonts w:ascii="Arial" w:cs="Arial" w:eastAsia="Arial" w:hAnsi="Arial"/>
                <w:sz w:val="14"/>
                <w:szCs w:val="14"/>
                <w:color w:val="auto"/>
                <w:w w:val="99"/>
              </w:rPr>
              <w:t>—</w:t>
            </w:r>
          </w:p>
        </w:tc>
        <w:tc>
          <w:tcPr>
            <w:tcW w:w="16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800" w:type="dxa"/>
            <w:vAlign w:val="bottom"/>
            <w:gridSpan w:val="2"/>
          </w:tcPr>
          <w:p>
            <w:pPr>
              <w:ind w:left="500"/>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71"/>
        </w:trPr>
        <w:tc>
          <w:tcPr>
            <w:tcW w:w="20" w:type="dxa"/>
            <w:vAlign w:val="bottom"/>
          </w:tcPr>
          <w:p>
            <w:pPr>
              <w:spacing w:after="0"/>
              <w:rPr>
                <w:sz w:val="14"/>
                <w:szCs w:val="14"/>
                <w:color w:val="auto"/>
              </w:rPr>
            </w:pPr>
          </w:p>
        </w:tc>
        <w:tc>
          <w:tcPr>
            <w:tcW w:w="3860" w:type="dxa"/>
            <w:vAlign w:val="bottom"/>
            <w:shd w:val="clear" w:color="auto" w:fill="CCEEFF"/>
          </w:tcPr>
          <w:p>
            <w:pPr>
              <w:spacing w:after="0" w:line="171" w:lineRule="exact"/>
              <w:rPr>
                <w:sz w:val="20"/>
                <w:szCs w:val="20"/>
                <w:color w:val="auto"/>
              </w:rPr>
            </w:pPr>
            <w:r>
              <w:rPr>
                <w:rFonts w:ascii="Arial" w:cs="Arial" w:eastAsia="Arial" w:hAnsi="Arial"/>
                <w:sz w:val="12"/>
                <w:szCs w:val="12"/>
                <w:color w:val="auto"/>
              </w:rPr>
              <w:t>Total cash costs (per ounce)</w:t>
            </w:r>
            <w:r>
              <w:rPr>
                <w:rFonts w:ascii="Arial" w:cs="Arial" w:eastAsia="Arial" w:hAnsi="Arial"/>
                <w:sz w:val="19"/>
                <w:szCs w:val="19"/>
                <w:color w:val="auto"/>
                <w:vertAlign w:val="superscript"/>
              </w:rPr>
              <w:t>(1)</w:t>
            </w:r>
          </w:p>
        </w:tc>
        <w:tc>
          <w:tcPr>
            <w:tcW w:w="20" w:type="dxa"/>
            <w:vAlign w:val="bottom"/>
            <w:shd w:val="clear" w:color="auto" w:fill="CCEEFF"/>
          </w:tcPr>
          <w:p>
            <w:pPr>
              <w:spacing w:after="0"/>
              <w:rPr>
                <w:sz w:val="14"/>
                <w:szCs w:val="14"/>
                <w:color w:val="auto"/>
              </w:rPr>
            </w:pPr>
          </w:p>
        </w:tc>
        <w:tc>
          <w:tcPr>
            <w:tcW w:w="2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6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367</w:t>
            </w:r>
          </w:p>
        </w:tc>
        <w:tc>
          <w:tcPr>
            <w:tcW w:w="10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2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6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419</w:t>
            </w:r>
          </w:p>
        </w:tc>
        <w:tc>
          <w:tcPr>
            <w:tcW w:w="10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660" w:type="dxa"/>
            <w:vAlign w:val="bottom"/>
            <w:tcBorders>
              <w:top w:val="single" w:sz="8" w:color="auto"/>
            </w:tcBorders>
            <w:shd w:val="clear" w:color="auto" w:fill="CCEEFF"/>
          </w:tcPr>
          <w:p>
            <w:pPr>
              <w:jc w:val="right"/>
              <w:ind w:right="372"/>
              <w:spacing w:after="0"/>
              <w:rPr>
                <w:sz w:val="20"/>
                <w:szCs w:val="20"/>
                <w:color w:val="auto"/>
              </w:rPr>
            </w:pPr>
            <w:r>
              <w:rPr>
                <w:rFonts w:ascii="Arial" w:cs="Arial" w:eastAsia="Arial" w:hAnsi="Arial"/>
                <w:sz w:val="14"/>
                <w:szCs w:val="14"/>
                <w:color w:val="auto"/>
              </w:rPr>
              <w:t>$</w:t>
            </w:r>
          </w:p>
        </w:tc>
        <w:tc>
          <w:tcPr>
            <w:tcW w:w="240" w:type="dxa"/>
            <w:vAlign w:val="bottom"/>
            <w:tcBorders>
              <w:top w:val="single" w:sz="8" w:color="auto"/>
            </w:tcBorders>
            <w:shd w:val="clear" w:color="auto" w:fill="CCEEFF"/>
          </w:tcPr>
          <w:p>
            <w:pPr>
              <w:ind w:left="100"/>
              <w:spacing w:after="0"/>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4"/>
                <w:szCs w:val="14"/>
                <w:color w:val="auto"/>
              </w:rPr>
            </w:pPr>
          </w:p>
        </w:tc>
        <w:tc>
          <w:tcPr>
            <w:tcW w:w="660" w:type="dxa"/>
            <w:vAlign w:val="bottom"/>
            <w:tcBorders>
              <w:top w:val="single" w:sz="8" w:color="auto"/>
            </w:tcBorders>
            <w:shd w:val="clear" w:color="auto" w:fill="CCEEFF"/>
          </w:tcPr>
          <w:p>
            <w:pPr>
              <w:jc w:val="right"/>
              <w:ind w:right="392"/>
              <w:spacing w:after="0"/>
              <w:rPr>
                <w:sz w:val="20"/>
                <w:szCs w:val="20"/>
                <w:color w:val="auto"/>
              </w:rPr>
            </w:pPr>
            <w:r>
              <w:rPr>
                <w:rFonts w:ascii="Arial" w:cs="Arial" w:eastAsia="Arial" w:hAnsi="Arial"/>
                <w:sz w:val="14"/>
                <w:szCs w:val="14"/>
                <w:color w:val="auto"/>
              </w:rPr>
              <w:t>$</w:t>
            </w:r>
          </w:p>
        </w:tc>
        <w:tc>
          <w:tcPr>
            <w:tcW w:w="240" w:type="dxa"/>
            <w:vAlign w:val="bottom"/>
            <w:tcBorders>
              <w:top w:val="single" w:sz="8" w:color="auto"/>
            </w:tcBorders>
            <w:shd w:val="clear" w:color="auto" w:fill="CCEEFF"/>
          </w:tcPr>
          <w:p>
            <w:pPr>
              <w:ind w:left="80"/>
              <w:spacing w:after="0"/>
              <w:rPr>
                <w:sz w:val="20"/>
                <w:szCs w:val="20"/>
                <w:color w:val="auto"/>
              </w:rPr>
            </w:pPr>
            <w:r>
              <w:rPr>
                <w:rFonts w:ascii="Arial" w:cs="Arial" w:eastAsia="Arial" w:hAnsi="Arial"/>
                <w:sz w:val="14"/>
                <w:szCs w:val="14"/>
                <w:color w:val="auto"/>
                <w:w w:val="99"/>
              </w:rPr>
              <w:t>—</w:t>
            </w:r>
          </w:p>
        </w:tc>
        <w:tc>
          <w:tcPr>
            <w:tcW w:w="160" w:type="dxa"/>
            <w:vAlign w:val="bottom"/>
            <w:shd w:val="clear" w:color="auto" w:fill="CCEEFF"/>
          </w:tcPr>
          <w:p>
            <w:pPr>
              <w:spacing w:after="0"/>
              <w:rPr>
                <w:sz w:val="14"/>
                <w:szCs w:val="14"/>
                <w:color w:val="auto"/>
              </w:rPr>
            </w:pPr>
          </w:p>
        </w:tc>
        <w:tc>
          <w:tcPr>
            <w:tcW w:w="2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640" w:type="dxa"/>
            <w:vAlign w:val="bottom"/>
            <w:tcBorders>
              <w:top w:val="single" w:sz="8" w:color="auto"/>
            </w:tcBorders>
            <w:shd w:val="clear" w:color="auto" w:fill="CCEEFF"/>
          </w:tcPr>
          <w:p>
            <w:pPr>
              <w:ind w:left="500"/>
              <w:spacing w:after="0"/>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27"/>
        </w:trPr>
        <w:tc>
          <w:tcPr>
            <w:tcW w:w="3880" w:type="dxa"/>
            <w:vAlign w:val="bottom"/>
            <w:gridSpan w:val="2"/>
            <w:vMerge w:val="restart"/>
          </w:tcPr>
          <w:p>
            <w:pPr>
              <w:spacing w:after="0"/>
              <w:rPr>
                <w:sz w:val="20"/>
                <w:szCs w:val="20"/>
                <w:color w:val="auto"/>
              </w:rPr>
            </w:pPr>
            <w:r>
              <w:rPr>
                <w:rFonts w:ascii="Arial" w:cs="Arial" w:eastAsia="Arial" w:hAnsi="Arial"/>
                <w:sz w:val="14"/>
                <w:szCs w:val="14"/>
                <w:color w:val="auto"/>
              </w:rPr>
              <w:t>Minesite costs per tonne</w:t>
            </w:r>
            <w:r>
              <w:rPr>
                <w:rFonts w:ascii="Arial" w:cs="Arial" w:eastAsia="Arial" w:hAnsi="Arial"/>
                <w:sz w:val="22"/>
                <w:szCs w:val="22"/>
                <w:color w:val="auto"/>
                <w:vertAlign w:val="superscript"/>
              </w:rPr>
              <w:t>(1)</w:t>
            </w:r>
          </w:p>
        </w:tc>
        <w:tc>
          <w:tcPr>
            <w:tcW w:w="20" w:type="dxa"/>
            <w:vAlign w:val="bottom"/>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3880" w:type="dxa"/>
            <w:vAlign w:val="bottom"/>
            <w:gridSpan w:val="2"/>
            <w:vMerge w:val="continu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3"/>
        </w:trPr>
        <w:tc>
          <w:tcPr>
            <w:tcW w:w="3880" w:type="dxa"/>
            <w:vAlign w:val="bottom"/>
            <w:gridSpan w:val="2"/>
            <w:vMerge w:val="continue"/>
          </w:tcPr>
          <w:p>
            <w:pPr>
              <w:spacing w:after="0"/>
              <w:rPr>
                <w:sz w:val="15"/>
                <w:szCs w:val="15"/>
                <w:color w:val="auto"/>
              </w:rPr>
            </w:pPr>
          </w:p>
        </w:tc>
        <w:tc>
          <w:tcPr>
            <w:tcW w:w="260" w:type="dxa"/>
            <w:vAlign w:val="bottom"/>
            <w:gridSpan w:val="2"/>
          </w:tcPr>
          <w:p>
            <w:pPr>
              <w:jc w:val="right"/>
              <w:ind w:right="52"/>
              <w:spacing w:after="0"/>
              <w:rPr>
                <w:sz w:val="20"/>
                <w:szCs w:val="20"/>
                <w:color w:val="auto"/>
              </w:rPr>
            </w:pPr>
            <w:r>
              <w:rPr>
                <w:rFonts w:ascii="Arial" w:cs="Arial" w:eastAsia="Arial" w:hAnsi="Arial"/>
                <w:sz w:val="12"/>
                <w:szCs w:val="12"/>
                <w:color w:val="auto"/>
                <w:w w:val="77"/>
              </w:rPr>
              <w:t>C$</w:t>
            </w:r>
          </w:p>
        </w:tc>
        <w:tc>
          <w:tcPr>
            <w:tcW w:w="620" w:type="dxa"/>
            <w:vAlign w:val="bottom"/>
          </w:tcPr>
          <w:p>
            <w:pPr>
              <w:jc w:val="right"/>
              <w:spacing w:after="0"/>
              <w:rPr>
                <w:sz w:val="20"/>
                <w:szCs w:val="20"/>
                <w:color w:val="auto"/>
              </w:rPr>
            </w:pPr>
            <w:r>
              <w:rPr>
                <w:rFonts w:ascii="Arial" w:cs="Arial" w:eastAsia="Arial" w:hAnsi="Arial"/>
                <w:sz w:val="14"/>
                <w:szCs w:val="14"/>
                <w:color w:val="auto"/>
              </w:rPr>
              <w:t>23</w:t>
            </w:r>
          </w:p>
        </w:tc>
        <w:tc>
          <w:tcPr>
            <w:tcW w:w="100" w:type="dxa"/>
            <w:vAlign w:val="bottom"/>
          </w:tcPr>
          <w:p>
            <w:pPr>
              <w:spacing w:after="0"/>
              <w:rPr>
                <w:sz w:val="15"/>
                <w:szCs w:val="15"/>
                <w:color w:val="auto"/>
              </w:rPr>
            </w:pPr>
          </w:p>
        </w:tc>
        <w:tc>
          <w:tcPr>
            <w:tcW w:w="320" w:type="dxa"/>
            <w:vAlign w:val="bottom"/>
            <w:gridSpan w:val="2"/>
          </w:tcPr>
          <w:p>
            <w:pPr>
              <w:jc w:val="right"/>
              <w:ind w:right="32"/>
              <w:spacing w:after="0"/>
              <w:rPr>
                <w:sz w:val="20"/>
                <w:szCs w:val="20"/>
                <w:color w:val="auto"/>
              </w:rPr>
            </w:pPr>
            <w:r>
              <w:rPr>
                <w:rFonts w:ascii="Arial" w:cs="Arial" w:eastAsia="Arial" w:hAnsi="Arial"/>
                <w:sz w:val="14"/>
                <w:szCs w:val="14"/>
                <w:color w:val="auto"/>
              </w:rPr>
              <w:t>C$</w:t>
            </w:r>
          </w:p>
        </w:tc>
        <w:tc>
          <w:tcPr>
            <w:tcW w:w="640" w:type="dxa"/>
            <w:vAlign w:val="bottom"/>
          </w:tcPr>
          <w:p>
            <w:pPr>
              <w:jc w:val="right"/>
              <w:spacing w:after="0"/>
              <w:rPr>
                <w:sz w:val="20"/>
                <w:szCs w:val="20"/>
                <w:color w:val="auto"/>
              </w:rPr>
            </w:pPr>
            <w:r>
              <w:rPr>
                <w:rFonts w:ascii="Arial" w:cs="Arial" w:eastAsia="Arial" w:hAnsi="Arial"/>
                <w:sz w:val="14"/>
                <w:szCs w:val="14"/>
                <w:color w:val="auto"/>
              </w:rPr>
              <w:t>27</w:t>
            </w:r>
          </w:p>
        </w:tc>
        <w:tc>
          <w:tcPr>
            <w:tcW w:w="100" w:type="dxa"/>
            <w:vAlign w:val="bottom"/>
          </w:tcPr>
          <w:p>
            <w:pPr>
              <w:spacing w:after="0"/>
              <w:rPr>
                <w:sz w:val="15"/>
                <w:szCs w:val="15"/>
                <w:color w:val="auto"/>
              </w:rPr>
            </w:pPr>
          </w:p>
        </w:tc>
        <w:tc>
          <w:tcPr>
            <w:tcW w:w="720" w:type="dxa"/>
            <w:vAlign w:val="bottom"/>
            <w:gridSpan w:val="2"/>
          </w:tcPr>
          <w:p>
            <w:pPr>
              <w:jc w:val="right"/>
              <w:ind w:right="432"/>
              <w:spacing w:after="0"/>
              <w:rPr>
                <w:sz w:val="20"/>
                <w:szCs w:val="20"/>
                <w:color w:val="auto"/>
              </w:rPr>
            </w:pPr>
            <w:r>
              <w:rPr>
                <w:rFonts w:ascii="Arial" w:cs="Arial" w:eastAsia="Arial" w:hAnsi="Arial"/>
                <w:sz w:val="14"/>
                <w:szCs w:val="14"/>
                <w:color w:val="auto"/>
              </w:rPr>
              <w:t>C$</w:t>
            </w:r>
          </w:p>
        </w:tc>
        <w:tc>
          <w:tcPr>
            <w:tcW w:w="240" w:type="dxa"/>
            <w:vAlign w:val="bottom"/>
          </w:tcPr>
          <w:p>
            <w:pPr>
              <w:ind w:left="100"/>
              <w:spacing w:after="0"/>
              <w:rPr>
                <w:sz w:val="20"/>
                <w:szCs w:val="20"/>
                <w:color w:val="auto"/>
              </w:rPr>
            </w:pPr>
            <w:r>
              <w:rPr>
                <w:rFonts w:ascii="Arial" w:cs="Arial" w:eastAsia="Arial" w:hAnsi="Arial"/>
                <w:sz w:val="14"/>
                <w:szCs w:val="14"/>
                <w:color w:val="auto"/>
                <w:w w:val="85"/>
              </w:rPr>
              <w:t>—</w:t>
            </w:r>
          </w:p>
        </w:tc>
        <w:tc>
          <w:tcPr>
            <w:tcW w:w="820" w:type="dxa"/>
            <w:vAlign w:val="bottom"/>
            <w:gridSpan w:val="2"/>
          </w:tcPr>
          <w:p>
            <w:pPr>
              <w:jc w:val="right"/>
              <w:ind w:right="452"/>
              <w:spacing w:after="0"/>
              <w:rPr>
                <w:sz w:val="20"/>
                <w:szCs w:val="20"/>
                <w:color w:val="auto"/>
              </w:rPr>
            </w:pPr>
            <w:r>
              <w:rPr>
                <w:rFonts w:ascii="Arial" w:cs="Arial" w:eastAsia="Arial" w:hAnsi="Arial"/>
                <w:sz w:val="14"/>
                <w:szCs w:val="14"/>
                <w:color w:val="auto"/>
              </w:rPr>
              <w:t>C$</w:t>
            </w:r>
          </w:p>
        </w:tc>
        <w:tc>
          <w:tcPr>
            <w:tcW w:w="240" w:type="dxa"/>
            <w:vAlign w:val="bottom"/>
          </w:tcPr>
          <w:p>
            <w:pPr>
              <w:ind w:left="80"/>
              <w:spacing w:after="0"/>
              <w:rPr>
                <w:sz w:val="20"/>
                <w:szCs w:val="20"/>
                <w:color w:val="auto"/>
              </w:rPr>
            </w:pPr>
            <w:r>
              <w:rPr>
                <w:rFonts w:ascii="Arial" w:cs="Arial" w:eastAsia="Arial" w:hAnsi="Arial"/>
                <w:sz w:val="14"/>
                <w:szCs w:val="14"/>
                <w:color w:val="auto"/>
                <w:w w:val="99"/>
              </w:rPr>
              <w:t>—</w:t>
            </w:r>
          </w:p>
        </w:tc>
        <w:tc>
          <w:tcPr>
            <w:tcW w:w="400" w:type="dxa"/>
            <w:vAlign w:val="bottom"/>
            <w:gridSpan w:val="2"/>
          </w:tcPr>
          <w:p>
            <w:pPr>
              <w:jc w:val="right"/>
              <w:ind w:right="32"/>
              <w:spacing w:after="0"/>
              <w:rPr>
                <w:sz w:val="20"/>
                <w:szCs w:val="20"/>
                <w:color w:val="auto"/>
              </w:rPr>
            </w:pPr>
            <w:r>
              <w:rPr>
                <w:rFonts w:ascii="Arial" w:cs="Arial" w:eastAsia="Arial" w:hAnsi="Arial"/>
                <w:sz w:val="14"/>
                <w:szCs w:val="14"/>
                <w:color w:val="auto"/>
              </w:rPr>
              <w:t>C$</w:t>
            </w:r>
          </w:p>
        </w:tc>
        <w:tc>
          <w:tcPr>
            <w:tcW w:w="800" w:type="dxa"/>
            <w:vAlign w:val="bottom"/>
            <w:gridSpan w:val="2"/>
          </w:tcPr>
          <w:p>
            <w:pPr>
              <w:ind w:left="500"/>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8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05"/>
        </w:trPr>
        <w:tc>
          <w:tcPr>
            <w:tcW w:w="20" w:type="dxa"/>
            <w:vAlign w:val="bottom"/>
          </w:tcPr>
          <w:p>
            <w:pPr>
              <w:spacing w:after="0"/>
              <w:rPr>
                <w:sz w:val="24"/>
                <w:szCs w:val="24"/>
                <w:color w:val="auto"/>
              </w:rPr>
            </w:pPr>
          </w:p>
        </w:tc>
        <w:tc>
          <w:tcPr>
            <w:tcW w:w="3860" w:type="dxa"/>
            <w:vAlign w:val="bottom"/>
            <w:shd w:val="clear" w:color="auto" w:fill="CCEEFF"/>
          </w:tcPr>
          <w:p>
            <w:pPr>
              <w:spacing w:after="0"/>
              <w:rPr>
                <w:sz w:val="20"/>
                <w:szCs w:val="20"/>
                <w:color w:val="auto"/>
              </w:rPr>
            </w:pPr>
            <w:r>
              <w:rPr>
                <w:rFonts w:ascii="Arial" w:cs="Arial" w:eastAsia="Arial" w:hAnsi="Arial"/>
                <w:sz w:val="14"/>
                <w:szCs w:val="14"/>
                <w:i w:val="1"/>
                <w:iCs w:val="1"/>
                <w:color w:val="auto"/>
              </w:rPr>
              <w:t>Lapa Mine</w:t>
            </w:r>
          </w:p>
        </w:tc>
        <w:tc>
          <w:tcPr>
            <w:tcW w:w="20" w:type="dxa"/>
            <w:vAlign w:val="bottom"/>
            <w:shd w:val="clear" w:color="auto" w:fill="CCEEFF"/>
          </w:tcPr>
          <w:p>
            <w:pPr>
              <w:spacing w:after="0"/>
              <w:rPr>
                <w:sz w:val="24"/>
                <w:szCs w:val="24"/>
                <w:color w:val="auto"/>
              </w:rPr>
            </w:pPr>
          </w:p>
        </w:tc>
        <w:tc>
          <w:tcPr>
            <w:tcW w:w="240" w:type="dxa"/>
            <w:vAlign w:val="bottom"/>
            <w:shd w:val="clear" w:color="auto" w:fill="CCEEFF"/>
          </w:tcPr>
          <w:p>
            <w:pPr>
              <w:spacing w:after="0"/>
              <w:rPr>
                <w:sz w:val="24"/>
                <w:szCs w:val="24"/>
                <w:color w:val="auto"/>
              </w:rPr>
            </w:pPr>
          </w:p>
        </w:tc>
        <w:tc>
          <w:tcPr>
            <w:tcW w:w="62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240" w:type="dxa"/>
            <w:vAlign w:val="bottom"/>
            <w:shd w:val="clear" w:color="auto" w:fill="CCEEFF"/>
          </w:tcPr>
          <w:p>
            <w:pPr>
              <w:spacing w:after="0"/>
              <w:rPr>
                <w:sz w:val="24"/>
                <w:szCs w:val="24"/>
                <w:color w:val="auto"/>
              </w:rPr>
            </w:pPr>
          </w:p>
        </w:tc>
        <w:tc>
          <w:tcPr>
            <w:tcW w:w="64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660" w:type="dxa"/>
            <w:vAlign w:val="bottom"/>
            <w:shd w:val="clear" w:color="auto" w:fill="CCEEFF"/>
          </w:tcPr>
          <w:p>
            <w:pPr>
              <w:spacing w:after="0"/>
              <w:rPr>
                <w:sz w:val="24"/>
                <w:szCs w:val="24"/>
                <w:color w:val="auto"/>
              </w:rPr>
            </w:pPr>
          </w:p>
        </w:tc>
        <w:tc>
          <w:tcPr>
            <w:tcW w:w="24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660" w:type="dxa"/>
            <w:vAlign w:val="bottom"/>
            <w:shd w:val="clear" w:color="auto" w:fill="CCEEFF"/>
          </w:tcPr>
          <w:p>
            <w:pPr>
              <w:spacing w:after="0"/>
              <w:rPr>
                <w:sz w:val="24"/>
                <w:szCs w:val="24"/>
                <w:color w:val="auto"/>
              </w:rPr>
            </w:pPr>
          </w:p>
        </w:tc>
        <w:tc>
          <w:tcPr>
            <w:tcW w:w="24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240" w:type="dxa"/>
            <w:vAlign w:val="bottom"/>
            <w:shd w:val="clear" w:color="auto" w:fill="CCEEFF"/>
          </w:tcPr>
          <w:p>
            <w:pPr>
              <w:spacing w:after="0"/>
              <w:rPr>
                <w:sz w:val="24"/>
                <w:szCs w:val="24"/>
                <w:color w:val="auto"/>
              </w:rPr>
            </w:pPr>
          </w:p>
        </w:tc>
        <w:tc>
          <w:tcPr>
            <w:tcW w:w="64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860" w:type="dxa"/>
            <w:vAlign w:val="bottom"/>
          </w:tcPr>
          <w:p>
            <w:pPr>
              <w:spacing w:after="0" w:line="149" w:lineRule="exact"/>
              <w:rPr>
                <w:sz w:val="20"/>
                <w:szCs w:val="20"/>
                <w:color w:val="auto"/>
              </w:rPr>
            </w:pPr>
            <w:r>
              <w:rPr>
                <w:rFonts w:ascii="Arial" w:cs="Arial" w:eastAsia="Arial" w:hAnsi="Arial"/>
                <w:sz w:val="14"/>
                <w:szCs w:val="14"/>
                <w:color w:val="auto"/>
              </w:rPr>
              <w:t>Revenues from mining operations</w:t>
            </w:r>
          </w:p>
        </w:tc>
        <w:tc>
          <w:tcPr>
            <w:tcW w:w="26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43,409</w:t>
            </w:r>
          </w:p>
        </w:tc>
        <w:tc>
          <w:tcPr>
            <w:tcW w:w="100" w:type="dxa"/>
            <w:vAlign w:val="bottom"/>
          </w:tcPr>
          <w:p>
            <w:pPr>
              <w:spacing w:after="0"/>
              <w:rPr>
                <w:sz w:val="12"/>
                <w:szCs w:val="12"/>
                <w:color w:val="auto"/>
              </w:rPr>
            </w:pPr>
          </w:p>
        </w:tc>
        <w:tc>
          <w:tcPr>
            <w:tcW w:w="3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74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720" w:type="dxa"/>
            <w:vAlign w:val="bottom"/>
            <w:gridSpan w:val="2"/>
          </w:tcPr>
          <w:p>
            <w:pPr>
              <w:jc w:val="right"/>
              <w:ind w:right="372"/>
              <w:spacing w:after="0" w:line="149" w:lineRule="exact"/>
              <w:rPr>
                <w:sz w:val="20"/>
                <w:szCs w:val="20"/>
                <w:color w:val="auto"/>
              </w:rPr>
            </w:pPr>
            <w:r>
              <w:rPr>
                <w:rFonts w:ascii="Arial" w:cs="Arial" w:eastAsia="Arial" w:hAnsi="Arial"/>
                <w:sz w:val="14"/>
                <w:szCs w:val="14"/>
                <w:color w:val="auto"/>
              </w:rPr>
              <w:t>$</w:t>
            </w:r>
          </w:p>
        </w:tc>
        <w:tc>
          <w:tcPr>
            <w:tcW w:w="240" w:type="dxa"/>
            <w:vAlign w:val="bottom"/>
          </w:tcPr>
          <w:p>
            <w:pPr>
              <w:ind w:left="100"/>
              <w:spacing w:after="0" w:line="149" w:lineRule="exact"/>
              <w:rPr>
                <w:sz w:val="20"/>
                <w:szCs w:val="20"/>
                <w:color w:val="auto"/>
              </w:rPr>
            </w:pPr>
            <w:r>
              <w:rPr>
                <w:rFonts w:ascii="Arial" w:cs="Arial" w:eastAsia="Arial" w:hAnsi="Arial"/>
                <w:sz w:val="14"/>
                <w:szCs w:val="14"/>
                <w:color w:val="auto"/>
                <w:w w:val="85"/>
              </w:rPr>
              <w:t>—</w:t>
            </w:r>
          </w:p>
        </w:tc>
        <w:tc>
          <w:tcPr>
            <w:tcW w:w="820" w:type="dxa"/>
            <w:vAlign w:val="bottom"/>
            <w:gridSpan w:val="2"/>
          </w:tcPr>
          <w:p>
            <w:pPr>
              <w:jc w:val="right"/>
              <w:ind w:right="392"/>
              <w:spacing w:after="0" w:line="149" w:lineRule="exact"/>
              <w:rPr>
                <w:sz w:val="20"/>
                <w:szCs w:val="20"/>
                <w:color w:val="auto"/>
              </w:rPr>
            </w:pPr>
            <w:r>
              <w:rPr>
                <w:rFonts w:ascii="Arial" w:cs="Arial" w:eastAsia="Arial" w:hAnsi="Arial"/>
                <w:sz w:val="14"/>
                <w:szCs w:val="14"/>
                <w:color w:val="auto"/>
              </w:rPr>
              <w:t>$</w:t>
            </w:r>
          </w:p>
        </w:tc>
        <w:tc>
          <w:tcPr>
            <w:tcW w:w="240" w:type="dxa"/>
            <w:vAlign w:val="bottom"/>
          </w:tcPr>
          <w:p>
            <w:pPr>
              <w:ind w:left="80"/>
              <w:spacing w:after="0" w:line="149" w:lineRule="exact"/>
              <w:rPr>
                <w:sz w:val="20"/>
                <w:szCs w:val="20"/>
                <w:color w:val="auto"/>
              </w:rPr>
            </w:pPr>
            <w:r>
              <w:rPr>
                <w:rFonts w:ascii="Arial" w:cs="Arial" w:eastAsia="Arial" w:hAnsi="Arial"/>
                <w:sz w:val="14"/>
                <w:szCs w:val="14"/>
                <w:color w:val="auto"/>
                <w:w w:val="99"/>
              </w:rPr>
              <w:t>—</w:t>
            </w:r>
          </w:p>
        </w:tc>
        <w:tc>
          <w:tcPr>
            <w:tcW w:w="40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tcPr>
          <w:p>
            <w:pPr>
              <w:ind w:left="50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8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Production costs</w:t>
            </w:r>
          </w:p>
        </w:tc>
        <w:tc>
          <w:tcPr>
            <w:tcW w:w="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33,472</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240" w:type="dxa"/>
            <w:vAlign w:val="bottom"/>
            <w:shd w:val="clear" w:color="auto" w:fill="CCEEFF"/>
          </w:tcPr>
          <w:p>
            <w:pPr>
              <w:ind w:left="100"/>
              <w:spacing w:after="0" w:line="149" w:lineRule="exact"/>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240" w:type="dxa"/>
            <w:vAlign w:val="bottom"/>
            <w:shd w:val="clear" w:color="auto" w:fill="CCEEFF"/>
          </w:tcPr>
          <w:p>
            <w:pPr>
              <w:ind w:left="80"/>
              <w:spacing w:after="0" w:line="149" w:lineRule="exact"/>
              <w:rPr>
                <w:sz w:val="20"/>
                <w:szCs w:val="20"/>
                <w:color w:val="auto"/>
              </w:rPr>
            </w:pPr>
            <w:r>
              <w:rPr>
                <w:rFonts w:ascii="Arial" w:cs="Arial" w:eastAsia="Arial" w:hAnsi="Arial"/>
                <w:sz w:val="14"/>
                <w:szCs w:val="14"/>
                <w:color w:val="auto"/>
                <w:w w:val="99"/>
              </w:rPr>
              <w:t>—</w:t>
            </w:r>
          </w:p>
        </w:tc>
        <w:tc>
          <w:tcPr>
            <w:tcW w:w="16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00" w:type="dxa"/>
            <w:vAlign w:val="bottom"/>
            <w:gridSpan w:val="2"/>
            <w:shd w:val="clear" w:color="auto" w:fill="CCEEFF"/>
          </w:tcPr>
          <w:p>
            <w:pPr>
              <w:ind w:left="50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7"/>
        </w:trPr>
        <w:tc>
          <w:tcPr>
            <w:tcW w:w="3880" w:type="dxa"/>
            <w:vAlign w:val="bottom"/>
            <w:gridSpan w:val="2"/>
            <w:vMerge w:val="restart"/>
          </w:tcPr>
          <w:p>
            <w:pPr>
              <w:spacing w:after="0"/>
              <w:rPr>
                <w:sz w:val="20"/>
                <w:szCs w:val="20"/>
                <w:color w:val="auto"/>
              </w:rPr>
            </w:pPr>
            <w:r>
              <w:rPr>
                <w:rFonts w:ascii="Arial" w:cs="Arial" w:eastAsia="Arial" w:hAnsi="Arial"/>
                <w:sz w:val="14"/>
                <w:szCs w:val="14"/>
                <w:color w:val="auto"/>
              </w:rPr>
              <w:t>Gross profit (exclusive of amortization shown below)</w:t>
            </w:r>
          </w:p>
        </w:tc>
        <w:tc>
          <w:tcPr>
            <w:tcW w:w="260" w:type="dxa"/>
            <w:vAlign w:val="bottom"/>
            <w:gridSpan w:val="2"/>
          </w:tcPr>
          <w:p>
            <w:pPr>
              <w:spacing w:after="0"/>
              <w:rPr>
                <w:sz w:val="2"/>
                <w:szCs w:val="2"/>
                <w:color w:val="auto"/>
              </w:rPr>
            </w:pPr>
          </w:p>
        </w:tc>
        <w:tc>
          <w:tcPr>
            <w:tcW w:w="6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20" w:type="dxa"/>
            <w:vAlign w:val="bottom"/>
            <w:gridSpan w:val="2"/>
          </w:tcPr>
          <w:p>
            <w:pPr>
              <w:spacing w:after="0"/>
              <w:rPr>
                <w:sz w:val="2"/>
                <w:szCs w:val="2"/>
                <w:color w:val="auto"/>
              </w:rPr>
            </w:pPr>
          </w:p>
        </w:tc>
        <w:tc>
          <w:tcPr>
            <w:tcW w:w="740" w:type="dxa"/>
            <w:vAlign w:val="bottom"/>
            <w:gridSpan w:val="2"/>
          </w:tcPr>
          <w:p>
            <w:pPr>
              <w:spacing w:after="0"/>
              <w:rPr>
                <w:sz w:val="2"/>
                <w:szCs w:val="2"/>
                <w:color w:val="auto"/>
              </w:rPr>
            </w:pPr>
          </w:p>
        </w:tc>
        <w:tc>
          <w:tcPr>
            <w:tcW w:w="720" w:type="dxa"/>
            <w:vAlign w:val="bottom"/>
            <w:gridSpan w:val="2"/>
          </w:tcPr>
          <w:p>
            <w:pPr>
              <w:spacing w:after="0"/>
              <w:rPr>
                <w:sz w:val="2"/>
                <w:szCs w:val="2"/>
                <w:color w:val="auto"/>
              </w:rPr>
            </w:pPr>
          </w:p>
        </w:tc>
        <w:tc>
          <w:tcPr>
            <w:tcW w:w="240" w:type="dxa"/>
            <w:vAlign w:val="bottom"/>
          </w:tcPr>
          <w:p>
            <w:pPr>
              <w:spacing w:after="0"/>
              <w:rPr>
                <w:sz w:val="2"/>
                <w:szCs w:val="2"/>
                <w:color w:val="auto"/>
              </w:rPr>
            </w:pPr>
          </w:p>
        </w:tc>
        <w:tc>
          <w:tcPr>
            <w:tcW w:w="820" w:type="dxa"/>
            <w:vAlign w:val="bottom"/>
            <w:gridSpan w:val="2"/>
          </w:tcPr>
          <w:p>
            <w:pPr>
              <w:spacing w:after="0"/>
              <w:rPr>
                <w:sz w:val="2"/>
                <w:szCs w:val="2"/>
                <w:color w:val="auto"/>
              </w:rPr>
            </w:pPr>
          </w:p>
        </w:tc>
        <w:tc>
          <w:tcPr>
            <w:tcW w:w="240" w:type="dxa"/>
            <w:vAlign w:val="bottom"/>
          </w:tcPr>
          <w:p>
            <w:pPr>
              <w:spacing w:after="0"/>
              <w:rPr>
                <w:sz w:val="2"/>
                <w:szCs w:val="2"/>
                <w:color w:val="auto"/>
              </w:rPr>
            </w:pPr>
          </w:p>
        </w:tc>
        <w:tc>
          <w:tcPr>
            <w:tcW w:w="400" w:type="dxa"/>
            <w:vAlign w:val="bottom"/>
            <w:gridSpan w:val="2"/>
          </w:tcPr>
          <w:p>
            <w:pPr>
              <w:spacing w:after="0"/>
              <w:rPr>
                <w:sz w:val="2"/>
                <w:szCs w:val="2"/>
                <w:color w:val="auto"/>
              </w:rPr>
            </w:pPr>
          </w:p>
        </w:tc>
        <w:tc>
          <w:tcPr>
            <w:tcW w:w="800" w:type="dxa"/>
            <w:vAlign w:val="bottom"/>
            <w:gridSpan w:val="2"/>
          </w:tcPr>
          <w:p>
            <w:pPr>
              <w:spacing w:after="0"/>
              <w:rPr>
                <w:sz w:val="2"/>
                <w:szCs w:val="2"/>
                <w:color w:val="auto"/>
              </w:rPr>
            </w:pPr>
          </w:p>
        </w:tc>
        <w:tc>
          <w:tcPr>
            <w:tcW w:w="0" w:type="dxa"/>
            <w:vAlign w:val="bottom"/>
          </w:tcPr>
          <w:p>
            <w:pPr>
              <w:spacing w:after="0"/>
              <w:rPr>
                <w:sz w:val="1"/>
                <w:szCs w:val="1"/>
                <w:color w:val="auto"/>
              </w:rPr>
            </w:pPr>
          </w:p>
        </w:tc>
      </w:tr>
      <w:tr>
        <w:trPr>
          <w:trHeight w:val="142"/>
        </w:trPr>
        <w:tc>
          <w:tcPr>
            <w:tcW w:w="3880" w:type="dxa"/>
            <w:vAlign w:val="bottom"/>
            <w:gridSpan w:val="2"/>
            <w:vMerge w:val="continue"/>
          </w:tcPr>
          <w:p>
            <w:pPr>
              <w:spacing w:after="0"/>
              <w:rPr>
                <w:sz w:val="12"/>
                <w:szCs w:val="12"/>
                <w:color w:val="auto"/>
              </w:rPr>
            </w:pPr>
          </w:p>
        </w:tc>
        <w:tc>
          <w:tcPr>
            <w:tcW w:w="20" w:type="dxa"/>
            <w:vAlign w:val="bottom"/>
          </w:tcPr>
          <w:p>
            <w:pPr>
              <w:spacing w:after="0"/>
              <w:rPr>
                <w:sz w:val="12"/>
                <w:szCs w:val="12"/>
                <w:color w:val="auto"/>
              </w:rPr>
            </w:pPr>
          </w:p>
        </w:tc>
        <w:tc>
          <w:tcPr>
            <w:tcW w:w="24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color w:val="auto"/>
              </w:rPr>
              <w:t>$</w:t>
            </w:r>
          </w:p>
        </w:tc>
        <w:tc>
          <w:tcPr>
            <w:tcW w:w="62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color w:val="auto"/>
              </w:rPr>
              <w:t>9,937</w:t>
            </w: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4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color w:val="auto"/>
              </w:rPr>
              <w:t>$</w:t>
            </w:r>
          </w:p>
        </w:tc>
        <w:tc>
          <w:tcPr>
            <w:tcW w:w="64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60" w:type="dxa"/>
            <w:vAlign w:val="bottom"/>
            <w:tcBorders>
              <w:top w:val="single" w:sz="8" w:color="auto"/>
            </w:tcBorders>
          </w:tcPr>
          <w:p>
            <w:pPr>
              <w:jc w:val="right"/>
              <w:ind w:right="372"/>
              <w:spacing w:after="0" w:line="142" w:lineRule="exact"/>
              <w:rPr>
                <w:sz w:val="20"/>
                <w:szCs w:val="20"/>
                <w:color w:val="auto"/>
              </w:rPr>
            </w:pPr>
            <w:r>
              <w:rPr>
                <w:rFonts w:ascii="Arial" w:cs="Arial" w:eastAsia="Arial" w:hAnsi="Arial"/>
                <w:sz w:val="14"/>
                <w:szCs w:val="14"/>
                <w:color w:val="auto"/>
              </w:rPr>
              <w:t>$</w:t>
            </w:r>
          </w:p>
        </w:tc>
        <w:tc>
          <w:tcPr>
            <w:tcW w:w="240" w:type="dxa"/>
            <w:vAlign w:val="bottom"/>
            <w:tcBorders>
              <w:top w:val="single" w:sz="8" w:color="auto"/>
            </w:tcBorders>
          </w:tcPr>
          <w:p>
            <w:pPr>
              <w:ind w:left="100"/>
              <w:spacing w:after="0" w:line="142" w:lineRule="exact"/>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2"/>
                <w:szCs w:val="12"/>
                <w:color w:val="auto"/>
              </w:rPr>
            </w:pPr>
          </w:p>
        </w:tc>
        <w:tc>
          <w:tcPr>
            <w:tcW w:w="660" w:type="dxa"/>
            <w:vAlign w:val="bottom"/>
            <w:tcBorders>
              <w:top w:val="single" w:sz="8" w:color="auto"/>
            </w:tcBorders>
          </w:tcPr>
          <w:p>
            <w:pPr>
              <w:jc w:val="right"/>
              <w:ind w:right="392"/>
              <w:spacing w:after="0" w:line="142" w:lineRule="exact"/>
              <w:rPr>
                <w:sz w:val="20"/>
                <w:szCs w:val="20"/>
                <w:color w:val="auto"/>
              </w:rPr>
            </w:pPr>
            <w:r>
              <w:rPr>
                <w:rFonts w:ascii="Arial" w:cs="Arial" w:eastAsia="Arial" w:hAnsi="Arial"/>
                <w:sz w:val="14"/>
                <w:szCs w:val="14"/>
                <w:color w:val="auto"/>
              </w:rPr>
              <w:t>$</w:t>
            </w:r>
          </w:p>
        </w:tc>
        <w:tc>
          <w:tcPr>
            <w:tcW w:w="240" w:type="dxa"/>
            <w:vAlign w:val="bottom"/>
            <w:tcBorders>
              <w:top w:val="single" w:sz="8" w:color="auto"/>
            </w:tcBorders>
          </w:tcPr>
          <w:p>
            <w:pPr>
              <w:ind w:left="80"/>
              <w:spacing w:after="0" w:line="142" w:lineRule="exact"/>
              <w:rPr>
                <w:sz w:val="20"/>
                <w:szCs w:val="20"/>
                <w:color w:val="auto"/>
              </w:rPr>
            </w:pPr>
            <w:r>
              <w:rPr>
                <w:rFonts w:ascii="Arial" w:cs="Arial" w:eastAsia="Arial" w:hAnsi="Arial"/>
                <w:sz w:val="14"/>
                <w:szCs w:val="14"/>
                <w:color w:val="auto"/>
                <w:w w:val="99"/>
              </w:rPr>
              <w:t>—</w:t>
            </w:r>
          </w:p>
        </w:tc>
        <w:tc>
          <w:tcPr>
            <w:tcW w:w="160" w:type="dxa"/>
            <w:vAlign w:val="bottom"/>
          </w:tcPr>
          <w:p>
            <w:pPr>
              <w:spacing w:after="0"/>
              <w:rPr>
                <w:sz w:val="12"/>
                <w:szCs w:val="12"/>
                <w:color w:val="auto"/>
              </w:rPr>
            </w:pPr>
          </w:p>
        </w:tc>
        <w:tc>
          <w:tcPr>
            <w:tcW w:w="24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color w:val="auto"/>
              </w:rPr>
              <w:t>$</w:t>
            </w:r>
          </w:p>
        </w:tc>
        <w:tc>
          <w:tcPr>
            <w:tcW w:w="640" w:type="dxa"/>
            <w:vAlign w:val="bottom"/>
            <w:tcBorders>
              <w:top w:val="single" w:sz="8" w:color="auto"/>
            </w:tcBorders>
          </w:tcPr>
          <w:p>
            <w:pPr>
              <w:ind w:left="500"/>
              <w:spacing w:after="0" w:line="142" w:lineRule="exact"/>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8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Amortization</w:t>
            </w:r>
          </w:p>
        </w:tc>
        <w:tc>
          <w:tcPr>
            <w:tcW w:w="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9,906</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240" w:type="dxa"/>
            <w:vAlign w:val="bottom"/>
            <w:shd w:val="clear" w:color="auto" w:fill="CCEEFF"/>
          </w:tcPr>
          <w:p>
            <w:pPr>
              <w:ind w:left="100"/>
              <w:spacing w:after="0" w:line="149" w:lineRule="exact"/>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240" w:type="dxa"/>
            <w:vAlign w:val="bottom"/>
            <w:shd w:val="clear" w:color="auto" w:fill="CCEEFF"/>
          </w:tcPr>
          <w:p>
            <w:pPr>
              <w:ind w:left="80"/>
              <w:spacing w:after="0" w:line="149" w:lineRule="exact"/>
              <w:rPr>
                <w:sz w:val="20"/>
                <w:szCs w:val="20"/>
                <w:color w:val="auto"/>
              </w:rPr>
            </w:pPr>
            <w:r>
              <w:rPr>
                <w:rFonts w:ascii="Arial" w:cs="Arial" w:eastAsia="Arial" w:hAnsi="Arial"/>
                <w:sz w:val="14"/>
                <w:szCs w:val="14"/>
                <w:color w:val="auto"/>
                <w:w w:val="99"/>
              </w:rPr>
              <w:t>—</w:t>
            </w:r>
          </w:p>
        </w:tc>
        <w:tc>
          <w:tcPr>
            <w:tcW w:w="16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00" w:type="dxa"/>
            <w:vAlign w:val="bottom"/>
            <w:gridSpan w:val="2"/>
            <w:shd w:val="clear" w:color="auto" w:fill="CCEEFF"/>
          </w:tcPr>
          <w:p>
            <w:pPr>
              <w:ind w:left="50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7"/>
        </w:trPr>
        <w:tc>
          <w:tcPr>
            <w:tcW w:w="3880" w:type="dxa"/>
            <w:vAlign w:val="bottom"/>
            <w:gridSpan w:val="2"/>
            <w:vMerge w:val="restart"/>
          </w:tcPr>
          <w:p>
            <w:pPr>
              <w:spacing w:after="0"/>
              <w:rPr>
                <w:sz w:val="20"/>
                <w:szCs w:val="20"/>
                <w:color w:val="auto"/>
              </w:rPr>
            </w:pPr>
            <w:r>
              <w:rPr>
                <w:rFonts w:ascii="Arial" w:cs="Arial" w:eastAsia="Arial" w:hAnsi="Arial"/>
                <w:sz w:val="14"/>
                <w:szCs w:val="14"/>
                <w:color w:val="auto"/>
              </w:rPr>
              <w:t>Gross profit</w:t>
            </w:r>
          </w:p>
        </w:tc>
        <w:tc>
          <w:tcPr>
            <w:tcW w:w="260" w:type="dxa"/>
            <w:vAlign w:val="bottom"/>
            <w:gridSpan w:val="2"/>
          </w:tcPr>
          <w:p>
            <w:pPr>
              <w:spacing w:after="0"/>
              <w:rPr>
                <w:sz w:val="2"/>
                <w:szCs w:val="2"/>
                <w:color w:val="auto"/>
              </w:rPr>
            </w:pPr>
          </w:p>
        </w:tc>
        <w:tc>
          <w:tcPr>
            <w:tcW w:w="6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20" w:type="dxa"/>
            <w:vAlign w:val="bottom"/>
            <w:gridSpan w:val="2"/>
          </w:tcPr>
          <w:p>
            <w:pPr>
              <w:spacing w:after="0"/>
              <w:rPr>
                <w:sz w:val="2"/>
                <w:szCs w:val="2"/>
                <w:color w:val="auto"/>
              </w:rPr>
            </w:pPr>
          </w:p>
        </w:tc>
        <w:tc>
          <w:tcPr>
            <w:tcW w:w="740" w:type="dxa"/>
            <w:vAlign w:val="bottom"/>
            <w:gridSpan w:val="2"/>
          </w:tcPr>
          <w:p>
            <w:pPr>
              <w:spacing w:after="0"/>
              <w:rPr>
                <w:sz w:val="2"/>
                <w:szCs w:val="2"/>
                <w:color w:val="auto"/>
              </w:rPr>
            </w:pPr>
          </w:p>
        </w:tc>
        <w:tc>
          <w:tcPr>
            <w:tcW w:w="720" w:type="dxa"/>
            <w:vAlign w:val="bottom"/>
            <w:gridSpan w:val="2"/>
          </w:tcPr>
          <w:p>
            <w:pPr>
              <w:spacing w:after="0"/>
              <w:rPr>
                <w:sz w:val="2"/>
                <w:szCs w:val="2"/>
                <w:color w:val="auto"/>
              </w:rPr>
            </w:pPr>
          </w:p>
        </w:tc>
        <w:tc>
          <w:tcPr>
            <w:tcW w:w="240" w:type="dxa"/>
            <w:vAlign w:val="bottom"/>
          </w:tcPr>
          <w:p>
            <w:pPr>
              <w:spacing w:after="0"/>
              <w:rPr>
                <w:sz w:val="2"/>
                <w:szCs w:val="2"/>
                <w:color w:val="auto"/>
              </w:rPr>
            </w:pPr>
          </w:p>
        </w:tc>
        <w:tc>
          <w:tcPr>
            <w:tcW w:w="820" w:type="dxa"/>
            <w:vAlign w:val="bottom"/>
            <w:gridSpan w:val="2"/>
          </w:tcPr>
          <w:p>
            <w:pPr>
              <w:spacing w:after="0"/>
              <w:rPr>
                <w:sz w:val="2"/>
                <w:szCs w:val="2"/>
                <w:color w:val="auto"/>
              </w:rPr>
            </w:pPr>
          </w:p>
        </w:tc>
        <w:tc>
          <w:tcPr>
            <w:tcW w:w="240" w:type="dxa"/>
            <w:vAlign w:val="bottom"/>
          </w:tcPr>
          <w:p>
            <w:pPr>
              <w:spacing w:after="0"/>
              <w:rPr>
                <w:sz w:val="2"/>
                <w:szCs w:val="2"/>
                <w:color w:val="auto"/>
              </w:rPr>
            </w:pPr>
          </w:p>
        </w:tc>
        <w:tc>
          <w:tcPr>
            <w:tcW w:w="400" w:type="dxa"/>
            <w:vAlign w:val="bottom"/>
            <w:gridSpan w:val="2"/>
          </w:tcPr>
          <w:p>
            <w:pPr>
              <w:spacing w:after="0"/>
              <w:rPr>
                <w:sz w:val="2"/>
                <w:szCs w:val="2"/>
                <w:color w:val="auto"/>
              </w:rPr>
            </w:pPr>
          </w:p>
        </w:tc>
        <w:tc>
          <w:tcPr>
            <w:tcW w:w="800" w:type="dxa"/>
            <w:vAlign w:val="bottom"/>
            <w:gridSpan w:val="2"/>
          </w:tcPr>
          <w:p>
            <w:pPr>
              <w:spacing w:after="0"/>
              <w:rPr>
                <w:sz w:val="2"/>
                <w:szCs w:val="2"/>
                <w:color w:val="auto"/>
              </w:rPr>
            </w:pPr>
          </w:p>
        </w:tc>
        <w:tc>
          <w:tcPr>
            <w:tcW w:w="0" w:type="dxa"/>
            <w:vAlign w:val="bottom"/>
          </w:tcPr>
          <w:p>
            <w:pPr>
              <w:spacing w:after="0"/>
              <w:rPr>
                <w:sz w:val="1"/>
                <w:szCs w:val="1"/>
                <w:color w:val="auto"/>
              </w:rPr>
            </w:pPr>
          </w:p>
        </w:tc>
      </w:tr>
      <w:tr>
        <w:trPr>
          <w:trHeight w:val="167"/>
        </w:trPr>
        <w:tc>
          <w:tcPr>
            <w:tcW w:w="3880" w:type="dxa"/>
            <w:vAlign w:val="bottom"/>
            <w:gridSpan w:val="2"/>
            <w:vMerge w:val="continue"/>
          </w:tcPr>
          <w:p>
            <w:pPr>
              <w:spacing w:after="0"/>
              <w:rPr>
                <w:sz w:val="14"/>
                <w:szCs w:val="14"/>
                <w:color w:val="auto"/>
              </w:rPr>
            </w:pPr>
          </w:p>
        </w:tc>
        <w:tc>
          <w:tcPr>
            <w:tcW w:w="20" w:type="dxa"/>
            <w:vAlign w:val="bottom"/>
          </w:tcPr>
          <w:p>
            <w:pPr>
              <w:spacing w:after="0"/>
              <w:rPr>
                <w:sz w:val="14"/>
                <w:szCs w:val="14"/>
                <w:color w:val="auto"/>
              </w:rPr>
            </w:pPr>
          </w:p>
        </w:tc>
        <w:tc>
          <w:tcPr>
            <w:tcW w:w="2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w:t>
            </w: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31</w:t>
            </w: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w:t>
            </w: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660" w:type="dxa"/>
            <w:vAlign w:val="bottom"/>
            <w:tcBorders>
              <w:top w:val="single" w:sz="8" w:color="auto"/>
              <w:bottom w:val="single" w:sz="8" w:color="auto"/>
            </w:tcBorders>
          </w:tcPr>
          <w:p>
            <w:pPr>
              <w:jc w:val="right"/>
              <w:ind w:right="372"/>
              <w:spacing w:after="0"/>
              <w:rPr>
                <w:sz w:val="20"/>
                <w:szCs w:val="20"/>
                <w:color w:val="auto"/>
              </w:rPr>
            </w:pPr>
            <w:r>
              <w:rPr>
                <w:rFonts w:ascii="Arial" w:cs="Arial" w:eastAsia="Arial" w:hAnsi="Arial"/>
                <w:sz w:val="14"/>
                <w:szCs w:val="14"/>
                <w:color w:val="auto"/>
              </w:rPr>
              <w:t>$</w:t>
            </w:r>
          </w:p>
        </w:tc>
        <w:tc>
          <w:tcPr>
            <w:tcW w:w="240" w:type="dxa"/>
            <w:vAlign w:val="bottom"/>
            <w:tcBorders>
              <w:top w:val="single" w:sz="8" w:color="auto"/>
              <w:bottom w:val="single" w:sz="8" w:color="auto"/>
            </w:tcBorders>
          </w:tcPr>
          <w:p>
            <w:pPr>
              <w:ind w:left="100"/>
              <w:spacing w:after="0"/>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4"/>
                <w:szCs w:val="14"/>
                <w:color w:val="auto"/>
              </w:rPr>
            </w:pPr>
          </w:p>
        </w:tc>
        <w:tc>
          <w:tcPr>
            <w:tcW w:w="660" w:type="dxa"/>
            <w:vAlign w:val="bottom"/>
            <w:tcBorders>
              <w:top w:val="single" w:sz="8" w:color="auto"/>
              <w:bottom w:val="single" w:sz="8" w:color="auto"/>
            </w:tcBorders>
          </w:tcPr>
          <w:p>
            <w:pPr>
              <w:jc w:val="right"/>
              <w:ind w:right="392"/>
              <w:spacing w:after="0"/>
              <w:rPr>
                <w:sz w:val="20"/>
                <w:szCs w:val="20"/>
                <w:color w:val="auto"/>
              </w:rPr>
            </w:pPr>
            <w:r>
              <w:rPr>
                <w:rFonts w:ascii="Arial" w:cs="Arial" w:eastAsia="Arial" w:hAnsi="Arial"/>
                <w:sz w:val="14"/>
                <w:szCs w:val="14"/>
                <w:color w:val="auto"/>
              </w:rPr>
              <w:t>$</w:t>
            </w:r>
          </w:p>
        </w:tc>
        <w:tc>
          <w:tcPr>
            <w:tcW w:w="240" w:type="dxa"/>
            <w:vAlign w:val="bottom"/>
            <w:tcBorders>
              <w:top w:val="single" w:sz="8" w:color="auto"/>
              <w:bottom w:val="single" w:sz="8" w:color="auto"/>
            </w:tcBorders>
          </w:tcPr>
          <w:p>
            <w:pPr>
              <w:ind w:left="80"/>
              <w:spacing w:after="0"/>
              <w:rPr>
                <w:sz w:val="20"/>
                <w:szCs w:val="20"/>
                <w:color w:val="auto"/>
              </w:rPr>
            </w:pPr>
            <w:r>
              <w:rPr>
                <w:rFonts w:ascii="Arial" w:cs="Arial" w:eastAsia="Arial" w:hAnsi="Arial"/>
                <w:sz w:val="14"/>
                <w:szCs w:val="14"/>
                <w:color w:val="auto"/>
                <w:w w:val="99"/>
              </w:rPr>
              <w:t>—</w:t>
            </w:r>
          </w:p>
        </w:tc>
        <w:tc>
          <w:tcPr>
            <w:tcW w:w="160" w:type="dxa"/>
            <w:vAlign w:val="bottom"/>
          </w:tcPr>
          <w:p>
            <w:pPr>
              <w:spacing w:after="0"/>
              <w:rPr>
                <w:sz w:val="14"/>
                <w:szCs w:val="14"/>
                <w:color w:val="auto"/>
              </w:rPr>
            </w:pPr>
          </w:p>
        </w:tc>
        <w:tc>
          <w:tcPr>
            <w:tcW w:w="2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w:t>
            </w:r>
          </w:p>
        </w:tc>
        <w:tc>
          <w:tcPr>
            <w:tcW w:w="640" w:type="dxa"/>
            <w:vAlign w:val="bottom"/>
            <w:tcBorders>
              <w:top w:val="single" w:sz="8" w:color="auto"/>
              <w:bottom w:val="single" w:sz="8" w:color="auto"/>
            </w:tcBorders>
          </w:tcPr>
          <w:p>
            <w:pPr>
              <w:ind w:left="500"/>
              <w:spacing w:after="0"/>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8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1"/>
        </w:trPr>
        <w:tc>
          <w:tcPr>
            <w:tcW w:w="20" w:type="dxa"/>
            <w:vAlign w:val="bottom"/>
          </w:tcPr>
          <w:p>
            <w:pPr>
              <w:spacing w:after="0"/>
              <w:rPr>
                <w:sz w:val="11"/>
                <w:szCs w:val="11"/>
                <w:color w:val="auto"/>
              </w:rPr>
            </w:pPr>
          </w:p>
        </w:tc>
        <w:tc>
          <w:tcPr>
            <w:tcW w:w="3860" w:type="dxa"/>
            <w:vAlign w:val="bottom"/>
            <w:shd w:val="clear" w:color="auto" w:fill="CCEEFF"/>
          </w:tcPr>
          <w:p>
            <w:pPr>
              <w:spacing w:after="0" w:line="131" w:lineRule="exact"/>
              <w:rPr>
                <w:sz w:val="20"/>
                <w:szCs w:val="20"/>
                <w:color w:val="auto"/>
              </w:rPr>
            </w:pPr>
            <w:r>
              <w:rPr>
                <w:rFonts w:ascii="Arial" w:cs="Arial" w:eastAsia="Arial" w:hAnsi="Arial"/>
                <w:sz w:val="14"/>
                <w:szCs w:val="14"/>
                <w:color w:val="auto"/>
              </w:rPr>
              <w:t>Tonnes of ore milled</w:t>
            </w:r>
          </w:p>
        </w:tc>
        <w:tc>
          <w:tcPr>
            <w:tcW w:w="2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20" w:type="dxa"/>
            <w:vAlign w:val="bottom"/>
            <w:shd w:val="clear" w:color="auto" w:fill="CCEEFF"/>
          </w:tcPr>
          <w:p>
            <w:pPr>
              <w:jc w:val="right"/>
              <w:spacing w:after="0" w:line="131" w:lineRule="exact"/>
              <w:rPr>
                <w:sz w:val="20"/>
                <w:szCs w:val="20"/>
                <w:color w:val="auto"/>
              </w:rPr>
            </w:pPr>
            <w:r>
              <w:rPr>
                <w:rFonts w:ascii="Arial" w:cs="Arial" w:eastAsia="Arial" w:hAnsi="Arial"/>
                <w:sz w:val="14"/>
                <w:szCs w:val="14"/>
                <w:color w:val="auto"/>
              </w:rPr>
              <w:t>299,430</w:t>
            </w: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740" w:type="dxa"/>
            <w:vAlign w:val="bottom"/>
            <w:gridSpan w:val="2"/>
            <w:shd w:val="clear" w:color="auto" w:fill="CCEEFF"/>
          </w:tcPr>
          <w:p>
            <w:pPr>
              <w:jc w:val="right"/>
              <w:ind w:right="100"/>
              <w:spacing w:after="0" w:line="131"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240" w:type="dxa"/>
            <w:vAlign w:val="bottom"/>
            <w:shd w:val="clear" w:color="auto" w:fill="CCEEFF"/>
          </w:tcPr>
          <w:p>
            <w:pPr>
              <w:ind w:left="100"/>
              <w:spacing w:after="0" w:line="131" w:lineRule="exact"/>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240" w:type="dxa"/>
            <w:vAlign w:val="bottom"/>
            <w:shd w:val="clear" w:color="auto" w:fill="CCEEFF"/>
          </w:tcPr>
          <w:p>
            <w:pPr>
              <w:ind w:left="80"/>
              <w:spacing w:after="0" w:line="131" w:lineRule="exact"/>
              <w:rPr>
                <w:sz w:val="20"/>
                <w:szCs w:val="20"/>
                <w:color w:val="auto"/>
              </w:rPr>
            </w:pPr>
            <w:r>
              <w:rPr>
                <w:rFonts w:ascii="Arial" w:cs="Arial" w:eastAsia="Arial" w:hAnsi="Arial"/>
                <w:sz w:val="14"/>
                <w:szCs w:val="14"/>
                <w:color w:val="auto"/>
                <w:w w:val="99"/>
              </w:rPr>
              <w:t>—</w:t>
            </w:r>
          </w:p>
        </w:tc>
        <w:tc>
          <w:tcPr>
            <w:tcW w:w="16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800" w:type="dxa"/>
            <w:vAlign w:val="bottom"/>
            <w:gridSpan w:val="2"/>
            <w:shd w:val="clear" w:color="auto" w:fill="CCEEFF"/>
          </w:tcPr>
          <w:p>
            <w:pPr>
              <w:ind w:left="500"/>
              <w:spacing w:after="0" w:line="131"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860" w:type="dxa"/>
            <w:vAlign w:val="bottom"/>
          </w:tcPr>
          <w:p>
            <w:pPr>
              <w:spacing w:after="0" w:line="149" w:lineRule="exact"/>
              <w:rPr>
                <w:sz w:val="20"/>
                <w:szCs w:val="20"/>
                <w:color w:val="auto"/>
              </w:rPr>
            </w:pPr>
            <w:r>
              <w:rPr>
                <w:rFonts w:ascii="Arial" w:cs="Arial" w:eastAsia="Arial" w:hAnsi="Arial"/>
                <w:sz w:val="14"/>
                <w:szCs w:val="14"/>
                <w:color w:val="auto"/>
              </w:rPr>
              <w:t>Gold — grams per tonne</w:t>
            </w:r>
          </w:p>
        </w:tc>
        <w:tc>
          <w:tcPr>
            <w:tcW w:w="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7.29</w:t>
            </w: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74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240" w:type="dxa"/>
            <w:vAlign w:val="bottom"/>
          </w:tcPr>
          <w:p>
            <w:pPr>
              <w:ind w:left="100"/>
              <w:spacing w:after="0" w:line="149" w:lineRule="exact"/>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240" w:type="dxa"/>
            <w:vAlign w:val="bottom"/>
          </w:tcPr>
          <w:p>
            <w:pPr>
              <w:ind w:left="80"/>
              <w:spacing w:after="0" w:line="149" w:lineRule="exact"/>
              <w:rPr>
                <w:sz w:val="20"/>
                <w:szCs w:val="20"/>
                <w:color w:val="auto"/>
              </w:rPr>
            </w:pPr>
            <w:r>
              <w:rPr>
                <w:rFonts w:ascii="Arial" w:cs="Arial" w:eastAsia="Arial" w:hAnsi="Arial"/>
                <w:sz w:val="14"/>
                <w:szCs w:val="14"/>
                <w:color w:val="auto"/>
                <w:w w:val="99"/>
              </w:rPr>
              <w:t>—</w:t>
            </w:r>
          </w:p>
        </w:tc>
        <w:tc>
          <w:tcPr>
            <w:tcW w:w="1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00" w:type="dxa"/>
            <w:vAlign w:val="bottom"/>
            <w:gridSpan w:val="2"/>
          </w:tcPr>
          <w:p>
            <w:pPr>
              <w:ind w:left="50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8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Gold production — ounces</w:t>
            </w:r>
          </w:p>
        </w:tc>
        <w:tc>
          <w:tcPr>
            <w:tcW w:w="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52,602</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240" w:type="dxa"/>
            <w:vAlign w:val="bottom"/>
            <w:shd w:val="clear" w:color="auto" w:fill="CCEEFF"/>
          </w:tcPr>
          <w:p>
            <w:pPr>
              <w:ind w:left="100"/>
              <w:spacing w:after="0" w:line="149" w:lineRule="exact"/>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240" w:type="dxa"/>
            <w:vAlign w:val="bottom"/>
            <w:shd w:val="clear" w:color="auto" w:fill="CCEEFF"/>
          </w:tcPr>
          <w:p>
            <w:pPr>
              <w:ind w:left="80"/>
              <w:spacing w:after="0" w:line="149" w:lineRule="exact"/>
              <w:rPr>
                <w:sz w:val="20"/>
                <w:szCs w:val="20"/>
                <w:color w:val="auto"/>
              </w:rPr>
            </w:pPr>
            <w:r>
              <w:rPr>
                <w:rFonts w:ascii="Arial" w:cs="Arial" w:eastAsia="Arial" w:hAnsi="Arial"/>
                <w:sz w:val="14"/>
                <w:szCs w:val="14"/>
                <w:color w:val="auto"/>
                <w:w w:val="99"/>
              </w:rPr>
              <w:t>—</w:t>
            </w:r>
          </w:p>
        </w:tc>
        <w:tc>
          <w:tcPr>
            <w:tcW w:w="16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00" w:type="dxa"/>
            <w:vAlign w:val="bottom"/>
            <w:gridSpan w:val="2"/>
            <w:shd w:val="clear" w:color="auto" w:fill="CCEEFF"/>
          </w:tcPr>
          <w:p>
            <w:pPr>
              <w:ind w:left="50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324"/>
        </w:trPr>
        <w:tc>
          <w:tcPr>
            <w:tcW w:w="3880" w:type="dxa"/>
            <w:vAlign w:val="bottom"/>
            <w:gridSpan w:val="2"/>
          </w:tcPr>
          <w:p>
            <w:pPr>
              <w:spacing w:after="0"/>
              <w:rPr>
                <w:sz w:val="20"/>
                <w:szCs w:val="20"/>
                <w:color w:val="auto"/>
              </w:rPr>
            </w:pPr>
            <w:r>
              <w:rPr>
                <w:rFonts w:ascii="Arial" w:cs="Arial" w:eastAsia="Arial" w:hAnsi="Arial"/>
                <w:sz w:val="14"/>
                <w:szCs w:val="14"/>
                <w:b w:val="1"/>
                <w:bCs w:val="1"/>
                <w:color w:val="auto"/>
              </w:rPr>
              <w:t>Total cash costs (per ounce):</w:t>
            </w:r>
          </w:p>
        </w:tc>
        <w:tc>
          <w:tcPr>
            <w:tcW w:w="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8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Production costs</w:t>
            </w:r>
          </w:p>
        </w:tc>
        <w:tc>
          <w:tcPr>
            <w:tcW w:w="2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636</w:t>
            </w:r>
          </w:p>
        </w:tc>
        <w:tc>
          <w:tcPr>
            <w:tcW w:w="100" w:type="dxa"/>
            <w:vAlign w:val="bottom"/>
            <w:shd w:val="clear" w:color="auto" w:fill="CCEEFF"/>
          </w:tcPr>
          <w:p>
            <w:pPr>
              <w:spacing w:after="0"/>
              <w:rPr>
                <w:sz w:val="12"/>
                <w:szCs w:val="12"/>
                <w:color w:val="auto"/>
              </w:rPr>
            </w:pPr>
          </w:p>
        </w:tc>
        <w:tc>
          <w:tcPr>
            <w:tcW w:w="3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7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720" w:type="dxa"/>
            <w:vAlign w:val="bottom"/>
            <w:gridSpan w:val="2"/>
            <w:shd w:val="clear" w:color="auto" w:fill="CCEEFF"/>
          </w:tcPr>
          <w:p>
            <w:pPr>
              <w:jc w:val="right"/>
              <w:ind w:right="372"/>
              <w:spacing w:after="0" w:line="149" w:lineRule="exact"/>
              <w:rPr>
                <w:sz w:val="20"/>
                <w:szCs w:val="20"/>
                <w:color w:val="auto"/>
              </w:rPr>
            </w:pPr>
            <w:r>
              <w:rPr>
                <w:rFonts w:ascii="Arial" w:cs="Arial" w:eastAsia="Arial" w:hAnsi="Arial"/>
                <w:sz w:val="14"/>
                <w:szCs w:val="14"/>
                <w:color w:val="auto"/>
              </w:rPr>
              <w:t>$</w:t>
            </w:r>
          </w:p>
        </w:tc>
        <w:tc>
          <w:tcPr>
            <w:tcW w:w="240" w:type="dxa"/>
            <w:vAlign w:val="bottom"/>
            <w:shd w:val="clear" w:color="auto" w:fill="CCEEFF"/>
          </w:tcPr>
          <w:p>
            <w:pPr>
              <w:ind w:left="100"/>
              <w:spacing w:after="0" w:line="149" w:lineRule="exact"/>
              <w:rPr>
                <w:sz w:val="20"/>
                <w:szCs w:val="20"/>
                <w:color w:val="auto"/>
              </w:rPr>
            </w:pPr>
            <w:r>
              <w:rPr>
                <w:rFonts w:ascii="Arial" w:cs="Arial" w:eastAsia="Arial" w:hAnsi="Arial"/>
                <w:sz w:val="14"/>
                <w:szCs w:val="14"/>
                <w:color w:val="auto"/>
                <w:w w:val="85"/>
              </w:rPr>
              <w:t>—</w:t>
            </w:r>
          </w:p>
        </w:tc>
        <w:tc>
          <w:tcPr>
            <w:tcW w:w="820" w:type="dxa"/>
            <w:vAlign w:val="bottom"/>
            <w:gridSpan w:val="2"/>
            <w:shd w:val="clear" w:color="auto" w:fill="CCEEFF"/>
          </w:tcPr>
          <w:p>
            <w:pPr>
              <w:jc w:val="right"/>
              <w:ind w:right="392"/>
              <w:spacing w:after="0" w:line="149" w:lineRule="exact"/>
              <w:rPr>
                <w:sz w:val="20"/>
                <w:szCs w:val="20"/>
                <w:color w:val="auto"/>
              </w:rPr>
            </w:pPr>
            <w:r>
              <w:rPr>
                <w:rFonts w:ascii="Arial" w:cs="Arial" w:eastAsia="Arial" w:hAnsi="Arial"/>
                <w:sz w:val="14"/>
                <w:szCs w:val="14"/>
                <w:color w:val="auto"/>
              </w:rPr>
              <w:t>$</w:t>
            </w:r>
          </w:p>
        </w:tc>
        <w:tc>
          <w:tcPr>
            <w:tcW w:w="240" w:type="dxa"/>
            <w:vAlign w:val="bottom"/>
            <w:shd w:val="clear" w:color="auto" w:fill="CCEEFF"/>
          </w:tcPr>
          <w:p>
            <w:pPr>
              <w:ind w:left="80"/>
              <w:spacing w:after="0" w:line="149" w:lineRule="exact"/>
              <w:rPr>
                <w:sz w:val="20"/>
                <w:szCs w:val="20"/>
                <w:color w:val="auto"/>
              </w:rPr>
            </w:pPr>
            <w:r>
              <w:rPr>
                <w:rFonts w:ascii="Arial" w:cs="Arial" w:eastAsia="Arial" w:hAnsi="Arial"/>
                <w:sz w:val="14"/>
                <w:szCs w:val="14"/>
                <w:color w:val="auto"/>
                <w:w w:val="99"/>
              </w:rPr>
              <w:t>—</w:t>
            </w:r>
          </w:p>
        </w:tc>
        <w:tc>
          <w:tcPr>
            <w:tcW w:w="40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shd w:val="clear" w:color="auto" w:fill="CCEEFF"/>
          </w:tcPr>
          <w:p>
            <w:pPr>
              <w:ind w:left="50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860" w:type="dxa"/>
            <w:vAlign w:val="bottom"/>
          </w:tcPr>
          <w:p>
            <w:pPr>
              <w:spacing w:after="0" w:line="149" w:lineRule="exact"/>
              <w:rPr>
                <w:sz w:val="20"/>
                <w:szCs w:val="20"/>
                <w:color w:val="auto"/>
              </w:rPr>
            </w:pPr>
            <w:r>
              <w:rPr>
                <w:rFonts w:ascii="Arial" w:cs="Arial" w:eastAsia="Arial" w:hAnsi="Arial"/>
                <w:sz w:val="14"/>
                <w:szCs w:val="14"/>
                <w:color w:val="auto"/>
              </w:rPr>
              <w:t>Less:</w:t>
            </w:r>
          </w:p>
        </w:tc>
        <w:tc>
          <w:tcPr>
            <w:tcW w:w="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860" w:type="dxa"/>
            <w:vAlign w:val="bottom"/>
            <w:shd w:val="clear" w:color="auto" w:fill="CCEEFF"/>
          </w:tcPr>
          <w:p>
            <w:pPr>
              <w:ind w:left="100"/>
              <w:spacing w:after="0" w:line="149" w:lineRule="exact"/>
              <w:rPr>
                <w:sz w:val="20"/>
                <w:szCs w:val="20"/>
                <w:color w:val="auto"/>
              </w:rPr>
            </w:pPr>
            <w:r>
              <w:rPr>
                <w:rFonts w:ascii="Arial" w:cs="Arial" w:eastAsia="Arial" w:hAnsi="Arial"/>
                <w:sz w:val="14"/>
                <w:szCs w:val="14"/>
                <w:color w:val="auto"/>
              </w:rPr>
              <w:t>Inventory adjustments</w:t>
            </w:r>
          </w:p>
        </w:tc>
        <w:tc>
          <w:tcPr>
            <w:tcW w:w="2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115</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240" w:type="dxa"/>
            <w:vAlign w:val="bottom"/>
            <w:shd w:val="clear" w:color="auto" w:fill="CCEEFF"/>
          </w:tcPr>
          <w:p>
            <w:pPr>
              <w:ind w:left="100"/>
              <w:spacing w:after="0" w:line="149" w:lineRule="exact"/>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240" w:type="dxa"/>
            <w:vAlign w:val="bottom"/>
            <w:shd w:val="clear" w:color="auto" w:fill="CCEEFF"/>
          </w:tcPr>
          <w:p>
            <w:pPr>
              <w:ind w:left="80"/>
              <w:spacing w:after="0" w:line="149" w:lineRule="exact"/>
              <w:rPr>
                <w:sz w:val="20"/>
                <w:szCs w:val="20"/>
                <w:color w:val="auto"/>
              </w:rPr>
            </w:pPr>
            <w:r>
              <w:rPr>
                <w:rFonts w:ascii="Arial" w:cs="Arial" w:eastAsia="Arial" w:hAnsi="Arial"/>
                <w:sz w:val="14"/>
                <w:szCs w:val="14"/>
                <w:color w:val="auto"/>
                <w:w w:val="99"/>
              </w:rPr>
              <w:t>—</w:t>
            </w:r>
          </w:p>
        </w:tc>
        <w:tc>
          <w:tcPr>
            <w:tcW w:w="16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00" w:type="dxa"/>
            <w:vAlign w:val="bottom"/>
            <w:gridSpan w:val="2"/>
            <w:shd w:val="clear" w:color="auto" w:fill="CCEEFF"/>
          </w:tcPr>
          <w:p>
            <w:pPr>
              <w:ind w:left="50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3860" w:type="dxa"/>
            <w:vAlign w:val="bottom"/>
          </w:tcPr>
          <w:p>
            <w:pPr>
              <w:ind w:left="100"/>
              <w:spacing w:after="0"/>
              <w:rPr>
                <w:sz w:val="20"/>
                <w:szCs w:val="20"/>
                <w:color w:val="auto"/>
              </w:rPr>
            </w:pPr>
            <w:r>
              <w:rPr>
                <w:rFonts w:ascii="Arial" w:cs="Arial" w:eastAsia="Arial" w:hAnsi="Arial"/>
                <w:sz w:val="14"/>
                <w:szCs w:val="14"/>
                <w:color w:val="auto"/>
              </w:rPr>
              <w:t>Accretion expense and other</w:t>
            </w:r>
          </w:p>
        </w:tc>
        <w:tc>
          <w:tcPr>
            <w:tcW w:w="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720" w:type="dxa"/>
            <w:vAlign w:val="bottom"/>
            <w:gridSpan w:val="2"/>
          </w:tcPr>
          <w:p>
            <w:pPr>
              <w:jc w:val="right"/>
              <w:ind w:right="10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740" w:type="dxa"/>
            <w:vAlign w:val="bottom"/>
            <w:gridSpan w:val="2"/>
          </w:tcPr>
          <w:p>
            <w:pPr>
              <w:jc w:val="right"/>
              <w:ind w:right="10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240" w:type="dxa"/>
            <w:vAlign w:val="bottom"/>
          </w:tcPr>
          <w:p>
            <w:pPr>
              <w:ind w:left="100"/>
              <w:spacing w:after="0"/>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240" w:type="dxa"/>
            <w:vAlign w:val="bottom"/>
          </w:tcPr>
          <w:p>
            <w:pPr>
              <w:ind w:left="80"/>
              <w:spacing w:after="0"/>
              <w:rPr>
                <w:sz w:val="20"/>
                <w:szCs w:val="20"/>
                <w:color w:val="auto"/>
              </w:rPr>
            </w:pPr>
            <w:r>
              <w:rPr>
                <w:rFonts w:ascii="Arial" w:cs="Arial" w:eastAsia="Arial" w:hAnsi="Arial"/>
                <w:sz w:val="14"/>
                <w:szCs w:val="14"/>
                <w:color w:val="auto"/>
                <w:w w:val="99"/>
              </w:rPr>
              <w:t>—</w:t>
            </w:r>
          </w:p>
        </w:tc>
        <w:tc>
          <w:tcPr>
            <w:tcW w:w="16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800" w:type="dxa"/>
            <w:vAlign w:val="bottom"/>
            <w:gridSpan w:val="2"/>
          </w:tcPr>
          <w:p>
            <w:pPr>
              <w:ind w:left="500"/>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71"/>
        </w:trPr>
        <w:tc>
          <w:tcPr>
            <w:tcW w:w="20" w:type="dxa"/>
            <w:vAlign w:val="bottom"/>
          </w:tcPr>
          <w:p>
            <w:pPr>
              <w:spacing w:after="0"/>
              <w:rPr>
                <w:sz w:val="14"/>
                <w:szCs w:val="14"/>
                <w:color w:val="auto"/>
              </w:rPr>
            </w:pPr>
          </w:p>
        </w:tc>
        <w:tc>
          <w:tcPr>
            <w:tcW w:w="3860" w:type="dxa"/>
            <w:vAlign w:val="bottom"/>
            <w:shd w:val="clear" w:color="auto" w:fill="CCEEFF"/>
          </w:tcPr>
          <w:p>
            <w:pPr>
              <w:spacing w:after="0" w:line="171" w:lineRule="exact"/>
              <w:rPr>
                <w:sz w:val="20"/>
                <w:szCs w:val="20"/>
                <w:color w:val="auto"/>
              </w:rPr>
            </w:pPr>
            <w:r>
              <w:rPr>
                <w:rFonts w:ascii="Arial" w:cs="Arial" w:eastAsia="Arial" w:hAnsi="Arial"/>
                <w:sz w:val="12"/>
                <w:szCs w:val="12"/>
                <w:color w:val="auto"/>
              </w:rPr>
              <w:t>Total cash costs (per ounce)</w:t>
            </w:r>
            <w:r>
              <w:rPr>
                <w:rFonts w:ascii="Arial" w:cs="Arial" w:eastAsia="Arial" w:hAnsi="Arial"/>
                <w:sz w:val="19"/>
                <w:szCs w:val="19"/>
                <w:color w:val="auto"/>
                <w:vertAlign w:val="superscript"/>
              </w:rPr>
              <w:t>(1)</w:t>
            </w:r>
          </w:p>
        </w:tc>
        <w:tc>
          <w:tcPr>
            <w:tcW w:w="20" w:type="dxa"/>
            <w:vAlign w:val="bottom"/>
            <w:shd w:val="clear" w:color="auto" w:fill="CCEEFF"/>
          </w:tcPr>
          <w:p>
            <w:pPr>
              <w:spacing w:after="0"/>
              <w:rPr>
                <w:sz w:val="14"/>
                <w:szCs w:val="14"/>
                <w:color w:val="auto"/>
              </w:rPr>
            </w:pPr>
          </w:p>
        </w:tc>
        <w:tc>
          <w:tcPr>
            <w:tcW w:w="2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6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751</w:t>
            </w:r>
          </w:p>
        </w:tc>
        <w:tc>
          <w:tcPr>
            <w:tcW w:w="10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2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6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660" w:type="dxa"/>
            <w:vAlign w:val="bottom"/>
            <w:tcBorders>
              <w:top w:val="single" w:sz="8" w:color="auto"/>
            </w:tcBorders>
            <w:shd w:val="clear" w:color="auto" w:fill="CCEEFF"/>
          </w:tcPr>
          <w:p>
            <w:pPr>
              <w:jc w:val="right"/>
              <w:ind w:right="372"/>
              <w:spacing w:after="0"/>
              <w:rPr>
                <w:sz w:val="20"/>
                <w:szCs w:val="20"/>
                <w:color w:val="auto"/>
              </w:rPr>
            </w:pPr>
            <w:r>
              <w:rPr>
                <w:rFonts w:ascii="Arial" w:cs="Arial" w:eastAsia="Arial" w:hAnsi="Arial"/>
                <w:sz w:val="14"/>
                <w:szCs w:val="14"/>
                <w:color w:val="auto"/>
              </w:rPr>
              <w:t>$</w:t>
            </w:r>
          </w:p>
        </w:tc>
        <w:tc>
          <w:tcPr>
            <w:tcW w:w="240" w:type="dxa"/>
            <w:vAlign w:val="bottom"/>
            <w:tcBorders>
              <w:top w:val="single" w:sz="8" w:color="auto"/>
            </w:tcBorders>
            <w:shd w:val="clear" w:color="auto" w:fill="CCEEFF"/>
          </w:tcPr>
          <w:p>
            <w:pPr>
              <w:ind w:left="100"/>
              <w:spacing w:after="0"/>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4"/>
                <w:szCs w:val="14"/>
                <w:color w:val="auto"/>
              </w:rPr>
            </w:pPr>
          </w:p>
        </w:tc>
        <w:tc>
          <w:tcPr>
            <w:tcW w:w="660" w:type="dxa"/>
            <w:vAlign w:val="bottom"/>
            <w:tcBorders>
              <w:top w:val="single" w:sz="8" w:color="auto"/>
            </w:tcBorders>
            <w:shd w:val="clear" w:color="auto" w:fill="CCEEFF"/>
          </w:tcPr>
          <w:p>
            <w:pPr>
              <w:jc w:val="right"/>
              <w:ind w:right="392"/>
              <w:spacing w:after="0"/>
              <w:rPr>
                <w:sz w:val="20"/>
                <w:szCs w:val="20"/>
                <w:color w:val="auto"/>
              </w:rPr>
            </w:pPr>
            <w:r>
              <w:rPr>
                <w:rFonts w:ascii="Arial" w:cs="Arial" w:eastAsia="Arial" w:hAnsi="Arial"/>
                <w:sz w:val="14"/>
                <w:szCs w:val="14"/>
                <w:color w:val="auto"/>
              </w:rPr>
              <w:t>$</w:t>
            </w:r>
          </w:p>
        </w:tc>
        <w:tc>
          <w:tcPr>
            <w:tcW w:w="240" w:type="dxa"/>
            <w:vAlign w:val="bottom"/>
            <w:tcBorders>
              <w:top w:val="single" w:sz="8" w:color="auto"/>
            </w:tcBorders>
            <w:shd w:val="clear" w:color="auto" w:fill="CCEEFF"/>
          </w:tcPr>
          <w:p>
            <w:pPr>
              <w:ind w:left="80"/>
              <w:spacing w:after="0"/>
              <w:rPr>
                <w:sz w:val="20"/>
                <w:szCs w:val="20"/>
                <w:color w:val="auto"/>
              </w:rPr>
            </w:pPr>
            <w:r>
              <w:rPr>
                <w:rFonts w:ascii="Arial" w:cs="Arial" w:eastAsia="Arial" w:hAnsi="Arial"/>
                <w:sz w:val="14"/>
                <w:szCs w:val="14"/>
                <w:color w:val="auto"/>
                <w:w w:val="99"/>
              </w:rPr>
              <w:t>—</w:t>
            </w:r>
          </w:p>
        </w:tc>
        <w:tc>
          <w:tcPr>
            <w:tcW w:w="160" w:type="dxa"/>
            <w:vAlign w:val="bottom"/>
            <w:shd w:val="clear" w:color="auto" w:fill="CCEEFF"/>
          </w:tcPr>
          <w:p>
            <w:pPr>
              <w:spacing w:after="0"/>
              <w:rPr>
                <w:sz w:val="14"/>
                <w:szCs w:val="14"/>
                <w:color w:val="auto"/>
              </w:rPr>
            </w:pPr>
          </w:p>
        </w:tc>
        <w:tc>
          <w:tcPr>
            <w:tcW w:w="2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640" w:type="dxa"/>
            <w:vAlign w:val="bottom"/>
            <w:tcBorders>
              <w:top w:val="single" w:sz="8" w:color="auto"/>
            </w:tcBorders>
            <w:shd w:val="clear" w:color="auto" w:fill="CCEEFF"/>
          </w:tcPr>
          <w:p>
            <w:pPr>
              <w:ind w:left="500"/>
              <w:spacing w:after="0"/>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27"/>
        </w:trPr>
        <w:tc>
          <w:tcPr>
            <w:tcW w:w="3880" w:type="dxa"/>
            <w:vAlign w:val="bottom"/>
            <w:gridSpan w:val="2"/>
            <w:vMerge w:val="restart"/>
          </w:tcPr>
          <w:p>
            <w:pPr>
              <w:spacing w:after="0"/>
              <w:rPr>
                <w:sz w:val="20"/>
                <w:szCs w:val="20"/>
                <w:color w:val="auto"/>
              </w:rPr>
            </w:pPr>
            <w:r>
              <w:rPr>
                <w:rFonts w:ascii="Arial" w:cs="Arial" w:eastAsia="Arial" w:hAnsi="Arial"/>
                <w:sz w:val="14"/>
                <w:szCs w:val="14"/>
                <w:color w:val="auto"/>
              </w:rPr>
              <w:t>Minesite costs per tonne</w:t>
            </w:r>
            <w:r>
              <w:rPr>
                <w:rFonts w:ascii="Arial" w:cs="Arial" w:eastAsia="Arial" w:hAnsi="Arial"/>
                <w:sz w:val="22"/>
                <w:szCs w:val="22"/>
                <w:color w:val="auto"/>
                <w:vertAlign w:val="superscript"/>
              </w:rPr>
              <w:t>(1)</w:t>
            </w:r>
          </w:p>
        </w:tc>
        <w:tc>
          <w:tcPr>
            <w:tcW w:w="20" w:type="dxa"/>
            <w:vAlign w:val="bottom"/>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3880" w:type="dxa"/>
            <w:vAlign w:val="bottom"/>
            <w:gridSpan w:val="2"/>
            <w:vMerge w:val="continu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3"/>
        </w:trPr>
        <w:tc>
          <w:tcPr>
            <w:tcW w:w="3880" w:type="dxa"/>
            <w:vAlign w:val="bottom"/>
            <w:gridSpan w:val="2"/>
            <w:vMerge w:val="continue"/>
          </w:tcPr>
          <w:p>
            <w:pPr>
              <w:spacing w:after="0"/>
              <w:rPr>
                <w:sz w:val="15"/>
                <w:szCs w:val="15"/>
                <w:color w:val="auto"/>
              </w:rPr>
            </w:pPr>
          </w:p>
        </w:tc>
        <w:tc>
          <w:tcPr>
            <w:tcW w:w="260" w:type="dxa"/>
            <w:vAlign w:val="bottom"/>
            <w:gridSpan w:val="2"/>
          </w:tcPr>
          <w:p>
            <w:pPr>
              <w:jc w:val="right"/>
              <w:ind w:right="52"/>
              <w:spacing w:after="0"/>
              <w:rPr>
                <w:sz w:val="20"/>
                <w:szCs w:val="20"/>
                <w:color w:val="auto"/>
              </w:rPr>
            </w:pPr>
            <w:r>
              <w:rPr>
                <w:rFonts w:ascii="Arial" w:cs="Arial" w:eastAsia="Arial" w:hAnsi="Arial"/>
                <w:sz w:val="12"/>
                <w:szCs w:val="12"/>
                <w:color w:val="auto"/>
                <w:w w:val="77"/>
              </w:rPr>
              <w:t>C$</w:t>
            </w:r>
          </w:p>
        </w:tc>
        <w:tc>
          <w:tcPr>
            <w:tcW w:w="620" w:type="dxa"/>
            <w:vAlign w:val="bottom"/>
          </w:tcPr>
          <w:p>
            <w:pPr>
              <w:jc w:val="right"/>
              <w:spacing w:after="0"/>
              <w:rPr>
                <w:sz w:val="20"/>
                <w:szCs w:val="20"/>
                <w:color w:val="auto"/>
              </w:rPr>
            </w:pPr>
            <w:r>
              <w:rPr>
                <w:rFonts w:ascii="Arial" w:cs="Arial" w:eastAsia="Arial" w:hAnsi="Arial"/>
                <w:sz w:val="14"/>
                <w:szCs w:val="14"/>
                <w:color w:val="auto"/>
              </w:rPr>
              <w:t>140</w:t>
            </w:r>
          </w:p>
        </w:tc>
        <w:tc>
          <w:tcPr>
            <w:tcW w:w="100" w:type="dxa"/>
            <w:vAlign w:val="bottom"/>
          </w:tcPr>
          <w:p>
            <w:pPr>
              <w:spacing w:after="0"/>
              <w:rPr>
                <w:sz w:val="15"/>
                <w:szCs w:val="15"/>
                <w:color w:val="auto"/>
              </w:rPr>
            </w:pPr>
          </w:p>
        </w:tc>
        <w:tc>
          <w:tcPr>
            <w:tcW w:w="320" w:type="dxa"/>
            <w:vAlign w:val="bottom"/>
            <w:gridSpan w:val="2"/>
          </w:tcPr>
          <w:p>
            <w:pPr>
              <w:jc w:val="right"/>
              <w:ind w:right="32"/>
              <w:spacing w:after="0"/>
              <w:rPr>
                <w:sz w:val="20"/>
                <w:szCs w:val="20"/>
                <w:color w:val="auto"/>
              </w:rPr>
            </w:pPr>
            <w:r>
              <w:rPr>
                <w:rFonts w:ascii="Arial" w:cs="Arial" w:eastAsia="Arial" w:hAnsi="Arial"/>
                <w:sz w:val="14"/>
                <w:szCs w:val="14"/>
                <w:color w:val="auto"/>
              </w:rPr>
              <w:t>C$</w:t>
            </w:r>
          </w:p>
        </w:tc>
        <w:tc>
          <w:tcPr>
            <w:tcW w:w="740" w:type="dxa"/>
            <w:vAlign w:val="bottom"/>
            <w:gridSpan w:val="2"/>
          </w:tcPr>
          <w:p>
            <w:pPr>
              <w:jc w:val="right"/>
              <w:ind w:right="100"/>
              <w:spacing w:after="0"/>
              <w:rPr>
                <w:sz w:val="20"/>
                <w:szCs w:val="20"/>
                <w:color w:val="auto"/>
              </w:rPr>
            </w:pPr>
            <w:r>
              <w:rPr>
                <w:rFonts w:ascii="Arial" w:cs="Arial" w:eastAsia="Arial" w:hAnsi="Arial"/>
                <w:sz w:val="14"/>
                <w:szCs w:val="14"/>
                <w:color w:val="auto"/>
              </w:rPr>
              <w:t>—</w:t>
            </w:r>
          </w:p>
        </w:tc>
        <w:tc>
          <w:tcPr>
            <w:tcW w:w="720" w:type="dxa"/>
            <w:vAlign w:val="bottom"/>
            <w:gridSpan w:val="2"/>
          </w:tcPr>
          <w:p>
            <w:pPr>
              <w:jc w:val="right"/>
              <w:ind w:right="432"/>
              <w:spacing w:after="0"/>
              <w:rPr>
                <w:sz w:val="20"/>
                <w:szCs w:val="20"/>
                <w:color w:val="auto"/>
              </w:rPr>
            </w:pPr>
            <w:r>
              <w:rPr>
                <w:rFonts w:ascii="Arial" w:cs="Arial" w:eastAsia="Arial" w:hAnsi="Arial"/>
                <w:sz w:val="14"/>
                <w:szCs w:val="14"/>
                <w:color w:val="auto"/>
              </w:rPr>
              <w:t>C$</w:t>
            </w:r>
          </w:p>
        </w:tc>
        <w:tc>
          <w:tcPr>
            <w:tcW w:w="240" w:type="dxa"/>
            <w:vAlign w:val="bottom"/>
          </w:tcPr>
          <w:p>
            <w:pPr>
              <w:ind w:left="100"/>
              <w:spacing w:after="0"/>
              <w:rPr>
                <w:sz w:val="20"/>
                <w:szCs w:val="20"/>
                <w:color w:val="auto"/>
              </w:rPr>
            </w:pPr>
            <w:r>
              <w:rPr>
                <w:rFonts w:ascii="Arial" w:cs="Arial" w:eastAsia="Arial" w:hAnsi="Arial"/>
                <w:sz w:val="14"/>
                <w:szCs w:val="14"/>
                <w:color w:val="auto"/>
                <w:w w:val="85"/>
              </w:rPr>
              <w:t>—</w:t>
            </w:r>
          </w:p>
        </w:tc>
        <w:tc>
          <w:tcPr>
            <w:tcW w:w="820" w:type="dxa"/>
            <w:vAlign w:val="bottom"/>
            <w:gridSpan w:val="2"/>
          </w:tcPr>
          <w:p>
            <w:pPr>
              <w:jc w:val="right"/>
              <w:ind w:right="452"/>
              <w:spacing w:after="0"/>
              <w:rPr>
                <w:sz w:val="20"/>
                <w:szCs w:val="20"/>
                <w:color w:val="auto"/>
              </w:rPr>
            </w:pPr>
            <w:r>
              <w:rPr>
                <w:rFonts w:ascii="Arial" w:cs="Arial" w:eastAsia="Arial" w:hAnsi="Arial"/>
                <w:sz w:val="14"/>
                <w:szCs w:val="14"/>
                <w:color w:val="auto"/>
              </w:rPr>
              <w:t>C$</w:t>
            </w:r>
          </w:p>
        </w:tc>
        <w:tc>
          <w:tcPr>
            <w:tcW w:w="240" w:type="dxa"/>
            <w:vAlign w:val="bottom"/>
          </w:tcPr>
          <w:p>
            <w:pPr>
              <w:ind w:left="80"/>
              <w:spacing w:after="0"/>
              <w:rPr>
                <w:sz w:val="20"/>
                <w:szCs w:val="20"/>
                <w:color w:val="auto"/>
              </w:rPr>
            </w:pPr>
            <w:r>
              <w:rPr>
                <w:rFonts w:ascii="Arial" w:cs="Arial" w:eastAsia="Arial" w:hAnsi="Arial"/>
                <w:sz w:val="14"/>
                <w:szCs w:val="14"/>
                <w:color w:val="auto"/>
                <w:w w:val="99"/>
              </w:rPr>
              <w:t>—</w:t>
            </w:r>
          </w:p>
        </w:tc>
        <w:tc>
          <w:tcPr>
            <w:tcW w:w="400" w:type="dxa"/>
            <w:vAlign w:val="bottom"/>
            <w:gridSpan w:val="2"/>
          </w:tcPr>
          <w:p>
            <w:pPr>
              <w:jc w:val="right"/>
              <w:ind w:right="32"/>
              <w:spacing w:after="0"/>
              <w:rPr>
                <w:sz w:val="20"/>
                <w:szCs w:val="20"/>
                <w:color w:val="auto"/>
              </w:rPr>
            </w:pPr>
            <w:r>
              <w:rPr>
                <w:rFonts w:ascii="Arial" w:cs="Arial" w:eastAsia="Arial" w:hAnsi="Arial"/>
                <w:sz w:val="14"/>
                <w:szCs w:val="14"/>
                <w:color w:val="auto"/>
              </w:rPr>
              <w:t>C$</w:t>
            </w:r>
          </w:p>
        </w:tc>
        <w:tc>
          <w:tcPr>
            <w:tcW w:w="800" w:type="dxa"/>
            <w:vAlign w:val="bottom"/>
            <w:gridSpan w:val="2"/>
          </w:tcPr>
          <w:p>
            <w:pPr>
              <w:ind w:left="500"/>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86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-720090</wp:posOffset>
            </wp:positionH>
            <wp:positionV relativeFrom="paragraph">
              <wp:posOffset>146050</wp:posOffset>
            </wp:positionV>
            <wp:extent cx="7250430" cy="2159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9140"/>
          </w:cols>
          <w:pgMar w:left="1380" w:top="341" w:right="1379" w:bottom="1440" w:gutter="0" w:footer="0" w:header="0"/>
        </w:sectPr>
      </w:pPr>
    </w:p>
    <w:bookmarkStart w:id="140" w:name="page141"/>
    <w:bookmarkEnd w:id="140"/>
    <w:p>
      <w:pPr>
        <w:jc w:val="center"/>
        <w:ind w:right="1120"/>
        <w:spacing w:after="0"/>
        <w:rPr>
          <w:sz w:val="20"/>
          <w:szCs w:val="20"/>
          <w:color w:val="auto"/>
        </w:rPr>
      </w:pPr>
      <w:r>
        <w:rPr>
          <w:rFonts w:ascii="Arial" w:cs="Arial" w:eastAsia="Arial" w:hAnsi="Arial"/>
          <w:sz w:val="18"/>
          <w:szCs w:val="18"/>
          <w:b w:val="1"/>
          <w:bCs w:val="1"/>
          <w:color w:val="auto"/>
        </w:rPr>
        <w:t>FINANCIAL DATA (Continued)</w:t>
      </w:r>
    </w:p>
    <w:p>
      <w:pPr>
        <w:spacing w:after="0" w:line="225" w:lineRule="exact"/>
        <w:rPr>
          <w:sz w:val="20"/>
          <w:szCs w:val="20"/>
          <w:color w:val="auto"/>
        </w:rPr>
      </w:pPr>
    </w:p>
    <w:p>
      <w:pPr>
        <w:ind w:left="2480"/>
        <w:spacing w:after="0"/>
        <w:rPr>
          <w:sz w:val="20"/>
          <w:szCs w:val="20"/>
          <w:color w:val="auto"/>
        </w:rPr>
      </w:pPr>
      <w:r>
        <w:rPr>
          <w:rFonts w:ascii="Arial" w:cs="Arial" w:eastAsia="Arial" w:hAnsi="Arial"/>
          <w:sz w:val="18"/>
          <w:szCs w:val="18"/>
          <w:b w:val="1"/>
          <w:bCs w:val="1"/>
          <w:color w:val="auto"/>
        </w:rPr>
        <w:t>(thousands of United States dollars, except where noted)</w:t>
      </w:r>
    </w:p>
    <w:p>
      <w:pPr>
        <w:spacing w:after="0" w:line="227"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260" w:type="dxa"/>
            <w:vAlign w:val="bottom"/>
          </w:tcPr>
          <w:p>
            <w:pPr>
              <w:spacing w:after="0"/>
              <w:rPr>
                <w:sz w:val="14"/>
                <w:szCs w:val="14"/>
                <w:color w:val="auto"/>
              </w:rPr>
            </w:pPr>
          </w:p>
        </w:tc>
        <w:tc>
          <w:tcPr>
            <w:tcW w:w="244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jc w:val="right"/>
              <w:ind w:right="192"/>
              <w:spacing w:after="0"/>
              <w:rPr>
                <w:sz w:val="20"/>
                <w:szCs w:val="20"/>
                <w:color w:val="auto"/>
              </w:rPr>
            </w:pPr>
            <w:r>
              <w:rPr>
                <w:rFonts w:ascii="Arial" w:cs="Arial" w:eastAsia="Arial" w:hAnsi="Arial"/>
                <w:sz w:val="14"/>
                <w:szCs w:val="14"/>
                <w:b w:val="1"/>
                <w:bCs w:val="1"/>
                <w:color w:val="auto"/>
              </w:rPr>
              <w:t>2009</w:t>
            </w: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ind w:left="80"/>
              <w:spacing w:after="0"/>
              <w:rPr>
                <w:sz w:val="20"/>
                <w:szCs w:val="20"/>
                <w:color w:val="auto"/>
              </w:rPr>
            </w:pPr>
            <w:r>
              <w:rPr>
                <w:rFonts w:ascii="Arial" w:cs="Arial" w:eastAsia="Arial" w:hAnsi="Arial"/>
                <w:sz w:val="14"/>
                <w:szCs w:val="14"/>
                <w:b w:val="1"/>
                <w:bCs w:val="1"/>
                <w:color w:val="auto"/>
              </w:rPr>
              <w:t>2008</w:t>
            </w:r>
          </w:p>
        </w:tc>
        <w:tc>
          <w:tcPr>
            <w:tcW w:w="18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ind w:left="80"/>
              <w:spacing w:after="0"/>
              <w:rPr>
                <w:sz w:val="20"/>
                <w:szCs w:val="20"/>
                <w:color w:val="auto"/>
              </w:rPr>
            </w:pPr>
            <w:r>
              <w:rPr>
                <w:rFonts w:ascii="Arial" w:cs="Arial" w:eastAsia="Arial" w:hAnsi="Arial"/>
                <w:sz w:val="14"/>
                <w:szCs w:val="14"/>
                <w:b w:val="1"/>
                <w:bCs w:val="1"/>
                <w:color w:val="auto"/>
              </w:rPr>
              <w:t>2007</w:t>
            </w:r>
          </w:p>
        </w:tc>
        <w:tc>
          <w:tcPr>
            <w:tcW w:w="160" w:type="dxa"/>
            <w:vAlign w:val="bottom"/>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ind w:left="80"/>
              <w:spacing w:after="0"/>
              <w:rPr>
                <w:sz w:val="20"/>
                <w:szCs w:val="20"/>
                <w:color w:val="auto"/>
              </w:rPr>
            </w:pPr>
            <w:r>
              <w:rPr>
                <w:rFonts w:ascii="Arial" w:cs="Arial" w:eastAsia="Arial" w:hAnsi="Arial"/>
                <w:sz w:val="14"/>
                <w:szCs w:val="14"/>
                <w:b w:val="1"/>
                <w:bCs w:val="1"/>
                <w:color w:val="auto"/>
              </w:rPr>
              <w:t>2006</w:t>
            </w:r>
          </w:p>
        </w:tc>
        <w:tc>
          <w:tcPr>
            <w:tcW w:w="160" w:type="dxa"/>
            <w:vAlign w:val="bottom"/>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ind w:left="80"/>
              <w:spacing w:after="0"/>
              <w:rPr>
                <w:sz w:val="20"/>
                <w:szCs w:val="20"/>
                <w:color w:val="auto"/>
              </w:rPr>
            </w:pPr>
            <w:r>
              <w:rPr>
                <w:rFonts w:ascii="Arial" w:cs="Arial" w:eastAsia="Arial" w:hAnsi="Arial"/>
                <w:sz w:val="14"/>
                <w:szCs w:val="14"/>
                <w:b w:val="1"/>
                <w:bCs w:val="1"/>
                <w:color w:val="auto"/>
              </w:rPr>
              <w:t>2005</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3700" w:type="dxa"/>
            <w:vAlign w:val="bottom"/>
            <w:gridSpan w:val="2"/>
            <w:shd w:val="clear" w:color="auto" w:fill="CCEEFF"/>
          </w:tcPr>
          <w:p>
            <w:pPr>
              <w:spacing w:after="0" w:line="142" w:lineRule="exact"/>
              <w:rPr>
                <w:sz w:val="20"/>
                <w:szCs w:val="20"/>
                <w:color w:val="auto"/>
              </w:rPr>
            </w:pPr>
            <w:r>
              <w:rPr>
                <w:rFonts w:ascii="Arial" w:cs="Arial" w:eastAsia="Arial" w:hAnsi="Arial"/>
                <w:sz w:val="14"/>
                <w:szCs w:val="14"/>
                <w:i w:val="1"/>
                <w:iCs w:val="1"/>
                <w:color w:val="auto"/>
              </w:rPr>
              <w:t>Kittila Mine</w:t>
            </w:r>
          </w:p>
        </w:tc>
        <w:tc>
          <w:tcPr>
            <w:tcW w:w="8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700" w:type="dxa"/>
            <w:vAlign w:val="bottom"/>
            <w:gridSpan w:val="2"/>
          </w:tcPr>
          <w:p>
            <w:pPr>
              <w:spacing w:after="0" w:line="149" w:lineRule="exact"/>
              <w:rPr>
                <w:sz w:val="20"/>
                <w:szCs w:val="20"/>
                <w:color w:val="auto"/>
              </w:rPr>
            </w:pPr>
            <w:r>
              <w:rPr>
                <w:rFonts w:ascii="Arial" w:cs="Arial" w:eastAsia="Arial" w:hAnsi="Arial"/>
                <w:sz w:val="14"/>
                <w:szCs w:val="14"/>
                <w:color w:val="auto"/>
              </w:rPr>
              <w:t>Revenues from mining operations</w:t>
            </w:r>
          </w:p>
        </w:tc>
        <w:tc>
          <w:tcPr>
            <w:tcW w:w="980" w:type="dxa"/>
            <w:vAlign w:val="bottom"/>
            <w:gridSpan w:val="2"/>
          </w:tcPr>
          <w:p>
            <w:pPr>
              <w:jc w:val="right"/>
              <w:ind w:right="29"/>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61,457</w:t>
            </w:r>
          </w:p>
        </w:tc>
        <w:tc>
          <w:tcPr>
            <w:tcW w:w="80" w:type="dxa"/>
            <w:vAlign w:val="bottom"/>
          </w:tcPr>
          <w:p>
            <w:pPr>
              <w:spacing w:after="0"/>
              <w:rPr>
                <w:sz w:val="12"/>
                <w:szCs w:val="12"/>
                <w:color w:val="auto"/>
              </w:rPr>
            </w:pPr>
          </w:p>
        </w:tc>
        <w:tc>
          <w:tcPr>
            <w:tcW w:w="220" w:type="dxa"/>
            <w:vAlign w:val="bottom"/>
            <w:gridSpan w:val="2"/>
          </w:tcPr>
          <w:p>
            <w:pPr>
              <w:jc w:val="right"/>
              <w:ind w:right="29"/>
              <w:spacing w:after="0" w:line="149" w:lineRule="exact"/>
              <w:rPr>
                <w:sz w:val="20"/>
                <w:szCs w:val="20"/>
                <w:color w:val="auto"/>
              </w:rPr>
            </w:pPr>
            <w:r>
              <w:rPr>
                <w:rFonts w:ascii="Arial" w:cs="Arial" w:eastAsia="Arial" w:hAnsi="Arial"/>
                <w:sz w:val="14"/>
                <w:szCs w:val="14"/>
                <w:color w:val="auto"/>
              </w:rPr>
              <w:t>$</w:t>
            </w:r>
          </w:p>
        </w:tc>
        <w:tc>
          <w:tcPr>
            <w:tcW w:w="600" w:type="dxa"/>
            <w:vAlign w:val="bottom"/>
          </w:tcPr>
          <w:p>
            <w:pPr>
              <w:ind w:left="460"/>
              <w:spacing w:after="0" w:line="149" w:lineRule="exact"/>
              <w:rPr>
                <w:sz w:val="20"/>
                <w:szCs w:val="20"/>
                <w:color w:val="auto"/>
              </w:rPr>
            </w:pPr>
            <w:r>
              <w:rPr>
                <w:rFonts w:ascii="Arial" w:cs="Arial" w:eastAsia="Arial" w:hAnsi="Arial"/>
                <w:sz w:val="14"/>
                <w:szCs w:val="14"/>
                <w:color w:val="auto"/>
                <w:w w:val="85"/>
              </w:rPr>
              <w:t>—</w:t>
            </w:r>
          </w:p>
        </w:tc>
        <w:tc>
          <w:tcPr>
            <w:tcW w:w="320" w:type="dxa"/>
            <w:vAlign w:val="bottom"/>
            <w:gridSpan w:val="2"/>
          </w:tcPr>
          <w:p>
            <w:pPr>
              <w:jc w:val="right"/>
              <w:ind w:right="29"/>
              <w:spacing w:after="0" w:line="149" w:lineRule="exact"/>
              <w:rPr>
                <w:sz w:val="20"/>
                <w:szCs w:val="20"/>
                <w:color w:val="auto"/>
              </w:rPr>
            </w:pPr>
            <w:r>
              <w:rPr>
                <w:rFonts w:ascii="Arial" w:cs="Arial" w:eastAsia="Arial" w:hAnsi="Arial"/>
                <w:sz w:val="14"/>
                <w:szCs w:val="14"/>
                <w:color w:val="auto"/>
              </w:rPr>
              <w:t>$</w:t>
            </w:r>
          </w:p>
        </w:tc>
        <w:tc>
          <w:tcPr>
            <w:tcW w:w="600" w:type="dxa"/>
            <w:vAlign w:val="bottom"/>
          </w:tcPr>
          <w:p>
            <w:pPr>
              <w:ind w:left="460"/>
              <w:spacing w:after="0" w:line="149" w:lineRule="exact"/>
              <w:rPr>
                <w:sz w:val="20"/>
                <w:szCs w:val="20"/>
                <w:color w:val="auto"/>
              </w:rPr>
            </w:pPr>
            <w:r>
              <w:rPr>
                <w:rFonts w:ascii="Arial" w:cs="Arial" w:eastAsia="Arial" w:hAnsi="Arial"/>
                <w:sz w:val="14"/>
                <w:szCs w:val="14"/>
                <w:color w:val="auto"/>
                <w:w w:val="85"/>
              </w:rPr>
              <w:t>—</w:t>
            </w:r>
          </w:p>
        </w:tc>
        <w:tc>
          <w:tcPr>
            <w:tcW w:w="320" w:type="dxa"/>
            <w:vAlign w:val="bottom"/>
            <w:gridSpan w:val="2"/>
          </w:tcPr>
          <w:p>
            <w:pPr>
              <w:jc w:val="right"/>
              <w:ind w:right="12"/>
              <w:spacing w:after="0" w:line="149" w:lineRule="exact"/>
              <w:rPr>
                <w:sz w:val="20"/>
                <w:szCs w:val="20"/>
                <w:color w:val="auto"/>
              </w:rPr>
            </w:pPr>
            <w:r>
              <w:rPr>
                <w:rFonts w:ascii="Arial" w:cs="Arial" w:eastAsia="Arial" w:hAnsi="Arial"/>
                <w:sz w:val="14"/>
                <w:szCs w:val="14"/>
                <w:color w:val="auto"/>
              </w:rPr>
              <w:t>$</w:t>
            </w:r>
          </w:p>
        </w:tc>
        <w:tc>
          <w:tcPr>
            <w:tcW w:w="600" w:type="dxa"/>
            <w:vAlign w:val="bottom"/>
          </w:tcPr>
          <w:p>
            <w:pPr>
              <w:ind w:left="460"/>
              <w:spacing w:after="0" w:line="149" w:lineRule="exact"/>
              <w:rPr>
                <w:sz w:val="20"/>
                <w:szCs w:val="20"/>
                <w:color w:val="auto"/>
              </w:rPr>
            </w:pPr>
            <w:r>
              <w:rPr>
                <w:rFonts w:ascii="Arial" w:cs="Arial" w:eastAsia="Arial" w:hAnsi="Arial"/>
                <w:sz w:val="14"/>
                <w:szCs w:val="14"/>
                <w:color w:val="auto"/>
                <w:w w:val="85"/>
              </w:rPr>
              <w:t>—</w:t>
            </w:r>
          </w:p>
        </w:tc>
        <w:tc>
          <w:tcPr>
            <w:tcW w:w="320" w:type="dxa"/>
            <w:vAlign w:val="bottom"/>
            <w:gridSpan w:val="2"/>
          </w:tcPr>
          <w:p>
            <w:pPr>
              <w:jc w:val="right"/>
              <w:ind w:right="12"/>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tcPr>
          <w:p>
            <w:pPr>
              <w:ind w:left="4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7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Production costs</w:t>
            </w:r>
          </w:p>
        </w:tc>
        <w:tc>
          <w:tcPr>
            <w:tcW w:w="8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42,464</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00" w:type="dxa"/>
            <w:vAlign w:val="bottom"/>
            <w:shd w:val="clear" w:color="auto" w:fill="CCEEFF"/>
          </w:tcPr>
          <w:p>
            <w:pPr>
              <w:ind w:left="460"/>
              <w:spacing w:after="0" w:line="149" w:lineRule="exact"/>
              <w:rPr>
                <w:sz w:val="20"/>
                <w:szCs w:val="20"/>
                <w:color w:val="auto"/>
              </w:rPr>
            </w:pPr>
            <w:r>
              <w:rPr>
                <w:rFonts w:ascii="Arial" w:cs="Arial" w:eastAsia="Arial" w:hAnsi="Arial"/>
                <w:sz w:val="14"/>
                <w:szCs w:val="14"/>
                <w:color w:val="auto"/>
                <w:w w:val="85"/>
              </w:rPr>
              <w:t>—</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00" w:type="dxa"/>
            <w:vAlign w:val="bottom"/>
            <w:shd w:val="clear" w:color="auto" w:fill="CCEEFF"/>
          </w:tcPr>
          <w:p>
            <w:pPr>
              <w:ind w:left="460"/>
              <w:spacing w:after="0" w:line="149" w:lineRule="exact"/>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00" w:type="dxa"/>
            <w:vAlign w:val="bottom"/>
            <w:shd w:val="clear" w:color="auto" w:fill="CCEEFF"/>
          </w:tcPr>
          <w:p>
            <w:pPr>
              <w:ind w:left="460"/>
              <w:spacing w:after="0" w:line="149" w:lineRule="exact"/>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ind w:left="4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7"/>
        </w:trPr>
        <w:tc>
          <w:tcPr>
            <w:tcW w:w="3720" w:type="dxa"/>
            <w:vAlign w:val="bottom"/>
            <w:gridSpan w:val="3"/>
            <w:vMerge w:val="restart"/>
          </w:tcPr>
          <w:p>
            <w:pPr>
              <w:spacing w:after="0"/>
              <w:rPr>
                <w:sz w:val="20"/>
                <w:szCs w:val="20"/>
                <w:color w:val="auto"/>
              </w:rPr>
            </w:pPr>
            <w:r>
              <w:rPr>
                <w:rFonts w:ascii="Arial" w:cs="Arial" w:eastAsia="Arial" w:hAnsi="Arial"/>
                <w:sz w:val="14"/>
                <w:szCs w:val="14"/>
                <w:color w:val="auto"/>
              </w:rPr>
              <w:t>Gross profit (exclusive of amortization shown below)</w:t>
            </w:r>
          </w:p>
        </w:tc>
        <w:tc>
          <w:tcPr>
            <w:tcW w:w="980" w:type="dxa"/>
            <w:vAlign w:val="bottom"/>
            <w:gridSpan w:val="2"/>
          </w:tcPr>
          <w:p>
            <w:pPr>
              <w:spacing w:after="0"/>
              <w:rPr>
                <w:sz w:val="2"/>
                <w:szCs w:val="2"/>
                <w:color w:val="auto"/>
              </w:rPr>
            </w:pPr>
          </w:p>
        </w:tc>
        <w:tc>
          <w:tcPr>
            <w:tcW w:w="620" w:type="dxa"/>
            <w:vAlign w:val="bottom"/>
          </w:tcPr>
          <w:p>
            <w:pPr>
              <w:spacing w:after="0"/>
              <w:rPr>
                <w:sz w:val="2"/>
                <w:szCs w:val="2"/>
                <w:color w:val="auto"/>
              </w:rPr>
            </w:pPr>
          </w:p>
        </w:tc>
        <w:tc>
          <w:tcPr>
            <w:tcW w:w="80" w:type="dxa"/>
            <w:vAlign w:val="bottom"/>
          </w:tcPr>
          <w:p>
            <w:pPr>
              <w:spacing w:after="0"/>
              <w:rPr>
                <w:sz w:val="2"/>
                <w:szCs w:val="2"/>
                <w:color w:val="auto"/>
              </w:rPr>
            </w:pPr>
          </w:p>
        </w:tc>
        <w:tc>
          <w:tcPr>
            <w:tcW w:w="220" w:type="dxa"/>
            <w:vAlign w:val="bottom"/>
            <w:gridSpan w:val="2"/>
          </w:tcPr>
          <w:p>
            <w:pPr>
              <w:spacing w:after="0"/>
              <w:rPr>
                <w:sz w:val="2"/>
                <w:szCs w:val="2"/>
                <w:color w:val="auto"/>
              </w:rPr>
            </w:pPr>
          </w:p>
        </w:tc>
        <w:tc>
          <w:tcPr>
            <w:tcW w:w="600" w:type="dxa"/>
            <w:vAlign w:val="bottom"/>
          </w:tcPr>
          <w:p>
            <w:pPr>
              <w:spacing w:after="0"/>
              <w:rPr>
                <w:sz w:val="2"/>
                <w:szCs w:val="2"/>
                <w:color w:val="auto"/>
              </w:rPr>
            </w:pPr>
          </w:p>
        </w:tc>
        <w:tc>
          <w:tcPr>
            <w:tcW w:w="320" w:type="dxa"/>
            <w:vAlign w:val="bottom"/>
            <w:gridSpan w:val="2"/>
          </w:tcPr>
          <w:p>
            <w:pPr>
              <w:spacing w:after="0"/>
              <w:rPr>
                <w:sz w:val="2"/>
                <w:szCs w:val="2"/>
                <w:color w:val="auto"/>
              </w:rPr>
            </w:pPr>
          </w:p>
        </w:tc>
        <w:tc>
          <w:tcPr>
            <w:tcW w:w="600" w:type="dxa"/>
            <w:vAlign w:val="bottom"/>
          </w:tcPr>
          <w:p>
            <w:pPr>
              <w:spacing w:after="0"/>
              <w:rPr>
                <w:sz w:val="2"/>
                <w:szCs w:val="2"/>
                <w:color w:val="auto"/>
              </w:rPr>
            </w:pPr>
          </w:p>
        </w:tc>
        <w:tc>
          <w:tcPr>
            <w:tcW w:w="320" w:type="dxa"/>
            <w:vAlign w:val="bottom"/>
            <w:gridSpan w:val="2"/>
          </w:tcPr>
          <w:p>
            <w:pPr>
              <w:spacing w:after="0"/>
              <w:rPr>
                <w:sz w:val="2"/>
                <w:szCs w:val="2"/>
                <w:color w:val="auto"/>
              </w:rPr>
            </w:pPr>
          </w:p>
        </w:tc>
        <w:tc>
          <w:tcPr>
            <w:tcW w:w="600" w:type="dxa"/>
            <w:vAlign w:val="bottom"/>
          </w:tcPr>
          <w:p>
            <w:pPr>
              <w:spacing w:after="0"/>
              <w:rPr>
                <w:sz w:val="2"/>
                <w:szCs w:val="2"/>
                <w:color w:val="auto"/>
              </w:rPr>
            </w:pPr>
          </w:p>
        </w:tc>
        <w:tc>
          <w:tcPr>
            <w:tcW w:w="320" w:type="dxa"/>
            <w:vAlign w:val="bottom"/>
            <w:gridSpan w:val="2"/>
          </w:tcPr>
          <w:p>
            <w:pPr>
              <w:spacing w:after="0"/>
              <w:rPr>
                <w:sz w:val="2"/>
                <w:szCs w:val="2"/>
                <w:color w:val="auto"/>
              </w:rPr>
            </w:pPr>
          </w:p>
        </w:tc>
        <w:tc>
          <w:tcPr>
            <w:tcW w:w="760" w:type="dxa"/>
            <w:vAlign w:val="bottom"/>
            <w:gridSpan w:val="2"/>
          </w:tcPr>
          <w:p>
            <w:pPr>
              <w:spacing w:after="0"/>
              <w:rPr>
                <w:sz w:val="2"/>
                <w:szCs w:val="2"/>
                <w:color w:val="auto"/>
              </w:rPr>
            </w:pPr>
          </w:p>
        </w:tc>
        <w:tc>
          <w:tcPr>
            <w:tcW w:w="0" w:type="dxa"/>
            <w:vAlign w:val="bottom"/>
          </w:tcPr>
          <w:p>
            <w:pPr>
              <w:spacing w:after="0"/>
              <w:rPr>
                <w:sz w:val="1"/>
                <w:szCs w:val="1"/>
                <w:color w:val="auto"/>
              </w:rPr>
            </w:pPr>
          </w:p>
        </w:tc>
      </w:tr>
      <w:tr>
        <w:trPr>
          <w:trHeight w:val="142"/>
        </w:trPr>
        <w:tc>
          <w:tcPr>
            <w:tcW w:w="3720" w:type="dxa"/>
            <w:vAlign w:val="bottom"/>
            <w:gridSpan w:val="3"/>
            <w:vMerge w:val="continue"/>
          </w:tcPr>
          <w:p>
            <w:pPr>
              <w:spacing w:after="0"/>
              <w:rPr>
                <w:sz w:val="12"/>
                <w:szCs w:val="12"/>
                <w:color w:val="auto"/>
              </w:rPr>
            </w:pPr>
          </w:p>
        </w:tc>
        <w:tc>
          <w:tcPr>
            <w:tcW w:w="840" w:type="dxa"/>
            <w:vAlign w:val="bottom"/>
          </w:tcPr>
          <w:p>
            <w:pPr>
              <w:spacing w:after="0"/>
              <w:rPr>
                <w:sz w:val="12"/>
                <w:szCs w:val="12"/>
                <w:color w:val="auto"/>
              </w:rPr>
            </w:pPr>
          </w:p>
        </w:tc>
        <w:tc>
          <w:tcPr>
            <w:tcW w:w="140" w:type="dxa"/>
            <w:vAlign w:val="bottom"/>
            <w:tcBorders>
              <w:top w:val="single" w:sz="8" w:color="auto"/>
            </w:tcBorders>
          </w:tcPr>
          <w:p>
            <w:pPr>
              <w:jc w:val="right"/>
              <w:ind w:right="29"/>
              <w:spacing w:after="0"/>
              <w:rPr>
                <w:sz w:val="20"/>
                <w:szCs w:val="20"/>
                <w:color w:val="auto"/>
              </w:rPr>
            </w:pPr>
            <w:r>
              <w:rPr>
                <w:rFonts w:ascii="Arial" w:cs="Arial" w:eastAsia="Arial" w:hAnsi="Arial"/>
                <w:sz w:val="10"/>
                <w:szCs w:val="10"/>
                <w:color w:val="auto"/>
                <w:w w:val="71"/>
              </w:rPr>
              <w:t>$</w:t>
            </w:r>
          </w:p>
        </w:tc>
        <w:tc>
          <w:tcPr>
            <w:tcW w:w="62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color w:val="auto"/>
              </w:rPr>
              <w:t>18,993</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Borders>
              <w:top w:val="single" w:sz="8" w:color="auto"/>
            </w:tcBorders>
          </w:tcPr>
          <w:p>
            <w:pPr>
              <w:jc w:val="right"/>
              <w:ind w:right="29"/>
              <w:spacing w:after="0"/>
              <w:rPr>
                <w:sz w:val="20"/>
                <w:szCs w:val="20"/>
                <w:color w:val="auto"/>
              </w:rPr>
            </w:pPr>
            <w:r>
              <w:rPr>
                <w:rFonts w:ascii="Arial" w:cs="Arial" w:eastAsia="Arial" w:hAnsi="Arial"/>
                <w:sz w:val="10"/>
                <w:szCs w:val="10"/>
                <w:color w:val="auto"/>
                <w:w w:val="71"/>
              </w:rPr>
              <w:t>$</w:t>
            </w:r>
          </w:p>
        </w:tc>
        <w:tc>
          <w:tcPr>
            <w:tcW w:w="600" w:type="dxa"/>
            <w:vAlign w:val="bottom"/>
            <w:tcBorders>
              <w:top w:val="single" w:sz="8" w:color="auto"/>
            </w:tcBorders>
          </w:tcPr>
          <w:p>
            <w:pPr>
              <w:ind w:left="460"/>
              <w:spacing w:after="0" w:line="142" w:lineRule="exact"/>
              <w:rPr>
                <w:sz w:val="20"/>
                <w:szCs w:val="20"/>
                <w:color w:val="auto"/>
              </w:rPr>
            </w:pPr>
            <w:r>
              <w:rPr>
                <w:rFonts w:ascii="Arial" w:cs="Arial" w:eastAsia="Arial" w:hAnsi="Arial"/>
                <w:sz w:val="14"/>
                <w:szCs w:val="14"/>
                <w:color w:val="auto"/>
                <w:w w:val="85"/>
              </w:rPr>
              <w:t>—</w:t>
            </w:r>
          </w:p>
        </w:tc>
        <w:tc>
          <w:tcPr>
            <w:tcW w:w="180" w:type="dxa"/>
            <w:vAlign w:val="bottom"/>
          </w:tcPr>
          <w:p>
            <w:pPr>
              <w:spacing w:after="0"/>
              <w:rPr>
                <w:sz w:val="12"/>
                <w:szCs w:val="12"/>
                <w:color w:val="auto"/>
              </w:rPr>
            </w:pPr>
          </w:p>
        </w:tc>
        <w:tc>
          <w:tcPr>
            <w:tcW w:w="140" w:type="dxa"/>
            <w:vAlign w:val="bottom"/>
            <w:tcBorders>
              <w:top w:val="single" w:sz="8" w:color="auto"/>
            </w:tcBorders>
          </w:tcPr>
          <w:p>
            <w:pPr>
              <w:jc w:val="right"/>
              <w:ind w:right="29"/>
              <w:spacing w:after="0"/>
              <w:rPr>
                <w:sz w:val="20"/>
                <w:szCs w:val="20"/>
                <w:color w:val="auto"/>
              </w:rPr>
            </w:pPr>
            <w:r>
              <w:rPr>
                <w:rFonts w:ascii="Arial" w:cs="Arial" w:eastAsia="Arial" w:hAnsi="Arial"/>
                <w:sz w:val="10"/>
                <w:szCs w:val="10"/>
                <w:color w:val="auto"/>
                <w:w w:val="71"/>
              </w:rPr>
              <w:t>$</w:t>
            </w:r>
          </w:p>
        </w:tc>
        <w:tc>
          <w:tcPr>
            <w:tcW w:w="600" w:type="dxa"/>
            <w:vAlign w:val="bottom"/>
            <w:tcBorders>
              <w:top w:val="single" w:sz="8" w:color="auto"/>
            </w:tcBorders>
          </w:tcPr>
          <w:p>
            <w:pPr>
              <w:ind w:left="460"/>
              <w:spacing w:after="0" w:line="142" w:lineRule="exact"/>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2"/>
                <w:szCs w:val="12"/>
                <w:color w:val="auto"/>
              </w:rPr>
            </w:pPr>
          </w:p>
        </w:tc>
        <w:tc>
          <w:tcPr>
            <w:tcW w:w="160" w:type="dxa"/>
            <w:vAlign w:val="bottom"/>
            <w:tcBorders>
              <w:top w:val="single" w:sz="8" w:color="auto"/>
            </w:tcBorders>
          </w:tcPr>
          <w:p>
            <w:pPr>
              <w:jc w:val="right"/>
              <w:ind w:right="12"/>
              <w:spacing w:after="0" w:line="142" w:lineRule="exact"/>
              <w:rPr>
                <w:sz w:val="20"/>
                <w:szCs w:val="20"/>
                <w:color w:val="auto"/>
              </w:rPr>
            </w:pPr>
            <w:r>
              <w:rPr>
                <w:rFonts w:ascii="Arial" w:cs="Arial" w:eastAsia="Arial" w:hAnsi="Arial"/>
                <w:sz w:val="14"/>
                <w:szCs w:val="14"/>
                <w:color w:val="auto"/>
                <w:w w:val="76"/>
              </w:rPr>
              <w:t>$</w:t>
            </w:r>
          </w:p>
        </w:tc>
        <w:tc>
          <w:tcPr>
            <w:tcW w:w="600" w:type="dxa"/>
            <w:vAlign w:val="bottom"/>
            <w:tcBorders>
              <w:top w:val="single" w:sz="8" w:color="auto"/>
            </w:tcBorders>
          </w:tcPr>
          <w:p>
            <w:pPr>
              <w:ind w:left="460"/>
              <w:spacing w:after="0" w:line="142" w:lineRule="exact"/>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2"/>
                <w:szCs w:val="12"/>
                <w:color w:val="auto"/>
              </w:rPr>
            </w:pPr>
          </w:p>
        </w:tc>
        <w:tc>
          <w:tcPr>
            <w:tcW w:w="160" w:type="dxa"/>
            <w:vAlign w:val="bottom"/>
            <w:tcBorders>
              <w:top w:val="single" w:sz="8" w:color="auto"/>
            </w:tcBorders>
          </w:tcPr>
          <w:p>
            <w:pPr>
              <w:jc w:val="right"/>
              <w:ind w:right="12"/>
              <w:spacing w:after="0" w:line="142" w:lineRule="exact"/>
              <w:rPr>
                <w:sz w:val="20"/>
                <w:szCs w:val="20"/>
                <w:color w:val="auto"/>
              </w:rPr>
            </w:pPr>
            <w:r>
              <w:rPr>
                <w:rFonts w:ascii="Arial" w:cs="Arial" w:eastAsia="Arial" w:hAnsi="Arial"/>
                <w:sz w:val="14"/>
                <w:szCs w:val="14"/>
                <w:color w:val="auto"/>
                <w:w w:val="76"/>
              </w:rPr>
              <w:t>$</w:t>
            </w:r>
          </w:p>
        </w:tc>
        <w:tc>
          <w:tcPr>
            <w:tcW w:w="600" w:type="dxa"/>
            <w:vAlign w:val="bottom"/>
            <w:tcBorders>
              <w:top w:val="single" w:sz="8" w:color="auto"/>
            </w:tcBorders>
          </w:tcPr>
          <w:p>
            <w:pPr>
              <w:ind w:left="460"/>
              <w:spacing w:after="0" w:line="142" w:lineRule="exact"/>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7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Amortization</w:t>
            </w:r>
          </w:p>
        </w:tc>
        <w:tc>
          <w:tcPr>
            <w:tcW w:w="8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10,909</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00" w:type="dxa"/>
            <w:vAlign w:val="bottom"/>
            <w:shd w:val="clear" w:color="auto" w:fill="CCEEFF"/>
          </w:tcPr>
          <w:p>
            <w:pPr>
              <w:ind w:left="460"/>
              <w:spacing w:after="0" w:line="149" w:lineRule="exact"/>
              <w:rPr>
                <w:sz w:val="20"/>
                <w:szCs w:val="20"/>
                <w:color w:val="auto"/>
              </w:rPr>
            </w:pPr>
            <w:r>
              <w:rPr>
                <w:rFonts w:ascii="Arial" w:cs="Arial" w:eastAsia="Arial" w:hAnsi="Arial"/>
                <w:sz w:val="14"/>
                <w:szCs w:val="14"/>
                <w:color w:val="auto"/>
                <w:w w:val="85"/>
              </w:rPr>
              <w:t>—</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00" w:type="dxa"/>
            <w:vAlign w:val="bottom"/>
            <w:shd w:val="clear" w:color="auto" w:fill="CCEEFF"/>
          </w:tcPr>
          <w:p>
            <w:pPr>
              <w:ind w:left="460"/>
              <w:spacing w:after="0" w:line="149" w:lineRule="exact"/>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00" w:type="dxa"/>
            <w:vAlign w:val="bottom"/>
            <w:shd w:val="clear" w:color="auto" w:fill="CCEEFF"/>
          </w:tcPr>
          <w:p>
            <w:pPr>
              <w:ind w:left="460"/>
              <w:spacing w:after="0" w:line="149" w:lineRule="exact"/>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ind w:left="4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7"/>
        </w:trPr>
        <w:tc>
          <w:tcPr>
            <w:tcW w:w="3720" w:type="dxa"/>
            <w:vAlign w:val="bottom"/>
            <w:gridSpan w:val="3"/>
            <w:vMerge w:val="restart"/>
          </w:tcPr>
          <w:p>
            <w:pPr>
              <w:spacing w:after="0"/>
              <w:rPr>
                <w:sz w:val="20"/>
                <w:szCs w:val="20"/>
                <w:color w:val="auto"/>
              </w:rPr>
            </w:pPr>
            <w:r>
              <w:rPr>
                <w:rFonts w:ascii="Arial" w:cs="Arial" w:eastAsia="Arial" w:hAnsi="Arial"/>
                <w:sz w:val="14"/>
                <w:szCs w:val="14"/>
                <w:color w:val="auto"/>
              </w:rPr>
              <w:t>Gross profit</w:t>
            </w:r>
          </w:p>
        </w:tc>
        <w:tc>
          <w:tcPr>
            <w:tcW w:w="980" w:type="dxa"/>
            <w:vAlign w:val="bottom"/>
            <w:gridSpan w:val="2"/>
          </w:tcPr>
          <w:p>
            <w:pPr>
              <w:spacing w:after="0"/>
              <w:rPr>
                <w:sz w:val="2"/>
                <w:szCs w:val="2"/>
                <w:color w:val="auto"/>
              </w:rPr>
            </w:pPr>
          </w:p>
        </w:tc>
        <w:tc>
          <w:tcPr>
            <w:tcW w:w="620" w:type="dxa"/>
            <w:vAlign w:val="bottom"/>
          </w:tcPr>
          <w:p>
            <w:pPr>
              <w:spacing w:after="0"/>
              <w:rPr>
                <w:sz w:val="2"/>
                <w:szCs w:val="2"/>
                <w:color w:val="auto"/>
              </w:rPr>
            </w:pPr>
          </w:p>
        </w:tc>
        <w:tc>
          <w:tcPr>
            <w:tcW w:w="80" w:type="dxa"/>
            <w:vAlign w:val="bottom"/>
          </w:tcPr>
          <w:p>
            <w:pPr>
              <w:spacing w:after="0"/>
              <w:rPr>
                <w:sz w:val="2"/>
                <w:szCs w:val="2"/>
                <w:color w:val="auto"/>
              </w:rPr>
            </w:pPr>
          </w:p>
        </w:tc>
        <w:tc>
          <w:tcPr>
            <w:tcW w:w="220" w:type="dxa"/>
            <w:vAlign w:val="bottom"/>
            <w:gridSpan w:val="2"/>
          </w:tcPr>
          <w:p>
            <w:pPr>
              <w:spacing w:after="0"/>
              <w:rPr>
                <w:sz w:val="2"/>
                <w:szCs w:val="2"/>
                <w:color w:val="auto"/>
              </w:rPr>
            </w:pPr>
          </w:p>
        </w:tc>
        <w:tc>
          <w:tcPr>
            <w:tcW w:w="600" w:type="dxa"/>
            <w:vAlign w:val="bottom"/>
          </w:tcPr>
          <w:p>
            <w:pPr>
              <w:spacing w:after="0"/>
              <w:rPr>
                <w:sz w:val="2"/>
                <w:szCs w:val="2"/>
                <w:color w:val="auto"/>
              </w:rPr>
            </w:pPr>
          </w:p>
        </w:tc>
        <w:tc>
          <w:tcPr>
            <w:tcW w:w="320" w:type="dxa"/>
            <w:vAlign w:val="bottom"/>
            <w:gridSpan w:val="2"/>
          </w:tcPr>
          <w:p>
            <w:pPr>
              <w:spacing w:after="0"/>
              <w:rPr>
                <w:sz w:val="2"/>
                <w:szCs w:val="2"/>
                <w:color w:val="auto"/>
              </w:rPr>
            </w:pPr>
          </w:p>
        </w:tc>
        <w:tc>
          <w:tcPr>
            <w:tcW w:w="600" w:type="dxa"/>
            <w:vAlign w:val="bottom"/>
          </w:tcPr>
          <w:p>
            <w:pPr>
              <w:spacing w:after="0"/>
              <w:rPr>
                <w:sz w:val="2"/>
                <w:szCs w:val="2"/>
                <w:color w:val="auto"/>
              </w:rPr>
            </w:pPr>
          </w:p>
        </w:tc>
        <w:tc>
          <w:tcPr>
            <w:tcW w:w="320" w:type="dxa"/>
            <w:vAlign w:val="bottom"/>
            <w:gridSpan w:val="2"/>
          </w:tcPr>
          <w:p>
            <w:pPr>
              <w:spacing w:after="0"/>
              <w:rPr>
                <w:sz w:val="2"/>
                <w:szCs w:val="2"/>
                <w:color w:val="auto"/>
              </w:rPr>
            </w:pPr>
          </w:p>
        </w:tc>
        <w:tc>
          <w:tcPr>
            <w:tcW w:w="600" w:type="dxa"/>
            <w:vAlign w:val="bottom"/>
          </w:tcPr>
          <w:p>
            <w:pPr>
              <w:spacing w:after="0"/>
              <w:rPr>
                <w:sz w:val="2"/>
                <w:szCs w:val="2"/>
                <w:color w:val="auto"/>
              </w:rPr>
            </w:pPr>
          </w:p>
        </w:tc>
        <w:tc>
          <w:tcPr>
            <w:tcW w:w="320" w:type="dxa"/>
            <w:vAlign w:val="bottom"/>
            <w:gridSpan w:val="2"/>
          </w:tcPr>
          <w:p>
            <w:pPr>
              <w:spacing w:after="0"/>
              <w:rPr>
                <w:sz w:val="2"/>
                <w:szCs w:val="2"/>
                <w:color w:val="auto"/>
              </w:rPr>
            </w:pPr>
          </w:p>
        </w:tc>
        <w:tc>
          <w:tcPr>
            <w:tcW w:w="760" w:type="dxa"/>
            <w:vAlign w:val="bottom"/>
            <w:gridSpan w:val="2"/>
          </w:tcPr>
          <w:p>
            <w:pPr>
              <w:spacing w:after="0"/>
              <w:rPr>
                <w:sz w:val="2"/>
                <w:szCs w:val="2"/>
                <w:color w:val="auto"/>
              </w:rPr>
            </w:pPr>
          </w:p>
        </w:tc>
        <w:tc>
          <w:tcPr>
            <w:tcW w:w="0" w:type="dxa"/>
            <w:vAlign w:val="bottom"/>
          </w:tcPr>
          <w:p>
            <w:pPr>
              <w:spacing w:after="0"/>
              <w:rPr>
                <w:sz w:val="1"/>
                <w:szCs w:val="1"/>
                <w:color w:val="auto"/>
              </w:rPr>
            </w:pPr>
          </w:p>
        </w:tc>
      </w:tr>
      <w:tr>
        <w:trPr>
          <w:trHeight w:val="167"/>
        </w:trPr>
        <w:tc>
          <w:tcPr>
            <w:tcW w:w="3720" w:type="dxa"/>
            <w:vAlign w:val="bottom"/>
            <w:gridSpan w:val="3"/>
            <w:vMerge w:val="continue"/>
          </w:tcPr>
          <w:p>
            <w:pPr>
              <w:spacing w:after="0"/>
              <w:rPr>
                <w:sz w:val="14"/>
                <w:szCs w:val="14"/>
                <w:color w:val="auto"/>
              </w:rPr>
            </w:pPr>
          </w:p>
        </w:tc>
        <w:tc>
          <w:tcPr>
            <w:tcW w:w="840" w:type="dxa"/>
            <w:vAlign w:val="bottom"/>
          </w:tcPr>
          <w:p>
            <w:pPr>
              <w:spacing w:after="0"/>
              <w:rPr>
                <w:sz w:val="14"/>
                <w:szCs w:val="14"/>
                <w:color w:val="auto"/>
              </w:rPr>
            </w:pPr>
          </w:p>
        </w:tc>
        <w:tc>
          <w:tcPr>
            <w:tcW w:w="140" w:type="dxa"/>
            <w:vAlign w:val="bottom"/>
            <w:tcBorders>
              <w:top w:val="single" w:sz="8" w:color="auto"/>
              <w:bottom w:val="single" w:sz="8" w:color="auto"/>
            </w:tcBorders>
          </w:tcPr>
          <w:p>
            <w:pPr>
              <w:jc w:val="right"/>
              <w:ind w:right="29"/>
              <w:spacing w:after="0"/>
              <w:rPr>
                <w:sz w:val="20"/>
                <w:szCs w:val="20"/>
                <w:color w:val="auto"/>
              </w:rPr>
            </w:pPr>
            <w:r>
              <w:rPr>
                <w:rFonts w:ascii="Arial" w:cs="Arial" w:eastAsia="Arial" w:hAnsi="Arial"/>
                <w:sz w:val="10"/>
                <w:szCs w:val="10"/>
                <w:color w:val="auto"/>
                <w:w w:val="71"/>
              </w:rPr>
              <w:t>$</w:t>
            </w: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8,084</w:t>
            </w: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40" w:type="dxa"/>
            <w:vAlign w:val="bottom"/>
            <w:tcBorders>
              <w:top w:val="single" w:sz="8" w:color="auto"/>
              <w:bottom w:val="single" w:sz="8" w:color="auto"/>
            </w:tcBorders>
          </w:tcPr>
          <w:p>
            <w:pPr>
              <w:jc w:val="right"/>
              <w:ind w:right="29"/>
              <w:spacing w:after="0"/>
              <w:rPr>
                <w:sz w:val="20"/>
                <w:szCs w:val="20"/>
                <w:color w:val="auto"/>
              </w:rPr>
            </w:pPr>
            <w:r>
              <w:rPr>
                <w:rFonts w:ascii="Arial" w:cs="Arial" w:eastAsia="Arial" w:hAnsi="Arial"/>
                <w:sz w:val="10"/>
                <w:szCs w:val="10"/>
                <w:color w:val="auto"/>
                <w:w w:val="71"/>
              </w:rPr>
              <w:t>$</w:t>
            </w:r>
          </w:p>
        </w:tc>
        <w:tc>
          <w:tcPr>
            <w:tcW w:w="600" w:type="dxa"/>
            <w:vAlign w:val="bottom"/>
            <w:tcBorders>
              <w:top w:val="single" w:sz="8" w:color="auto"/>
              <w:bottom w:val="single" w:sz="8" w:color="auto"/>
            </w:tcBorders>
          </w:tcPr>
          <w:p>
            <w:pPr>
              <w:ind w:left="460"/>
              <w:spacing w:after="0"/>
              <w:rPr>
                <w:sz w:val="20"/>
                <w:szCs w:val="20"/>
                <w:color w:val="auto"/>
              </w:rPr>
            </w:pPr>
            <w:r>
              <w:rPr>
                <w:rFonts w:ascii="Arial" w:cs="Arial" w:eastAsia="Arial" w:hAnsi="Arial"/>
                <w:sz w:val="14"/>
                <w:szCs w:val="14"/>
                <w:color w:val="auto"/>
                <w:w w:val="85"/>
              </w:rPr>
              <w:t>—</w:t>
            </w:r>
          </w:p>
        </w:tc>
        <w:tc>
          <w:tcPr>
            <w:tcW w:w="180" w:type="dxa"/>
            <w:vAlign w:val="bottom"/>
          </w:tcPr>
          <w:p>
            <w:pPr>
              <w:spacing w:after="0"/>
              <w:rPr>
                <w:sz w:val="14"/>
                <w:szCs w:val="14"/>
                <w:color w:val="auto"/>
              </w:rPr>
            </w:pPr>
          </w:p>
        </w:tc>
        <w:tc>
          <w:tcPr>
            <w:tcW w:w="140" w:type="dxa"/>
            <w:vAlign w:val="bottom"/>
            <w:tcBorders>
              <w:top w:val="single" w:sz="8" w:color="auto"/>
              <w:bottom w:val="single" w:sz="8" w:color="auto"/>
            </w:tcBorders>
          </w:tcPr>
          <w:p>
            <w:pPr>
              <w:jc w:val="right"/>
              <w:ind w:right="29"/>
              <w:spacing w:after="0"/>
              <w:rPr>
                <w:sz w:val="20"/>
                <w:szCs w:val="20"/>
                <w:color w:val="auto"/>
              </w:rPr>
            </w:pPr>
            <w:r>
              <w:rPr>
                <w:rFonts w:ascii="Arial" w:cs="Arial" w:eastAsia="Arial" w:hAnsi="Arial"/>
                <w:sz w:val="10"/>
                <w:szCs w:val="10"/>
                <w:color w:val="auto"/>
                <w:w w:val="71"/>
              </w:rPr>
              <w:t>$</w:t>
            </w:r>
          </w:p>
        </w:tc>
        <w:tc>
          <w:tcPr>
            <w:tcW w:w="600" w:type="dxa"/>
            <w:vAlign w:val="bottom"/>
            <w:tcBorders>
              <w:top w:val="single" w:sz="8" w:color="auto"/>
              <w:bottom w:val="single" w:sz="8" w:color="auto"/>
            </w:tcBorders>
          </w:tcPr>
          <w:p>
            <w:pPr>
              <w:ind w:left="460"/>
              <w:spacing w:after="0"/>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4"/>
                <w:szCs w:val="14"/>
                <w:color w:val="auto"/>
              </w:rPr>
            </w:pPr>
          </w:p>
        </w:tc>
        <w:tc>
          <w:tcPr>
            <w:tcW w:w="160" w:type="dxa"/>
            <w:vAlign w:val="bottom"/>
            <w:tcBorders>
              <w:top w:val="single" w:sz="8" w:color="auto"/>
              <w:bottom w:val="single" w:sz="8" w:color="auto"/>
            </w:tcBorders>
          </w:tcPr>
          <w:p>
            <w:pPr>
              <w:jc w:val="right"/>
              <w:ind w:right="12"/>
              <w:spacing w:after="0"/>
              <w:rPr>
                <w:sz w:val="20"/>
                <w:szCs w:val="20"/>
                <w:color w:val="auto"/>
              </w:rPr>
            </w:pPr>
            <w:r>
              <w:rPr>
                <w:rFonts w:ascii="Arial" w:cs="Arial" w:eastAsia="Arial" w:hAnsi="Arial"/>
                <w:sz w:val="14"/>
                <w:szCs w:val="14"/>
                <w:color w:val="auto"/>
                <w:w w:val="76"/>
              </w:rPr>
              <w:t>$</w:t>
            </w:r>
          </w:p>
        </w:tc>
        <w:tc>
          <w:tcPr>
            <w:tcW w:w="600" w:type="dxa"/>
            <w:vAlign w:val="bottom"/>
            <w:tcBorders>
              <w:top w:val="single" w:sz="8" w:color="auto"/>
              <w:bottom w:val="single" w:sz="8" w:color="auto"/>
            </w:tcBorders>
          </w:tcPr>
          <w:p>
            <w:pPr>
              <w:ind w:left="460"/>
              <w:spacing w:after="0"/>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4"/>
                <w:szCs w:val="14"/>
                <w:color w:val="auto"/>
              </w:rPr>
            </w:pPr>
          </w:p>
        </w:tc>
        <w:tc>
          <w:tcPr>
            <w:tcW w:w="160" w:type="dxa"/>
            <w:vAlign w:val="bottom"/>
            <w:tcBorders>
              <w:top w:val="single" w:sz="8" w:color="auto"/>
              <w:bottom w:val="single" w:sz="8" w:color="auto"/>
            </w:tcBorders>
          </w:tcPr>
          <w:p>
            <w:pPr>
              <w:jc w:val="right"/>
              <w:ind w:right="12"/>
              <w:spacing w:after="0"/>
              <w:rPr>
                <w:sz w:val="20"/>
                <w:szCs w:val="20"/>
                <w:color w:val="auto"/>
              </w:rPr>
            </w:pPr>
            <w:r>
              <w:rPr>
                <w:rFonts w:ascii="Arial" w:cs="Arial" w:eastAsia="Arial" w:hAnsi="Arial"/>
                <w:sz w:val="14"/>
                <w:szCs w:val="14"/>
                <w:color w:val="auto"/>
                <w:w w:val="76"/>
              </w:rPr>
              <w:t>$</w:t>
            </w:r>
          </w:p>
        </w:tc>
        <w:tc>
          <w:tcPr>
            <w:tcW w:w="600" w:type="dxa"/>
            <w:vAlign w:val="bottom"/>
            <w:tcBorders>
              <w:top w:val="single" w:sz="8" w:color="auto"/>
              <w:bottom w:val="single" w:sz="8" w:color="auto"/>
            </w:tcBorders>
          </w:tcPr>
          <w:p>
            <w:pPr>
              <w:ind w:left="460"/>
              <w:spacing w:after="0"/>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244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1"/>
        </w:trPr>
        <w:tc>
          <w:tcPr>
            <w:tcW w:w="20" w:type="dxa"/>
            <w:vAlign w:val="bottom"/>
          </w:tcPr>
          <w:p>
            <w:pPr>
              <w:spacing w:after="0"/>
              <w:rPr>
                <w:sz w:val="11"/>
                <w:szCs w:val="11"/>
                <w:color w:val="auto"/>
              </w:rPr>
            </w:pPr>
          </w:p>
        </w:tc>
        <w:tc>
          <w:tcPr>
            <w:tcW w:w="3700" w:type="dxa"/>
            <w:vAlign w:val="bottom"/>
            <w:gridSpan w:val="2"/>
            <w:shd w:val="clear" w:color="auto" w:fill="CCEEFF"/>
          </w:tcPr>
          <w:p>
            <w:pPr>
              <w:spacing w:after="0" w:line="131" w:lineRule="exact"/>
              <w:rPr>
                <w:sz w:val="20"/>
                <w:szCs w:val="20"/>
                <w:color w:val="auto"/>
              </w:rPr>
            </w:pPr>
            <w:r>
              <w:rPr>
                <w:rFonts w:ascii="Arial" w:cs="Arial" w:eastAsia="Arial" w:hAnsi="Arial"/>
                <w:sz w:val="14"/>
                <w:szCs w:val="14"/>
                <w:color w:val="auto"/>
              </w:rPr>
              <w:t>Tonnes of ore milled</w:t>
            </w:r>
          </w:p>
        </w:tc>
        <w:tc>
          <w:tcPr>
            <w:tcW w:w="84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620" w:type="dxa"/>
            <w:vAlign w:val="bottom"/>
            <w:shd w:val="clear" w:color="auto" w:fill="CCEEFF"/>
          </w:tcPr>
          <w:p>
            <w:pPr>
              <w:jc w:val="right"/>
              <w:spacing w:after="0" w:line="131" w:lineRule="exact"/>
              <w:rPr>
                <w:sz w:val="20"/>
                <w:szCs w:val="20"/>
                <w:color w:val="auto"/>
              </w:rPr>
            </w:pPr>
            <w:r>
              <w:rPr>
                <w:rFonts w:ascii="Arial" w:cs="Arial" w:eastAsia="Arial" w:hAnsi="Arial"/>
                <w:sz w:val="14"/>
                <w:szCs w:val="14"/>
                <w:color w:val="auto"/>
              </w:rPr>
              <w:t>563,238</w:t>
            </w: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600" w:type="dxa"/>
            <w:vAlign w:val="bottom"/>
            <w:shd w:val="clear" w:color="auto" w:fill="CCEEFF"/>
          </w:tcPr>
          <w:p>
            <w:pPr>
              <w:ind w:left="460"/>
              <w:spacing w:after="0" w:line="131" w:lineRule="exact"/>
              <w:rPr>
                <w:sz w:val="20"/>
                <w:szCs w:val="20"/>
                <w:color w:val="auto"/>
              </w:rPr>
            </w:pPr>
            <w:r>
              <w:rPr>
                <w:rFonts w:ascii="Arial" w:cs="Arial" w:eastAsia="Arial" w:hAnsi="Arial"/>
                <w:sz w:val="14"/>
                <w:szCs w:val="14"/>
                <w:color w:val="auto"/>
                <w:w w:val="85"/>
              </w:rPr>
              <w:t>—</w:t>
            </w:r>
          </w:p>
        </w:tc>
        <w:tc>
          <w:tcPr>
            <w:tcW w:w="1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600" w:type="dxa"/>
            <w:vAlign w:val="bottom"/>
            <w:shd w:val="clear" w:color="auto" w:fill="CCEEFF"/>
          </w:tcPr>
          <w:p>
            <w:pPr>
              <w:ind w:left="460"/>
              <w:spacing w:after="0" w:line="131" w:lineRule="exact"/>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00" w:type="dxa"/>
            <w:vAlign w:val="bottom"/>
            <w:shd w:val="clear" w:color="auto" w:fill="CCEEFF"/>
          </w:tcPr>
          <w:p>
            <w:pPr>
              <w:ind w:left="460"/>
              <w:spacing w:after="0" w:line="131" w:lineRule="exact"/>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760" w:type="dxa"/>
            <w:vAlign w:val="bottom"/>
            <w:gridSpan w:val="2"/>
            <w:shd w:val="clear" w:color="auto" w:fill="CCEEFF"/>
          </w:tcPr>
          <w:p>
            <w:pPr>
              <w:ind w:left="460"/>
              <w:spacing w:after="0" w:line="131"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700" w:type="dxa"/>
            <w:vAlign w:val="bottom"/>
            <w:gridSpan w:val="2"/>
          </w:tcPr>
          <w:p>
            <w:pPr>
              <w:spacing w:after="0" w:line="149" w:lineRule="exact"/>
              <w:rPr>
                <w:sz w:val="20"/>
                <w:szCs w:val="20"/>
                <w:color w:val="auto"/>
              </w:rPr>
            </w:pPr>
            <w:r>
              <w:rPr>
                <w:rFonts w:ascii="Arial" w:cs="Arial" w:eastAsia="Arial" w:hAnsi="Arial"/>
                <w:sz w:val="14"/>
                <w:szCs w:val="14"/>
                <w:color w:val="auto"/>
              </w:rPr>
              <w:t>Gold — grams per tonne</w:t>
            </w:r>
          </w:p>
        </w:tc>
        <w:tc>
          <w:tcPr>
            <w:tcW w:w="8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5.02</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0" w:type="dxa"/>
            <w:vAlign w:val="bottom"/>
          </w:tcPr>
          <w:p>
            <w:pPr>
              <w:ind w:left="460"/>
              <w:spacing w:after="0" w:line="149" w:lineRule="exact"/>
              <w:rPr>
                <w:sz w:val="20"/>
                <w:szCs w:val="20"/>
                <w:color w:val="auto"/>
              </w:rPr>
            </w:pPr>
            <w:r>
              <w:rPr>
                <w:rFonts w:ascii="Arial" w:cs="Arial" w:eastAsia="Arial" w:hAnsi="Arial"/>
                <w:sz w:val="14"/>
                <w:szCs w:val="14"/>
                <w:color w:val="auto"/>
                <w:w w:val="85"/>
              </w:rPr>
              <w:t>—</w:t>
            </w: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0" w:type="dxa"/>
            <w:vAlign w:val="bottom"/>
          </w:tcPr>
          <w:p>
            <w:pPr>
              <w:ind w:left="460"/>
              <w:spacing w:after="0" w:line="149" w:lineRule="exact"/>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0" w:type="dxa"/>
            <w:vAlign w:val="bottom"/>
          </w:tcPr>
          <w:p>
            <w:pPr>
              <w:ind w:left="460"/>
              <w:spacing w:after="0" w:line="149" w:lineRule="exact"/>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gridSpan w:val="2"/>
          </w:tcPr>
          <w:p>
            <w:pPr>
              <w:ind w:left="4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7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Gold production — ounces</w:t>
            </w:r>
          </w:p>
        </w:tc>
        <w:tc>
          <w:tcPr>
            <w:tcW w:w="8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71,838</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00" w:type="dxa"/>
            <w:vAlign w:val="bottom"/>
            <w:shd w:val="clear" w:color="auto" w:fill="CCEEFF"/>
          </w:tcPr>
          <w:p>
            <w:pPr>
              <w:ind w:left="460"/>
              <w:spacing w:after="0" w:line="149" w:lineRule="exact"/>
              <w:rPr>
                <w:sz w:val="20"/>
                <w:szCs w:val="20"/>
                <w:color w:val="auto"/>
              </w:rPr>
            </w:pPr>
            <w:r>
              <w:rPr>
                <w:rFonts w:ascii="Arial" w:cs="Arial" w:eastAsia="Arial" w:hAnsi="Arial"/>
                <w:sz w:val="14"/>
                <w:szCs w:val="14"/>
                <w:color w:val="auto"/>
                <w:w w:val="85"/>
              </w:rPr>
              <w:t>—</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00" w:type="dxa"/>
            <w:vAlign w:val="bottom"/>
            <w:shd w:val="clear" w:color="auto" w:fill="CCEEFF"/>
          </w:tcPr>
          <w:p>
            <w:pPr>
              <w:ind w:left="460"/>
              <w:spacing w:after="0" w:line="149" w:lineRule="exact"/>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00" w:type="dxa"/>
            <w:vAlign w:val="bottom"/>
            <w:shd w:val="clear" w:color="auto" w:fill="CCEEFF"/>
          </w:tcPr>
          <w:p>
            <w:pPr>
              <w:ind w:left="460"/>
              <w:spacing w:after="0" w:line="149" w:lineRule="exact"/>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ind w:left="4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324"/>
        </w:trPr>
        <w:tc>
          <w:tcPr>
            <w:tcW w:w="3720" w:type="dxa"/>
            <w:vAlign w:val="bottom"/>
            <w:gridSpan w:val="3"/>
          </w:tcPr>
          <w:p>
            <w:pPr>
              <w:spacing w:after="0"/>
              <w:rPr>
                <w:sz w:val="20"/>
                <w:szCs w:val="20"/>
                <w:color w:val="auto"/>
              </w:rPr>
            </w:pPr>
            <w:r>
              <w:rPr>
                <w:rFonts w:ascii="Arial" w:cs="Arial" w:eastAsia="Arial" w:hAnsi="Arial"/>
                <w:sz w:val="14"/>
                <w:szCs w:val="14"/>
                <w:b w:val="1"/>
                <w:bCs w:val="1"/>
                <w:color w:val="auto"/>
              </w:rPr>
              <w:t>Total cash costs (per ounce):</w:t>
            </w:r>
          </w:p>
        </w:tc>
        <w:tc>
          <w:tcPr>
            <w:tcW w:w="8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7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Production costs</w:t>
            </w:r>
          </w:p>
        </w:tc>
        <w:tc>
          <w:tcPr>
            <w:tcW w:w="980" w:type="dxa"/>
            <w:vAlign w:val="bottom"/>
            <w:gridSpan w:val="2"/>
            <w:shd w:val="clear" w:color="auto" w:fill="CCEEFF"/>
          </w:tcPr>
          <w:p>
            <w:pPr>
              <w:jc w:val="right"/>
              <w:ind w:right="29"/>
              <w:spacing w:after="0" w:line="149"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648</w:t>
            </w:r>
          </w:p>
        </w:tc>
        <w:tc>
          <w:tcPr>
            <w:tcW w:w="80" w:type="dxa"/>
            <w:vAlign w:val="bottom"/>
            <w:shd w:val="clear" w:color="auto" w:fill="CCEEFF"/>
          </w:tcPr>
          <w:p>
            <w:pPr>
              <w:spacing w:after="0"/>
              <w:rPr>
                <w:sz w:val="12"/>
                <w:szCs w:val="12"/>
                <w:color w:val="auto"/>
              </w:rPr>
            </w:pPr>
          </w:p>
        </w:tc>
        <w:tc>
          <w:tcPr>
            <w:tcW w:w="220" w:type="dxa"/>
            <w:vAlign w:val="bottom"/>
            <w:gridSpan w:val="2"/>
            <w:shd w:val="clear" w:color="auto" w:fill="CCEEFF"/>
          </w:tcPr>
          <w:p>
            <w:pPr>
              <w:jc w:val="right"/>
              <w:ind w:right="29"/>
              <w:spacing w:after="0" w:line="149" w:lineRule="exact"/>
              <w:rPr>
                <w:sz w:val="20"/>
                <w:szCs w:val="20"/>
                <w:color w:val="auto"/>
              </w:rPr>
            </w:pPr>
            <w:r>
              <w:rPr>
                <w:rFonts w:ascii="Arial" w:cs="Arial" w:eastAsia="Arial" w:hAnsi="Arial"/>
                <w:sz w:val="14"/>
                <w:szCs w:val="14"/>
                <w:color w:val="auto"/>
              </w:rPr>
              <w:t>$</w:t>
            </w:r>
          </w:p>
        </w:tc>
        <w:tc>
          <w:tcPr>
            <w:tcW w:w="600" w:type="dxa"/>
            <w:vAlign w:val="bottom"/>
            <w:shd w:val="clear" w:color="auto" w:fill="CCEEFF"/>
          </w:tcPr>
          <w:p>
            <w:pPr>
              <w:ind w:left="460"/>
              <w:spacing w:after="0" w:line="149" w:lineRule="exact"/>
              <w:rPr>
                <w:sz w:val="20"/>
                <w:szCs w:val="20"/>
                <w:color w:val="auto"/>
              </w:rPr>
            </w:pPr>
            <w:r>
              <w:rPr>
                <w:rFonts w:ascii="Arial" w:cs="Arial" w:eastAsia="Arial" w:hAnsi="Arial"/>
                <w:sz w:val="14"/>
                <w:szCs w:val="14"/>
                <w:color w:val="auto"/>
                <w:w w:val="85"/>
              </w:rPr>
              <w:t>—</w:t>
            </w:r>
          </w:p>
        </w:tc>
        <w:tc>
          <w:tcPr>
            <w:tcW w:w="320" w:type="dxa"/>
            <w:vAlign w:val="bottom"/>
            <w:gridSpan w:val="2"/>
            <w:shd w:val="clear" w:color="auto" w:fill="CCEEFF"/>
          </w:tcPr>
          <w:p>
            <w:pPr>
              <w:jc w:val="right"/>
              <w:ind w:right="29"/>
              <w:spacing w:after="0" w:line="149" w:lineRule="exact"/>
              <w:rPr>
                <w:sz w:val="20"/>
                <w:szCs w:val="20"/>
                <w:color w:val="auto"/>
              </w:rPr>
            </w:pPr>
            <w:r>
              <w:rPr>
                <w:rFonts w:ascii="Arial" w:cs="Arial" w:eastAsia="Arial" w:hAnsi="Arial"/>
                <w:sz w:val="14"/>
                <w:szCs w:val="14"/>
                <w:color w:val="auto"/>
              </w:rPr>
              <w:t>$</w:t>
            </w:r>
          </w:p>
        </w:tc>
        <w:tc>
          <w:tcPr>
            <w:tcW w:w="600" w:type="dxa"/>
            <w:vAlign w:val="bottom"/>
            <w:shd w:val="clear" w:color="auto" w:fill="CCEEFF"/>
          </w:tcPr>
          <w:p>
            <w:pPr>
              <w:ind w:left="460"/>
              <w:spacing w:after="0" w:line="149" w:lineRule="exact"/>
              <w:rPr>
                <w:sz w:val="20"/>
                <w:szCs w:val="20"/>
                <w:color w:val="auto"/>
              </w:rPr>
            </w:pPr>
            <w:r>
              <w:rPr>
                <w:rFonts w:ascii="Arial" w:cs="Arial" w:eastAsia="Arial" w:hAnsi="Arial"/>
                <w:sz w:val="14"/>
                <w:szCs w:val="14"/>
                <w:color w:val="auto"/>
                <w:w w:val="85"/>
              </w:rPr>
              <w:t>—</w:t>
            </w:r>
          </w:p>
        </w:tc>
        <w:tc>
          <w:tcPr>
            <w:tcW w:w="320" w:type="dxa"/>
            <w:vAlign w:val="bottom"/>
            <w:gridSpan w:val="2"/>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w:t>
            </w:r>
          </w:p>
        </w:tc>
        <w:tc>
          <w:tcPr>
            <w:tcW w:w="600" w:type="dxa"/>
            <w:vAlign w:val="bottom"/>
            <w:shd w:val="clear" w:color="auto" w:fill="CCEEFF"/>
          </w:tcPr>
          <w:p>
            <w:pPr>
              <w:ind w:left="460"/>
              <w:spacing w:after="0" w:line="149" w:lineRule="exact"/>
              <w:rPr>
                <w:sz w:val="20"/>
                <w:szCs w:val="20"/>
                <w:color w:val="auto"/>
              </w:rPr>
            </w:pPr>
            <w:r>
              <w:rPr>
                <w:rFonts w:ascii="Arial" w:cs="Arial" w:eastAsia="Arial" w:hAnsi="Arial"/>
                <w:sz w:val="14"/>
                <w:szCs w:val="14"/>
                <w:color w:val="auto"/>
                <w:w w:val="85"/>
              </w:rPr>
              <w:t>—</w:t>
            </w:r>
          </w:p>
        </w:tc>
        <w:tc>
          <w:tcPr>
            <w:tcW w:w="320" w:type="dxa"/>
            <w:vAlign w:val="bottom"/>
            <w:gridSpan w:val="2"/>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ind w:left="4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700" w:type="dxa"/>
            <w:vAlign w:val="bottom"/>
            <w:gridSpan w:val="2"/>
          </w:tcPr>
          <w:p>
            <w:pPr>
              <w:spacing w:after="0" w:line="149" w:lineRule="exact"/>
              <w:rPr>
                <w:sz w:val="20"/>
                <w:szCs w:val="20"/>
                <w:color w:val="auto"/>
              </w:rPr>
            </w:pPr>
            <w:r>
              <w:rPr>
                <w:rFonts w:ascii="Arial" w:cs="Arial" w:eastAsia="Arial" w:hAnsi="Arial"/>
                <w:sz w:val="14"/>
                <w:szCs w:val="14"/>
                <w:color w:val="auto"/>
              </w:rPr>
              <w:t>Less:</w:t>
            </w:r>
          </w:p>
        </w:tc>
        <w:tc>
          <w:tcPr>
            <w:tcW w:w="8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700" w:type="dxa"/>
            <w:vAlign w:val="bottom"/>
            <w:gridSpan w:val="2"/>
            <w:shd w:val="clear" w:color="auto" w:fill="CCEEFF"/>
          </w:tcPr>
          <w:p>
            <w:pPr>
              <w:ind w:left="100"/>
              <w:spacing w:after="0" w:line="149" w:lineRule="exact"/>
              <w:rPr>
                <w:sz w:val="20"/>
                <w:szCs w:val="20"/>
                <w:color w:val="auto"/>
              </w:rPr>
            </w:pPr>
            <w:r>
              <w:rPr>
                <w:rFonts w:ascii="Arial" w:cs="Arial" w:eastAsia="Arial" w:hAnsi="Arial"/>
                <w:sz w:val="14"/>
                <w:szCs w:val="14"/>
                <w:color w:val="auto"/>
              </w:rPr>
              <w:t>Inventory adjustments</w:t>
            </w:r>
          </w:p>
        </w:tc>
        <w:tc>
          <w:tcPr>
            <w:tcW w:w="8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24</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00" w:type="dxa"/>
            <w:vAlign w:val="bottom"/>
            <w:shd w:val="clear" w:color="auto" w:fill="CCEEFF"/>
          </w:tcPr>
          <w:p>
            <w:pPr>
              <w:ind w:left="460"/>
              <w:spacing w:after="0" w:line="149" w:lineRule="exact"/>
              <w:rPr>
                <w:sz w:val="20"/>
                <w:szCs w:val="20"/>
                <w:color w:val="auto"/>
              </w:rPr>
            </w:pPr>
            <w:r>
              <w:rPr>
                <w:rFonts w:ascii="Arial" w:cs="Arial" w:eastAsia="Arial" w:hAnsi="Arial"/>
                <w:sz w:val="14"/>
                <w:szCs w:val="14"/>
                <w:color w:val="auto"/>
                <w:w w:val="85"/>
              </w:rPr>
              <w:t>—</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00" w:type="dxa"/>
            <w:vAlign w:val="bottom"/>
            <w:shd w:val="clear" w:color="auto" w:fill="CCEEFF"/>
          </w:tcPr>
          <w:p>
            <w:pPr>
              <w:ind w:left="460"/>
              <w:spacing w:after="0" w:line="149" w:lineRule="exact"/>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00" w:type="dxa"/>
            <w:vAlign w:val="bottom"/>
            <w:shd w:val="clear" w:color="auto" w:fill="CCEEFF"/>
          </w:tcPr>
          <w:p>
            <w:pPr>
              <w:ind w:left="460"/>
              <w:spacing w:after="0" w:line="149" w:lineRule="exact"/>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ind w:left="4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3700" w:type="dxa"/>
            <w:vAlign w:val="bottom"/>
            <w:gridSpan w:val="2"/>
          </w:tcPr>
          <w:p>
            <w:pPr>
              <w:ind w:left="100"/>
              <w:spacing w:after="0"/>
              <w:rPr>
                <w:sz w:val="20"/>
                <w:szCs w:val="20"/>
                <w:color w:val="auto"/>
              </w:rPr>
            </w:pPr>
            <w:r>
              <w:rPr>
                <w:rFonts w:ascii="Arial" w:cs="Arial" w:eastAsia="Arial" w:hAnsi="Arial"/>
                <w:sz w:val="14"/>
                <w:szCs w:val="14"/>
                <w:color w:val="auto"/>
              </w:rPr>
              <w:t>Accretion expense and other</w:t>
            </w:r>
          </w:p>
        </w:tc>
        <w:tc>
          <w:tcPr>
            <w:tcW w:w="8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700" w:type="dxa"/>
            <w:vAlign w:val="bottom"/>
            <w:gridSpan w:val="2"/>
          </w:tcPr>
          <w:p>
            <w:pPr>
              <w:jc w:val="right"/>
              <w:ind w:right="60"/>
              <w:spacing w:after="0"/>
              <w:rPr>
                <w:sz w:val="20"/>
                <w:szCs w:val="20"/>
                <w:color w:val="auto"/>
              </w:rPr>
            </w:pPr>
            <w:r>
              <w:rPr>
                <w:rFonts w:ascii="Arial" w:cs="Arial" w:eastAsia="Arial" w:hAnsi="Arial"/>
                <w:sz w:val="14"/>
                <w:szCs w:val="14"/>
                <w:color w:val="auto"/>
              </w:rPr>
              <w:t>(4)</w:t>
            </w:r>
          </w:p>
        </w:tc>
        <w:tc>
          <w:tcPr>
            <w:tcW w:w="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00" w:type="dxa"/>
            <w:vAlign w:val="bottom"/>
          </w:tcPr>
          <w:p>
            <w:pPr>
              <w:ind w:left="460"/>
              <w:spacing w:after="0"/>
              <w:rPr>
                <w:sz w:val="20"/>
                <w:szCs w:val="20"/>
                <w:color w:val="auto"/>
              </w:rPr>
            </w:pPr>
            <w:r>
              <w:rPr>
                <w:rFonts w:ascii="Arial" w:cs="Arial" w:eastAsia="Arial" w:hAnsi="Arial"/>
                <w:sz w:val="14"/>
                <w:szCs w:val="14"/>
                <w:color w:val="auto"/>
                <w:w w:val="85"/>
              </w:rPr>
              <w:t>—</w:t>
            </w:r>
          </w:p>
        </w:tc>
        <w:tc>
          <w:tcPr>
            <w:tcW w:w="1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00" w:type="dxa"/>
            <w:vAlign w:val="bottom"/>
          </w:tcPr>
          <w:p>
            <w:pPr>
              <w:ind w:left="460"/>
              <w:spacing w:after="0"/>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00" w:type="dxa"/>
            <w:vAlign w:val="bottom"/>
          </w:tcPr>
          <w:p>
            <w:pPr>
              <w:ind w:left="460"/>
              <w:spacing w:after="0"/>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760" w:type="dxa"/>
            <w:vAlign w:val="bottom"/>
            <w:gridSpan w:val="2"/>
          </w:tcPr>
          <w:p>
            <w:pPr>
              <w:ind w:left="460"/>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244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71"/>
        </w:trPr>
        <w:tc>
          <w:tcPr>
            <w:tcW w:w="20" w:type="dxa"/>
            <w:vAlign w:val="bottom"/>
            <w:vMerge w:val="continue"/>
          </w:tcPr>
          <w:p>
            <w:pPr>
              <w:spacing w:after="0"/>
              <w:rPr>
                <w:sz w:val="14"/>
                <w:szCs w:val="14"/>
                <w:color w:val="auto"/>
              </w:rPr>
            </w:pPr>
          </w:p>
        </w:tc>
        <w:tc>
          <w:tcPr>
            <w:tcW w:w="3700" w:type="dxa"/>
            <w:vAlign w:val="bottom"/>
            <w:gridSpan w:val="2"/>
            <w:shd w:val="clear" w:color="auto" w:fill="CCEEFF"/>
          </w:tcPr>
          <w:p>
            <w:pPr>
              <w:spacing w:after="0" w:line="171" w:lineRule="exact"/>
              <w:rPr>
                <w:sz w:val="20"/>
                <w:szCs w:val="20"/>
                <w:color w:val="auto"/>
              </w:rPr>
            </w:pPr>
            <w:r>
              <w:rPr>
                <w:rFonts w:ascii="Arial" w:cs="Arial" w:eastAsia="Arial" w:hAnsi="Arial"/>
                <w:sz w:val="12"/>
                <w:szCs w:val="12"/>
                <w:color w:val="auto"/>
              </w:rPr>
              <w:t>Total cash costs (per ounce)</w:t>
            </w:r>
            <w:r>
              <w:rPr>
                <w:rFonts w:ascii="Arial" w:cs="Arial" w:eastAsia="Arial" w:hAnsi="Arial"/>
                <w:sz w:val="19"/>
                <w:szCs w:val="19"/>
                <w:color w:val="auto"/>
                <w:vertAlign w:val="superscript"/>
              </w:rPr>
              <w:t>(1)</w:t>
            </w:r>
          </w:p>
        </w:tc>
        <w:tc>
          <w:tcPr>
            <w:tcW w:w="840" w:type="dxa"/>
            <w:vAlign w:val="bottom"/>
            <w:shd w:val="clear" w:color="auto" w:fill="CCEEFF"/>
          </w:tcPr>
          <w:p>
            <w:pPr>
              <w:spacing w:after="0"/>
              <w:rPr>
                <w:sz w:val="14"/>
                <w:szCs w:val="14"/>
                <w:color w:val="auto"/>
              </w:rPr>
            </w:pPr>
          </w:p>
        </w:tc>
        <w:tc>
          <w:tcPr>
            <w:tcW w:w="140" w:type="dxa"/>
            <w:vAlign w:val="bottom"/>
            <w:shd w:val="clear" w:color="auto" w:fill="CCEEFF"/>
          </w:tcPr>
          <w:p>
            <w:pPr>
              <w:jc w:val="right"/>
              <w:ind w:right="29"/>
              <w:spacing w:after="0"/>
              <w:rPr>
                <w:sz w:val="20"/>
                <w:szCs w:val="20"/>
                <w:color w:val="auto"/>
              </w:rPr>
            </w:pPr>
            <w:r>
              <w:rPr>
                <w:rFonts w:ascii="Arial" w:cs="Arial" w:eastAsia="Arial" w:hAnsi="Arial"/>
                <w:sz w:val="10"/>
                <w:szCs w:val="10"/>
                <w:color w:val="auto"/>
                <w:w w:val="71"/>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668</w:t>
            </w:r>
          </w:p>
        </w:tc>
        <w:tc>
          <w:tcPr>
            <w:tcW w:w="80" w:type="dxa"/>
            <w:vAlign w:val="bottom"/>
            <w:shd w:val="clear" w:color="auto" w:fill="CCEEFF"/>
          </w:tcPr>
          <w:p>
            <w:pPr>
              <w:spacing w:after="0"/>
              <w:rPr>
                <w:sz w:val="14"/>
                <w:szCs w:val="14"/>
                <w:color w:val="auto"/>
              </w:rPr>
            </w:pPr>
          </w:p>
        </w:tc>
        <w:tc>
          <w:tcPr>
            <w:tcW w:w="220" w:type="dxa"/>
            <w:vAlign w:val="bottom"/>
            <w:gridSpan w:val="2"/>
            <w:shd w:val="clear" w:color="auto" w:fill="CCEEFF"/>
          </w:tcPr>
          <w:p>
            <w:pPr>
              <w:jc w:val="right"/>
              <w:ind w:right="29"/>
              <w:spacing w:after="0"/>
              <w:rPr>
                <w:sz w:val="20"/>
                <w:szCs w:val="20"/>
                <w:color w:val="auto"/>
              </w:rPr>
            </w:pPr>
            <w:r>
              <w:rPr>
                <w:rFonts w:ascii="Arial" w:cs="Arial" w:eastAsia="Arial" w:hAnsi="Arial"/>
                <w:sz w:val="14"/>
                <w:szCs w:val="14"/>
                <w:color w:val="auto"/>
              </w:rPr>
              <w:t>$</w:t>
            </w:r>
          </w:p>
        </w:tc>
        <w:tc>
          <w:tcPr>
            <w:tcW w:w="600" w:type="dxa"/>
            <w:vAlign w:val="bottom"/>
            <w:shd w:val="clear" w:color="auto" w:fill="CCEEFF"/>
          </w:tcPr>
          <w:p>
            <w:pPr>
              <w:ind w:left="460"/>
              <w:spacing w:after="0"/>
              <w:rPr>
                <w:sz w:val="20"/>
                <w:szCs w:val="20"/>
                <w:color w:val="auto"/>
              </w:rPr>
            </w:pPr>
            <w:r>
              <w:rPr>
                <w:rFonts w:ascii="Arial" w:cs="Arial" w:eastAsia="Arial" w:hAnsi="Arial"/>
                <w:sz w:val="14"/>
                <w:szCs w:val="14"/>
                <w:color w:val="auto"/>
                <w:w w:val="85"/>
              </w:rPr>
              <w:t>—</w:t>
            </w:r>
          </w:p>
        </w:tc>
        <w:tc>
          <w:tcPr>
            <w:tcW w:w="320" w:type="dxa"/>
            <w:vAlign w:val="bottom"/>
            <w:gridSpan w:val="2"/>
            <w:shd w:val="clear" w:color="auto" w:fill="CCEEFF"/>
          </w:tcPr>
          <w:p>
            <w:pPr>
              <w:jc w:val="right"/>
              <w:ind w:right="29"/>
              <w:spacing w:after="0"/>
              <w:rPr>
                <w:sz w:val="20"/>
                <w:szCs w:val="20"/>
                <w:color w:val="auto"/>
              </w:rPr>
            </w:pPr>
            <w:r>
              <w:rPr>
                <w:rFonts w:ascii="Arial" w:cs="Arial" w:eastAsia="Arial" w:hAnsi="Arial"/>
                <w:sz w:val="14"/>
                <w:szCs w:val="14"/>
                <w:color w:val="auto"/>
              </w:rPr>
              <w:t>$</w:t>
            </w:r>
          </w:p>
        </w:tc>
        <w:tc>
          <w:tcPr>
            <w:tcW w:w="600" w:type="dxa"/>
            <w:vAlign w:val="bottom"/>
            <w:shd w:val="clear" w:color="auto" w:fill="CCEEFF"/>
          </w:tcPr>
          <w:p>
            <w:pPr>
              <w:ind w:left="460"/>
              <w:spacing w:after="0"/>
              <w:rPr>
                <w:sz w:val="20"/>
                <w:szCs w:val="20"/>
                <w:color w:val="auto"/>
              </w:rPr>
            </w:pPr>
            <w:r>
              <w:rPr>
                <w:rFonts w:ascii="Arial" w:cs="Arial" w:eastAsia="Arial" w:hAnsi="Arial"/>
                <w:sz w:val="14"/>
                <w:szCs w:val="14"/>
                <w:color w:val="auto"/>
                <w:w w:val="85"/>
              </w:rPr>
              <w:t>—</w:t>
            </w:r>
          </w:p>
        </w:tc>
        <w:tc>
          <w:tcPr>
            <w:tcW w:w="320" w:type="dxa"/>
            <w:vAlign w:val="bottom"/>
            <w:gridSpan w:val="2"/>
            <w:shd w:val="clear" w:color="auto" w:fill="CCEEFF"/>
          </w:tcPr>
          <w:p>
            <w:pPr>
              <w:jc w:val="right"/>
              <w:ind w:right="12"/>
              <w:spacing w:after="0"/>
              <w:rPr>
                <w:sz w:val="20"/>
                <w:szCs w:val="20"/>
                <w:color w:val="auto"/>
              </w:rPr>
            </w:pPr>
            <w:r>
              <w:rPr>
                <w:rFonts w:ascii="Arial" w:cs="Arial" w:eastAsia="Arial" w:hAnsi="Arial"/>
                <w:sz w:val="14"/>
                <w:szCs w:val="14"/>
                <w:color w:val="auto"/>
              </w:rPr>
              <w:t>$</w:t>
            </w:r>
          </w:p>
        </w:tc>
        <w:tc>
          <w:tcPr>
            <w:tcW w:w="600" w:type="dxa"/>
            <w:vAlign w:val="bottom"/>
            <w:shd w:val="clear" w:color="auto" w:fill="CCEEFF"/>
          </w:tcPr>
          <w:p>
            <w:pPr>
              <w:ind w:left="460"/>
              <w:spacing w:after="0"/>
              <w:rPr>
                <w:sz w:val="20"/>
                <w:szCs w:val="20"/>
                <w:color w:val="auto"/>
              </w:rPr>
            </w:pPr>
            <w:r>
              <w:rPr>
                <w:rFonts w:ascii="Arial" w:cs="Arial" w:eastAsia="Arial" w:hAnsi="Arial"/>
                <w:sz w:val="14"/>
                <w:szCs w:val="14"/>
                <w:color w:val="auto"/>
                <w:w w:val="85"/>
              </w:rPr>
              <w:t>—</w:t>
            </w:r>
          </w:p>
        </w:tc>
        <w:tc>
          <w:tcPr>
            <w:tcW w:w="320" w:type="dxa"/>
            <w:vAlign w:val="bottom"/>
            <w:gridSpan w:val="2"/>
            <w:shd w:val="clear" w:color="auto" w:fill="CCEEFF"/>
          </w:tcPr>
          <w:p>
            <w:pPr>
              <w:jc w:val="right"/>
              <w:ind w:right="12"/>
              <w:spacing w:after="0"/>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ind w:left="460"/>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7"/>
        </w:trPr>
        <w:tc>
          <w:tcPr>
            <w:tcW w:w="3720" w:type="dxa"/>
            <w:vAlign w:val="bottom"/>
            <w:gridSpan w:val="3"/>
            <w:vMerge w:val="restart"/>
          </w:tcPr>
          <w:p>
            <w:pPr>
              <w:spacing w:after="0"/>
              <w:rPr>
                <w:sz w:val="20"/>
                <w:szCs w:val="20"/>
                <w:color w:val="auto"/>
              </w:rPr>
            </w:pPr>
            <w:r>
              <w:rPr>
                <w:rFonts w:ascii="Arial" w:cs="Arial" w:eastAsia="Arial" w:hAnsi="Arial"/>
                <w:sz w:val="14"/>
                <w:szCs w:val="14"/>
                <w:color w:val="auto"/>
              </w:rPr>
              <w:t>Minesite costs per tonne</w:t>
            </w:r>
            <w:r>
              <w:rPr>
                <w:rFonts w:ascii="Arial" w:cs="Arial" w:eastAsia="Arial" w:hAnsi="Arial"/>
                <w:sz w:val="22"/>
                <w:szCs w:val="22"/>
                <w:color w:val="auto"/>
                <w:vertAlign w:val="superscript"/>
              </w:rPr>
              <w:t>(1)</w:t>
            </w:r>
          </w:p>
        </w:tc>
        <w:tc>
          <w:tcPr>
            <w:tcW w:w="84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3720" w:type="dxa"/>
            <w:vAlign w:val="bottom"/>
            <w:gridSpan w:val="3"/>
            <w:vMerge w:val="continue"/>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3"/>
        </w:trPr>
        <w:tc>
          <w:tcPr>
            <w:tcW w:w="3720" w:type="dxa"/>
            <w:vAlign w:val="bottom"/>
            <w:gridSpan w:val="3"/>
            <w:vMerge w:val="continue"/>
          </w:tcPr>
          <w:p>
            <w:pPr>
              <w:spacing w:after="0"/>
              <w:rPr>
                <w:sz w:val="15"/>
                <w:szCs w:val="15"/>
                <w:color w:val="auto"/>
              </w:rPr>
            </w:pPr>
          </w:p>
        </w:tc>
        <w:tc>
          <w:tcPr>
            <w:tcW w:w="980" w:type="dxa"/>
            <w:vAlign w:val="bottom"/>
            <w:gridSpan w:val="2"/>
          </w:tcPr>
          <w:p>
            <w:pPr>
              <w:jc w:val="right"/>
              <w:ind w:right="29"/>
              <w:spacing w:after="0"/>
              <w:rPr>
                <w:sz w:val="20"/>
                <w:szCs w:val="20"/>
                <w:color w:val="auto"/>
              </w:rPr>
            </w:pPr>
            <w:r>
              <w:rPr>
                <w:rFonts w:ascii="Arial" w:cs="Arial" w:eastAsia="Arial" w:hAnsi="Arial"/>
                <w:sz w:val="14"/>
                <w:szCs w:val="14"/>
                <w:color w:val="auto"/>
              </w:rPr>
              <w:t>€</w:t>
            </w:r>
          </w:p>
        </w:tc>
        <w:tc>
          <w:tcPr>
            <w:tcW w:w="620" w:type="dxa"/>
            <w:vAlign w:val="bottom"/>
          </w:tcPr>
          <w:p>
            <w:pPr>
              <w:jc w:val="right"/>
              <w:spacing w:after="0"/>
              <w:rPr>
                <w:sz w:val="20"/>
                <w:szCs w:val="20"/>
                <w:color w:val="auto"/>
              </w:rPr>
            </w:pPr>
            <w:r>
              <w:rPr>
                <w:rFonts w:ascii="Arial" w:cs="Arial" w:eastAsia="Arial" w:hAnsi="Arial"/>
                <w:sz w:val="14"/>
                <w:szCs w:val="14"/>
                <w:color w:val="auto"/>
              </w:rPr>
              <w:t>54</w:t>
            </w:r>
          </w:p>
        </w:tc>
        <w:tc>
          <w:tcPr>
            <w:tcW w:w="80" w:type="dxa"/>
            <w:vAlign w:val="bottom"/>
          </w:tcPr>
          <w:p>
            <w:pPr>
              <w:spacing w:after="0"/>
              <w:rPr>
                <w:sz w:val="15"/>
                <w:szCs w:val="15"/>
                <w:color w:val="auto"/>
              </w:rPr>
            </w:pPr>
          </w:p>
        </w:tc>
        <w:tc>
          <w:tcPr>
            <w:tcW w:w="220" w:type="dxa"/>
            <w:vAlign w:val="bottom"/>
            <w:gridSpan w:val="2"/>
          </w:tcPr>
          <w:p>
            <w:pPr>
              <w:jc w:val="right"/>
              <w:ind w:right="29"/>
              <w:spacing w:after="0"/>
              <w:rPr>
                <w:sz w:val="20"/>
                <w:szCs w:val="20"/>
                <w:color w:val="auto"/>
              </w:rPr>
            </w:pPr>
            <w:r>
              <w:rPr>
                <w:rFonts w:ascii="Arial" w:cs="Arial" w:eastAsia="Arial" w:hAnsi="Arial"/>
                <w:sz w:val="14"/>
                <w:szCs w:val="14"/>
                <w:color w:val="auto"/>
              </w:rPr>
              <w:t>€</w:t>
            </w:r>
          </w:p>
        </w:tc>
        <w:tc>
          <w:tcPr>
            <w:tcW w:w="600" w:type="dxa"/>
            <w:vAlign w:val="bottom"/>
          </w:tcPr>
          <w:p>
            <w:pPr>
              <w:ind w:left="460"/>
              <w:spacing w:after="0"/>
              <w:rPr>
                <w:sz w:val="20"/>
                <w:szCs w:val="20"/>
                <w:color w:val="auto"/>
              </w:rPr>
            </w:pPr>
            <w:r>
              <w:rPr>
                <w:rFonts w:ascii="Arial" w:cs="Arial" w:eastAsia="Arial" w:hAnsi="Arial"/>
                <w:sz w:val="14"/>
                <w:szCs w:val="14"/>
                <w:color w:val="auto"/>
                <w:w w:val="85"/>
              </w:rPr>
              <w:t>—</w:t>
            </w:r>
          </w:p>
        </w:tc>
        <w:tc>
          <w:tcPr>
            <w:tcW w:w="320" w:type="dxa"/>
            <w:vAlign w:val="bottom"/>
            <w:gridSpan w:val="2"/>
          </w:tcPr>
          <w:p>
            <w:pPr>
              <w:jc w:val="right"/>
              <w:ind w:right="29"/>
              <w:spacing w:after="0"/>
              <w:rPr>
                <w:sz w:val="20"/>
                <w:szCs w:val="20"/>
                <w:color w:val="auto"/>
              </w:rPr>
            </w:pPr>
            <w:r>
              <w:rPr>
                <w:rFonts w:ascii="Arial" w:cs="Arial" w:eastAsia="Arial" w:hAnsi="Arial"/>
                <w:sz w:val="14"/>
                <w:szCs w:val="14"/>
                <w:color w:val="auto"/>
              </w:rPr>
              <w:t>€</w:t>
            </w:r>
          </w:p>
        </w:tc>
        <w:tc>
          <w:tcPr>
            <w:tcW w:w="600" w:type="dxa"/>
            <w:vAlign w:val="bottom"/>
          </w:tcPr>
          <w:p>
            <w:pPr>
              <w:ind w:left="460"/>
              <w:spacing w:after="0"/>
              <w:rPr>
                <w:sz w:val="20"/>
                <w:szCs w:val="20"/>
                <w:color w:val="auto"/>
              </w:rPr>
            </w:pPr>
            <w:r>
              <w:rPr>
                <w:rFonts w:ascii="Arial" w:cs="Arial" w:eastAsia="Arial" w:hAnsi="Arial"/>
                <w:sz w:val="14"/>
                <w:szCs w:val="14"/>
                <w:color w:val="auto"/>
                <w:w w:val="85"/>
              </w:rPr>
              <w:t>—</w:t>
            </w:r>
          </w:p>
        </w:tc>
        <w:tc>
          <w:tcPr>
            <w:tcW w:w="320" w:type="dxa"/>
            <w:vAlign w:val="bottom"/>
            <w:gridSpan w:val="2"/>
          </w:tcPr>
          <w:p>
            <w:pPr>
              <w:jc w:val="right"/>
              <w:ind w:right="32"/>
              <w:spacing w:after="0"/>
              <w:rPr>
                <w:sz w:val="20"/>
                <w:szCs w:val="20"/>
                <w:color w:val="auto"/>
              </w:rPr>
            </w:pPr>
            <w:r>
              <w:rPr>
                <w:rFonts w:ascii="Arial" w:cs="Arial" w:eastAsia="Arial" w:hAnsi="Arial"/>
                <w:sz w:val="14"/>
                <w:szCs w:val="14"/>
                <w:color w:val="auto"/>
              </w:rPr>
              <w:t>€</w:t>
            </w:r>
          </w:p>
        </w:tc>
        <w:tc>
          <w:tcPr>
            <w:tcW w:w="600" w:type="dxa"/>
            <w:vAlign w:val="bottom"/>
          </w:tcPr>
          <w:p>
            <w:pPr>
              <w:ind w:left="460"/>
              <w:spacing w:after="0"/>
              <w:rPr>
                <w:sz w:val="20"/>
                <w:szCs w:val="20"/>
                <w:color w:val="auto"/>
              </w:rPr>
            </w:pPr>
            <w:r>
              <w:rPr>
                <w:rFonts w:ascii="Arial" w:cs="Arial" w:eastAsia="Arial" w:hAnsi="Arial"/>
                <w:sz w:val="14"/>
                <w:szCs w:val="14"/>
                <w:color w:val="auto"/>
                <w:w w:val="85"/>
              </w:rPr>
              <w:t>—</w:t>
            </w:r>
          </w:p>
        </w:tc>
        <w:tc>
          <w:tcPr>
            <w:tcW w:w="320" w:type="dxa"/>
            <w:vAlign w:val="bottom"/>
            <w:gridSpan w:val="2"/>
          </w:tcPr>
          <w:p>
            <w:pPr>
              <w:jc w:val="right"/>
              <w:ind w:right="32"/>
              <w:spacing w:after="0"/>
              <w:rPr>
                <w:sz w:val="20"/>
                <w:szCs w:val="20"/>
                <w:color w:val="auto"/>
              </w:rPr>
            </w:pPr>
            <w:r>
              <w:rPr>
                <w:rFonts w:ascii="Arial" w:cs="Arial" w:eastAsia="Arial" w:hAnsi="Arial"/>
                <w:sz w:val="14"/>
                <w:szCs w:val="14"/>
                <w:color w:val="auto"/>
              </w:rPr>
              <w:t>€</w:t>
            </w:r>
          </w:p>
        </w:tc>
        <w:tc>
          <w:tcPr>
            <w:tcW w:w="760" w:type="dxa"/>
            <w:vAlign w:val="bottom"/>
            <w:gridSpan w:val="2"/>
          </w:tcPr>
          <w:p>
            <w:pPr>
              <w:ind w:left="460"/>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244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05"/>
        </w:trPr>
        <w:tc>
          <w:tcPr>
            <w:tcW w:w="20" w:type="dxa"/>
            <w:vAlign w:val="bottom"/>
          </w:tcPr>
          <w:p>
            <w:pPr>
              <w:spacing w:after="0"/>
              <w:rPr>
                <w:sz w:val="24"/>
                <w:szCs w:val="24"/>
                <w:color w:val="auto"/>
              </w:rPr>
            </w:pPr>
          </w:p>
        </w:tc>
        <w:tc>
          <w:tcPr>
            <w:tcW w:w="3700" w:type="dxa"/>
            <w:vAlign w:val="bottom"/>
            <w:gridSpan w:val="2"/>
            <w:shd w:val="clear" w:color="auto" w:fill="CCEEFF"/>
          </w:tcPr>
          <w:p>
            <w:pPr>
              <w:spacing w:after="0"/>
              <w:rPr>
                <w:sz w:val="20"/>
                <w:szCs w:val="20"/>
                <w:color w:val="auto"/>
              </w:rPr>
            </w:pPr>
            <w:r>
              <w:rPr>
                <w:rFonts w:ascii="Arial" w:cs="Arial" w:eastAsia="Arial" w:hAnsi="Arial"/>
                <w:sz w:val="14"/>
                <w:szCs w:val="14"/>
                <w:i w:val="1"/>
                <w:iCs w:val="1"/>
                <w:color w:val="auto"/>
              </w:rPr>
              <w:t>Pinos Altos Mine</w:t>
            </w:r>
          </w:p>
        </w:tc>
        <w:tc>
          <w:tcPr>
            <w:tcW w:w="84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62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60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60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60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60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700" w:type="dxa"/>
            <w:vAlign w:val="bottom"/>
            <w:gridSpan w:val="2"/>
          </w:tcPr>
          <w:p>
            <w:pPr>
              <w:spacing w:after="0" w:line="149" w:lineRule="exact"/>
              <w:rPr>
                <w:sz w:val="20"/>
                <w:szCs w:val="20"/>
                <w:color w:val="auto"/>
              </w:rPr>
            </w:pPr>
            <w:r>
              <w:rPr>
                <w:rFonts w:ascii="Arial" w:cs="Arial" w:eastAsia="Arial" w:hAnsi="Arial"/>
                <w:sz w:val="14"/>
                <w:szCs w:val="14"/>
                <w:color w:val="auto"/>
              </w:rPr>
              <w:t>Revenues from mining operations</w:t>
            </w:r>
          </w:p>
        </w:tc>
        <w:tc>
          <w:tcPr>
            <w:tcW w:w="980" w:type="dxa"/>
            <w:vAlign w:val="bottom"/>
            <w:gridSpan w:val="2"/>
          </w:tcPr>
          <w:p>
            <w:pPr>
              <w:jc w:val="right"/>
              <w:ind w:right="29"/>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14,182</w:t>
            </w:r>
          </w:p>
        </w:tc>
        <w:tc>
          <w:tcPr>
            <w:tcW w:w="80" w:type="dxa"/>
            <w:vAlign w:val="bottom"/>
          </w:tcPr>
          <w:p>
            <w:pPr>
              <w:spacing w:after="0"/>
              <w:rPr>
                <w:sz w:val="12"/>
                <w:szCs w:val="12"/>
                <w:color w:val="auto"/>
              </w:rPr>
            </w:pPr>
          </w:p>
        </w:tc>
        <w:tc>
          <w:tcPr>
            <w:tcW w:w="220" w:type="dxa"/>
            <w:vAlign w:val="bottom"/>
            <w:gridSpan w:val="2"/>
          </w:tcPr>
          <w:p>
            <w:pPr>
              <w:jc w:val="right"/>
              <w:ind w:right="29"/>
              <w:spacing w:after="0" w:line="149" w:lineRule="exact"/>
              <w:rPr>
                <w:sz w:val="20"/>
                <w:szCs w:val="20"/>
                <w:color w:val="auto"/>
              </w:rPr>
            </w:pPr>
            <w:r>
              <w:rPr>
                <w:rFonts w:ascii="Arial" w:cs="Arial" w:eastAsia="Arial" w:hAnsi="Arial"/>
                <w:sz w:val="14"/>
                <w:szCs w:val="14"/>
                <w:color w:val="auto"/>
              </w:rPr>
              <w:t>$</w:t>
            </w:r>
          </w:p>
        </w:tc>
        <w:tc>
          <w:tcPr>
            <w:tcW w:w="600" w:type="dxa"/>
            <w:vAlign w:val="bottom"/>
          </w:tcPr>
          <w:p>
            <w:pPr>
              <w:ind w:left="460"/>
              <w:spacing w:after="0" w:line="149" w:lineRule="exact"/>
              <w:rPr>
                <w:sz w:val="20"/>
                <w:szCs w:val="20"/>
                <w:color w:val="auto"/>
              </w:rPr>
            </w:pPr>
            <w:r>
              <w:rPr>
                <w:rFonts w:ascii="Arial" w:cs="Arial" w:eastAsia="Arial" w:hAnsi="Arial"/>
                <w:sz w:val="14"/>
                <w:szCs w:val="14"/>
                <w:color w:val="auto"/>
                <w:w w:val="85"/>
              </w:rPr>
              <w:t>—</w:t>
            </w:r>
          </w:p>
        </w:tc>
        <w:tc>
          <w:tcPr>
            <w:tcW w:w="320" w:type="dxa"/>
            <w:vAlign w:val="bottom"/>
            <w:gridSpan w:val="2"/>
          </w:tcPr>
          <w:p>
            <w:pPr>
              <w:jc w:val="right"/>
              <w:ind w:right="29"/>
              <w:spacing w:after="0" w:line="149" w:lineRule="exact"/>
              <w:rPr>
                <w:sz w:val="20"/>
                <w:szCs w:val="20"/>
                <w:color w:val="auto"/>
              </w:rPr>
            </w:pPr>
            <w:r>
              <w:rPr>
                <w:rFonts w:ascii="Arial" w:cs="Arial" w:eastAsia="Arial" w:hAnsi="Arial"/>
                <w:sz w:val="14"/>
                <w:szCs w:val="14"/>
                <w:color w:val="auto"/>
              </w:rPr>
              <w:t>$</w:t>
            </w:r>
          </w:p>
        </w:tc>
        <w:tc>
          <w:tcPr>
            <w:tcW w:w="600" w:type="dxa"/>
            <w:vAlign w:val="bottom"/>
          </w:tcPr>
          <w:p>
            <w:pPr>
              <w:ind w:left="460"/>
              <w:spacing w:after="0" w:line="149" w:lineRule="exact"/>
              <w:rPr>
                <w:sz w:val="20"/>
                <w:szCs w:val="20"/>
                <w:color w:val="auto"/>
              </w:rPr>
            </w:pPr>
            <w:r>
              <w:rPr>
                <w:rFonts w:ascii="Arial" w:cs="Arial" w:eastAsia="Arial" w:hAnsi="Arial"/>
                <w:sz w:val="14"/>
                <w:szCs w:val="14"/>
                <w:color w:val="auto"/>
                <w:w w:val="85"/>
              </w:rPr>
              <w:t>—</w:t>
            </w:r>
          </w:p>
        </w:tc>
        <w:tc>
          <w:tcPr>
            <w:tcW w:w="320" w:type="dxa"/>
            <w:vAlign w:val="bottom"/>
            <w:gridSpan w:val="2"/>
          </w:tcPr>
          <w:p>
            <w:pPr>
              <w:jc w:val="right"/>
              <w:ind w:right="12"/>
              <w:spacing w:after="0" w:line="149" w:lineRule="exact"/>
              <w:rPr>
                <w:sz w:val="20"/>
                <w:szCs w:val="20"/>
                <w:color w:val="auto"/>
              </w:rPr>
            </w:pPr>
            <w:r>
              <w:rPr>
                <w:rFonts w:ascii="Arial" w:cs="Arial" w:eastAsia="Arial" w:hAnsi="Arial"/>
                <w:sz w:val="14"/>
                <w:szCs w:val="14"/>
                <w:color w:val="auto"/>
              </w:rPr>
              <w:t>$</w:t>
            </w:r>
          </w:p>
        </w:tc>
        <w:tc>
          <w:tcPr>
            <w:tcW w:w="600" w:type="dxa"/>
            <w:vAlign w:val="bottom"/>
          </w:tcPr>
          <w:p>
            <w:pPr>
              <w:ind w:left="460"/>
              <w:spacing w:after="0" w:line="149" w:lineRule="exact"/>
              <w:rPr>
                <w:sz w:val="20"/>
                <w:szCs w:val="20"/>
                <w:color w:val="auto"/>
              </w:rPr>
            </w:pPr>
            <w:r>
              <w:rPr>
                <w:rFonts w:ascii="Arial" w:cs="Arial" w:eastAsia="Arial" w:hAnsi="Arial"/>
                <w:sz w:val="14"/>
                <w:szCs w:val="14"/>
                <w:color w:val="auto"/>
                <w:w w:val="85"/>
              </w:rPr>
              <w:t>—</w:t>
            </w:r>
          </w:p>
        </w:tc>
        <w:tc>
          <w:tcPr>
            <w:tcW w:w="320" w:type="dxa"/>
            <w:vAlign w:val="bottom"/>
            <w:gridSpan w:val="2"/>
          </w:tcPr>
          <w:p>
            <w:pPr>
              <w:jc w:val="right"/>
              <w:ind w:right="12"/>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tcPr>
          <w:p>
            <w:pPr>
              <w:ind w:left="4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7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Production costs</w:t>
            </w:r>
          </w:p>
        </w:tc>
        <w:tc>
          <w:tcPr>
            <w:tcW w:w="8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11,819</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00" w:type="dxa"/>
            <w:vAlign w:val="bottom"/>
            <w:shd w:val="clear" w:color="auto" w:fill="CCEEFF"/>
          </w:tcPr>
          <w:p>
            <w:pPr>
              <w:ind w:left="460"/>
              <w:spacing w:after="0" w:line="149" w:lineRule="exact"/>
              <w:rPr>
                <w:sz w:val="20"/>
                <w:szCs w:val="20"/>
                <w:color w:val="auto"/>
              </w:rPr>
            </w:pPr>
            <w:r>
              <w:rPr>
                <w:rFonts w:ascii="Arial" w:cs="Arial" w:eastAsia="Arial" w:hAnsi="Arial"/>
                <w:sz w:val="14"/>
                <w:szCs w:val="14"/>
                <w:color w:val="auto"/>
                <w:w w:val="85"/>
              </w:rPr>
              <w:t>—</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00" w:type="dxa"/>
            <w:vAlign w:val="bottom"/>
            <w:shd w:val="clear" w:color="auto" w:fill="CCEEFF"/>
          </w:tcPr>
          <w:p>
            <w:pPr>
              <w:ind w:left="460"/>
              <w:spacing w:after="0" w:line="149" w:lineRule="exact"/>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00" w:type="dxa"/>
            <w:vAlign w:val="bottom"/>
            <w:shd w:val="clear" w:color="auto" w:fill="CCEEFF"/>
          </w:tcPr>
          <w:p>
            <w:pPr>
              <w:ind w:left="460"/>
              <w:spacing w:after="0" w:line="149" w:lineRule="exact"/>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ind w:left="4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7"/>
        </w:trPr>
        <w:tc>
          <w:tcPr>
            <w:tcW w:w="3720" w:type="dxa"/>
            <w:vAlign w:val="bottom"/>
            <w:gridSpan w:val="3"/>
            <w:vMerge w:val="restart"/>
          </w:tcPr>
          <w:p>
            <w:pPr>
              <w:spacing w:after="0"/>
              <w:rPr>
                <w:sz w:val="20"/>
                <w:szCs w:val="20"/>
                <w:color w:val="auto"/>
              </w:rPr>
            </w:pPr>
            <w:r>
              <w:rPr>
                <w:rFonts w:ascii="Arial" w:cs="Arial" w:eastAsia="Arial" w:hAnsi="Arial"/>
                <w:sz w:val="14"/>
                <w:szCs w:val="14"/>
                <w:color w:val="auto"/>
              </w:rPr>
              <w:t>Gross profit (exclusive of amortization shown below)</w:t>
            </w:r>
          </w:p>
        </w:tc>
        <w:tc>
          <w:tcPr>
            <w:tcW w:w="980" w:type="dxa"/>
            <w:vAlign w:val="bottom"/>
            <w:gridSpan w:val="2"/>
          </w:tcPr>
          <w:p>
            <w:pPr>
              <w:spacing w:after="0"/>
              <w:rPr>
                <w:sz w:val="2"/>
                <w:szCs w:val="2"/>
                <w:color w:val="auto"/>
              </w:rPr>
            </w:pPr>
          </w:p>
        </w:tc>
        <w:tc>
          <w:tcPr>
            <w:tcW w:w="620" w:type="dxa"/>
            <w:vAlign w:val="bottom"/>
          </w:tcPr>
          <w:p>
            <w:pPr>
              <w:spacing w:after="0"/>
              <w:rPr>
                <w:sz w:val="2"/>
                <w:szCs w:val="2"/>
                <w:color w:val="auto"/>
              </w:rPr>
            </w:pPr>
          </w:p>
        </w:tc>
        <w:tc>
          <w:tcPr>
            <w:tcW w:w="80" w:type="dxa"/>
            <w:vAlign w:val="bottom"/>
          </w:tcPr>
          <w:p>
            <w:pPr>
              <w:spacing w:after="0"/>
              <w:rPr>
                <w:sz w:val="2"/>
                <w:szCs w:val="2"/>
                <w:color w:val="auto"/>
              </w:rPr>
            </w:pPr>
          </w:p>
        </w:tc>
        <w:tc>
          <w:tcPr>
            <w:tcW w:w="220" w:type="dxa"/>
            <w:vAlign w:val="bottom"/>
            <w:gridSpan w:val="2"/>
          </w:tcPr>
          <w:p>
            <w:pPr>
              <w:spacing w:after="0"/>
              <w:rPr>
                <w:sz w:val="2"/>
                <w:szCs w:val="2"/>
                <w:color w:val="auto"/>
              </w:rPr>
            </w:pPr>
          </w:p>
        </w:tc>
        <w:tc>
          <w:tcPr>
            <w:tcW w:w="600" w:type="dxa"/>
            <w:vAlign w:val="bottom"/>
          </w:tcPr>
          <w:p>
            <w:pPr>
              <w:spacing w:after="0"/>
              <w:rPr>
                <w:sz w:val="2"/>
                <w:szCs w:val="2"/>
                <w:color w:val="auto"/>
              </w:rPr>
            </w:pPr>
          </w:p>
        </w:tc>
        <w:tc>
          <w:tcPr>
            <w:tcW w:w="320" w:type="dxa"/>
            <w:vAlign w:val="bottom"/>
            <w:gridSpan w:val="2"/>
          </w:tcPr>
          <w:p>
            <w:pPr>
              <w:spacing w:after="0"/>
              <w:rPr>
                <w:sz w:val="2"/>
                <w:szCs w:val="2"/>
                <w:color w:val="auto"/>
              </w:rPr>
            </w:pPr>
          </w:p>
        </w:tc>
        <w:tc>
          <w:tcPr>
            <w:tcW w:w="600" w:type="dxa"/>
            <w:vAlign w:val="bottom"/>
          </w:tcPr>
          <w:p>
            <w:pPr>
              <w:spacing w:after="0"/>
              <w:rPr>
                <w:sz w:val="2"/>
                <w:szCs w:val="2"/>
                <w:color w:val="auto"/>
              </w:rPr>
            </w:pPr>
          </w:p>
        </w:tc>
        <w:tc>
          <w:tcPr>
            <w:tcW w:w="320" w:type="dxa"/>
            <w:vAlign w:val="bottom"/>
            <w:gridSpan w:val="2"/>
          </w:tcPr>
          <w:p>
            <w:pPr>
              <w:spacing w:after="0"/>
              <w:rPr>
                <w:sz w:val="2"/>
                <w:szCs w:val="2"/>
                <w:color w:val="auto"/>
              </w:rPr>
            </w:pPr>
          </w:p>
        </w:tc>
        <w:tc>
          <w:tcPr>
            <w:tcW w:w="600" w:type="dxa"/>
            <w:vAlign w:val="bottom"/>
          </w:tcPr>
          <w:p>
            <w:pPr>
              <w:spacing w:after="0"/>
              <w:rPr>
                <w:sz w:val="2"/>
                <w:szCs w:val="2"/>
                <w:color w:val="auto"/>
              </w:rPr>
            </w:pPr>
          </w:p>
        </w:tc>
        <w:tc>
          <w:tcPr>
            <w:tcW w:w="320" w:type="dxa"/>
            <w:vAlign w:val="bottom"/>
            <w:gridSpan w:val="2"/>
          </w:tcPr>
          <w:p>
            <w:pPr>
              <w:spacing w:after="0"/>
              <w:rPr>
                <w:sz w:val="2"/>
                <w:szCs w:val="2"/>
                <w:color w:val="auto"/>
              </w:rPr>
            </w:pPr>
          </w:p>
        </w:tc>
        <w:tc>
          <w:tcPr>
            <w:tcW w:w="760" w:type="dxa"/>
            <w:vAlign w:val="bottom"/>
            <w:gridSpan w:val="2"/>
          </w:tcPr>
          <w:p>
            <w:pPr>
              <w:spacing w:after="0"/>
              <w:rPr>
                <w:sz w:val="2"/>
                <w:szCs w:val="2"/>
                <w:color w:val="auto"/>
              </w:rPr>
            </w:pPr>
          </w:p>
        </w:tc>
        <w:tc>
          <w:tcPr>
            <w:tcW w:w="0" w:type="dxa"/>
            <w:vAlign w:val="bottom"/>
          </w:tcPr>
          <w:p>
            <w:pPr>
              <w:spacing w:after="0"/>
              <w:rPr>
                <w:sz w:val="1"/>
                <w:szCs w:val="1"/>
                <w:color w:val="auto"/>
              </w:rPr>
            </w:pPr>
          </w:p>
        </w:tc>
      </w:tr>
      <w:tr>
        <w:trPr>
          <w:trHeight w:val="142"/>
        </w:trPr>
        <w:tc>
          <w:tcPr>
            <w:tcW w:w="3720" w:type="dxa"/>
            <w:vAlign w:val="bottom"/>
            <w:gridSpan w:val="3"/>
            <w:vMerge w:val="continue"/>
          </w:tcPr>
          <w:p>
            <w:pPr>
              <w:spacing w:after="0"/>
              <w:rPr>
                <w:sz w:val="12"/>
                <w:szCs w:val="12"/>
                <w:color w:val="auto"/>
              </w:rPr>
            </w:pPr>
          </w:p>
        </w:tc>
        <w:tc>
          <w:tcPr>
            <w:tcW w:w="840" w:type="dxa"/>
            <w:vAlign w:val="bottom"/>
          </w:tcPr>
          <w:p>
            <w:pPr>
              <w:spacing w:after="0"/>
              <w:rPr>
                <w:sz w:val="12"/>
                <w:szCs w:val="12"/>
                <w:color w:val="auto"/>
              </w:rPr>
            </w:pPr>
          </w:p>
        </w:tc>
        <w:tc>
          <w:tcPr>
            <w:tcW w:w="140" w:type="dxa"/>
            <w:vAlign w:val="bottom"/>
            <w:tcBorders>
              <w:top w:val="single" w:sz="8" w:color="auto"/>
            </w:tcBorders>
          </w:tcPr>
          <w:p>
            <w:pPr>
              <w:jc w:val="right"/>
              <w:ind w:right="29"/>
              <w:spacing w:after="0"/>
              <w:rPr>
                <w:sz w:val="20"/>
                <w:szCs w:val="20"/>
                <w:color w:val="auto"/>
              </w:rPr>
            </w:pPr>
            <w:r>
              <w:rPr>
                <w:rFonts w:ascii="Arial" w:cs="Arial" w:eastAsia="Arial" w:hAnsi="Arial"/>
                <w:sz w:val="10"/>
                <w:szCs w:val="10"/>
                <w:color w:val="auto"/>
                <w:w w:val="71"/>
              </w:rPr>
              <w:t>$</w:t>
            </w:r>
          </w:p>
        </w:tc>
        <w:tc>
          <w:tcPr>
            <w:tcW w:w="62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color w:val="auto"/>
              </w:rPr>
              <w:t>2,363</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Borders>
              <w:top w:val="single" w:sz="8" w:color="auto"/>
            </w:tcBorders>
          </w:tcPr>
          <w:p>
            <w:pPr>
              <w:jc w:val="right"/>
              <w:ind w:right="29"/>
              <w:spacing w:after="0"/>
              <w:rPr>
                <w:sz w:val="20"/>
                <w:szCs w:val="20"/>
                <w:color w:val="auto"/>
              </w:rPr>
            </w:pPr>
            <w:r>
              <w:rPr>
                <w:rFonts w:ascii="Arial" w:cs="Arial" w:eastAsia="Arial" w:hAnsi="Arial"/>
                <w:sz w:val="10"/>
                <w:szCs w:val="10"/>
                <w:color w:val="auto"/>
                <w:w w:val="71"/>
              </w:rPr>
              <w:t>$</w:t>
            </w:r>
          </w:p>
        </w:tc>
        <w:tc>
          <w:tcPr>
            <w:tcW w:w="600" w:type="dxa"/>
            <w:vAlign w:val="bottom"/>
            <w:tcBorders>
              <w:top w:val="single" w:sz="8" w:color="auto"/>
            </w:tcBorders>
          </w:tcPr>
          <w:p>
            <w:pPr>
              <w:ind w:left="460"/>
              <w:spacing w:after="0" w:line="142" w:lineRule="exact"/>
              <w:rPr>
                <w:sz w:val="20"/>
                <w:szCs w:val="20"/>
                <w:color w:val="auto"/>
              </w:rPr>
            </w:pPr>
            <w:r>
              <w:rPr>
                <w:rFonts w:ascii="Arial" w:cs="Arial" w:eastAsia="Arial" w:hAnsi="Arial"/>
                <w:sz w:val="14"/>
                <w:szCs w:val="14"/>
                <w:color w:val="auto"/>
                <w:w w:val="85"/>
              </w:rPr>
              <w:t>—</w:t>
            </w:r>
          </w:p>
        </w:tc>
        <w:tc>
          <w:tcPr>
            <w:tcW w:w="180" w:type="dxa"/>
            <w:vAlign w:val="bottom"/>
          </w:tcPr>
          <w:p>
            <w:pPr>
              <w:spacing w:after="0"/>
              <w:rPr>
                <w:sz w:val="12"/>
                <w:szCs w:val="12"/>
                <w:color w:val="auto"/>
              </w:rPr>
            </w:pPr>
          </w:p>
        </w:tc>
        <w:tc>
          <w:tcPr>
            <w:tcW w:w="140" w:type="dxa"/>
            <w:vAlign w:val="bottom"/>
            <w:tcBorders>
              <w:top w:val="single" w:sz="8" w:color="auto"/>
            </w:tcBorders>
          </w:tcPr>
          <w:p>
            <w:pPr>
              <w:jc w:val="right"/>
              <w:ind w:right="29"/>
              <w:spacing w:after="0"/>
              <w:rPr>
                <w:sz w:val="20"/>
                <w:szCs w:val="20"/>
                <w:color w:val="auto"/>
              </w:rPr>
            </w:pPr>
            <w:r>
              <w:rPr>
                <w:rFonts w:ascii="Arial" w:cs="Arial" w:eastAsia="Arial" w:hAnsi="Arial"/>
                <w:sz w:val="10"/>
                <w:szCs w:val="10"/>
                <w:color w:val="auto"/>
                <w:w w:val="71"/>
              </w:rPr>
              <w:t>$</w:t>
            </w:r>
          </w:p>
        </w:tc>
        <w:tc>
          <w:tcPr>
            <w:tcW w:w="600" w:type="dxa"/>
            <w:vAlign w:val="bottom"/>
            <w:tcBorders>
              <w:top w:val="single" w:sz="8" w:color="auto"/>
            </w:tcBorders>
          </w:tcPr>
          <w:p>
            <w:pPr>
              <w:ind w:left="460"/>
              <w:spacing w:after="0" w:line="142" w:lineRule="exact"/>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2"/>
                <w:szCs w:val="12"/>
                <w:color w:val="auto"/>
              </w:rPr>
            </w:pPr>
          </w:p>
        </w:tc>
        <w:tc>
          <w:tcPr>
            <w:tcW w:w="160" w:type="dxa"/>
            <w:vAlign w:val="bottom"/>
            <w:tcBorders>
              <w:top w:val="single" w:sz="8" w:color="auto"/>
            </w:tcBorders>
          </w:tcPr>
          <w:p>
            <w:pPr>
              <w:jc w:val="right"/>
              <w:ind w:right="12"/>
              <w:spacing w:after="0" w:line="142" w:lineRule="exact"/>
              <w:rPr>
                <w:sz w:val="20"/>
                <w:szCs w:val="20"/>
                <w:color w:val="auto"/>
              </w:rPr>
            </w:pPr>
            <w:r>
              <w:rPr>
                <w:rFonts w:ascii="Arial" w:cs="Arial" w:eastAsia="Arial" w:hAnsi="Arial"/>
                <w:sz w:val="14"/>
                <w:szCs w:val="14"/>
                <w:color w:val="auto"/>
                <w:w w:val="76"/>
              </w:rPr>
              <w:t>$</w:t>
            </w:r>
          </w:p>
        </w:tc>
        <w:tc>
          <w:tcPr>
            <w:tcW w:w="600" w:type="dxa"/>
            <w:vAlign w:val="bottom"/>
            <w:tcBorders>
              <w:top w:val="single" w:sz="8" w:color="auto"/>
            </w:tcBorders>
          </w:tcPr>
          <w:p>
            <w:pPr>
              <w:ind w:left="460"/>
              <w:spacing w:after="0" w:line="142" w:lineRule="exact"/>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2"/>
                <w:szCs w:val="12"/>
                <w:color w:val="auto"/>
              </w:rPr>
            </w:pPr>
          </w:p>
        </w:tc>
        <w:tc>
          <w:tcPr>
            <w:tcW w:w="160" w:type="dxa"/>
            <w:vAlign w:val="bottom"/>
            <w:tcBorders>
              <w:top w:val="single" w:sz="8" w:color="auto"/>
            </w:tcBorders>
          </w:tcPr>
          <w:p>
            <w:pPr>
              <w:jc w:val="right"/>
              <w:ind w:right="12"/>
              <w:spacing w:after="0" w:line="142" w:lineRule="exact"/>
              <w:rPr>
                <w:sz w:val="20"/>
                <w:szCs w:val="20"/>
                <w:color w:val="auto"/>
              </w:rPr>
            </w:pPr>
            <w:r>
              <w:rPr>
                <w:rFonts w:ascii="Arial" w:cs="Arial" w:eastAsia="Arial" w:hAnsi="Arial"/>
                <w:sz w:val="14"/>
                <w:szCs w:val="14"/>
                <w:color w:val="auto"/>
                <w:w w:val="76"/>
              </w:rPr>
              <w:t>$</w:t>
            </w:r>
          </w:p>
        </w:tc>
        <w:tc>
          <w:tcPr>
            <w:tcW w:w="600" w:type="dxa"/>
            <w:vAlign w:val="bottom"/>
            <w:tcBorders>
              <w:top w:val="single" w:sz="8" w:color="auto"/>
            </w:tcBorders>
          </w:tcPr>
          <w:p>
            <w:pPr>
              <w:ind w:left="460"/>
              <w:spacing w:after="0" w:line="142" w:lineRule="exact"/>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7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Amortization</w:t>
            </w:r>
          </w:p>
        </w:tc>
        <w:tc>
          <w:tcPr>
            <w:tcW w:w="8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1,524</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00" w:type="dxa"/>
            <w:vAlign w:val="bottom"/>
            <w:shd w:val="clear" w:color="auto" w:fill="CCEEFF"/>
          </w:tcPr>
          <w:p>
            <w:pPr>
              <w:ind w:left="460"/>
              <w:spacing w:after="0" w:line="149" w:lineRule="exact"/>
              <w:rPr>
                <w:sz w:val="20"/>
                <w:szCs w:val="20"/>
                <w:color w:val="auto"/>
              </w:rPr>
            </w:pPr>
            <w:r>
              <w:rPr>
                <w:rFonts w:ascii="Arial" w:cs="Arial" w:eastAsia="Arial" w:hAnsi="Arial"/>
                <w:sz w:val="14"/>
                <w:szCs w:val="14"/>
                <w:color w:val="auto"/>
                <w:w w:val="85"/>
              </w:rPr>
              <w:t>—</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00" w:type="dxa"/>
            <w:vAlign w:val="bottom"/>
            <w:shd w:val="clear" w:color="auto" w:fill="CCEEFF"/>
          </w:tcPr>
          <w:p>
            <w:pPr>
              <w:ind w:left="460"/>
              <w:spacing w:after="0" w:line="149" w:lineRule="exact"/>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00" w:type="dxa"/>
            <w:vAlign w:val="bottom"/>
            <w:shd w:val="clear" w:color="auto" w:fill="CCEEFF"/>
          </w:tcPr>
          <w:p>
            <w:pPr>
              <w:ind w:left="460"/>
              <w:spacing w:after="0" w:line="149" w:lineRule="exact"/>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ind w:left="4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7"/>
        </w:trPr>
        <w:tc>
          <w:tcPr>
            <w:tcW w:w="3720" w:type="dxa"/>
            <w:vAlign w:val="bottom"/>
            <w:gridSpan w:val="3"/>
            <w:vMerge w:val="restart"/>
          </w:tcPr>
          <w:p>
            <w:pPr>
              <w:spacing w:after="0"/>
              <w:rPr>
                <w:sz w:val="20"/>
                <w:szCs w:val="20"/>
                <w:color w:val="auto"/>
              </w:rPr>
            </w:pPr>
            <w:r>
              <w:rPr>
                <w:rFonts w:ascii="Arial" w:cs="Arial" w:eastAsia="Arial" w:hAnsi="Arial"/>
                <w:sz w:val="14"/>
                <w:szCs w:val="14"/>
                <w:color w:val="auto"/>
              </w:rPr>
              <w:t>Gross profit</w:t>
            </w:r>
          </w:p>
        </w:tc>
        <w:tc>
          <w:tcPr>
            <w:tcW w:w="980" w:type="dxa"/>
            <w:vAlign w:val="bottom"/>
            <w:gridSpan w:val="2"/>
          </w:tcPr>
          <w:p>
            <w:pPr>
              <w:spacing w:after="0"/>
              <w:rPr>
                <w:sz w:val="2"/>
                <w:szCs w:val="2"/>
                <w:color w:val="auto"/>
              </w:rPr>
            </w:pPr>
          </w:p>
        </w:tc>
        <w:tc>
          <w:tcPr>
            <w:tcW w:w="620" w:type="dxa"/>
            <w:vAlign w:val="bottom"/>
          </w:tcPr>
          <w:p>
            <w:pPr>
              <w:spacing w:after="0"/>
              <w:rPr>
                <w:sz w:val="2"/>
                <w:szCs w:val="2"/>
                <w:color w:val="auto"/>
              </w:rPr>
            </w:pPr>
          </w:p>
        </w:tc>
        <w:tc>
          <w:tcPr>
            <w:tcW w:w="80" w:type="dxa"/>
            <w:vAlign w:val="bottom"/>
          </w:tcPr>
          <w:p>
            <w:pPr>
              <w:spacing w:after="0"/>
              <w:rPr>
                <w:sz w:val="2"/>
                <w:szCs w:val="2"/>
                <w:color w:val="auto"/>
              </w:rPr>
            </w:pPr>
          </w:p>
        </w:tc>
        <w:tc>
          <w:tcPr>
            <w:tcW w:w="220" w:type="dxa"/>
            <w:vAlign w:val="bottom"/>
            <w:gridSpan w:val="2"/>
          </w:tcPr>
          <w:p>
            <w:pPr>
              <w:spacing w:after="0"/>
              <w:rPr>
                <w:sz w:val="2"/>
                <w:szCs w:val="2"/>
                <w:color w:val="auto"/>
              </w:rPr>
            </w:pPr>
          </w:p>
        </w:tc>
        <w:tc>
          <w:tcPr>
            <w:tcW w:w="600" w:type="dxa"/>
            <w:vAlign w:val="bottom"/>
          </w:tcPr>
          <w:p>
            <w:pPr>
              <w:spacing w:after="0"/>
              <w:rPr>
                <w:sz w:val="2"/>
                <w:szCs w:val="2"/>
                <w:color w:val="auto"/>
              </w:rPr>
            </w:pPr>
          </w:p>
        </w:tc>
        <w:tc>
          <w:tcPr>
            <w:tcW w:w="320" w:type="dxa"/>
            <w:vAlign w:val="bottom"/>
            <w:gridSpan w:val="2"/>
          </w:tcPr>
          <w:p>
            <w:pPr>
              <w:spacing w:after="0"/>
              <w:rPr>
                <w:sz w:val="2"/>
                <w:szCs w:val="2"/>
                <w:color w:val="auto"/>
              </w:rPr>
            </w:pPr>
          </w:p>
        </w:tc>
        <w:tc>
          <w:tcPr>
            <w:tcW w:w="600" w:type="dxa"/>
            <w:vAlign w:val="bottom"/>
          </w:tcPr>
          <w:p>
            <w:pPr>
              <w:spacing w:after="0"/>
              <w:rPr>
                <w:sz w:val="2"/>
                <w:szCs w:val="2"/>
                <w:color w:val="auto"/>
              </w:rPr>
            </w:pPr>
          </w:p>
        </w:tc>
        <w:tc>
          <w:tcPr>
            <w:tcW w:w="320" w:type="dxa"/>
            <w:vAlign w:val="bottom"/>
            <w:gridSpan w:val="2"/>
          </w:tcPr>
          <w:p>
            <w:pPr>
              <w:spacing w:after="0"/>
              <w:rPr>
                <w:sz w:val="2"/>
                <w:szCs w:val="2"/>
                <w:color w:val="auto"/>
              </w:rPr>
            </w:pPr>
          </w:p>
        </w:tc>
        <w:tc>
          <w:tcPr>
            <w:tcW w:w="600" w:type="dxa"/>
            <w:vAlign w:val="bottom"/>
          </w:tcPr>
          <w:p>
            <w:pPr>
              <w:spacing w:after="0"/>
              <w:rPr>
                <w:sz w:val="2"/>
                <w:szCs w:val="2"/>
                <w:color w:val="auto"/>
              </w:rPr>
            </w:pPr>
          </w:p>
        </w:tc>
        <w:tc>
          <w:tcPr>
            <w:tcW w:w="320" w:type="dxa"/>
            <w:vAlign w:val="bottom"/>
            <w:gridSpan w:val="2"/>
          </w:tcPr>
          <w:p>
            <w:pPr>
              <w:spacing w:after="0"/>
              <w:rPr>
                <w:sz w:val="2"/>
                <w:szCs w:val="2"/>
                <w:color w:val="auto"/>
              </w:rPr>
            </w:pPr>
          </w:p>
        </w:tc>
        <w:tc>
          <w:tcPr>
            <w:tcW w:w="760" w:type="dxa"/>
            <w:vAlign w:val="bottom"/>
            <w:gridSpan w:val="2"/>
          </w:tcPr>
          <w:p>
            <w:pPr>
              <w:spacing w:after="0"/>
              <w:rPr>
                <w:sz w:val="2"/>
                <w:szCs w:val="2"/>
                <w:color w:val="auto"/>
              </w:rPr>
            </w:pPr>
          </w:p>
        </w:tc>
        <w:tc>
          <w:tcPr>
            <w:tcW w:w="0" w:type="dxa"/>
            <w:vAlign w:val="bottom"/>
          </w:tcPr>
          <w:p>
            <w:pPr>
              <w:spacing w:after="0"/>
              <w:rPr>
                <w:sz w:val="1"/>
                <w:szCs w:val="1"/>
                <w:color w:val="auto"/>
              </w:rPr>
            </w:pPr>
          </w:p>
        </w:tc>
      </w:tr>
      <w:tr>
        <w:trPr>
          <w:trHeight w:val="167"/>
        </w:trPr>
        <w:tc>
          <w:tcPr>
            <w:tcW w:w="3720" w:type="dxa"/>
            <w:vAlign w:val="bottom"/>
            <w:gridSpan w:val="3"/>
            <w:vMerge w:val="continue"/>
          </w:tcPr>
          <w:p>
            <w:pPr>
              <w:spacing w:after="0"/>
              <w:rPr>
                <w:sz w:val="14"/>
                <w:szCs w:val="14"/>
                <w:color w:val="auto"/>
              </w:rPr>
            </w:pPr>
          </w:p>
        </w:tc>
        <w:tc>
          <w:tcPr>
            <w:tcW w:w="840" w:type="dxa"/>
            <w:vAlign w:val="bottom"/>
          </w:tcPr>
          <w:p>
            <w:pPr>
              <w:spacing w:after="0"/>
              <w:rPr>
                <w:sz w:val="14"/>
                <w:szCs w:val="14"/>
                <w:color w:val="auto"/>
              </w:rPr>
            </w:pPr>
          </w:p>
        </w:tc>
        <w:tc>
          <w:tcPr>
            <w:tcW w:w="140" w:type="dxa"/>
            <w:vAlign w:val="bottom"/>
            <w:tcBorders>
              <w:top w:val="single" w:sz="8" w:color="auto"/>
              <w:bottom w:val="single" w:sz="8" w:color="auto"/>
            </w:tcBorders>
          </w:tcPr>
          <w:p>
            <w:pPr>
              <w:jc w:val="right"/>
              <w:ind w:right="29"/>
              <w:spacing w:after="0"/>
              <w:rPr>
                <w:sz w:val="20"/>
                <w:szCs w:val="20"/>
                <w:color w:val="auto"/>
              </w:rPr>
            </w:pPr>
            <w:r>
              <w:rPr>
                <w:rFonts w:ascii="Arial" w:cs="Arial" w:eastAsia="Arial" w:hAnsi="Arial"/>
                <w:sz w:val="10"/>
                <w:szCs w:val="10"/>
                <w:color w:val="auto"/>
                <w:w w:val="71"/>
              </w:rPr>
              <w:t>$</w:t>
            </w: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839</w:t>
            </w: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40" w:type="dxa"/>
            <w:vAlign w:val="bottom"/>
            <w:tcBorders>
              <w:top w:val="single" w:sz="8" w:color="auto"/>
              <w:bottom w:val="single" w:sz="8" w:color="auto"/>
            </w:tcBorders>
          </w:tcPr>
          <w:p>
            <w:pPr>
              <w:jc w:val="right"/>
              <w:ind w:right="29"/>
              <w:spacing w:after="0"/>
              <w:rPr>
                <w:sz w:val="20"/>
                <w:szCs w:val="20"/>
                <w:color w:val="auto"/>
              </w:rPr>
            </w:pPr>
            <w:r>
              <w:rPr>
                <w:rFonts w:ascii="Arial" w:cs="Arial" w:eastAsia="Arial" w:hAnsi="Arial"/>
                <w:sz w:val="10"/>
                <w:szCs w:val="10"/>
                <w:color w:val="auto"/>
                <w:w w:val="71"/>
              </w:rPr>
              <w:t>$</w:t>
            </w:r>
          </w:p>
        </w:tc>
        <w:tc>
          <w:tcPr>
            <w:tcW w:w="600" w:type="dxa"/>
            <w:vAlign w:val="bottom"/>
            <w:tcBorders>
              <w:top w:val="single" w:sz="8" w:color="auto"/>
              <w:bottom w:val="single" w:sz="8" w:color="auto"/>
            </w:tcBorders>
          </w:tcPr>
          <w:p>
            <w:pPr>
              <w:ind w:left="460"/>
              <w:spacing w:after="0"/>
              <w:rPr>
                <w:sz w:val="20"/>
                <w:szCs w:val="20"/>
                <w:color w:val="auto"/>
              </w:rPr>
            </w:pPr>
            <w:r>
              <w:rPr>
                <w:rFonts w:ascii="Arial" w:cs="Arial" w:eastAsia="Arial" w:hAnsi="Arial"/>
                <w:sz w:val="14"/>
                <w:szCs w:val="14"/>
                <w:color w:val="auto"/>
                <w:w w:val="85"/>
              </w:rPr>
              <w:t>—</w:t>
            </w:r>
          </w:p>
        </w:tc>
        <w:tc>
          <w:tcPr>
            <w:tcW w:w="180" w:type="dxa"/>
            <w:vAlign w:val="bottom"/>
          </w:tcPr>
          <w:p>
            <w:pPr>
              <w:spacing w:after="0"/>
              <w:rPr>
                <w:sz w:val="14"/>
                <w:szCs w:val="14"/>
                <w:color w:val="auto"/>
              </w:rPr>
            </w:pPr>
          </w:p>
        </w:tc>
        <w:tc>
          <w:tcPr>
            <w:tcW w:w="140" w:type="dxa"/>
            <w:vAlign w:val="bottom"/>
            <w:tcBorders>
              <w:top w:val="single" w:sz="8" w:color="auto"/>
              <w:bottom w:val="single" w:sz="8" w:color="auto"/>
            </w:tcBorders>
          </w:tcPr>
          <w:p>
            <w:pPr>
              <w:jc w:val="right"/>
              <w:ind w:right="29"/>
              <w:spacing w:after="0"/>
              <w:rPr>
                <w:sz w:val="20"/>
                <w:szCs w:val="20"/>
                <w:color w:val="auto"/>
              </w:rPr>
            </w:pPr>
            <w:r>
              <w:rPr>
                <w:rFonts w:ascii="Arial" w:cs="Arial" w:eastAsia="Arial" w:hAnsi="Arial"/>
                <w:sz w:val="10"/>
                <w:szCs w:val="10"/>
                <w:color w:val="auto"/>
                <w:w w:val="71"/>
              </w:rPr>
              <w:t>$</w:t>
            </w:r>
          </w:p>
        </w:tc>
        <w:tc>
          <w:tcPr>
            <w:tcW w:w="600" w:type="dxa"/>
            <w:vAlign w:val="bottom"/>
            <w:tcBorders>
              <w:top w:val="single" w:sz="8" w:color="auto"/>
              <w:bottom w:val="single" w:sz="8" w:color="auto"/>
            </w:tcBorders>
          </w:tcPr>
          <w:p>
            <w:pPr>
              <w:ind w:left="460"/>
              <w:spacing w:after="0"/>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4"/>
                <w:szCs w:val="14"/>
                <w:color w:val="auto"/>
              </w:rPr>
            </w:pPr>
          </w:p>
        </w:tc>
        <w:tc>
          <w:tcPr>
            <w:tcW w:w="160" w:type="dxa"/>
            <w:vAlign w:val="bottom"/>
            <w:tcBorders>
              <w:top w:val="single" w:sz="8" w:color="auto"/>
              <w:bottom w:val="single" w:sz="8" w:color="auto"/>
            </w:tcBorders>
          </w:tcPr>
          <w:p>
            <w:pPr>
              <w:jc w:val="right"/>
              <w:ind w:right="12"/>
              <w:spacing w:after="0"/>
              <w:rPr>
                <w:sz w:val="20"/>
                <w:szCs w:val="20"/>
                <w:color w:val="auto"/>
              </w:rPr>
            </w:pPr>
            <w:r>
              <w:rPr>
                <w:rFonts w:ascii="Arial" w:cs="Arial" w:eastAsia="Arial" w:hAnsi="Arial"/>
                <w:sz w:val="14"/>
                <w:szCs w:val="14"/>
                <w:color w:val="auto"/>
                <w:w w:val="76"/>
              </w:rPr>
              <w:t>$</w:t>
            </w:r>
          </w:p>
        </w:tc>
        <w:tc>
          <w:tcPr>
            <w:tcW w:w="600" w:type="dxa"/>
            <w:vAlign w:val="bottom"/>
            <w:tcBorders>
              <w:top w:val="single" w:sz="8" w:color="auto"/>
              <w:bottom w:val="single" w:sz="8" w:color="auto"/>
            </w:tcBorders>
          </w:tcPr>
          <w:p>
            <w:pPr>
              <w:ind w:left="460"/>
              <w:spacing w:after="0"/>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4"/>
                <w:szCs w:val="14"/>
                <w:color w:val="auto"/>
              </w:rPr>
            </w:pPr>
          </w:p>
        </w:tc>
        <w:tc>
          <w:tcPr>
            <w:tcW w:w="160" w:type="dxa"/>
            <w:vAlign w:val="bottom"/>
            <w:tcBorders>
              <w:top w:val="single" w:sz="8" w:color="auto"/>
              <w:bottom w:val="single" w:sz="8" w:color="auto"/>
            </w:tcBorders>
          </w:tcPr>
          <w:p>
            <w:pPr>
              <w:jc w:val="right"/>
              <w:ind w:right="12"/>
              <w:spacing w:after="0"/>
              <w:rPr>
                <w:sz w:val="20"/>
                <w:szCs w:val="20"/>
                <w:color w:val="auto"/>
              </w:rPr>
            </w:pPr>
            <w:r>
              <w:rPr>
                <w:rFonts w:ascii="Arial" w:cs="Arial" w:eastAsia="Arial" w:hAnsi="Arial"/>
                <w:sz w:val="14"/>
                <w:szCs w:val="14"/>
                <w:color w:val="auto"/>
                <w:w w:val="76"/>
              </w:rPr>
              <w:t>$</w:t>
            </w:r>
          </w:p>
        </w:tc>
        <w:tc>
          <w:tcPr>
            <w:tcW w:w="600" w:type="dxa"/>
            <w:vAlign w:val="bottom"/>
            <w:tcBorders>
              <w:top w:val="single" w:sz="8" w:color="auto"/>
              <w:bottom w:val="single" w:sz="8" w:color="auto"/>
            </w:tcBorders>
          </w:tcPr>
          <w:p>
            <w:pPr>
              <w:ind w:left="460"/>
              <w:spacing w:after="0"/>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244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1"/>
        </w:trPr>
        <w:tc>
          <w:tcPr>
            <w:tcW w:w="20" w:type="dxa"/>
            <w:vAlign w:val="bottom"/>
          </w:tcPr>
          <w:p>
            <w:pPr>
              <w:spacing w:after="0"/>
              <w:rPr>
                <w:sz w:val="11"/>
                <w:szCs w:val="11"/>
                <w:color w:val="auto"/>
              </w:rPr>
            </w:pPr>
          </w:p>
        </w:tc>
        <w:tc>
          <w:tcPr>
            <w:tcW w:w="3700" w:type="dxa"/>
            <w:vAlign w:val="bottom"/>
            <w:gridSpan w:val="2"/>
            <w:shd w:val="clear" w:color="auto" w:fill="CCEEFF"/>
          </w:tcPr>
          <w:p>
            <w:pPr>
              <w:spacing w:after="0" w:line="131" w:lineRule="exact"/>
              <w:rPr>
                <w:sz w:val="20"/>
                <w:szCs w:val="20"/>
                <w:color w:val="auto"/>
              </w:rPr>
            </w:pPr>
            <w:r>
              <w:rPr>
                <w:rFonts w:ascii="Arial" w:cs="Arial" w:eastAsia="Arial" w:hAnsi="Arial"/>
                <w:sz w:val="14"/>
                <w:szCs w:val="14"/>
                <w:color w:val="auto"/>
              </w:rPr>
              <w:t>Tonnes of ore milled</w:t>
            </w:r>
          </w:p>
        </w:tc>
        <w:tc>
          <w:tcPr>
            <w:tcW w:w="84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620" w:type="dxa"/>
            <w:vAlign w:val="bottom"/>
            <w:shd w:val="clear" w:color="auto" w:fill="CCEEFF"/>
          </w:tcPr>
          <w:p>
            <w:pPr>
              <w:jc w:val="right"/>
              <w:spacing w:after="0" w:line="131" w:lineRule="exact"/>
              <w:rPr>
                <w:sz w:val="20"/>
                <w:szCs w:val="20"/>
                <w:color w:val="auto"/>
              </w:rPr>
            </w:pPr>
            <w:r>
              <w:rPr>
                <w:rFonts w:ascii="Arial" w:cs="Arial" w:eastAsia="Arial" w:hAnsi="Arial"/>
                <w:sz w:val="14"/>
                <w:szCs w:val="14"/>
                <w:color w:val="auto"/>
              </w:rPr>
              <w:t>227,394</w:t>
            </w: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600" w:type="dxa"/>
            <w:vAlign w:val="bottom"/>
            <w:shd w:val="clear" w:color="auto" w:fill="CCEEFF"/>
          </w:tcPr>
          <w:p>
            <w:pPr>
              <w:ind w:left="460"/>
              <w:spacing w:after="0" w:line="131" w:lineRule="exact"/>
              <w:rPr>
                <w:sz w:val="20"/>
                <w:szCs w:val="20"/>
                <w:color w:val="auto"/>
              </w:rPr>
            </w:pPr>
            <w:r>
              <w:rPr>
                <w:rFonts w:ascii="Arial" w:cs="Arial" w:eastAsia="Arial" w:hAnsi="Arial"/>
                <w:sz w:val="14"/>
                <w:szCs w:val="14"/>
                <w:color w:val="auto"/>
                <w:w w:val="85"/>
              </w:rPr>
              <w:t>—</w:t>
            </w:r>
          </w:p>
        </w:tc>
        <w:tc>
          <w:tcPr>
            <w:tcW w:w="1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600" w:type="dxa"/>
            <w:vAlign w:val="bottom"/>
            <w:shd w:val="clear" w:color="auto" w:fill="CCEEFF"/>
          </w:tcPr>
          <w:p>
            <w:pPr>
              <w:ind w:left="460"/>
              <w:spacing w:after="0" w:line="131" w:lineRule="exact"/>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00" w:type="dxa"/>
            <w:vAlign w:val="bottom"/>
            <w:shd w:val="clear" w:color="auto" w:fill="CCEEFF"/>
          </w:tcPr>
          <w:p>
            <w:pPr>
              <w:ind w:left="460"/>
              <w:spacing w:after="0" w:line="131" w:lineRule="exact"/>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760" w:type="dxa"/>
            <w:vAlign w:val="bottom"/>
            <w:gridSpan w:val="2"/>
            <w:shd w:val="clear" w:color="auto" w:fill="CCEEFF"/>
          </w:tcPr>
          <w:p>
            <w:pPr>
              <w:ind w:left="460"/>
              <w:spacing w:after="0" w:line="131"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700" w:type="dxa"/>
            <w:vAlign w:val="bottom"/>
            <w:gridSpan w:val="2"/>
          </w:tcPr>
          <w:p>
            <w:pPr>
              <w:spacing w:after="0" w:line="149" w:lineRule="exact"/>
              <w:rPr>
                <w:sz w:val="20"/>
                <w:szCs w:val="20"/>
                <w:color w:val="auto"/>
              </w:rPr>
            </w:pPr>
            <w:r>
              <w:rPr>
                <w:rFonts w:ascii="Arial" w:cs="Arial" w:eastAsia="Arial" w:hAnsi="Arial"/>
                <w:sz w:val="14"/>
                <w:szCs w:val="14"/>
                <w:color w:val="auto"/>
              </w:rPr>
              <w:t>Gold — grams per tonne</w:t>
            </w:r>
          </w:p>
        </w:tc>
        <w:tc>
          <w:tcPr>
            <w:tcW w:w="8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1.08</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0" w:type="dxa"/>
            <w:vAlign w:val="bottom"/>
          </w:tcPr>
          <w:p>
            <w:pPr>
              <w:ind w:left="460"/>
              <w:spacing w:after="0" w:line="149" w:lineRule="exact"/>
              <w:rPr>
                <w:sz w:val="20"/>
                <w:szCs w:val="20"/>
                <w:color w:val="auto"/>
              </w:rPr>
            </w:pPr>
            <w:r>
              <w:rPr>
                <w:rFonts w:ascii="Arial" w:cs="Arial" w:eastAsia="Arial" w:hAnsi="Arial"/>
                <w:sz w:val="14"/>
                <w:szCs w:val="14"/>
                <w:color w:val="auto"/>
                <w:w w:val="85"/>
              </w:rPr>
              <w:t>—</w:t>
            </w: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0" w:type="dxa"/>
            <w:vAlign w:val="bottom"/>
          </w:tcPr>
          <w:p>
            <w:pPr>
              <w:ind w:left="460"/>
              <w:spacing w:after="0" w:line="149" w:lineRule="exact"/>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0" w:type="dxa"/>
            <w:vAlign w:val="bottom"/>
          </w:tcPr>
          <w:p>
            <w:pPr>
              <w:ind w:left="460"/>
              <w:spacing w:after="0" w:line="149" w:lineRule="exact"/>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gridSpan w:val="2"/>
          </w:tcPr>
          <w:p>
            <w:pPr>
              <w:ind w:left="4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7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Gold production — ounces</w:t>
            </w:r>
          </w:p>
        </w:tc>
        <w:tc>
          <w:tcPr>
            <w:tcW w:w="8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16,189</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00" w:type="dxa"/>
            <w:vAlign w:val="bottom"/>
            <w:shd w:val="clear" w:color="auto" w:fill="CCEEFF"/>
          </w:tcPr>
          <w:p>
            <w:pPr>
              <w:ind w:left="460"/>
              <w:spacing w:after="0" w:line="149" w:lineRule="exact"/>
              <w:rPr>
                <w:sz w:val="20"/>
                <w:szCs w:val="20"/>
                <w:color w:val="auto"/>
              </w:rPr>
            </w:pPr>
            <w:r>
              <w:rPr>
                <w:rFonts w:ascii="Arial" w:cs="Arial" w:eastAsia="Arial" w:hAnsi="Arial"/>
                <w:sz w:val="14"/>
                <w:szCs w:val="14"/>
                <w:color w:val="auto"/>
                <w:w w:val="85"/>
              </w:rPr>
              <w:t>—</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00" w:type="dxa"/>
            <w:vAlign w:val="bottom"/>
            <w:shd w:val="clear" w:color="auto" w:fill="CCEEFF"/>
          </w:tcPr>
          <w:p>
            <w:pPr>
              <w:ind w:left="460"/>
              <w:spacing w:after="0" w:line="149" w:lineRule="exact"/>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00" w:type="dxa"/>
            <w:vAlign w:val="bottom"/>
            <w:shd w:val="clear" w:color="auto" w:fill="CCEEFF"/>
          </w:tcPr>
          <w:p>
            <w:pPr>
              <w:ind w:left="460"/>
              <w:spacing w:after="0" w:line="149" w:lineRule="exact"/>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ind w:left="4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324"/>
        </w:trPr>
        <w:tc>
          <w:tcPr>
            <w:tcW w:w="3720" w:type="dxa"/>
            <w:vAlign w:val="bottom"/>
            <w:gridSpan w:val="3"/>
          </w:tcPr>
          <w:p>
            <w:pPr>
              <w:spacing w:after="0"/>
              <w:rPr>
                <w:sz w:val="20"/>
                <w:szCs w:val="20"/>
                <w:color w:val="auto"/>
              </w:rPr>
            </w:pPr>
            <w:r>
              <w:rPr>
                <w:rFonts w:ascii="Arial" w:cs="Arial" w:eastAsia="Arial" w:hAnsi="Arial"/>
                <w:sz w:val="14"/>
                <w:szCs w:val="14"/>
                <w:b w:val="1"/>
                <w:bCs w:val="1"/>
                <w:color w:val="auto"/>
              </w:rPr>
              <w:t>Total cash costs (per ounce):</w:t>
            </w:r>
          </w:p>
        </w:tc>
        <w:tc>
          <w:tcPr>
            <w:tcW w:w="8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7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Production costs</w:t>
            </w:r>
          </w:p>
        </w:tc>
        <w:tc>
          <w:tcPr>
            <w:tcW w:w="980" w:type="dxa"/>
            <w:vAlign w:val="bottom"/>
            <w:gridSpan w:val="2"/>
            <w:shd w:val="clear" w:color="auto" w:fill="CCEEFF"/>
          </w:tcPr>
          <w:p>
            <w:pPr>
              <w:jc w:val="right"/>
              <w:ind w:right="29"/>
              <w:spacing w:after="0" w:line="149"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1,227</w:t>
            </w:r>
          </w:p>
        </w:tc>
        <w:tc>
          <w:tcPr>
            <w:tcW w:w="80" w:type="dxa"/>
            <w:vAlign w:val="bottom"/>
            <w:shd w:val="clear" w:color="auto" w:fill="CCEEFF"/>
          </w:tcPr>
          <w:p>
            <w:pPr>
              <w:spacing w:after="0"/>
              <w:rPr>
                <w:sz w:val="12"/>
                <w:szCs w:val="12"/>
                <w:color w:val="auto"/>
              </w:rPr>
            </w:pPr>
          </w:p>
        </w:tc>
        <w:tc>
          <w:tcPr>
            <w:tcW w:w="220" w:type="dxa"/>
            <w:vAlign w:val="bottom"/>
            <w:gridSpan w:val="2"/>
            <w:shd w:val="clear" w:color="auto" w:fill="CCEEFF"/>
          </w:tcPr>
          <w:p>
            <w:pPr>
              <w:jc w:val="right"/>
              <w:ind w:right="29"/>
              <w:spacing w:after="0" w:line="149" w:lineRule="exact"/>
              <w:rPr>
                <w:sz w:val="20"/>
                <w:szCs w:val="20"/>
                <w:color w:val="auto"/>
              </w:rPr>
            </w:pPr>
            <w:r>
              <w:rPr>
                <w:rFonts w:ascii="Arial" w:cs="Arial" w:eastAsia="Arial" w:hAnsi="Arial"/>
                <w:sz w:val="14"/>
                <w:szCs w:val="14"/>
                <w:color w:val="auto"/>
              </w:rPr>
              <w:t>$</w:t>
            </w:r>
          </w:p>
        </w:tc>
        <w:tc>
          <w:tcPr>
            <w:tcW w:w="600" w:type="dxa"/>
            <w:vAlign w:val="bottom"/>
            <w:shd w:val="clear" w:color="auto" w:fill="CCEEFF"/>
          </w:tcPr>
          <w:p>
            <w:pPr>
              <w:ind w:left="460"/>
              <w:spacing w:after="0" w:line="149" w:lineRule="exact"/>
              <w:rPr>
                <w:sz w:val="20"/>
                <w:szCs w:val="20"/>
                <w:color w:val="auto"/>
              </w:rPr>
            </w:pPr>
            <w:r>
              <w:rPr>
                <w:rFonts w:ascii="Arial" w:cs="Arial" w:eastAsia="Arial" w:hAnsi="Arial"/>
                <w:sz w:val="14"/>
                <w:szCs w:val="14"/>
                <w:color w:val="auto"/>
                <w:w w:val="85"/>
              </w:rPr>
              <w:t>—</w:t>
            </w:r>
          </w:p>
        </w:tc>
        <w:tc>
          <w:tcPr>
            <w:tcW w:w="320" w:type="dxa"/>
            <w:vAlign w:val="bottom"/>
            <w:gridSpan w:val="2"/>
            <w:shd w:val="clear" w:color="auto" w:fill="CCEEFF"/>
          </w:tcPr>
          <w:p>
            <w:pPr>
              <w:jc w:val="right"/>
              <w:ind w:right="29"/>
              <w:spacing w:after="0" w:line="149" w:lineRule="exact"/>
              <w:rPr>
                <w:sz w:val="20"/>
                <w:szCs w:val="20"/>
                <w:color w:val="auto"/>
              </w:rPr>
            </w:pPr>
            <w:r>
              <w:rPr>
                <w:rFonts w:ascii="Arial" w:cs="Arial" w:eastAsia="Arial" w:hAnsi="Arial"/>
                <w:sz w:val="14"/>
                <w:szCs w:val="14"/>
                <w:color w:val="auto"/>
              </w:rPr>
              <w:t>$</w:t>
            </w:r>
          </w:p>
        </w:tc>
        <w:tc>
          <w:tcPr>
            <w:tcW w:w="600" w:type="dxa"/>
            <w:vAlign w:val="bottom"/>
            <w:shd w:val="clear" w:color="auto" w:fill="CCEEFF"/>
          </w:tcPr>
          <w:p>
            <w:pPr>
              <w:ind w:left="460"/>
              <w:spacing w:after="0" w:line="149" w:lineRule="exact"/>
              <w:rPr>
                <w:sz w:val="20"/>
                <w:szCs w:val="20"/>
                <w:color w:val="auto"/>
              </w:rPr>
            </w:pPr>
            <w:r>
              <w:rPr>
                <w:rFonts w:ascii="Arial" w:cs="Arial" w:eastAsia="Arial" w:hAnsi="Arial"/>
                <w:sz w:val="14"/>
                <w:szCs w:val="14"/>
                <w:color w:val="auto"/>
                <w:w w:val="85"/>
              </w:rPr>
              <w:t>—</w:t>
            </w:r>
          </w:p>
        </w:tc>
        <w:tc>
          <w:tcPr>
            <w:tcW w:w="320" w:type="dxa"/>
            <w:vAlign w:val="bottom"/>
            <w:gridSpan w:val="2"/>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w:t>
            </w:r>
          </w:p>
        </w:tc>
        <w:tc>
          <w:tcPr>
            <w:tcW w:w="600" w:type="dxa"/>
            <w:vAlign w:val="bottom"/>
            <w:shd w:val="clear" w:color="auto" w:fill="CCEEFF"/>
          </w:tcPr>
          <w:p>
            <w:pPr>
              <w:ind w:left="460"/>
              <w:spacing w:after="0" w:line="149" w:lineRule="exact"/>
              <w:rPr>
                <w:sz w:val="20"/>
                <w:szCs w:val="20"/>
                <w:color w:val="auto"/>
              </w:rPr>
            </w:pPr>
            <w:r>
              <w:rPr>
                <w:rFonts w:ascii="Arial" w:cs="Arial" w:eastAsia="Arial" w:hAnsi="Arial"/>
                <w:sz w:val="14"/>
                <w:szCs w:val="14"/>
                <w:color w:val="auto"/>
                <w:w w:val="85"/>
              </w:rPr>
              <w:t>—</w:t>
            </w:r>
          </w:p>
        </w:tc>
        <w:tc>
          <w:tcPr>
            <w:tcW w:w="320" w:type="dxa"/>
            <w:vAlign w:val="bottom"/>
            <w:gridSpan w:val="2"/>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ind w:left="4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700" w:type="dxa"/>
            <w:vAlign w:val="bottom"/>
            <w:gridSpan w:val="2"/>
          </w:tcPr>
          <w:p>
            <w:pPr>
              <w:spacing w:after="0" w:line="149" w:lineRule="exact"/>
              <w:rPr>
                <w:sz w:val="20"/>
                <w:szCs w:val="20"/>
                <w:color w:val="auto"/>
              </w:rPr>
            </w:pPr>
            <w:r>
              <w:rPr>
                <w:rFonts w:ascii="Arial" w:cs="Arial" w:eastAsia="Arial" w:hAnsi="Arial"/>
                <w:sz w:val="14"/>
                <w:szCs w:val="14"/>
                <w:color w:val="auto"/>
              </w:rPr>
              <w:t>Less: Net byproduct revenues</w:t>
            </w:r>
          </w:p>
        </w:tc>
        <w:tc>
          <w:tcPr>
            <w:tcW w:w="8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(65)</w:t>
            </w:r>
          </w:p>
        </w:tc>
        <w:tc>
          <w:tcPr>
            <w:tcW w:w="220" w:type="dxa"/>
            <w:vAlign w:val="bottom"/>
            <w:gridSpan w:val="2"/>
          </w:tcPr>
          <w:p>
            <w:pPr>
              <w:jc w:val="right"/>
              <w:ind w:right="29"/>
              <w:spacing w:after="0" w:line="149" w:lineRule="exact"/>
              <w:rPr>
                <w:sz w:val="20"/>
                <w:szCs w:val="20"/>
                <w:color w:val="auto"/>
              </w:rPr>
            </w:pPr>
            <w:r>
              <w:rPr>
                <w:rFonts w:ascii="Arial" w:cs="Arial" w:eastAsia="Arial" w:hAnsi="Arial"/>
                <w:sz w:val="14"/>
                <w:szCs w:val="14"/>
                <w:color w:val="auto"/>
              </w:rPr>
              <w:t>$</w:t>
            </w:r>
          </w:p>
        </w:tc>
        <w:tc>
          <w:tcPr>
            <w:tcW w:w="600" w:type="dxa"/>
            <w:vAlign w:val="bottom"/>
          </w:tcPr>
          <w:p>
            <w:pPr>
              <w:ind w:left="460"/>
              <w:spacing w:after="0" w:line="149" w:lineRule="exact"/>
              <w:rPr>
                <w:sz w:val="20"/>
                <w:szCs w:val="20"/>
                <w:color w:val="auto"/>
              </w:rPr>
            </w:pPr>
            <w:r>
              <w:rPr>
                <w:rFonts w:ascii="Arial" w:cs="Arial" w:eastAsia="Arial" w:hAnsi="Arial"/>
                <w:sz w:val="14"/>
                <w:szCs w:val="14"/>
                <w:color w:val="auto"/>
                <w:w w:val="85"/>
              </w:rPr>
              <w:t>—</w:t>
            </w:r>
          </w:p>
        </w:tc>
        <w:tc>
          <w:tcPr>
            <w:tcW w:w="320" w:type="dxa"/>
            <w:vAlign w:val="bottom"/>
            <w:gridSpan w:val="2"/>
          </w:tcPr>
          <w:p>
            <w:pPr>
              <w:jc w:val="right"/>
              <w:ind w:right="29"/>
              <w:spacing w:after="0" w:line="149" w:lineRule="exact"/>
              <w:rPr>
                <w:sz w:val="20"/>
                <w:szCs w:val="20"/>
                <w:color w:val="auto"/>
              </w:rPr>
            </w:pPr>
            <w:r>
              <w:rPr>
                <w:rFonts w:ascii="Arial" w:cs="Arial" w:eastAsia="Arial" w:hAnsi="Arial"/>
                <w:sz w:val="14"/>
                <w:szCs w:val="14"/>
                <w:color w:val="auto"/>
              </w:rPr>
              <w:t>$</w:t>
            </w:r>
          </w:p>
        </w:tc>
        <w:tc>
          <w:tcPr>
            <w:tcW w:w="600" w:type="dxa"/>
            <w:vAlign w:val="bottom"/>
          </w:tcPr>
          <w:p>
            <w:pPr>
              <w:ind w:left="460"/>
              <w:spacing w:after="0" w:line="149" w:lineRule="exact"/>
              <w:rPr>
                <w:sz w:val="20"/>
                <w:szCs w:val="20"/>
                <w:color w:val="auto"/>
              </w:rPr>
            </w:pPr>
            <w:r>
              <w:rPr>
                <w:rFonts w:ascii="Arial" w:cs="Arial" w:eastAsia="Arial" w:hAnsi="Arial"/>
                <w:sz w:val="14"/>
                <w:szCs w:val="14"/>
                <w:color w:val="auto"/>
                <w:w w:val="85"/>
              </w:rPr>
              <w:t>—</w:t>
            </w:r>
          </w:p>
        </w:tc>
        <w:tc>
          <w:tcPr>
            <w:tcW w:w="320" w:type="dxa"/>
            <w:vAlign w:val="bottom"/>
            <w:gridSpan w:val="2"/>
          </w:tcPr>
          <w:p>
            <w:pPr>
              <w:jc w:val="right"/>
              <w:ind w:right="12"/>
              <w:spacing w:after="0" w:line="149" w:lineRule="exact"/>
              <w:rPr>
                <w:sz w:val="20"/>
                <w:szCs w:val="20"/>
                <w:color w:val="auto"/>
              </w:rPr>
            </w:pPr>
            <w:r>
              <w:rPr>
                <w:rFonts w:ascii="Arial" w:cs="Arial" w:eastAsia="Arial" w:hAnsi="Arial"/>
                <w:sz w:val="14"/>
                <w:szCs w:val="14"/>
                <w:color w:val="auto"/>
              </w:rPr>
              <w:t>$</w:t>
            </w:r>
          </w:p>
        </w:tc>
        <w:tc>
          <w:tcPr>
            <w:tcW w:w="600" w:type="dxa"/>
            <w:vAlign w:val="bottom"/>
          </w:tcPr>
          <w:p>
            <w:pPr>
              <w:ind w:left="460"/>
              <w:spacing w:after="0" w:line="149" w:lineRule="exact"/>
              <w:rPr>
                <w:sz w:val="20"/>
                <w:szCs w:val="20"/>
                <w:color w:val="auto"/>
              </w:rPr>
            </w:pPr>
            <w:r>
              <w:rPr>
                <w:rFonts w:ascii="Arial" w:cs="Arial" w:eastAsia="Arial" w:hAnsi="Arial"/>
                <w:sz w:val="14"/>
                <w:szCs w:val="14"/>
                <w:color w:val="auto"/>
                <w:w w:val="85"/>
              </w:rPr>
              <w:t>—</w:t>
            </w:r>
          </w:p>
        </w:tc>
        <w:tc>
          <w:tcPr>
            <w:tcW w:w="320" w:type="dxa"/>
            <w:vAlign w:val="bottom"/>
            <w:gridSpan w:val="2"/>
          </w:tcPr>
          <w:p>
            <w:pPr>
              <w:jc w:val="right"/>
              <w:ind w:right="12"/>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tcPr>
          <w:p>
            <w:pPr>
              <w:ind w:left="4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700" w:type="dxa"/>
            <w:vAlign w:val="bottom"/>
            <w:gridSpan w:val="2"/>
            <w:shd w:val="clear" w:color="auto" w:fill="CCEEFF"/>
          </w:tcPr>
          <w:p>
            <w:pPr>
              <w:ind w:left="100"/>
              <w:spacing w:after="0" w:line="149" w:lineRule="exact"/>
              <w:rPr>
                <w:sz w:val="20"/>
                <w:szCs w:val="20"/>
                <w:color w:val="auto"/>
              </w:rPr>
            </w:pPr>
            <w:r>
              <w:rPr>
                <w:rFonts w:ascii="Arial" w:cs="Arial" w:eastAsia="Arial" w:hAnsi="Arial"/>
                <w:sz w:val="14"/>
                <w:szCs w:val="14"/>
                <w:color w:val="auto"/>
              </w:rPr>
              <w:t>Inventory adjustments</w:t>
            </w:r>
          </w:p>
        </w:tc>
        <w:tc>
          <w:tcPr>
            <w:tcW w:w="8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(556)</w:t>
            </w: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00" w:type="dxa"/>
            <w:vAlign w:val="bottom"/>
            <w:shd w:val="clear" w:color="auto" w:fill="CCEEFF"/>
          </w:tcPr>
          <w:p>
            <w:pPr>
              <w:ind w:left="460"/>
              <w:spacing w:after="0" w:line="149" w:lineRule="exact"/>
              <w:rPr>
                <w:sz w:val="20"/>
                <w:szCs w:val="20"/>
                <w:color w:val="auto"/>
              </w:rPr>
            </w:pPr>
            <w:r>
              <w:rPr>
                <w:rFonts w:ascii="Arial" w:cs="Arial" w:eastAsia="Arial" w:hAnsi="Arial"/>
                <w:sz w:val="14"/>
                <w:szCs w:val="14"/>
                <w:color w:val="auto"/>
                <w:w w:val="85"/>
              </w:rPr>
              <w:t>—</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00" w:type="dxa"/>
            <w:vAlign w:val="bottom"/>
            <w:shd w:val="clear" w:color="auto" w:fill="CCEEFF"/>
          </w:tcPr>
          <w:p>
            <w:pPr>
              <w:ind w:left="460"/>
              <w:spacing w:after="0" w:line="149" w:lineRule="exact"/>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00" w:type="dxa"/>
            <w:vAlign w:val="bottom"/>
            <w:shd w:val="clear" w:color="auto" w:fill="CCEEFF"/>
          </w:tcPr>
          <w:p>
            <w:pPr>
              <w:ind w:left="460"/>
              <w:spacing w:after="0" w:line="149" w:lineRule="exact"/>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ind w:left="4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3700" w:type="dxa"/>
            <w:vAlign w:val="bottom"/>
            <w:gridSpan w:val="2"/>
          </w:tcPr>
          <w:p>
            <w:pPr>
              <w:ind w:left="100"/>
              <w:spacing w:after="0"/>
              <w:rPr>
                <w:sz w:val="20"/>
                <w:szCs w:val="20"/>
                <w:color w:val="auto"/>
              </w:rPr>
            </w:pPr>
            <w:r>
              <w:rPr>
                <w:rFonts w:ascii="Arial" w:cs="Arial" w:eastAsia="Arial" w:hAnsi="Arial"/>
                <w:sz w:val="14"/>
                <w:szCs w:val="14"/>
                <w:color w:val="auto"/>
              </w:rPr>
              <w:t>Accretion expense and other</w:t>
            </w:r>
          </w:p>
        </w:tc>
        <w:tc>
          <w:tcPr>
            <w:tcW w:w="8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700" w:type="dxa"/>
            <w:vAlign w:val="bottom"/>
            <w:gridSpan w:val="2"/>
          </w:tcPr>
          <w:p>
            <w:pPr>
              <w:jc w:val="right"/>
              <w:ind w:right="60"/>
              <w:spacing w:after="0"/>
              <w:rPr>
                <w:sz w:val="20"/>
                <w:szCs w:val="20"/>
                <w:color w:val="auto"/>
              </w:rPr>
            </w:pPr>
            <w:r>
              <w:rPr>
                <w:rFonts w:ascii="Arial" w:cs="Arial" w:eastAsia="Arial" w:hAnsi="Arial"/>
                <w:sz w:val="14"/>
                <w:szCs w:val="14"/>
                <w:color w:val="auto"/>
              </w:rPr>
              <w:t>(10)</w:t>
            </w:r>
          </w:p>
        </w:tc>
        <w:tc>
          <w:tcPr>
            <w:tcW w:w="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00" w:type="dxa"/>
            <w:vAlign w:val="bottom"/>
          </w:tcPr>
          <w:p>
            <w:pPr>
              <w:ind w:left="460"/>
              <w:spacing w:after="0"/>
              <w:rPr>
                <w:sz w:val="20"/>
                <w:szCs w:val="20"/>
                <w:color w:val="auto"/>
              </w:rPr>
            </w:pPr>
            <w:r>
              <w:rPr>
                <w:rFonts w:ascii="Arial" w:cs="Arial" w:eastAsia="Arial" w:hAnsi="Arial"/>
                <w:sz w:val="14"/>
                <w:szCs w:val="14"/>
                <w:color w:val="auto"/>
                <w:w w:val="85"/>
              </w:rPr>
              <w:t>—</w:t>
            </w:r>
          </w:p>
        </w:tc>
        <w:tc>
          <w:tcPr>
            <w:tcW w:w="1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00" w:type="dxa"/>
            <w:vAlign w:val="bottom"/>
          </w:tcPr>
          <w:p>
            <w:pPr>
              <w:ind w:left="460"/>
              <w:spacing w:after="0"/>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00" w:type="dxa"/>
            <w:vAlign w:val="bottom"/>
          </w:tcPr>
          <w:p>
            <w:pPr>
              <w:ind w:left="460"/>
              <w:spacing w:after="0"/>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760" w:type="dxa"/>
            <w:vAlign w:val="bottom"/>
            <w:gridSpan w:val="2"/>
          </w:tcPr>
          <w:p>
            <w:pPr>
              <w:ind w:left="460"/>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244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71"/>
        </w:trPr>
        <w:tc>
          <w:tcPr>
            <w:tcW w:w="20" w:type="dxa"/>
            <w:vAlign w:val="bottom"/>
            <w:vMerge w:val="continue"/>
          </w:tcPr>
          <w:p>
            <w:pPr>
              <w:spacing w:after="0"/>
              <w:rPr>
                <w:sz w:val="14"/>
                <w:szCs w:val="14"/>
                <w:color w:val="auto"/>
              </w:rPr>
            </w:pPr>
          </w:p>
        </w:tc>
        <w:tc>
          <w:tcPr>
            <w:tcW w:w="3700" w:type="dxa"/>
            <w:vAlign w:val="bottom"/>
            <w:gridSpan w:val="2"/>
            <w:shd w:val="clear" w:color="auto" w:fill="CCEEFF"/>
          </w:tcPr>
          <w:p>
            <w:pPr>
              <w:spacing w:after="0" w:line="171" w:lineRule="exact"/>
              <w:rPr>
                <w:sz w:val="20"/>
                <w:szCs w:val="20"/>
                <w:color w:val="auto"/>
              </w:rPr>
            </w:pPr>
            <w:r>
              <w:rPr>
                <w:rFonts w:ascii="Arial" w:cs="Arial" w:eastAsia="Arial" w:hAnsi="Arial"/>
                <w:sz w:val="12"/>
                <w:szCs w:val="12"/>
                <w:color w:val="auto"/>
              </w:rPr>
              <w:t>Total cash costs (per ounce)</w:t>
            </w:r>
            <w:r>
              <w:rPr>
                <w:rFonts w:ascii="Arial" w:cs="Arial" w:eastAsia="Arial" w:hAnsi="Arial"/>
                <w:sz w:val="19"/>
                <w:szCs w:val="19"/>
                <w:color w:val="auto"/>
                <w:vertAlign w:val="superscript"/>
              </w:rPr>
              <w:t>(1)</w:t>
            </w:r>
          </w:p>
        </w:tc>
        <w:tc>
          <w:tcPr>
            <w:tcW w:w="840" w:type="dxa"/>
            <w:vAlign w:val="bottom"/>
            <w:shd w:val="clear" w:color="auto" w:fill="CCEEFF"/>
          </w:tcPr>
          <w:p>
            <w:pPr>
              <w:spacing w:after="0"/>
              <w:rPr>
                <w:sz w:val="14"/>
                <w:szCs w:val="14"/>
                <w:color w:val="auto"/>
              </w:rPr>
            </w:pPr>
          </w:p>
        </w:tc>
        <w:tc>
          <w:tcPr>
            <w:tcW w:w="140" w:type="dxa"/>
            <w:vAlign w:val="bottom"/>
            <w:shd w:val="clear" w:color="auto" w:fill="CCEEFF"/>
          </w:tcPr>
          <w:p>
            <w:pPr>
              <w:jc w:val="right"/>
              <w:ind w:right="29"/>
              <w:spacing w:after="0"/>
              <w:rPr>
                <w:sz w:val="20"/>
                <w:szCs w:val="20"/>
                <w:color w:val="auto"/>
              </w:rPr>
            </w:pPr>
            <w:r>
              <w:rPr>
                <w:rFonts w:ascii="Arial" w:cs="Arial" w:eastAsia="Arial" w:hAnsi="Arial"/>
                <w:sz w:val="10"/>
                <w:szCs w:val="10"/>
                <w:color w:val="auto"/>
                <w:w w:val="71"/>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596</w:t>
            </w:r>
          </w:p>
        </w:tc>
        <w:tc>
          <w:tcPr>
            <w:tcW w:w="80" w:type="dxa"/>
            <w:vAlign w:val="bottom"/>
            <w:shd w:val="clear" w:color="auto" w:fill="CCEEFF"/>
          </w:tcPr>
          <w:p>
            <w:pPr>
              <w:spacing w:after="0"/>
              <w:rPr>
                <w:sz w:val="14"/>
                <w:szCs w:val="14"/>
                <w:color w:val="auto"/>
              </w:rPr>
            </w:pPr>
          </w:p>
        </w:tc>
        <w:tc>
          <w:tcPr>
            <w:tcW w:w="220" w:type="dxa"/>
            <w:vAlign w:val="bottom"/>
            <w:gridSpan w:val="2"/>
            <w:shd w:val="clear" w:color="auto" w:fill="CCEEFF"/>
          </w:tcPr>
          <w:p>
            <w:pPr>
              <w:jc w:val="right"/>
              <w:ind w:right="29"/>
              <w:spacing w:after="0"/>
              <w:rPr>
                <w:sz w:val="20"/>
                <w:szCs w:val="20"/>
                <w:color w:val="auto"/>
              </w:rPr>
            </w:pPr>
            <w:r>
              <w:rPr>
                <w:rFonts w:ascii="Arial" w:cs="Arial" w:eastAsia="Arial" w:hAnsi="Arial"/>
                <w:sz w:val="14"/>
                <w:szCs w:val="14"/>
                <w:color w:val="auto"/>
              </w:rPr>
              <w:t>$</w:t>
            </w:r>
          </w:p>
        </w:tc>
        <w:tc>
          <w:tcPr>
            <w:tcW w:w="600" w:type="dxa"/>
            <w:vAlign w:val="bottom"/>
            <w:shd w:val="clear" w:color="auto" w:fill="CCEEFF"/>
          </w:tcPr>
          <w:p>
            <w:pPr>
              <w:ind w:left="460"/>
              <w:spacing w:after="0"/>
              <w:rPr>
                <w:sz w:val="20"/>
                <w:szCs w:val="20"/>
                <w:color w:val="auto"/>
              </w:rPr>
            </w:pPr>
            <w:r>
              <w:rPr>
                <w:rFonts w:ascii="Arial" w:cs="Arial" w:eastAsia="Arial" w:hAnsi="Arial"/>
                <w:sz w:val="14"/>
                <w:szCs w:val="14"/>
                <w:color w:val="auto"/>
                <w:w w:val="85"/>
              </w:rPr>
              <w:t>—</w:t>
            </w:r>
          </w:p>
        </w:tc>
        <w:tc>
          <w:tcPr>
            <w:tcW w:w="320" w:type="dxa"/>
            <w:vAlign w:val="bottom"/>
            <w:gridSpan w:val="2"/>
            <w:shd w:val="clear" w:color="auto" w:fill="CCEEFF"/>
          </w:tcPr>
          <w:p>
            <w:pPr>
              <w:jc w:val="right"/>
              <w:ind w:right="29"/>
              <w:spacing w:after="0"/>
              <w:rPr>
                <w:sz w:val="20"/>
                <w:szCs w:val="20"/>
                <w:color w:val="auto"/>
              </w:rPr>
            </w:pPr>
            <w:r>
              <w:rPr>
                <w:rFonts w:ascii="Arial" w:cs="Arial" w:eastAsia="Arial" w:hAnsi="Arial"/>
                <w:sz w:val="14"/>
                <w:szCs w:val="14"/>
                <w:color w:val="auto"/>
              </w:rPr>
              <w:t>$</w:t>
            </w:r>
          </w:p>
        </w:tc>
        <w:tc>
          <w:tcPr>
            <w:tcW w:w="600" w:type="dxa"/>
            <w:vAlign w:val="bottom"/>
            <w:shd w:val="clear" w:color="auto" w:fill="CCEEFF"/>
          </w:tcPr>
          <w:p>
            <w:pPr>
              <w:ind w:left="460"/>
              <w:spacing w:after="0"/>
              <w:rPr>
                <w:sz w:val="20"/>
                <w:szCs w:val="20"/>
                <w:color w:val="auto"/>
              </w:rPr>
            </w:pPr>
            <w:r>
              <w:rPr>
                <w:rFonts w:ascii="Arial" w:cs="Arial" w:eastAsia="Arial" w:hAnsi="Arial"/>
                <w:sz w:val="14"/>
                <w:szCs w:val="14"/>
                <w:color w:val="auto"/>
                <w:w w:val="85"/>
              </w:rPr>
              <w:t>—</w:t>
            </w:r>
          </w:p>
        </w:tc>
        <w:tc>
          <w:tcPr>
            <w:tcW w:w="320" w:type="dxa"/>
            <w:vAlign w:val="bottom"/>
            <w:gridSpan w:val="2"/>
            <w:shd w:val="clear" w:color="auto" w:fill="CCEEFF"/>
          </w:tcPr>
          <w:p>
            <w:pPr>
              <w:jc w:val="right"/>
              <w:ind w:right="12"/>
              <w:spacing w:after="0"/>
              <w:rPr>
                <w:sz w:val="20"/>
                <w:szCs w:val="20"/>
                <w:color w:val="auto"/>
              </w:rPr>
            </w:pPr>
            <w:r>
              <w:rPr>
                <w:rFonts w:ascii="Arial" w:cs="Arial" w:eastAsia="Arial" w:hAnsi="Arial"/>
                <w:sz w:val="14"/>
                <w:szCs w:val="14"/>
                <w:color w:val="auto"/>
              </w:rPr>
              <w:t>$</w:t>
            </w:r>
          </w:p>
        </w:tc>
        <w:tc>
          <w:tcPr>
            <w:tcW w:w="600" w:type="dxa"/>
            <w:vAlign w:val="bottom"/>
            <w:shd w:val="clear" w:color="auto" w:fill="CCEEFF"/>
          </w:tcPr>
          <w:p>
            <w:pPr>
              <w:ind w:left="460"/>
              <w:spacing w:after="0"/>
              <w:rPr>
                <w:sz w:val="20"/>
                <w:szCs w:val="20"/>
                <w:color w:val="auto"/>
              </w:rPr>
            </w:pPr>
            <w:r>
              <w:rPr>
                <w:rFonts w:ascii="Arial" w:cs="Arial" w:eastAsia="Arial" w:hAnsi="Arial"/>
                <w:sz w:val="14"/>
                <w:szCs w:val="14"/>
                <w:color w:val="auto"/>
                <w:w w:val="85"/>
              </w:rPr>
              <w:t>—</w:t>
            </w:r>
          </w:p>
        </w:tc>
        <w:tc>
          <w:tcPr>
            <w:tcW w:w="320" w:type="dxa"/>
            <w:vAlign w:val="bottom"/>
            <w:gridSpan w:val="2"/>
            <w:shd w:val="clear" w:color="auto" w:fill="CCEEFF"/>
          </w:tcPr>
          <w:p>
            <w:pPr>
              <w:jc w:val="right"/>
              <w:ind w:right="12"/>
              <w:spacing w:after="0"/>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ind w:left="460"/>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7"/>
        </w:trPr>
        <w:tc>
          <w:tcPr>
            <w:tcW w:w="3720" w:type="dxa"/>
            <w:vAlign w:val="bottom"/>
            <w:gridSpan w:val="3"/>
            <w:vMerge w:val="restart"/>
          </w:tcPr>
          <w:p>
            <w:pPr>
              <w:spacing w:after="0"/>
              <w:rPr>
                <w:sz w:val="20"/>
                <w:szCs w:val="20"/>
                <w:color w:val="auto"/>
              </w:rPr>
            </w:pPr>
            <w:r>
              <w:rPr>
                <w:rFonts w:ascii="Arial" w:cs="Arial" w:eastAsia="Arial" w:hAnsi="Arial"/>
                <w:sz w:val="14"/>
                <w:szCs w:val="14"/>
                <w:color w:val="auto"/>
              </w:rPr>
              <w:t>Minesite costs per tonne</w:t>
            </w:r>
            <w:r>
              <w:rPr>
                <w:rFonts w:ascii="Arial" w:cs="Arial" w:eastAsia="Arial" w:hAnsi="Arial"/>
                <w:sz w:val="22"/>
                <w:szCs w:val="22"/>
                <w:color w:val="auto"/>
                <w:vertAlign w:val="superscript"/>
              </w:rPr>
              <w:t>(1)</w:t>
            </w:r>
          </w:p>
        </w:tc>
        <w:tc>
          <w:tcPr>
            <w:tcW w:w="84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3720" w:type="dxa"/>
            <w:vAlign w:val="bottom"/>
            <w:gridSpan w:val="3"/>
            <w:vMerge w:val="continue"/>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3"/>
        </w:trPr>
        <w:tc>
          <w:tcPr>
            <w:tcW w:w="3720" w:type="dxa"/>
            <w:vAlign w:val="bottom"/>
            <w:gridSpan w:val="3"/>
            <w:vMerge w:val="continue"/>
          </w:tcPr>
          <w:p>
            <w:pPr>
              <w:spacing w:after="0"/>
              <w:rPr>
                <w:sz w:val="15"/>
                <w:szCs w:val="15"/>
                <w:color w:val="auto"/>
              </w:rPr>
            </w:pPr>
          </w:p>
        </w:tc>
        <w:tc>
          <w:tcPr>
            <w:tcW w:w="980" w:type="dxa"/>
            <w:vAlign w:val="bottom"/>
            <w:gridSpan w:val="2"/>
          </w:tcPr>
          <w:p>
            <w:pPr>
              <w:jc w:val="right"/>
              <w:ind w:right="29"/>
              <w:spacing w:after="0"/>
              <w:rPr>
                <w:sz w:val="20"/>
                <w:szCs w:val="20"/>
                <w:color w:val="auto"/>
              </w:rPr>
            </w:pPr>
            <w:r>
              <w:rPr>
                <w:rFonts w:ascii="Arial" w:cs="Arial" w:eastAsia="Arial" w:hAnsi="Arial"/>
                <w:sz w:val="14"/>
                <w:szCs w:val="14"/>
                <w:color w:val="auto"/>
              </w:rPr>
              <w:t>$</w:t>
            </w:r>
          </w:p>
        </w:tc>
        <w:tc>
          <w:tcPr>
            <w:tcW w:w="620" w:type="dxa"/>
            <w:vAlign w:val="bottom"/>
          </w:tcPr>
          <w:p>
            <w:pPr>
              <w:jc w:val="right"/>
              <w:spacing w:after="0"/>
              <w:rPr>
                <w:sz w:val="20"/>
                <w:szCs w:val="20"/>
                <w:color w:val="auto"/>
              </w:rPr>
            </w:pPr>
            <w:r>
              <w:rPr>
                <w:rFonts w:ascii="Arial" w:cs="Arial" w:eastAsia="Arial" w:hAnsi="Arial"/>
                <w:sz w:val="14"/>
                <w:szCs w:val="14"/>
                <w:color w:val="auto"/>
              </w:rPr>
              <w:t>28</w:t>
            </w:r>
          </w:p>
        </w:tc>
        <w:tc>
          <w:tcPr>
            <w:tcW w:w="80" w:type="dxa"/>
            <w:vAlign w:val="bottom"/>
          </w:tcPr>
          <w:p>
            <w:pPr>
              <w:spacing w:after="0"/>
              <w:rPr>
                <w:sz w:val="15"/>
                <w:szCs w:val="15"/>
                <w:color w:val="auto"/>
              </w:rPr>
            </w:pPr>
          </w:p>
        </w:tc>
        <w:tc>
          <w:tcPr>
            <w:tcW w:w="220" w:type="dxa"/>
            <w:vAlign w:val="bottom"/>
            <w:gridSpan w:val="2"/>
          </w:tcPr>
          <w:p>
            <w:pPr>
              <w:jc w:val="right"/>
              <w:ind w:right="29"/>
              <w:spacing w:after="0"/>
              <w:rPr>
                <w:sz w:val="20"/>
                <w:szCs w:val="20"/>
                <w:color w:val="auto"/>
              </w:rPr>
            </w:pPr>
            <w:r>
              <w:rPr>
                <w:rFonts w:ascii="Arial" w:cs="Arial" w:eastAsia="Arial" w:hAnsi="Arial"/>
                <w:sz w:val="14"/>
                <w:szCs w:val="14"/>
                <w:color w:val="auto"/>
              </w:rPr>
              <w:t>$</w:t>
            </w:r>
          </w:p>
        </w:tc>
        <w:tc>
          <w:tcPr>
            <w:tcW w:w="600" w:type="dxa"/>
            <w:vAlign w:val="bottom"/>
          </w:tcPr>
          <w:p>
            <w:pPr>
              <w:ind w:left="460"/>
              <w:spacing w:after="0"/>
              <w:rPr>
                <w:sz w:val="20"/>
                <w:szCs w:val="20"/>
                <w:color w:val="auto"/>
              </w:rPr>
            </w:pPr>
            <w:r>
              <w:rPr>
                <w:rFonts w:ascii="Arial" w:cs="Arial" w:eastAsia="Arial" w:hAnsi="Arial"/>
                <w:sz w:val="14"/>
                <w:szCs w:val="14"/>
                <w:color w:val="auto"/>
                <w:w w:val="85"/>
              </w:rPr>
              <w:t>—</w:t>
            </w:r>
          </w:p>
        </w:tc>
        <w:tc>
          <w:tcPr>
            <w:tcW w:w="320" w:type="dxa"/>
            <w:vAlign w:val="bottom"/>
            <w:gridSpan w:val="2"/>
          </w:tcPr>
          <w:p>
            <w:pPr>
              <w:jc w:val="right"/>
              <w:ind w:right="29"/>
              <w:spacing w:after="0"/>
              <w:rPr>
                <w:sz w:val="20"/>
                <w:szCs w:val="20"/>
                <w:color w:val="auto"/>
              </w:rPr>
            </w:pPr>
            <w:r>
              <w:rPr>
                <w:rFonts w:ascii="Arial" w:cs="Arial" w:eastAsia="Arial" w:hAnsi="Arial"/>
                <w:sz w:val="14"/>
                <w:szCs w:val="14"/>
                <w:color w:val="auto"/>
              </w:rPr>
              <w:t>$</w:t>
            </w:r>
          </w:p>
        </w:tc>
        <w:tc>
          <w:tcPr>
            <w:tcW w:w="600" w:type="dxa"/>
            <w:vAlign w:val="bottom"/>
          </w:tcPr>
          <w:p>
            <w:pPr>
              <w:ind w:left="460"/>
              <w:spacing w:after="0"/>
              <w:rPr>
                <w:sz w:val="20"/>
                <w:szCs w:val="20"/>
                <w:color w:val="auto"/>
              </w:rPr>
            </w:pPr>
            <w:r>
              <w:rPr>
                <w:rFonts w:ascii="Arial" w:cs="Arial" w:eastAsia="Arial" w:hAnsi="Arial"/>
                <w:sz w:val="14"/>
                <w:szCs w:val="14"/>
                <w:color w:val="auto"/>
                <w:w w:val="85"/>
              </w:rPr>
              <w:t>—</w:t>
            </w:r>
          </w:p>
        </w:tc>
        <w:tc>
          <w:tcPr>
            <w:tcW w:w="320" w:type="dxa"/>
            <w:vAlign w:val="bottom"/>
            <w:gridSpan w:val="2"/>
          </w:tcPr>
          <w:p>
            <w:pPr>
              <w:jc w:val="right"/>
              <w:ind w:right="12"/>
              <w:spacing w:after="0"/>
              <w:rPr>
                <w:sz w:val="20"/>
                <w:szCs w:val="20"/>
                <w:color w:val="auto"/>
              </w:rPr>
            </w:pPr>
            <w:r>
              <w:rPr>
                <w:rFonts w:ascii="Arial" w:cs="Arial" w:eastAsia="Arial" w:hAnsi="Arial"/>
                <w:sz w:val="14"/>
                <w:szCs w:val="14"/>
                <w:color w:val="auto"/>
              </w:rPr>
              <w:t>$</w:t>
            </w:r>
          </w:p>
        </w:tc>
        <w:tc>
          <w:tcPr>
            <w:tcW w:w="600" w:type="dxa"/>
            <w:vAlign w:val="bottom"/>
          </w:tcPr>
          <w:p>
            <w:pPr>
              <w:ind w:left="460"/>
              <w:spacing w:after="0"/>
              <w:rPr>
                <w:sz w:val="20"/>
                <w:szCs w:val="20"/>
                <w:color w:val="auto"/>
              </w:rPr>
            </w:pPr>
            <w:r>
              <w:rPr>
                <w:rFonts w:ascii="Arial" w:cs="Arial" w:eastAsia="Arial" w:hAnsi="Arial"/>
                <w:sz w:val="14"/>
                <w:szCs w:val="14"/>
                <w:color w:val="auto"/>
                <w:w w:val="85"/>
              </w:rPr>
              <w:t>—</w:t>
            </w:r>
          </w:p>
        </w:tc>
        <w:tc>
          <w:tcPr>
            <w:tcW w:w="320" w:type="dxa"/>
            <w:vAlign w:val="bottom"/>
            <w:gridSpan w:val="2"/>
          </w:tcPr>
          <w:p>
            <w:pPr>
              <w:jc w:val="right"/>
              <w:ind w:right="12"/>
              <w:spacing w:after="0"/>
              <w:rPr>
                <w:sz w:val="20"/>
                <w:szCs w:val="20"/>
                <w:color w:val="auto"/>
              </w:rPr>
            </w:pPr>
            <w:r>
              <w:rPr>
                <w:rFonts w:ascii="Arial" w:cs="Arial" w:eastAsia="Arial" w:hAnsi="Arial"/>
                <w:sz w:val="14"/>
                <w:szCs w:val="14"/>
                <w:color w:val="auto"/>
              </w:rPr>
              <w:t>$</w:t>
            </w:r>
          </w:p>
        </w:tc>
        <w:tc>
          <w:tcPr>
            <w:tcW w:w="760" w:type="dxa"/>
            <w:vAlign w:val="bottom"/>
            <w:gridSpan w:val="2"/>
          </w:tcPr>
          <w:p>
            <w:pPr>
              <w:ind w:left="460"/>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244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89"/>
        </w:trPr>
        <w:tc>
          <w:tcPr>
            <w:tcW w:w="20" w:type="dxa"/>
            <w:vAlign w:val="bottom"/>
          </w:tcPr>
          <w:p>
            <w:pPr>
              <w:spacing w:after="0"/>
              <w:rPr>
                <w:sz w:val="7"/>
                <w:szCs w:val="7"/>
                <w:color w:val="auto"/>
              </w:rPr>
            </w:pPr>
          </w:p>
        </w:tc>
        <w:tc>
          <w:tcPr>
            <w:tcW w:w="1260" w:type="dxa"/>
            <w:vAlign w:val="bottom"/>
            <w:tcBorders>
              <w:bottom w:val="single" w:sz="8" w:color="auto"/>
            </w:tcBorders>
          </w:tcPr>
          <w:p>
            <w:pPr>
              <w:spacing w:after="0"/>
              <w:rPr>
                <w:sz w:val="7"/>
                <w:szCs w:val="7"/>
                <w:color w:val="auto"/>
              </w:rPr>
            </w:pPr>
          </w:p>
        </w:tc>
        <w:tc>
          <w:tcPr>
            <w:tcW w:w="2440" w:type="dxa"/>
            <w:vAlign w:val="bottom"/>
          </w:tcPr>
          <w:p>
            <w:pPr>
              <w:spacing w:after="0"/>
              <w:rPr>
                <w:sz w:val="7"/>
                <w:szCs w:val="7"/>
                <w:color w:val="auto"/>
              </w:rPr>
            </w:pPr>
          </w:p>
        </w:tc>
        <w:tc>
          <w:tcPr>
            <w:tcW w:w="840" w:type="dxa"/>
            <w:vAlign w:val="bottom"/>
          </w:tcPr>
          <w:p>
            <w:pPr>
              <w:spacing w:after="0"/>
              <w:rPr>
                <w:sz w:val="7"/>
                <w:szCs w:val="7"/>
                <w:color w:val="auto"/>
              </w:rPr>
            </w:pPr>
          </w:p>
        </w:tc>
        <w:tc>
          <w:tcPr>
            <w:tcW w:w="140" w:type="dxa"/>
            <w:vAlign w:val="bottom"/>
          </w:tcPr>
          <w:p>
            <w:pPr>
              <w:spacing w:after="0"/>
              <w:rPr>
                <w:sz w:val="7"/>
                <w:szCs w:val="7"/>
                <w:color w:val="auto"/>
              </w:rPr>
            </w:pPr>
          </w:p>
        </w:tc>
        <w:tc>
          <w:tcPr>
            <w:tcW w:w="620" w:type="dxa"/>
            <w:vAlign w:val="bottom"/>
          </w:tcPr>
          <w:p>
            <w:pPr>
              <w:spacing w:after="0"/>
              <w:rPr>
                <w:sz w:val="7"/>
                <w:szCs w:val="7"/>
                <w:color w:val="auto"/>
              </w:rPr>
            </w:pPr>
          </w:p>
        </w:tc>
        <w:tc>
          <w:tcPr>
            <w:tcW w:w="80" w:type="dxa"/>
            <w:vAlign w:val="bottom"/>
          </w:tcPr>
          <w:p>
            <w:pPr>
              <w:spacing w:after="0"/>
              <w:rPr>
                <w:sz w:val="7"/>
                <w:szCs w:val="7"/>
                <w:color w:val="auto"/>
              </w:rPr>
            </w:pPr>
          </w:p>
        </w:tc>
        <w:tc>
          <w:tcPr>
            <w:tcW w:w="80" w:type="dxa"/>
            <w:vAlign w:val="bottom"/>
          </w:tcPr>
          <w:p>
            <w:pPr>
              <w:spacing w:after="0"/>
              <w:rPr>
                <w:sz w:val="7"/>
                <w:szCs w:val="7"/>
                <w:color w:val="auto"/>
              </w:rPr>
            </w:pPr>
          </w:p>
        </w:tc>
        <w:tc>
          <w:tcPr>
            <w:tcW w:w="140" w:type="dxa"/>
            <w:vAlign w:val="bottom"/>
          </w:tcPr>
          <w:p>
            <w:pPr>
              <w:spacing w:after="0"/>
              <w:rPr>
                <w:sz w:val="7"/>
                <w:szCs w:val="7"/>
                <w:color w:val="auto"/>
              </w:rPr>
            </w:pPr>
          </w:p>
        </w:tc>
        <w:tc>
          <w:tcPr>
            <w:tcW w:w="600" w:type="dxa"/>
            <w:vAlign w:val="bottom"/>
          </w:tcPr>
          <w:p>
            <w:pPr>
              <w:spacing w:after="0"/>
              <w:rPr>
                <w:sz w:val="7"/>
                <w:szCs w:val="7"/>
                <w:color w:val="auto"/>
              </w:rPr>
            </w:pPr>
          </w:p>
        </w:tc>
        <w:tc>
          <w:tcPr>
            <w:tcW w:w="180" w:type="dxa"/>
            <w:vAlign w:val="bottom"/>
          </w:tcPr>
          <w:p>
            <w:pPr>
              <w:spacing w:after="0"/>
              <w:rPr>
                <w:sz w:val="7"/>
                <w:szCs w:val="7"/>
                <w:color w:val="auto"/>
              </w:rPr>
            </w:pPr>
          </w:p>
        </w:tc>
        <w:tc>
          <w:tcPr>
            <w:tcW w:w="140" w:type="dxa"/>
            <w:vAlign w:val="bottom"/>
          </w:tcPr>
          <w:p>
            <w:pPr>
              <w:spacing w:after="0"/>
              <w:rPr>
                <w:sz w:val="7"/>
                <w:szCs w:val="7"/>
                <w:color w:val="auto"/>
              </w:rPr>
            </w:pPr>
          </w:p>
        </w:tc>
        <w:tc>
          <w:tcPr>
            <w:tcW w:w="600" w:type="dxa"/>
            <w:vAlign w:val="bottom"/>
          </w:tcPr>
          <w:p>
            <w:pPr>
              <w:spacing w:after="0"/>
              <w:rPr>
                <w:sz w:val="7"/>
                <w:szCs w:val="7"/>
                <w:color w:val="auto"/>
              </w:rPr>
            </w:pPr>
          </w:p>
        </w:tc>
        <w:tc>
          <w:tcPr>
            <w:tcW w:w="160" w:type="dxa"/>
            <w:vAlign w:val="bottom"/>
          </w:tcPr>
          <w:p>
            <w:pPr>
              <w:spacing w:after="0"/>
              <w:rPr>
                <w:sz w:val="7"/>
                <w:szCs w:val="7"/>
                <w:color w:val="auto"/>
              </w:rPr>
            </w:pPr>
          </w:p>
        </w:tc>
        <w:tc>
          <w:tcPr>
            <w:tcW w:w="160" w:type="dxa"/>
            <w:vAlign w:val="bottom"/>
          </w:tcPr>
          <w:p>
            <w:pPr>
              <w:spacing w:after="0"/>
              <w:rPr>
                <w:sz w:val="7"/>
                <w:szCs w:val="7"/>
                <w:color w:val="auto"/>
              </w:rPr>
            </w:pPr>
          </w:p>
        </w:tc>
        <w:tc>
          <w:tcPr>
            <w:tcW w:w="600" w:type="dxa"/>
            <w:vAlign w:val="bottom"/>
          </w:tcPr>
          <w:p>
            <w:pPr>
              <w:spacing w:after="0"/>
              <w:rPr>
                <w:sz w:val="7"/>
                <w:szCs w:val="7"/>
                <w:color w:val="auto"/>
              </w:rPr>
            </w:pPr>
          </w:p>
        </w:tc>
        <w:tc>
          <w:tcPr>
            <w:tcW w:w="160" w:type="dxa"/>
            <w:vAlign w:val="bottom"/>
          </w:tcPr>
          <w:p>
            <w:pPr>
              <w:spacing w:after="0"/>
              <w:rPr>
                <w:sz w:val="7"/>
                <w:szCs w:val="7"/>
                <w:color w:val="auto"/>
              </w:rPr>
            </w:pPr>
          </w:p>
        </w:tc>
        <w:tc>
          <w:tcPr>
            <w:tcW w:w="160" w:type="dxa"/>
            <w:vAlign w:val="bottom"/>
          </w:tcPr>
          <w:p>
            <w:pPr>
              <w:spacing w:after="0"/>
              <w:rPr>
                <w:sz w:val="7"/>
                <w:szCs w:val="7"/>
                <w:color w:val="auto"/>
              </w:rPr>
            </w:pPr>
          </w:p>
        </w:tc>
        <w:tc>
          <w:tcPr>
            <w:tcW w:w="600" w:type="dxa"/>
            <w:vAlign w:val="bottom"/>
          </w:tcPr>
          <w:p>
            <w:pPr>
              <w:spacing w:after="0"/>
              <w:rPr>
                <w:sz w:val="7"/>
                <w:szCs w:val="7"/>
                <w:color w:val="auto"/>
              </w:rPr>
            </w:pPr>
          </w:p>
        </w:tc>
        <w:tc>
          <w:tcPr>
            <w:tcW w:w="16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205" w:lineRule="exact"/>
        <w:rPr>
          <w:sz w:val="20"/>
          <w:szCs w:val="20"/>
          <w:color w:val="auto"/>
        </w:rPr>
      </w:pPr>
    </w:p>
    <w:p>
      <w:pPr>
        <w:spacing w:after="0"/>
        <w:rPr>
          <w:sz w:val="20"/>
          <w:szCs w:val="20"/>
          <w:color w:val="auto"/>
        </w:rPr>
      </w:pPr>
      <w:r>
        <w:rPr>
          <w:rFonts w:ascii="Arial" w:cs="Arial" w:eastAsia="Arial" w:hAnsi="Arial"/>
          <w:sz w:val="14"/>
          <w:szCs w:val="14"/>
          <w:color w:val="auto"/>
        </w:rPr>
        <w:t>Note:</w:t>
      </w:r>
    </w:p>
    <w:p>
      <w:pPr>
        <w:spacing w:after="0" w:line="190" w:lineRule="exact"/>
        <w:rPr>
          <w:sz w:val="20"/>
          <w:szCs w:val="20"/>
          <w:color w:val="auto"/>
        </w:rPr>
      </w:pPr>
    </w:p>
    <w:p>
      <w:pPr>
        <w:ind w:left="540" w:hanging="531"/>
        <w:spacing w:after="0" w:line="239" w:lineRule="auto"/>
        <w:tabs>
          <w:tab w:leader="none" w:pos="540" w:val="left"/>
        </w:tabs>
        <w:numPr>
          <w:ilvl w:val="0"/>
          <w:numId w:val="44"/>
        </w:numPr>
        <w:rPr>
          <w:rFonts w:ascii="Arial" w:cs="Arial" w:eastAsia="Arial" w:hAnsi="Arial"/>
          <w:sz w:val="14"/>
          <w:szCs w:val="14"/>
          <w:color w:val="auto"/>
        </w:rPr>
      </w:pPr>
      <w:r>
        <w:rPr>
          <w:rFonts w:ascii="Arial" w:cs="Arial" w:eastAsia="Arial" w:hAnsi="Arial"/>
          <w:sz w:val="14"/>
          <w:szCs w:val="14"/>
          <w:color w:val="auto"/>
        </w:rPr>
        <w:t>Minesite costs per tonne and total cash costs per ounce are non-US GAAP measures of performance that the Company uses to monitor the performance of its operations. See "Item 5 Operating and Financial Review and Prospects — Results of Operations — Production Costs".</w:t>
      </w:r>
    </w:p>
    <w:p>
      <w:pPr>
        <w:spacing w:after="0" w:line="195" w:lineRule="exact"/>
        <w:rPr>
          <w:sz w:val="20"/>
          <w:szCs w:val="20"/>
          <w:color w:val="auto"/>
        </w:rPr>
      </w:pPr>
    </w:p>
    <w:p>
      <w:pPr>
        <w:ind w:left="4480"/>
        <w:spacing w:after="0"/>
        <w:rPr>
          <w:sz w:val="20"/>
          <w:szCs w:val="20"/>
          <w:color w:val="auto"/>
        </w:rPr>
      </w:pPr>
      <w:r>
        <w:rPr>
          <w:rFonts w:ascii="Arial" w:cs="Arial" w:eastAsia="Arial" w:hAnsi="Arial"/>
          <w:sz w:val="18"/>
          <w:szCs w:val="18"/>
          <w:color w:val="auto"/>
        </w:rPr>
        <w:t>98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-720090</wp:posOffset>
            </wp:positionH>
            <wp:positionV relativeFrom="paragraph">
              <wp:posOffset>146050</wp:posOffset>
            </wp:positionV>
            <wp:extent cx="7250430" cy="2159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260"/>
          </w:cols>
          <w:pgMar w:left="1380" w:top="341" w:right="259" w:bottom="1440" w:gutter="0" w:footer="0" w:header="0"/>
        </w:sectPr>
      </w:pPr>
    </w:p>
    <w:bookmarkStart w:id="141" w:name="page142"/>
    <w:bookmarkEnd w:id="141"/>
    <w:p>
      <w:pPr>
        <w:spacing w:after="0"/>
        <w:tabs>
          <w:tab w:leader="none" w:pos="760" w:val="left"/>
        </w:tabs>
        <w:rPr>
          <w:sz w:val="20"/>
          <w:szCs w:val="20"/>
          <w:color w:val="auto"/>
        </w:rPr>
      </w:pPr>
      <w:r>
        <w:rPr>
          <w:rFonts w:ascii="Arial" w:cs="Arial" w:eastAsia="Arial" w:hAnsi="Arial"/>
          <w:sz w:val="18"/>
          <w:szCs w:val="18"/>
          <w:b w:val="1"/>
          <w:bCs w:val="1"/>
          <w:color w:val="auto"/>
        </w:rPr>
        <w:t>ITEM 6</w:t>
      </w:r>
      <w:r>
        <w:rPr>
          <w:sz w:val="20"/>
          <w:szCs w:val="20"/>
          <w:color w:val="auto"/>
        </w:rPr>
        <w:tab/>
      </w:r>
      <w:r>
        <w:rPr>
          <w:rFonts w:ascii="Arial" w:cs="Arial" w:eastAsia="Arial" w:hAnsi="Arial"/>
          <w:sz w:val="16"/>
          <w:szCs w:val="16"/>
          <w:b w:val="1"/>
          <w:bCs w:val="1"/>
          <w:color w:val="auto"/>
        </w:rPr>
        <w:t>DIRECTORS, SENIOR MANAGEMENT AND EMPLOYEES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Directors and Senior Management</w:t>
      </w:r>
    </w:p>
    <w:p>
      <w:pPr>
        <w:spacing w:after="0" w:line="231" w:lineRule="exact"/>
        <w:rPr>
          <w:sz w:val="20"/>
          <w:szCs w:val="20"/>
          <w:color w:val="auto"/>
        </w:rPr>
      </w:pPr>
    </w:p>
    <w:p>
      <w:pPr>
        <w:jc w:val="both"/>
        <w:ind w:firstLine="386"/>
        <w:spacing w:after="0" w:line="306" w:lineRule="auto"/>
        <w:rPr>
          <w:sz w:val="20"/>
          <w:szCs w:val="20"/>
          <w:color w:val="auto"/>
        </w:rPr>
      </w:pPr>
      <w:r>
        <w:rPr>
          <w:rFonts w:ascii="Arial" w:cs="Arial" w:eastAsia="Arial" w:hAnsi="Arial"/>
          <w:sz w:val="16"/>
          <w:szCs w:val="16"/>
          <w:color w:val="auto"/>
        </w:rPr>
        <w:t>The articles of Agnico-Eagle provide for a minimum of five and a maximum of twelve directors. By special resolution of the shareholders of Agnico-Eagle approved at the annual and special meeting of Agnico-Eagle held on June 27, 1996, the shareholders authorized the Board to determine the number of directors within that minimum and maximum. The number of directors to be elected is twelve as determined by the Board by resolution passed on June 17, 2008.</w:t>
      </w:r>
    </w:p>
    <w:p>
      <w:pPr>
        <w:spacing w:after="0" w:line="161" w:lineRule="exact"/>
        <w:rPr>
          <w:sz w:val="20"/>
          <w:szCs w:val="20"/>
          <w:color w:val="auto"/>
        </w:rPr>
      </w:pPr>
    </w:p>
    <w:p>
      <w:pPr>
        <w:jc w:val="both"/>
        <w:ind w:firstLine="389"/>
        <w:spacing w:after="0" w:line="259" w:lineRule="auto"/>
        <w:rPr>
          <w:sz w:val="20"/>
          <w:szCs w:val="20"/>
          <w:color w:val="auto"/>
        </w:rPr>
      </w:pPr>
      <w:r>
        <w:rPr>
          <w:rFonts w:ascii="Arial" w:cs="Arial" w:eastAsia="Arial" w:hAnsi="Arial"/>
          <w:sz w:val="18"/>
          <w:szCs w:val="18"/>
          <w:color w:val="auto"/>
        </w:rPr>
        <w:t>The by-laws of Agnico-Eagle provide that directors will hold office for a term expiring at the next annual meeting of shareholders of Agnico-Eagle or until their successors are elected or appointed or the position is vacated. The Board annually appoints the officers of Agnico-Eagle, who are subject to removal by resolution of the Board at any time, with or without cause (in the absence of a written agreement to the contrary).</w:t>
      </w:r>
    </w:p>
    <w:p>
      <w:pPr>
        <w:spacing w:after="0" w:line="194"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following is a brief biography of each of Agnico-Eagle's directors:</w:t>
      </w:r>
    </w:p>
    <w:p>
      <w:pPr>
        <w:spacing w:after="0" w:line="225" w:lineRule="exact"/>
        <w:rPr>
          <w:sz w:val="20"/>
          <w:szCs w:val="20"/>
          <w:color w:val="auto"/>
        </w:rPr>
      </w:pPr>
    </w:p>
    <w:p>
      <w:pPr>
        <w:jc w:val="both"/>
        <w:ind w:firstLine="675"/>
        <w:spacing w:after="0" w:line="291" w:lineRule="auto"/>
        <w:rPr>
          <w:sz w:val="20"/>
          <w:szCs w:val="20"/>
          <w:color w:val="auto"/>
        </w:rPr>
      </w:pPr>
      <w:r>
        <w:rPr>
          <w:rFonts w:ascii="Arial" w:cs="Arial" w:eastAsia="Arial" w:hAnsi="Arial"/>
          <w:sz w:val="16"/>
          <w:szCs w:val="16"/>
          <w:b w:val="1"/>
          <w:bCs w:val="1"/>
          <w:i w:val="1"/>
          <w:iCs w:val="1"/>
          <w:color w:val="auto"/>
        </w:rPr>
        <w:t>Dr. Leanne M. Baker</w:t>
      </w:r>
      <w:r>
        <w:rPr>
          <w:rFonts w:ascii="Arial" w:cs="Arial" w:eastAsia="Arial" w:hAnsi="Arial"/>
          <w:sz w:val="16"/>
          <w:szCs w:val="16"/>
          <w:color w:val="auto"/>
        </w:rPr>
        <w:t>, 57, of Sebastopol, California, is an independent director of Agnico-Eagle. Dr. Baker is Managing Director of Investor</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 xml:space="preserve">Resources LLC, consulting to companies in the mining and financial services industries. Previously, Dr. Baker was employed by Salomon Smith Barney where she was one of the top-ranked mining sector equity analysts in the United States. Dr. Baker is a graduate of the Colorado School of Mines (M.S. and Ph.D. in mineral economics). Dr. Baker has been a director of Agnico-Eagle since January 1, 2003, and is also a director of Reunion Gold Corporation (a mining exploration company traded on the TSX Venture Exchange) and US Gold Corporation and Kimber Resources Inc. (mining exploration companies traded on the NYSE Arca and the TSX). </w:t>
      </w:r>
      <w:r>
        <w:rPr>
          <w:rFonts w:ascii="Arial" w:cs="Arial" w:eastAsia="Arial" w:hAnsi="Arial"/>
          <w:sz w:val="16"/>
          <w:szCs w:val="16"/>
          <w:i w:val="1"/>
          <w:iCs w:val="1"/>
          <w:color w:val="auto"/>
        </w:rPr>
        <w:t>Area of expertise:</w:t>
      </w:r>
      <w:r>
        <w:rPr>
          <w:rFonts w:ascii="Arial" w:cs="Arial" w:eastAsia="Arial" w:hAnsi="Arial"/>
          <w:sz w:val="16"/>
          <w:szCs w:val="16"/>
          <w:color w:val="auto"/>
        </w:rPr>
        <w:t xml:space="preserve"> Corporate Finance and Mineral Economics.</w:t>
      </w:r>
    </w:p>
    <w:p>
      <w:pPr>
        <w:spacing w:after="0" w:line="174" w:lineRule="exact"/>
        <w:rPr>
          <w:sz w:val="20"/>
          <w:szCs w:val="20"/>
          <w:color w:val="auto"/>
        </w:rPr>
      </w:pPr>
    </w:p>
    <w:p>
      <w:pPr>
        <w:jc w:val="both"/>
        <w:ind w:firstLine="419"/>
        <w:spacing w:after="0" w:line="306" w:lineRule="auto"/>
        <w:rPr>
          <w:sz w:val="20"/>
          <w:szCs w:val="20"/>
          <w:color w:val="auto"/>
        </w:rPr>
      </w:pPr>
      <w:r>
        <w:rPr>
          <w:rFonts w:ascii="Arial" w:cs="Arial" w:eastAsia="Arial" w:hAnsi="Arial"/>
          <w:sz w:val="16"/>
          <w:szCs w:val="16"/>
          <w:b w:val="1"/>
          <w:bCs w:val="1"/>
          <w:i w:val="1"/>
          <w:iCs w:val="1"/>
          <w:color w:val="auto"/>
        </w:rPr>
        <w:t>Douglas R. Beaumont, P.Eng.</w:t>
      </w:r>
      <w:r>
        <w:rPr>
          <w:rFonts w:ascii="Arial" w:cs="Arial" w:eastAsia="Arial" w:hAnsi="Arial"/>
          <w:sz w:val="16"/>
          <w:szCs w:val="16"/>
          <w:color w:val="auto"/>
        </w:rPr>
        <w:t xml:space="preserve">, 77, of Toronto, Ontario, is an independent director of Agnico-Eagle. Mr. Beaumont, now retired, is a former Senior Vice-President, Process Technology of SNC Lavalin. Prior to that, he was Executive Vice-President of Kilborn Engineering and Construction. Mr. Beaumont is a graduate of Queen's University (B.Sc.). Mr. Beaumont has been a director of Agnico-Eagle since February 25, 1997. </w:t>
      </w:r>
      <w:r>
        <w:rPr>
          <w:rFonts w:ascii="Arial" w:cs="Arial" w:eastAsia="Arial" w:hAnsi="Arial"/>
          <w:sz w:val="16"/>
          <w:szCs w:val="16"/>
          <w:i w:val="1"/>
          <w:iCs w:val="1"/>
          <w:color w:val="auto"/>
        </w:rPr>
        <w:t>Area of expertise:</w:t>
      </w:r>
      <w:r>
        <w:rPr>
          <w:rFonts w:ascii="Arial" w:cs="Arial" w:eastAsia="Arial" w:hAnsi="Arial"/>
          <w:sz w:val="16"/>
          <w:szCs w:val="16"/>
          <w:color w:val="auto"/>
        </w:rPr>
        <w:t xml:space="preserve"> Mining and Metallurgy.</w:t>
      </w:r>
    </w:p>
    <w:p>
      <w:pPr>
        <w:spacing w:after="0" w:line="161" w:lineRule="exact"/>
        <w:rPr>
          <w:sz w:val="20"/>
          <w:szCs w:val="20"/>
          <w:color w:val="auto"/>
        </w:rPr>
      </w:pPr>
    </w:p>
    <w:p>
      <w:pPr>
        <w:jc w:val="both"/>
        <w:ind w:firstLine="351"/>
        <w:spacing w:after="0" w:line="290" w:lineRule="auto"/>
        <w:rPr>
          <w:sz w:val="20"/>
          <w:szCs w:val="20"/>
          <w:color w:val="auto"/>
        </w:rPr>
      </w:pPr>
      <w:r>
        <w:rPr>
          <w:rFonts w:ascii="Arial" w:cs="Arial" w:eastAsia="Arial" w:hAnsi="Arial"/>
          <w:sz w:val="16"/>
          <w:szCs w:val="16"/>
          <w:b w:val="1"/>
          <w:bCs w:val="1"/>
          <w:i w:val="1"/>
          <w:iCs w:val="1"/>
          <w:color w:val="auto"/>
        </w:rPr>
        <w:t>Sean Boyd, CA</w:t>
      </w:r>
      <w:r>
        <w:rPr>
          <w:rFonts w:ascii="Arial" w:cs="Arial" w:eastAsia="Arial" w:hAnsi="Arial"/>
          <w:sz w:val="16"/>
          <w:szCs w:val="16"/>
          <w:color w:val="auto"/>
        </w:rPr>
        <w:t xml:space="preserve">, 51, of Toronto, Ontario, is the Vice-Chairman and Chief Executive Officer and a director of Agnico-Eagle. Mr. Boyd has been with Agnico-Eagle since 1985. Prior to his appointment as Vice-Chairman and Chief Executive Officer in December 2005, Mr. Boyd served as President and Chief Executive Officer from 1998 to 2005, Vice-President and Chief Financial Officer from 1996 to 1998, Treasurer and Chief Financial Officer from 1990 to 1996, Secretary Treasurer during a portion of 1990 and Comptroller from 1985 to 1990. Prior to joining Agnico-Eagle in 1985, he was a staff accountant with Clarkson Gordon (Ernst &amp; Young). Mr. Boyd is a graduate of the University of Toronto (B.Comm.). Mr. Boyd has been a director of Agnico-Eagle since April 14, 1998, and is also a director and member of the Audit Committee of the World Gold Council and a member of the Board of Governors and Chairman of the Audit Committee of St. Francis Xavier University. </w:t>
      </w:r>
      <w:r>
        <w:rPr>
          <w:rFonts w:ascii="Arial" w:cs="Arial" w:eastAsia="Arial" w:hAnsi="Arial"/>
          <w:sz w:val="16"/>
          <w:szCs w:val="16"/>
          <w:i w:val="1"/>
          <w:iCs w:val="1"/>
          <w:color w:val="auto"/>
        </w:rPr>
        <w:t>Area of expertise:</w:t>
      </w:r>
      <w:r>
        <w:rPr>
          <w:rFonts w:ascii="Arial" w:cs="Arial" w:eastAsia="Arial" w:hAnsi="Arial"/>
          <w:sz w:val="16"/>
          <w:szCs w:val="16"/>
          <w:color w:val="auto"/>
        </w:rPr>
        <w:t xml:space="preserve"> Executive Management, Finance.</w:t>
      </w:r>
    </w:p>
    <w:p>
      <w:pPr>
        <w:spacing w:after="0" w:line="172" w:lineRule="exact"/>
        <w:rPr>
          <w:sz w:val="20"/>
          <w:szCs w:val="20"/>
          <w:color w:val="auto"/>
        </w:rPr>
      </w:pPr>
    </w:p>
    <w:p>
      <w:pPr>
        <w:jc w:val="both"/>
        <w:ind w:firstLine="473"/>
        <w:spacing w:after="0" w:line="298" w:lineRule="auto"/>
        <w:rPr>
          <w:sz w:val="20"/>
          <w:szCs w:val="20"/>
          <w:color w:val="auto"/>
        </w:rPr>
      </w:pPr>
      <w:r>
        <w:rPr>
          <w:rFonts w:ascii="Arial" w:cs="Arial" w:eastAsia="Arial" w:hAnsi="Arial"/>
          <w:sz w:val="16"/>
          <w:szCs w:val="16"/>
          <w:b w:val="1"/>
          <w:bCs w:val="1"/>
          <w:i w:val="1"/>
          <w:iCs w:val="1"/>
          <w:color w:val="auto"/>
        </w:rPr>
        <w:t>Clifford J. Davis, P. Eng.</w:t>
      </w:r>
      <w:r>
        <w:rPr>
          <w:rFonts w:ascii="Arial" w:cs="Arial" w:eastAsia="Arial" w:hAnsi="Arial"/>
          <w:sz w:val="16"/>
          <w:szCs w:val="16"/>
          <w:color w:val="auto"/>
        </w:rPr>
        <w:t>, 67, of Kemble, Ontario, is an independent director of Agnico-Eagle. Mr. Davis is a mining industry veteran, and formerly a</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 xml:space="preserve">member of the senior management teams of New Gold Inc., Gabriel Resources Ltd. and TVX Gold Inc. and of the boards of directors of New Gold Inc., TVX Gold Inc., Rio Narcea Gold Mines Ltd. and Tiberon Minerals Ltd. Mr. Davis is a graduate of the Royal School of Mines, Imperial College, London University (B.Sc., Mining Engineering). Mr. Davis has been a director of Agnico-Eagle since June 17, 2008. </w:t>
      </w:r>
      <w:r>
        <w:rPr>
          <w:rFonts w:ascii="Arial" w:cs="Arial" w:eastAsia="Arial" w:hAnsi="Arial"/>
          <w:sz w:val="16"/>
          <w:szCs w:val="16"/>
          <w:i w:val="1"/>
          <w:iCs w:val="1"/>
          <w:color w:val="auto"/>
        </w:rPr>
        <w:t>Area of expertise:</w:t>
      </w:r>
      <w:r>
        <w:rPr>
          <w:rFonts w:ascii="Arial" w:cs="Arial" w:eastAsia="Arial" w:hAnsi="Arial"/>
          <w:sz w:val="16"/>
          <w:szCs w:val="16"/>
          <w:color w:val="auto"/>
        </w:rPr>
        <w:t xml:space="preserve"> Mining.</w:t>
      </w:r>
    </w:p>
    <w:p>
      <w:pPr>
        <w:spacing w:after="0" w:line="167" w:lineRule="exact"/>
        <w:rPr>
          <w:sz w:val="20"/>
          <w:szCs w:val="20"/>
          <w:color w:val="auto"/>
        </w:rPr>
      </w:pPr>
    </w:p>
    <w:p>
      <w:pPr>
        <w:jc w:val="both"/>
        <w:ind w:firstLine="432"/>
        <w:spacing w:after="0" w:line="294" w:lineRule="auto"/>
        <w:rPr>
          <w:sz w:val="20"/>
          <w:szCs w:val="20"/>
          <w:color w:val="auto"/>
        </w:rPr>
      </w:pPr>
      <w:r>
        <w:rPr>
          <w:rFonts w:ascii="Arial" w:cs="Arial" w:eastAsia="Arial" w:hAnsi="Arial"/>
          <w:sz w:val="16"/>
          <w:szCs w:val="16"/>
          <w:b w:val="1"/>
          <w:bCs w:val="1"/>
          <w:i w:val="1"/>
          <w:iCs w:val="1"/>
          <w:color w:val="auto"/>
        </w:rPr>
        <w:t>David Garofalo, CA, ICD.D</w:t>
      </w:r>
      <w:r>
        <w:rPr>
          <w:rFonts w:ascii="Arial" w:cs="Arial" w:eastAsia="Arial" w:hAnsi="Arial"/>
          <w:sz w:val="16"/>
          <w:szCs w:val="16"/>
          <w:color w:val="auto"/>
        </w:rPr>
        <w:t xml:space="preserve">, 44, of Richmond Hill, Ontario, is the Senior Vice-President, Finance and Chief Financial Officer and a director of Agnico-Eagle. Mr. Garofalo has been with Agnico-Eagle since 1998. Before joining Agnico-Eagle, Mr. Garofalo served as Treasurer of Inmet Mining Corporation, an international mining company. Mr. Garofalo serves on the board of directors and Audit and Corporate Governance Committees of Stornoway Diamond Corporation and the board of directors and Audit Committee of Malbex Resources Inc. Mr. Garofalo is a graduate of the University of Toronto (B.Comm.) and a Chartered Accountant. He has been a director of Agnico-Eagle since June 17, 2008. </w:t>
      </w:r>
      <w:r>
        <w:rPr>
          <w:rFonts w:ascii="Arial" w:cs="Arial" w:eastAsia="Arial" w:hAnsi="Arial"/>
          <w:sz w:val="16"/>
          <w:szCs w:val="16"/>
          <w:i w:val="1"/>
          <w:iCs w:val="1"/>
          <w:color w:val="auto"/>
        </w:rPr>
        <w:t>Area of expertise:</w:t>
      </w:r>
      <w:r>
        <w:rPr>
          <w:rFonts w:ascii="Arial" w:cs="Arial" w:eastAsia="Arial" w:hAnsi="Arial"/>
          <w:sz w:val="16"/>
          <w:szCs w:val="16"/>
          <w:color w:val="auto"/>
        </w:rPr>
        <w:t xml:space="preserve"> Executive Management, Finance.</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25" w:right="239" w:bottom="1440" w:gutter="0" w:footer="0" w:header="0"/>
        </w:sectPr>
      </w:pPr>
    </w:p>
    <w:bookmarkStart w:id="142" w:name="page143"/>
    <w:bookmarkEnd w:id="142"/>
    <w:p>
      <w:pPr>
        <w:jc w:val="both"/>
        <w:ind w:firstLine="378"/>
        <w:spacing w:after="0" w:line="290" w:lineRule="auto"/>
        <w:rPr>
          <w:sz w:val="20"/>
          <w:szCs w:val="20"/>
          <w:color w:val="auto"/>
        </w:rPr>
      </w:pPr>
      <w:r>
        <w:rPr>
          <w:rFonts w:ascii="Arial" w:cs="Arial" w:eastAsia="Arial" w:hAnsi="Arial"/>
          <w:sz w:val="16"/>
          <w:szCs w:val="16"/>
          <w:b w:val="1"/>
          <w:bCs w:val="1"/>
          <w:i w:val="1"/>
          <w:iCs w:val="1"/>
          <w:color w:val="auto"/>
        </w:rPr>
        <w:t>Bernard Kraft, CA</w:t>
      </w:r>
      <w:r>
        <w:rPr>
          <w:rFonts w:ascii="Arial" w:cs="Arial" w:eastAsia="Arial" w:hAnsi="Arial"/>
          <w:sz w:val="16"/>
          <w:szCs w:val="16"/>
          <w:color w:val="auto"/>
        </w:rPr>
        <w:t>, 79, of Toronto, Ontario, is an independent director of Agnico-Eagle. Mr. Kraft is recognized as a Designated Specialist in Investigative</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 xml:space="preserve">and Forensic Accounting by the Canadian Institute of Chartered Accountants. Mr. Kraft is a retired senior partner of the Toronto accounting firm Kraft, Berger LLP, Chartered Accountants and now serves as a consultant to that firm. He is also a principal in Kraft Yabrov Valuations Inc. Mr. Kraft is a member of the Canadian Institute of Chartered Business Valuators, the Association of Certified Fraud Examiners and the American Society of Appraisers. Mr. Kraft has been a director of Agnico-Eagle since March 12, 1992, and is also a director of Canadian Shield Resources Inc. (a mining exploration company traded on the TSX Venture Exchange), St. Andrews Goldfields Limited (a mining exploration company listed on the TSX) and API Technologies Corp (a leading defence subcontractor in North America listed on the Bulletin Board). </w:t>
      </w:r>
      <w:r>
        <w:rPr>
          <w:rFonts w:ascii="Arial" w:cs="Arial" w:eastAsia="Arial" w:hAnsi="Arial"/>
          <w:sz w:val="16"/>
          <w:szCs w:val="16"/>
          <w:i w:val="1"/>
          <w:iCs w:val="1"/>
          <w:color w:val="auto"/>
        </w:rPr>
        <w:t>Area of expertise:</w:t>
      </w:r>
      <w:r>
        <w:rPr>
          <w:rFonts w:ascii="Arial" w:cs="Arial" w:eastAsia="Arial" w:hAnsi="Arial"/>
          <w:sz w:val="16"/>
          <w:szCs w:val="16"/>
          <w:color w:val="auto"/>
        </w:rPr>
        <w:t xml:space="preserve"> Audit and Accounting.</w:t>
      </w:r>
    </w:p>
    <w:p>
      <w:pPr>
        <w:spacing w:after="0" w:line="172" w:lineRule="exact"/>
        <w:rPr>
          <w:sz w:val="20"/>
          <w:szCs w:val="20"/>
          <w:color w:val="auto"/>
        </w:rPr>
      </w:pPr>
    </w:p>
    <w:p>
      <w:pPr>
        <w:jc w:val="both"/>
        <w:ind w:firstLine="486"/>
        <w:spacing w:after="0" w:line="259" w:lineRule="auto"/>
        <w:rPr>
          <w:sz w:val="20"/>
          <w:szCs w:val="20"/>
          <w:color w:val="auto"/>
        </w:rPr>
      </w:pPr>
      <w:r>
        <w:rPr>
          <w:rFonts w:ascii="Arial" w:cs="Arial" w:eastAsia="Arial" w:hAnsi="Arial"/>
          <w:sz w:val="18"/>
          <w:szCs w:val="18"/>
          <w:b w:val="1"/>
          <w:bCs w:val="1"/>
          <w:i w:val="1"/>
          <w:iCs w:val="1"/>
          <w:color w:val="auto"/>
        </w:rPr>
        <w:t>Mel Leiderman, CA, TEP, ICD.D</w:t>
      </w:r>
      <w:r>
        <w:rPr>
          <w:rFonts w:ascii="Arial" w:cs="Arial" w:eastAsia="Arial" w:hAnsi="Arial"/>
          <w:sz w:val="18"/>
          <w:szCs w:val="18"/>
          <w:color w:val="auto"/>
        </w:rPr>
        <w:t>, 57, of Toronto, Ontario, is an independent director of Agnico-Eagle. Mr. Leiderman is the managing partner of the</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 xml:space="preserve">Toronto accounting firm Lipton, Wiseman, Altbaum &amp; Partners LLP. Mr. Leiderman is a graduate of the University of Windsor (B.A.). He has been a director of Agnico-Eagle since January 1, 2003. </w:t>
      </w:r>
      <w:r>
        <w:rPr>
          <w:rFonts w:ascii="Arial" w:cs="Arial" w:eastAsia="Arial" w:hAnsi="Arial"/>
          <w:sz w:val="18"/>
          <w:szCs w:val="18"/>
          <w:i w:val="1"/>
          <w:iCs w:val="1"/>
          <w:color w:val="auto"/>
        </w:rPr>
        <w:t>Area of expertise:</w:t>
      </w:r>
      <w:r>
        <w:rPr>
          <w:rFonts w:ascii="Arial" w:cs="Arial" w:eastAsia="Arial" w:hAnsi="Arial"/>
          <w:sz w:val="18"/>
          <w:szCs w:val="18"/>
          <w:color w:val="auto"/>
        </w:rPr>
        <w:t xml:space="preserve"> Audit and Accounting.</w:t>
      </w:r>
    </w:p>
    <w:p>
      <w:pPr>
        <w:spacing w:after="0" w:line="194" w:lineRule="exact"/>
        <w:rPr>
          <w:sz w:val="20"/>
          <w:szCs w:val="20"/>
          <w:color w:val="auto"/>
        </w:rPr>
      </w:pPr>
    </w:p>
    <w:p>
      <w:pPr>
        <w:jc w:val="both"/>
        <w:ind w:firstLine="459"/>
        <w:spacing w:after="0" w:line="306" w:lineRule="auto"/>
        <w:rPr>
          <w:sz w:val="20"/>
          <w:szCs w:val="20"/>
          <w:color w:val="auto"/>
        </w:rPr>
      </w:pPr>
      <w:r>
        <w:rPr>
          <w:rFonts w:ascii="Arial" w:cs="Arial" w:eastAsia="Arial" w:hAnsi="Arial"/>
          <w:sz w:val="16"/>
          <w:szCs w:val="16"/>
          <w:b w:val="1"/>
          <w:bCs w:val="1"/>
          <w:i w:val="1"/>
          <w:iCs w:val="1"/>
          <w:color w:val="auto"/>
        </w:rPr>
        <w:t>James D. Nasso, ICD.D</w:t>
      </w:r>
      <w:r>
        <w:rPr>
          <w:rFonts w:ascii="Arial" w:cs="Arial" w:eastAsia="Arial" w:hAnsi="Arial"/>
          <w:sz w:val="16"/>
          <w:szCs w:val="16"/>
          <w:color w:val="auto"/>
        </w:rPr>
        <w:t>, 76, of Toronto, Ontario, is Chairman of the Board of Directors and an independent director of Agnico-Eagle. Mr. Nasso, now</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 xml:space="preserve">retired, founded and was the President of Unilac Limited, a manufacturer of infant formula, for 35 years. Mr. Nasso is a graduate of St. Francis Xavier University (B.Comm.). Mr. Nasso has been a director of Agnico-Eagle since June 27, 1986. </w:t>
      </w:r>
      <w:r>
        <w:rPr>
          <w:rFonts w:ascii="Arial" w:cs="Arial" w:eastAsia="Arial" w:hAnsi="Arial"/>
          <w:sz w:val="16"/>
          <w:szCs w:val="16"/>
          <w:i w:val="1"/>
          <w:iCs w:val="1"/>
          <w:color w:val="auto"/>
        </w:rPr>
        <w:t>Area of expertise:</w:t>
      </w:r>
      <w:r>
        <w:rPr>
          <w:rFonts w:ascii="Arial" w:cs="Arial" w:eastAsia="Arial" w:hAnsi="Arial"/>
          <w:sz w:val="16"/>
          <w:szCs w:val="16"/>
          <w:color w:val="auto"/>
        </w:rPr>
        <w:t xml:space="preserve"> Management and Business Strategy.</w:t>
      </w:r>
    </w:p>
    <w:p>
      <w:pPr>
        <w:spacing w:after="0" w:line="161" w:lineRule="exact"/>
        <w:rPr>
          <w:sz w:val="20"/>
          <w:szCs w:val="20"/>
          <w:color w:val="auto"/>
        </w:rPr>
      </w:pPr>
    </w:p>
    <w:p>
      <w:pPr>
        <w:jc w:val="both"/>
        <w:ind w:firstLine="392"/>
        <w:spacing w:after="0" w:line="255" w:lineRule="auto"/>
        <w:rPr>
          <w:sz w:val="20"/>
          <w:szCs w:val="20"/>
          <w:color w:val="auto"/>
        </w:rPr>
      </w:pPr>
      <w:r>
        <w:rPr>
          <w:rFonts w:ascii="Arial" w:cs="Arial" w:eastAsia="Arial" w:hAnsi="Arial"/>
          <w:sz w:val="18"/>
          <w:szCs w:val="18"/>
          <w:b w:val="1"/>
          <w:bCs w:val="1"/>
          <w:i w:val="1"/>
          <w:iCs w:val="1"/>
          <w:color w:val="auto"/>
        </w:rPr>
        <w:t>J. Merfyn Roberts, CA</w:t>
      </w:r>
      <w:r>
        <w:rPr>
          <w:rFonts w:ascii="Arial" w:cs="Arial" w:eastAsia="Arial" w:hAnsi="Arial"/>
          <w:sz w:val="18"/>
          <w:szCs w:val="18"/>
          <w:color w:val="auto"/>
        </w:rPr>
        <w:t>, 60, of London, England, is an independent director of Agnico-Eagle. Mr. Roberts has been a fund manager and investment advisor</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 xml:space="preserve">for more than 25 years and has been closely associated with the mining industry. He sits on the boards of directors of several resource companies, including Eastern Platinum Limited and Rambler Metals and Mining plc. Mr. Roberts is a graduate of Liverpool University, UK (B.Sc., Geology) and Oxford University, UK (M.Sc., Geochemistry) and is a member of the Institute of Chartered Accountants in England and Wales. He has been a director of Agnico-Eagle since June 17, 2008. </w:t>
      </w:r>
      <w:r>
        <w:rPr>
          <w:rFonts w:ascii="Arial" w:cs="Arial" w:eastAsia="Arial" w:hAnsi="Arial"/>
          <w:sz w:val="18"/>
          <w:szCs w:val="18"/>
          <w:i w:val="1"/>
          <w:iCs w:val="1"/>
          <w:color w:val="auto"/>
        </w:rPr>
        <w:t>Area of expertise:</w:t>
      </w:r>
      <w:r>
        <w:rPr>
          <w:rFonts w:ascii="Arial" w:cs="Arial" w:eastAsia="Arial" w:hAnsi="Arial"/>
          <w:sz w:val="18"/>
          <w:szCs w:val="18"/>
          <w:color w:val="auto"/>
        </w:rPr>
        <w:t xml:space="preserve"> Investment Management.</w:t>
      </w:r>
    </w:p>
    <w:p>
      <w:pPr>
        <w:spacing w:after="0" w:line="197" w:lineRule="exact"/>
        <w:rPr>
          <w:sz w:val="20"/>
          <w:szCs w:val="20"/>
          <w:color w:val="auto"/>
        </w:rPr>
      </w:pPr>
    </w:p>
    <w:p>
      <w:pPr>
        <w:jc w:val="both"/>
        <w:ind w:firstLine="392"/>
        <w:spacing w:after="0" w:line="254" w:lineRule="auto"/>
        <w:rPr>
          <w:sz w:val="20"/>
          <w:szCs w:val="20"/>
          <w:color w:val="auto"/>
        </w:rPr>
      </w:pPr>
      <w:r>
        <w:rPr>
          <w:rFonts w:ascii="Arial" w:cs="Arial" w:eastAsia="Arial" w:hAnsi="Arial"/>
          <w:sz w:val="18"/>
          <w:szCs w:val="18"/>
          <w:b w:val="1"/>
          <w:bCs w:val="1"/>
          <w:i w:val="1"/>
          <w:iCs w:val="1"/>
          <w:color w:val="auto"/>
        </w:rPr>
        <w:t>Eberhard Scherkus, P. Eng.</w:t>
      </w:r>
      <w:r>
        <w:rPr>
          <w:rFonts w:ascii="Arial" w:cs="Arial" w:eastAsia="Arial" w:hAnsi="Arial"/>
          <w:sz w:val="18"/>
          <w:szCs w:val="18"/>
          <w:color w:val="auto"/>
        </w:rPr>
        <w:t>, 58, of Oakville, Ontario, is the President and Chief Operating Officer and a director of Agnico-Eagle. Mr. Scherkus has been</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 xml:space="preserve">with Agnico-Eagle since 1985. Prior to his appointment as President and Chief Operating Officer in December 2005, Mr. Scherkus served as Executive Vice-President and Chief Operating Officer from 1998 to 2005, Vice-President, Operations from 1996 to 1998, as a manager of Agnico-Eagle LaRonde Division from 1986 to 1996 and as a project manager from 1985 to 1986. Mr. Scherkus is a graduate of McGill University (B.Sc.), a member of the Association of Professional Engineers of Ontario and past president of the Quebec Mining Association. Mr. Scherkus has been a director of Agnico-Eagle since January 17, 2005. </w:t>
      </w:r>
      <w:r>
        <w:rPr>
          <w:rFonts w:ascii="Arial" w:cs="Arial" w:eastAsia="Arial" w:hAnsi="Arial"/>
          <w:sz w:val="18"/>
          <w:szCs w:val="18"/>
          <w:i w:val="1"/>
          <w:iCs w:val="1"/>
          <w:color w:val="auto"/>
        </w:rPr>
        <w:t>Area of</w:t>
      </w:r>
      <w:r>
        <w:rPr>
          <w:rFonts w:ascii="Arial" w:cs="Arial" w:eastAsia="Arial" w:hAnsi="Arial"/>
          <w:sz w:val="18"/>
          <w:szCs w:val="18"/>
          <w:color w:val="auto"/>
        </w:rPr>
        <w:t xml:space="preserve"> </w:t>
      </w:r>
      <w:r>
        <w:rPr>
          <w:rFonts w:ascii="Arial" w:cs="Arial" w:eastAsia="Arial" w:hAnsi="Arial"/>
          <w:sz w:val="18"/>
          <w:szCs w:val="18"/>
          <w:i w:val="1"/>
          <w:iCs w:val="1"/>
          <w:color w:val="auto"/>
        </w:rPr>
        <w:t xml:space="preserve">expertise: </w:t>
      </w:r>
      <w:r>
        <w:rPr>
          <w:rFonts w:ascii="Arial" w:cs="Arial" w:eastAsia="Arial" w:hAnsi="Arial"/>
          <w:sz w:val="18"/>
          <w:szCs w:val="18"/>
          <w:color w:val="auto"/>
        </w:rPr>
        <w:t>Executive Management, Mining.</w:t>
      </w:r>
    </w:p>
    <w:p>
      <w:pPr>
        <w:spacing w:after="0" w:line="198" w:lineRule="exact"/>
        <w:rPr>
          <w:sz w:val="20"/>
          <w:szCs w:val="20"/>
          <w:color w:val="auto"/>
        </w:rPr>
      </w:pPr>
    </w:p>
    <w:p>
      <w:pPr>
        <w:jc w:val="both"/>
        <w:ind w:firstLine="378"/>
        <w:spacing w:after="0" w:line="289" w:lineRule="auto"/>
        <w:rPr>
          <w:sz w:val="20"/>
          <w:szCs w:val="20"/>
          <w:color w:val="auto"/>
        </w:rPr>
      </w:pPr>
      <w:r>
        <w:rPr>
          <w:rFonts w:ascii="Arial" w:cs="Arial" w:eastAsia="Arial" w:hAnsi="Arial"/>
          <w:sz w:val="16"/>
          <w:szCs w:val="16"/>
          <w:b w:val="1"/>
          <w:bCs w:val="1"/>
          <w:i w:val="1"/>
          <w:iCs w:val="1"/>
          <w:color w:val="auto"/>
        </w:rPr>
        <w:t xml:space="preserve">Howard R. Stockford, P.Eng., 68, </w:t>
      </w:r>
      <w:r>
        <w:rPr>
          <w:rFonts w:ascii="Arial" w:cs="Arial" w:eastAsia="Arial" w:hAnsi="Arial"/>
          <w:sz w:val="16"/>
          <w:szCs w:val="16"/>
          <w:color w:val="auto"/>
        </w:rPr>
        <w:t>of Toronto, Ontario, is an independent director of Agnico-Eagle. Mr. Stockford is a retired mining executive. From 1989</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 xml:space="preserve">until his retirement at the end of 2004, he was Executive Vice-President of Aur Resources Inc. ("Aur"), a mining company that was traded on the TSX. He was a director of Aur from 1984 until August 2007, when Aur was taken over by Teck Cominco Limited. From 1983 to 1989, Mr. Stockford was Vice-President of Aur. Mr. Stockford is a member of the Canadian Institute of Mining, Metallurgy and Petroleum (the "CIM") and has previously served as Chairman of both the Winnipeg and Toronto branches of the CIM and as President of the CIM national body. Mr. Stockford is also a member of the Association of Professional Engineers of Ontario, the Prospectors and Developers Association of Canada and the Society of Economic Geologists. Mr. Stockford is a graduate of the Royal School of Mines, Imperial College, London University, U.K. (B.Sc., Mining Geology). Mr. Stockford has been a director of Agnico-Eagle since May 6, 2005, and is also a director of Nuinsco Resources Limited and Victory Nickel Inc. </w:t>
      </w:r>
      <w:r>
        <w:rPr>
          <w:rFonts w:ascii="Arial" w:cs="Arial" w:eastAsia="Arial" w:hAnsi="Arial"/>
          <w:sz w:val="16"/>
          <w:szCs w:val="16"/>
          <w:i w:val="1"/>
          <w:iCs w:val="1"/>
          <w:color w:val="auto"/>
        </w:rPr>
        <w:t>Area of expertise:</w:t>
      </w:r>
      <w:r>
        <w:rPr>
          <w:rFonts w:ascii="Arial" w:cs="Arial" w:eastAsia="Arial" w:hAnsi="Arial"/>
          <w:sz w:val="16"/>
          <w:szCs w:val="16"/>
          <w:color w:val="auto"/>
        </w:rPr>
        <w:t xml:space="preserve"> Mining.</w:t>
      </w:r>
    </w:p>
    <w:p>
      <w:pPr>
        <w:spacing w:after="0" w:line="172" w:lineRule="exact"/>
        <w:rPr>
          <w:sz w:val="20"/>
          <w:szCs w:val="20"/>
          <w:color w:val="auto"/>
        </w:rPr>
      </w:pPr>
    </w:p>
    <w:p>
      <w:pPr>
        <w:jc w:val="both"/>
        <w:ind w:firstLine="419"/>
        <w:spacing w:after="0" w:line="256" w:lineRule="auto"/>
        <w:rPr>
          <w:sz w:val="20"/>
          <w:szCs w:val="20"/>
          <w:color w:val="auto"/>
        </w:rPr>
      </w:pPr>
      <w:r>
        <w:rPr>
          <w:rFonts w:ascii="Arial" w:cs="Arial" w:eastAsia="Arial" w:hAnsi="Arial"/>
          <w:sz w:val="18"/>
          <w:szCs w:val="18"/>
          <w:b w:val="1"/>
          <w:bCs w:val="1"/>
          <w:i w:val="1"/>
          <w:iCs w:val="1"/>
          <w:color w:val="auto"/>
        </w:rPr>
        <w:t>Pertti Voutilainen, M.Sc., M.Eng.</w:t>
      </w:r>
      <w:r>
        <w:rPr>
          <w:rFonts w:ascii="Arial" w:cs="Arial" w:eastAsia="Arial" w:hAnsi="Arial"/>
          <w:sz w:val="18"/>
          <w:szCs w:val="18"/>
          <w:color w:val="auto"/>
        </w:rPr>
        <w:t>, 68, of Espoo, Finland, is an independent director of Agnico-Eagle. Mr. Voutilainen is a mining industry veteran. Most</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recently, he was the Chairman of the board of directors of Riddarhyttan. Previously, Mr. Voutilainen was the Chairman of the board of directors and Chief Executive Officer of Kansallis Banking Group and President after its merger with Union Bank of Finland until his retirement in 2000. He was also employed by Outokumpu Corp., Finland's largest mining and metals company,</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43" w:name="page144"/>
    <w:bookmarkEnd w:id="143"/>
    <w:p>
      <w:pPr>
        <w:jc w:val="both"/>
        <w:spacing w:after="0" w:line="255" w:lineRule="auto"/>
        <w:rPr>
          <w:sz w:val="20"/>
          <w:szCs w:val="20"/>
          <w:color w:val="auto"/>
        </w:rPr>
      </w:pPr>
      <w:r>
        <w:rPr>
          <w:rFonts w:ascii="Arial" w:cs="Arial" w:eastAsia="Arial" w:hAnsi="Arial"/>
          <w:sz w:val="18"/>
          <w:szCs w:val="18"/>
          <w:color w:val="auto"/>
        </w:rPr>
        <w:t xml:space="preserve">for 26 years, including as Chief Executive Officer for 11 years. During the last five years, Mr. Voutilainen has served on the board of directors of each of Metso Oyj (Chairman), Viola Systems Oy (Chairman), Innopoli Oy (Chairman) and Fingrid Oyj. Mr. Voutilainen holds the honorary title of Mining Counselor (Bergsrad), which was awarded to him by the President of the Republic of Finland in 2003. Mr. Voutilainen is a graduate of Helsinki University of Technology (M.Sc.), Helsinki University of Business Administration (M.Sc.) and Pennsylvania State University (M. Eng.). He has been a director of Agnico-Eagle since December 13, 2005. </w:t>
      </w:r>
      <w:r>
        <w:rPr>
          <w:rFonts w:ascii="Arial" w:cs="Arial" w:eastAsia="Arial" w:hAnsi="Arial"/>
          <w:sz w:val="18"/>
          <w:szCs w:val="18"/>
          <w:i w:val="1"/>
          <w:iCs w:val="1"/>
          <w:color w:val="auto"/>
        </w:rPr>
        <w:t>Area of expertise:</w:t>
      </w:r>
      <w:r>
        <w:rPr>
          <w:rFonts w:ascii="Arial" w:cs="Arial" w:eastAsia="Arial" w:hAnsi="Arial"/>
          <w:sz w:val="18"/>
          <w:szCs w:val="18"/>
          <w:color w:val="auto"/>
        </w:rPr>
        <w:t xml:space="preserve"> Mining and Finance.</w:t>
      </w:r>
    </w:p>
    <w:p>
      <w:pPr>
        <w:spacing w:after="0" w:line="197"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following is a brief biography of each of Agnico-Eagle's senior officers:</w:t>
      </w:r>
    </w:p>
    <w:p>
      <w:pPr>
        <w:spacing w:after="0" w:line="225" w:lineRule="exact"/>
        <w:rPr>
          <w:sz w:val="20"/>
          <w:szCs w:val="20"/>
          <w:color w:val="auto"/>
        </w:rPr>
      </w:pPr>
    </w:p>
    <w:p>
      <w:pPr>
        <w:jc w:val="both"/>
        <w:ind w:firstLine="432"/>
        <w:spacing w:after="0" w:line="298" w:lineRule="auto"/>
        <w:rPr>
          <w:sz w:val="20"/>
          <w:szCs w:val="20"/>
          <w:color w:val="auto"/>
        </w:rPr>
      </w:pPr>
      <w:r>
        <w:rPr>
          <w:rFonts w:ascii="Arial" w:cs="Arial" w:eastAsia="Arial" w:hAnsi="Arial"/>
          <w:sz w:val="16"/>
          <w:szCs w:val="16"/>
          <w:b w:val="1"/>
          <w:bCs w:val="1"/>
          <w:i w:val="1"/>
          <w:iCs w:val="1"/>
          <w:color w:val="auto"/>
        </w:rPr>
        <w:t>Donald G. Allan</w:t>
      </w:r>
      <w:r>
        <w:rPr>
          <w:rFonts w:ascii="Arial" w:cs="Arial" w:eastAsia="Arial" w:hAnsi="Arial"/>
          <w:sz w:val="16"/>
          <w:szCs w:val="16"/>
          <w:color w:val="auto"/>
        </w:rPr>
        <w:t>, 54, of Toronto, Ontario, is Senior Vice-President, Corporate Development of Agnico-Eagle, a position he has held since December 14,</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2006. Prior to that, Mr. Allan had been Vice-President, Corporate Development since May 6, 2002. Prior to that, Mr. Allan spent 16 years as an investment banker covering the mining and natural resources sectors with the firms Salomon Smith Barney and Merrill Lynch. Mr. Allan is a graduate of the Amos Tuck School, Dartmouth College (M.B.A.) and the University of Toronto (B.Comm.). Mr. Allan is also qualified as a Chartered Accountant.</w:t>
      </w:r>
    </w:p>
    <w:p>
      <w:pPr>
        <w:spacing w:after="0" w:line="167" w:lineRule="exact"/>
        <w:rPr>
          <w:sz w:val="20"/>
          <w:szCs w:val="20"/>
          <w:color w:val="auto"/>
        </w:rPr>
      </w:pPr>
    </w:p>
    <w:p>
      <w:pPr>
        <w:jc w:val="both"/>
        <w:ind w:firstLine="378"/>
        <w:spacing w:after="0" w:line="298" w:lineRule="auto"/>
        <w:rPr>
          <w:sz w:val="20"/>
          <w:szCs w:val="20"/>
          <w:color w:val="auto"/>
        </w:rPr>
      </w:pPr>
      <w:r>
        <w:rPr>
          <w:rFonts w:ascii="Arial" w:cs="Arial" w:eastAsia="Arial" w:hAnsi="Arial"/>
          <w:sz w:val="16"/>
          <w:szCs w:val="16"/>
          <w:b w:val="1"/>
          <w:bCs w:val="1"/>
          <w:i w:val="1"/>
          <w:iCs w:val="1"/>
          <w:color w:val="auto"/>
        </w:rPr>
        <w:t>Alain Blackburn, P.Eng.</w:t>
      </w:r>
      <w:r>
        <w:rPr>
          <w:rFonts w:ascii="Arial" w:cs="Arial" w:eastAsia="Arial" w:hAnsi="Arial"/>
          <w:sz w:val="16"/>
          <w:szCs w:val="16"/>
          <w:color w:val="auto"/>
        </w:rPr>
        <w:t>, 53, of Oakville, Ontario, is Senior Vice-President, Exploration of Agnico-Eagle, a position he has held since December 14, 2006.</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Prior to that, Mr. Blackburn had been Vice-President, Exploration since October 1, 2002. Prior to that, Mr. Blackburn served as Agnico-Eagle's Manager, Corporate Development from January 1999 and Exploration Manager from September 1996 to January 1999. Mr. Blackburn is a graduate of Universite du Quebec de Chicoutimi (P.Eng.) and Universite du Quebec en Abitibi-Temiscamingue (M.Sc.).</w:t>
      </w:r>
    </w:p>
    <w:p>
      <w:pPr>
        <w:spacing w:after="0" w:line="167" w:lineRule="exact"/>
        <w:rPr>
          <w:sz w:val="20"/>
          <w:szCs w:val="20"/>
          <w:color w:val="auto"/>
        </w:rPr>
      </w:pPr>
    </w:p>
    <w:p>
      <w:pPr>
        <w:jc w:val="both"/>
        <w:ind w:firstLine="378"/>
        <w:spacing w:after="0" w:line="256" w:lineRule="auto"/>
        <w:rPr>
          <w:sz w:val="20"/>
          <w:szCs w:val="20"/>
          <w:color w:val="auto"/>
        </w:rPr>
      </w:pPr>
      <w:r>
        <w:rPr>
          <w:rFonts w:ascii="Arial" w:cs="Arial" w:eastAsia="Arial" w:hAnsi="Arial"/>
          <w:sz w:val="18"/>
          <w:szCs w:val="18"/>
          <w:b w:val="1"/>
          <w:bCs w:val="1"/>
          <w:i w:val="1"/>
          <w:iCs w:val="1"/>
          <w:color w:val="auto"/>
        </w:rPr>
        <w:t>Tim Haldane, P.Eng.</w:t>
      </w:r>
      <w:r>
        <w:rPr>
          <w:rFonts w:ascii="Arial" w:cs="Arial" w:eastAsia="Arial" w:hAnsi="Arial"/>
          <w:sz w:val="18"/>
          <w:szCs w:val="18"/>
          <w:color w:val="auto"/>
        </w:rPr>
        <w:t>, 53, of Sparks, Nevada, is Senior Vice-President, Latin America of Agnico-Eagle. Prior to joining Agnico-Eagle in May 2006, he was</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Vice President, Development for Glamis Gold Inc. where he participated in numerous acquisition and development activities in North America and Central America. Mr. Haldane is a graduate of the Montana School of Mines and Technology (B.S. Metallurgical Engineering) and has 30 years of experience in the precious metals and base metals industries.</w:t>
      </w:r>
    </w:p>
    <w:p>
      <w:pPr>
        <w:spacing w:after="0" w:line="197" w:lineRule="exact"/>
        <w:rPr>
          <w:sz w:val="20"/>
          <w:szCs w:val="20"/>
          <w:color w:val="auto"/>
        </w:rPr>
      </w:pPr>
    </w:p>
    <w:p>
      <w:pPr>
        <w:jc w:val="both"/>
        <w:ind w:firstLine="500"/>
        <w:spacing w:after="0" w:line="291" w:lineRule="auto"/>
        <w:rPr>
          <w:sz w:val="20"/>
          <w:szCs w:val="20"/>
          <w:color w:val="auto"/>
        </w:rPr>
      </w:pPr>
      <w:r>
        <w:rPr>
          <w:rFonts w:ascii="Arial" w:cs="Arial" w:eastAsia="Arial" w:hAnsi="Arial"/>
          <w:sz w:val="16"/>
          <w:szCs w:val="16"/>
          <w:b w:val="1"/>
          <w:bCs w:val="1"/>
          <w:i w:val="1"/>
          <w:iCs w:val="1"/>
          <w:color w:val="auto"/>
        </w:rPr>
        <w:t>R. Gregory Laing, BA, LL.B.</w:t>
      </w:r>
      <w:r>
        <w:rPr>
          <w:rFonts w:ascii="Arial" w:cs="Arial" w:eastAsia="Arial" w:hAnsi="Arial"/>
          <w:sz w:val="16"/>
          <w:szCs w:val="16"/>
          <w:color w:val="auto"/>
        </w:rPr>
        <w:t>, 51, of Oakville, Ontario, is General Counsel, Senior Vice-President, Legal and Corporate Secretary of Agnico-Eagle, a</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position he has held since December 14, 2006, prior to which, Mr. Laing had been General Counsel, Vice-President, Legal and Corporate Secretary since September 19, 2005. Prior to that, he was Vice President, Legal of Goldcorp Inc. from October 2003 to June 2005 and General Counsel, Vice President, Legal and Corporate Secretary of TVX Gold Inc. from October 1995 to January 2003. He worked as a corporate securities lawyer for two prominent Toronto law firms prior to that. Mr. Laing is a director of Andina Minerals Inc. (a mining exploration company), a TSX Venture Exchange listed company and Hy Lake Gold Inc. (a mining exploration company), traded on the Canadian National Stock Exchange.</w:t>
      </w:r>
    </w:p>
    <w:p>
      <w:pPr>
        <w:spacing w:after="0" w:line="174" w:lineRule="exact"/>
        <w:rPr>
          <w:sz w:val="20"/>
          <w:szCs w:val="20"/>
          <w:color w:val="auto"/>
        </w:rPr>
      </w:pPr>
    </w:p>
    <w:p>
      <w:pPr>
        <w:jc w:val="both"/>
        <w:ind w:firstLine="365"/>
        <w:spacing w:after="0" w:line="298" w:lineRule="auto"/>
        <w:rPr>
          <w:sz w:val="20"/>
          <w:szCs w:val="20"/>
          <w:color w:val="auto"/>
        </w:rPr>
      </w:pPr>
      <w:r>
        <w:rPr>
          <w:rFonts w:ascii="Arial" w:cs="Arial" w:eastAsia="Arial" w:hAnsi="Arial"/>
          <w:sz w:val="16"/>
          <w:szCs w:val="16"/>
          <w:b w:val="1"/>
          <w:bCs w:val="1"/>
          <w:i w:val="1"/>
          <w:iCs w:val="1"/>
          <w:color w:val="auto"/>
        </w:rPr>
        <w:t>Daniel Racine, Ing., P.Eng.</w:t>
      </w:r>
      <w:r>
        <w:rPr>
          <w:rFonts w:ascii="Arial" w:cs="Arial" w:eastAsia="Arial" w:hAnsi="Arial"/>
          <w:sz w:val="16"/>
          <w:szCs w:val="16"/>
          <w:color w:val="auto"/>
        </w:rPr>
        <w:t>, 46, of Oakville, Ontario, is Senior Vice-President, Operations of Agnico-Eagle, a position he has held since June 2008. Prior to</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his appointment, he served Agnico-Eagle in various capacities for 22 years, including Vice-President, Operations, Operations Manager, LaRonde Mine Manager, Underground Superintendent and Mine Captain. Prior to joining Agnico-Eagle, Mr. Racine worked as a mining engineer for several mining companies. Mr. Racine graduated as a mining engineer from Laval University (B.Sc.) in December 1986.</w:t>
      </w:r>
    </w:p>
    <w:p>
      <w:pPr>
        <w:spacing w:after="0" w:line="167" w:lineRule="exact"/>
        <w:rPr>
          <w:sz w:val="20"/>
          <w:szCs w:val="20"/>
          <w:color w:val="auto"/>
        </w:rPr>
      </w:pPr>
    </w:p>
    <w:p>
      <w:pPr>
        <w:jc w:val="both"/>
        <w:ind w:firstLine="378"/>
        <w:spacing w:after="0" w:line="255" w:lineRule="auto"/>
        <w:rPr>
          <w:sz w:val="20"/>
          <w:szCs w:val="20"/>
          <w:color w:val="auto"/>
        </w:rPr>
      </w:pPr>
      <w:r>
        <w:rPr>
          <w:rFonts w:ascii="Arial" w:cs="Arial" w:eastAsia="Arial" w:hAnsi="Arial"/>
          <w:sz w:val="18"/>
          <w:szCs w:val="18"/>
          <w:b w:val="1"/>
          <w:bCs w:val="1"/>
          <w:i w:val="1"/>
          <w:iCs w:val="1"/>
          <w:color w:val="auto"/>
        </w:rPr>
        <w:t>Jean Robitaille</w:t>
      </w:r>
      <w:r>
        <w:rPr>
          <w:rFonts w:ascii="Arial" w:cs="Arial" w:eastAsia="Arial" w:hAnsi="Arial"/>
          <w:sz w:val="18"/>
          <w:szCs w:val="18"/>
          <w:color w:val="auto"/>
        </w:rPr>
        <w:t>, 47, of Oakville, Ontario, is Senior Vice-President, Technical Services of Agnico-Eagle, a position he has held since June 2008. Prior to his</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appointment, he served Agnico-Eagle in various capacities for more than 22 years, most recently as Vice-President, Metallurgy &amp; Marketing, General Manager, Metallurgy &amp; Marketing and Mill Superintendent and Project Manager for the expansion of the LaRonde mill. Prior to joining Agnico-Eagle, Mr. Robitaille worked as a metallurgist with Teck Mining Group. Mr. Robitaille is a mining graduate of the College de l'Abitibi-Témiscamingue with a specialty in mineral processing.</w:t>
      </w:r>
    </w:p>
    <w:p>
      <w:pPr>
        <w:spacing w:after="0" w:line="197" w:lineRule="exact"/>
        <w:rPr>
          <w:sz w:val="20"/>
          <w:szCs w:val="20"/>
          <w:color w:val="auto"/>
        </w:rPr>
      </w:pPr>
    </w:p>
    <w:p>
      <w:pPr>
        <w:jc w:val="both"/>
        <w:ind w:firstLine="432"/>
        <w:spacing w:after="0" w:line="306" w:lineRule="auto"/>
        <w:rPr>
          <w:sz w:val="20"/>
          <w:szCs w:val="20"/>
          <w:color w:val="auto"/>
        </w:rPr>
      </w:pPr>
      <w:r>
        <w:rPr>
          <w:rFonts w:ascii="Arial" w:cs="Arial" w:eastAsia="Arial" w:hAnsi="Arial"/>
          <w:sz w:val="16"/>
          <w:szCs w:val="16"/>
          <w:b w:val="1"/>
          <w:bCs w:val="1"/>
          <w:i w:val="1"/>
          <w:iCs w:val="1"/>
          <w:color w:val="auto"/>
        </w:rPr>
        <w:t>Picklu Datta</w:t>
      </w:r>
      <w:r>
        <w:rPr>
          <w:rFonts w:ascii="Arial" w:cs="Arial" w:eastAsia="Arial" w:hAnsi="Arial"/>
          <w:sz w:val="16"/>
          <w:szCs w:val="16"/>
          <w:color w:val="auto"/>
        </w:rPr>
        <w:t>, 42, of Toronto, Ontario, is Vice-President, Controller of Agnico-Eagle, a position he has held since January 2009. Prior to joining Agnico-Eagle in 2005, Mr. Datta spent most of his career in New York City with Philip Morris Companies in various finance management positions. His experience also includes a senior finance position with a large New York City technology company and a management position with a large mining</w:t>
      </w:r>
    </w:p>
    <w:p>
      <w:pPr>
        <w:spacing w:after="0" w:line="16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44" w:name="page145"/>
    <w:bookmarkEnd w:id="144"/>
    <w:p>
      <w:pPr>
        <w:spacing w:after="0"/>
        <w:rPr>
          <w:sz w:val="20"/>
          <w:szCs w:val="20"/>
          <w:color w:val="auto"/>
        </w:rPr>
      </w:pPr>
      <w:r>
        <w:rPr>
          <w:rFonts w:ascii="Arial" w:cs="Arial" w:eastAsia="Arial" w:hAnsi="Arial"/>
          <w:sz w:val="16"/>
          <w:szCs w:val="16"/>
          <w:color w:val="auto"/>
        </w:rPr>
        <w:t>company in Toronto. Mr. Datta is a graduate of the University of Toronto (B.Comm.) and is a Chartered Accountant who articled with PricewaterhouseCoopers.</w:t>
      </w:r>
    </w:p>
    <w:p>
      <w:pPr>
        <w:spacing w:after="0" w:line="248" w:lineRule="exact"/>
        <w:rPr>
          <w:sz w:val="20"/>
          <w:szCs w:val="20"/>
          <w:color w:val="auto"/>
        </w:rPr>
      </w:pPr>
    </w:p>
    <w:p>
      <w:pPr>
        <w:jc w:val="both"/>
        <w:ind w:firstLine="351"/>
        <w:spacing w:after="0" w:line="255" w:lineRule="auto"/>
        <w:rPr>
          <w:sz w:val="20"/>
          <w:szCs w:val="20"/>
          <w:color w:val="auto"/>
        </w:rPr>
      </w:pPr>
      <w:r>
        <w:rPr>
          <w:rFonts w:ascii="Arial" w:cs="Arial" w:eastAsia="Arial" w:hAnsi="Arial"/>
          <w:sz w:val="18"/>
          <w:szCs w:val="18"/>
          <w:b w:val="1"/>
          <w:bCs w:val="1"/>
          <w:i w:val="1"/>
          <w:iCs w:val="1"/>
          <w:color w:val="auto"/>
        </w:rPr>
        <w:t>Patrice Gilbert</w:t>
      </w:r>
      <w:r>
        <w:rPr>
          <w:rFonts w:ascii="Arial" w:cs="Arial" w:eastAsia="Arial" w:hAnsi="Arial"/>
          <w:sz w:val="18"/>
          <w:szCs w:val="18"/>
          <w:color w:val="auto"/>
        </w:rPr>
        <w:t>, 46, of Oakville, Ontario, is Vice-President, Human Resources of Agnico-Eagle, a position he has held since September 25, 2006. Prior to his</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appointment, Mr. Gilbert worked for Placer Dome Inc. in various senior capacities in Chile, South Africa, the Dominican Republic, Quebec and British Columbia including Director, Human Resources and Sustainability, Placer Dome Dominicana Corporacion (2005-2006) and Vice President, Human Resources and Sustainability, Placer Dome Africa (1999-2005). Mr. Gilbert studied industrial relations at Laval University in Quebec, Canada and Wits University in Johannesburg, South Africa.</w:t>
      </w:r>
    </w:p>
    <w:p>
      <w:pPr>
        <w:spacing w:after="0" w:line="197" w:lineRule="exact"/>
        <w:rPr>
          <w:sz w:val="20"/>
          <w:szCs w:val="20"/>
          <w:color w:val="auto"/>
        </w:rPr>
      </w:pPr>
    </w:p>
    <w:p>
      <w:pPr>
        <w:jc w:val="both"/>
        <w:ind w:firstLine="405"/>
        <w:spacing w:after="0" w:line="298" w:lineRule="auto"/>
        <w:rPr>
          <w:sz w:val="20"/>
          <w:szCs w:val="20"/>
          <w:color w:val="auto"/>
        </w:rPr>
      </w:pPr>
      <w:r>
        <w:rPr>
          <w:rFonts w:ascii="Arial" w:cs="Arial" w:eastAsia="Arial" w:hAnsi="Arial"/>
          <w:sz w:val="16"/>
          <w:szCs w:val="16"/>
          <w:b w:val="1"/>
          <w:bCs w:val="1"/>
          <w:i w:val="1"/>
          <w:iCs w:val="1"/>
          <w:color w:val="auto"/>
        </w:rPr>
        <w:t>Paul-Henri Girard</w:t>
      </w:r>
      <w:r>
        <w:rPr>
          <w:rFonts w:ascii="Arial" w:cs="Arial" w:eastAsia="Arial" w:hAnsi="Arial"/>
          <w:sz w:val="16"/>
          <w:szCs w:val="16"/>
          <w:color w:val="auto"/>
        </w:rPr>
        <w:t>, 54, of Ste-Monique Lac St. Jean, Quebec, is Vice-President, Canada of Agnico-Eagle, a position he has held since June 2008. Prior to</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his appointment, he served Agnico-Eagle in various capacities for 22 years, including General Manager of Technical Services, Abitibi Regional Manager, LaRonde Mine Manager, Underground Superintendent and Chief Engineer. Prior to joining Agnico-Eagle, Mr. Girard worked as a mining engineer for several mining companies. Mr. Girard is a graduate of Laval University (B.Sc.) and is a member of OIQ in Quebec.</w:t>
      </w:r>
    </w:p>
    <w:p>
      <w:pPr>
        <w:spacing w:after="0" w:line="167" w:lineRule="exact"/>
        <w:rPr>
          <w:sz w:val="20"/>
          <w:szCs w:val="20"/>
          <w:color w:val="auto"/>
        </w:rPr>
      </w:pPr>
    </w:p>
    <w:p>
      <w:pPr>
        <w:jc w:val="both"/>
        <w:ind w:firstLine="432"/>
        <w:spacing w:after="0" w:line="256" w:lineRule="auto"/>
        <w:rPr>
          <w:sz w:val="20"/>
          <w:szCs w:val="20"/>
          <w:color w:val="auto"/>
        </w:rPr>
      </w:pPr>
      <w:r>
        <w:rPr>
          <w:rFonts w:ascii="Arial" w:cs="Arial" w:eastAsia="Arial" w:hAnsi="Arial"/>
          <w:sz w:val="18"/>
          <w:szCs w:val="18"/>
          <w:b w:val="1"/>
          <w:bCs w:val="1"/>
          <w:i w:val="1"/>
          <w:iCs w:val="1"/>
          <w:color w:val="auto"/>
        </w:rPr>
        <w:t>Louise Grondin, Ing., P.Eng.</w:t>
      </w:r>
      <w:r>
        <w:rPr>
          <w:rFonts w:ascii="Arial" w:cs="Arial" w:eastAsia="Arial" w:hAnsi="Arial"/>
          <w:sz w:val="18"/>
          <w:szCs w:val="18"/>
          <w:color w:val="auto"/>
        </w:rPr>
        <w:t>, 56, of Toronto, Ontario, is Vice-President, Environment and Sustainable Development of Agnico-Eagle, a position she has</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held since April 2007. Prior to her appointment, Ms. Grondin was the Regional Environmental Manager and Environmental Manager, LaRonde Division. Prior to her employment with Agnico-Eagle, Ms. Grondin worked for Billiton Canada Ltd. as Manager Environment, Human Resources and Safety. Ms. Grondin is a graduate of the University of Ottawa (B.Sc.) and McGill University (M.Sc.).</w:t>
      </w:r>
    </w:p>
    <w:p>
      <w:pPr>
        <w:spacing w:after="0" w:line="197" w:lineRule="exact"/>
        <w:rPr>
          <w:sz w:val="20"/>
          <w:szCs w:val="20"/>
          <w:color w:val="auto"/>
        </w:rPr>
      </w:pPr>
    </w:p>
    <w:p>
      <w:pPr>
        <w:jc w:val="both"/>
        <w:ind w:firstLine="486"/>
        <w:spacing w:after="0" w:line="256" w:lineRule="auto"/>
        <w:rPr>
          <w:sz w:val="20"/>
          <w:szCs w:val="20"/>
          <w:color w:val="auto"/>
        </w:rPr>
      </w:pPr>
      <w:r>
        <w:rPr>
          <w:rFonts w:ascii="Arial" w:cs="Arial" w:eastAsia="Arial" w:hAnsi="Arial"/>
          <w:sz w:val="18"/>
          <w:szCs w:val="18"/>
          <w:b w:val="1"/>
          <w:bCs w:val="1"/>
          <w:i w:val="1"/>
          <w:iCs w:val="1"/>
          <w:color w:val="auto"/>
        </w:rPr>
        <w:t>Ingmar Haga</w:t>
      </w:r>
      <w:r>
        <w:rPr>
          <w:rFonts w:ascii="Arial" w:cs="Arial" w:eastAsia="Arial" w:hAnsi="Arial"/>
          <w:sz w:val="18"/>
          <w:szCs w:val="18"/>
          <w:color w:val="auto"/>
        </w:rPr>
        <w:t>, 58, of Espoo, Finland, is Vice-President, Europe of Agnico-Eagle, a position he has held since July 26, 2006. Prior to his appointment,</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Mr. Haga was Managing Director — Europe from March 1, 2006. Prior to his employment with Agnico-Eagle, Mr. Haga held various positions with the Outokumpu Group in Finland and Canada and was President of Polar Mining Oy, a Finnish subsidiary of Australian-based Dragon Mining NL. Mr. Haga is a graduate of Åbo Akademi, Finland (M.Sc.).</w:t>
      </w:r>
    </w:p>
    <w:p>
      <w:pPr>
        <w:spacing w:after="0" w:line="197" w:lineRule="exact"/>
        <w:rPr>
          <w:sz w:val="20"/>
          <w:szCs w:val="20"/>
          <w:color w:val="auto"/>
        </w:rPr>
      </w:pPr>
    </w:p>
    <w:p>
      <w:pPr>
        <w:jc w:val="both"/>
        <w:ind w:firstLine="405"/>
        <w:spacing w:after="0" w:line="254" w:lineRule="auto"/>
        <w:rPr>
          <w:sz w:val="20"/>
          <w:szCs w:val="20"/>
          <w:color w:val="auto"/>
        </w:rPr>
      </w:pPr>
      <w:r>
        <w:rPr>
          <w:rFonts w:ascii="Arial" w:cs="Arial" w:eastAsia="Arial" w:hAnsi="Arial"/>
          <w:sz w:val="18"/>
          <w:szCs w:val="18"/>
          <w:b w:val="1"/>
          <w:bCs w:val="1"/>
          <w:i w:val="1"/>
          <w:iCs w:val="1"/>
          <w:color w:val="auto"/>
        </w:rPr>
        <w:t>Marc Legault, Ing., P.Eng.</w:t>
      </w:r>
      <w:r>
        <w:rPr>
          <w:rFonts w:ascii="Arial" w:cs="Arial" w:eastAsia="Arial" w:hAnsi="Arial"/>
          <w:sz w:val="18"/>
          <w:szCs w:val="18"/>
          <w:color w:val="auto"/>
        </w:rPr>
        <w:t>, 50, of Mississauga, Ontario, is Vice-President, Project Development of Agnico-Eagle, a position he has held since July 2006.</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Prior to that, Mr. Legault served Agnico-Eagle in various capacities, including Manager, Project Evaluation based in Toronto, Ontario since 2002, Mine Geologist and later Chief Geologist at the LaRonde Mine in Cadillac, Quebec from 1994 to 2002 and Project Geologist at the Exploration Division in Val d'Or, Quebec since 1988. Mr. Legault is also a director of Golden Goliath Resources Ltd., a TSX Venture Exchange-listed mineral exploration company (in which Agnico-Eagle holds an interest) with activities principally in northern Mexico. Mr. Legault is a graduate of Queen's University (B.Sc. Honours in geological engineering) and Carleton University (M.Sc. in geology).</w:t>
      </w:r>
    </w:p>
    <w:p>
      <w:pPr>
        <w:spacing w:after="0" w:line="198" w:lineRule="exact"/>
        <w:rPr>
          <w:sz w:val="20"/>
          <w:szCs w:val="20"/>
          <w:color w:val="auto"/>
        </w:rPr>
      </w:pPr>
    </w:p>
    <w:p>
      <w:pPr>
        <w:jc w:val="both"/>
        <w:ind w:firstLine="594"/>
        <w:spacing w:after="0" w:line="256" w:lineRule="auto"/>
        <w:rPr>
          <w:sz w:val="20"/>
          <w:szCs w:val="20"/>
          <w:color w:val="auto"/>
        </w:rPr>
      </w:pPr>
      <w:r>
        <w:rPr>
          <w:rFonts w:ascii="Arial" w:cs="Arial" w:eastAsia="Arial" w:hAnsi="Arial"/>
          <w:sz w:val="18"/>
          <w:szCs w:val="18"/>
          <w:b w:val="1"/>
          <w:bCs w:val="1"/>
          <w:i w:val="1"/>
          <w:iCs w:val="1"/>
          <w:color w:val="auto"/>
        </w:rPr>
        <w:t>Claudio Mancuso</w:t>
      </w:r>
      <w:r>
        <w:rPr>
          <w:rFonts w:ascii="Arial" w:cs="Arial" w:eastAsia="Arial" w:hAnsi="Arial"/>
          <w:sz w:val="18"/>
          <w:szCs w:val="18"/>
          <w:color w:val="auto"/>
        </w:rPr>
        <w:t>, 34, of Toronto, Ontario, is Vice-President, Treasurer of Agnico-Eagle, a position he has held since January 2009. Prior to this</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appointment, Mr. Mancuso served Agnico-Eagle in various capacities including Treasurer, Controller and Manager, Financial Reporting. Prior to joining Agnico-Eagle in 2002, Mr. Mancuso held positions at the Ontario Securities Commission and BDO Dunwoody LLP, a public accounting firm. Mr. Mancuso is a graduate of the University of Waterloo and is a Chartered Accountant.</w:t>
      </w:r>
    </w:p>
    <w:p>
      <w:pPr>
        <w:spacing w:after="0" w:line="191" w:lineRule="exact"/>
        <w:rPr>
          <w:sz w:val="20"/>
          <w:szCs w:val="20"/>
          <w:color w:val="auto"/>
        </w:rPr>
      </w:pPr>
    </w:p>
    <w:p>
      <w:pPr>
        <w:jc w:val="both"/>
        <w:ind w:firstLine="392"/>
        <w:spacing w:after="0" w:line="258" w:lineRule="auto"/>
        <w:rPr>
          <w:sz w:val="20"/>
          <w:szCs w:val="20"/>
          <w:color w:val="auto"/>
        </w:rPr>
      </w:pPr>
      <w:r>
        <w:rPr>
          <w:rFonts w:ascii="Arial" w:cs="Arial" w:eastAsia="Arial" w:hAnsi="Arial"/>
          <w:sz w:val="18"/>
          <w:szCs w:val="18"/>
          <w:b w:val="1"/>
          <w:bCs w:val="1"/>
          <w:i w:val="1"/>
          <w:iCs w:val="1"/>
          <w:color w:val="auto"/>
        </w:rPr>
        <w:t>David Smith</w:t>
      </w:r>
      <w:r>
        <w:rPr>
          <w:rFonts w:ascii="Arial" w:cs="Arial" w:eastAsia="Arial" w:hAnsi="Arial"/>
          <w:sz w:val="18"/>
          <w:szCs w:val="18"/>
          <w:b w:val="1"/>
          <w:bCs w:val="1"/>
          <w:color w:val="auto"/>
        </w:rPr>
        <w:t>,</w:t>
      </w:r>
      <w:r>
        <w:rPr>
          <w:rFonts w:ascii="Arial" w:cs="Arial" w:eastAsia="Arial" w:hAnsi="Arial"/>
          <w:sz w:val="18"/>
          <w:szCs w:val="18"/>
          <w:b w:val="1"/>
          <w:bCs w:val="1"/>
          <w:i w:val="1"/>
          <w:iCs w:val="1"/>
          <w:color w:val="auto"/>
        </w:rPr>
        <w:t xml:space="preserve"> P.Eng.</w:t>
      </w:r>
      <w:r>
        <w:rPr>
          <w:rFonts w:ascii="Arial" w:cs="Arial" w:eastAsia="Arial" w:hAnsi="Arial"/>
          <w:sz w:val="18"/>
          <w:szCs w:val="18"/>
          <w:color w:val="auto"/>
        </w:rPr>
        <w:t>, 46, of Toronto, Ontario, is Vice-President, Investor Relations of Agnico-Eagle. He started work in investor relations at Agnico-Eagle</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in February 2005. Prior to that, he was a mining analyst at Dominion Bond Rating Service for more than five years. Mr. Smith's professional experience also includes a variety of engineering positions in the mining industry, both in Canada and abroad. He is a graduate of Queen's University (B.Sc.) and the University of Arizona (M.Sc.). Mr. Smith is also a Professional Engineer.</w:t>
      </w:r>
    </w:p>
    <w:p>
      <w:pPr>
        <w:spacing w:after="0" w:line="196" w:lineRule="exact"/>
        <w:rPr>
          <w:sz w:val="20"/>
          <w:szCs w:val="20"/>
          <w:color w:val="auto"/>
        </w:rPr>
      </w:pPr>
    </w:p>
    <w:p>
      <w:pPr>
        <w:jc w:val="both"/>
        <w:ind w:firstLine="424"/>
        <w:spacing w:after="0" w:line="268" w:lineRule="auto"/>
        <w:rPr>
          <w:sz w:val="20"/>
          <w:szCs w:val="20"/>
          <w:color w:val="auto"/>
        </w:rPr>
      </w:pPr>
      <w:r>
        <w:rPr>
          <w:rFonts w:ascii="Arial" w:cs="Arial" w:eastAsia="Arial" w:hAnsi="Arial"/>
          <w:sz w:val="18"/>
          <w:szCs w:val="18"/>
          <w:color w:val="auto"/>
        </w:rPr>
        <w:t>There are no arrangements or understandings between any director or executive officer and any other person pursuant to which such director or executive officer was selected to serve, nor are there any family relationships between any such persons.</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45" w:name="page146"/>
    <w:bookmarkEnd w:id="145"/>
    <w:p>
      <w:pPr>
        <w:spacing w:after="0"/>
        <w:rPr>
          <w:sz w:val="20"/>
          <w:szCs w:val="20"/>
          <w:color w:val="auto"/>
        </w:rPr>
      </w:pPr>
      <w:r>
        <w:rPr>
          <w:rFonts w:ascii="Arial" w:cs="Arial" w:eastAsia="Arial" w:hAnsi="Arial"/>
          <w:sz w:val="18"/>
          <w:szCs w:val="18"/>
          <w:b w:val="1"/>
          <w:bCs w:val="1"/>
          <w:color w:val="auto"/>
        </w:rPr>
        <w:t>Compensation of Executive Officers</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officers of Agnico-Eagle are:</w:t>
      </w:r>
    </w:p>
    <w:p>
      <w:pPr>
        <w:spacing w:after="0" w:line="239" w:lineRule="exact"/>
        <w:rPr>
          <w:sz w:val="20"/>
          <w:szCs w:val="20"/>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Sean Boyd, Vice-Chairman and Chief Executive Officer</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Eberhard Scherkus, President and Chief Operating Officer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David Garofalo, Senior Vice-President, Finance and Chief Financial Officer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Donald G. Allan, Senior Vice-President, Corporate Development</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Alain Blackburn, Senior Vice-President, Exploration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Tim Haldane, Senior Vice-President, Latin America</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5"/>
          <w:szCs w:val="15"/>
          <w:color w:val="auto"/>
        </w:rPr>
      </w:pPr>
      <w:r>
        <w:rPr>
          <w:rFonts w:ascii="Arial" w:cs="Arial" w:eastAsia="Arial" w:hAnsi="Arial"/>
          <w:sz w:val="15"/>
          <w:szCs w:val="15"/>
          <w:color w:val="auto"/>
        </w:rPr>
        <w:t>R. Gregory Laing, General Counsel, Senior Vice-President, Legal and Corporate Secretary</w:t>
      </w:r>
    </w:p>
    <w:p>
      <w:pPr>
        <w:spacing w:after="0" w:line="286" w:lineRule="exact"/>
        <w:rPr>
          <w:rFonts w:ascii="Arial" w:cs="Arial" w:eastAsia="Arial" w:hAnsi="Arial"/>
          <w:sz w:val="15"/>
          <w:szCs w:val="15"/>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Daniel Racine, Senior Vice-President, Operations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Jean Robitaille, Senior Vice-President, Technical Services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Picklu Datta, Vice-President, Controller</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Patrice Gilbert, Vice-President, Human Resources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Paul-Henri Girard, Vice-President, Canada</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Louise Grondin, Vice-President, Environment and Sustainable Development</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Ingmar Haga, Vice-President, Europe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Marc Legault, Vice-President, Project Development</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Claudio Mancuso, Vice-President, Treasurer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David Smith, Vice-President, Investor Relations</w:t>
      </w:r>
    </w:p>
    <w:p>
      <w:pPr>
        <w:spacing w:after="0" w:line="225" w:lineRule="exact"/>
        <w:rPr>
          <w:sz w:val="20"/>
          <w:szCs w:val="20"/>
          <w:color w:val="auto"/>
        </w:rPr>
      </w:pPr>
    </w:p>
    <w:p>
      <w:pPr>
        <w:ind w:left="5580"/>
        <w:spacing w:after="0"/>
        <w:rPr>
          <w:sz w:val="20"/>
          <w:szCs w:val="20"/>
          <w:color w:val="auto"/>
        </w:rPr>
      </w:pPr>
      <w:r>
        <w:rPr>
          <w:rFonts w:ascii="Arial" w:cs="Arial" w:eastAsia="Arial" w:hAnsi="Arial"/>
          <w:sz w:val="18"/>
          <w:szCs w:val="18"/>
          <w:color w:val="auto"/>
        </w:rPr>
        <w:t>103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219"/>
          </w:cols>
          <w:pgMar w:left="240" w:top="341" w:right="1440" w:bottom="1440" w:gutter="0" w:footer="0" w:header="0"/>
        </w:sectPr>
      </w:pPr>
    </w:p>
    <w:bookmarkStart w:id="146" w:name="page147"/>
    <w:bookmarkEnd w:id="146"/>
    <w:p>
      <w:pPr>
        <w:ind w:right="20" w:firstLine="408"/>
        <w:spacing w:after="0" w:line="268" w:lineRule="auto"/>
        <w:rPr>
          <w:sz w:val="20"/>
          <w:szCs w:val="20"/>
          <w:color w:val="auto"/>
        </w:rPr>
      </w:pPr>
      <w:r>
        <w:rPr>
          <w:rFonts w:ascii="Arial" w:cs="Arial" w:eastAsia="Arial" w:hAnsi="Arial"/>
          <w:sz w:val="18"/>
          <w:szCs w:val="18"/>
          <w:color w:val="auto"/>
        </w:rPr>
        <w:t>The following Summary Compensation Table sets out compensation during the fiscal year ended December 31, 2009 for the Named Executive Officers of Agnico-Eagle measured by total compensation earned during the fiscal years ended December 31, 2008 and 2009.</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b w:val="1"/>
          <w:bCs w:val="1"/>
          <w:i w:val="1"/>
          <w:iCs w:val="1"/>
          <w:color w:val="auto"/>
        </w:rPr>
        <w:t>Summary Compensation Table — Agnico-Eagle Mines Limited</w:t>
      </w:r>
    </w:p>
    <w:p>
      <w:pPr>
        <w:spacing w:after="0" w:line="208"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26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20" w:type="dxa"/>
            <w:vAlign w:val="bottom"/>
            <w:gridSpan w:val="3"/>
          </w:tcPr>
          <w:p>
            <w:pPr>
              <w:jc w:val="center"/>
              <w:spacing w:after="0"/>
              <w:rPr>
                <w:sz w:val="20"/>
                <w:szCs w:val="20"/>
                <w:color w:val="auto"/>
              </w:rPr>
            </w:pPr>
            <w:r>
              <w:rPr>
                <w:rFonts w:ascii="Arial" w:cs="Arial" w:eastAsia="Arial" w:hAnsi="Arial"/>
                <w:sz w:val="14"/>
                <w:szCs w:val="14"/>
                <w:b w:val="1"/>
                <w:bCs w:val="1"/>
                <w:color w:val="auto"/>
                <w:w w:val="91"/>
              </w:rPr>
              <w:t>Non-Equity</w:t>
            </w:r>
          </w:p>
        </w:tc>
        <w:tc>
          <w:tcPr>
            <w:tcW w:w="1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1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420" w:type="dxa"/>
            <w:vAlign w:val="bottom"/>
            <w:gridSpan w:val="3"/>
          </w:tcPr>
          <w:p>
            <w:pPr>
              <w:jc w:val="center"/>
              <w:spacing w:after="0" w:line="149" w:lineRule="exact"/>
              <w:rPr>
                <w:sz w:val="20"/>
                <w:szCs w:val="20"/>
                <w:color w:val="auto"/>
              </w:rPr>
            </w:pPr>
            <w:r>
              <w:rPr>
                <w:rFonts w:ascii="Arial" w:cs="Arial" w:eastAsia="Arial" w:hAnsi="Arial"/>
                <w:sz w:val="14"/>
                <w:szCs w:val="14"/>
                <w:b w:val="1"/>
                <w:bCs w:val="1"/>
                <w:color w:val="auto"/>
                <w:w w:val="89"/>
              </w:rPr>
              <w:t>Incentive Plan</w:t>
            </w:r>
          </w:p>
        </w:tc>
        <w:tc>
          <w:tcPr>
            <w:tcW w:w="1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126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20" w:type="dxa"/>
            <w:vAlign w:val="bottom"/>
            <w:tcBorders>
              <w:bottom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86"/>
              </w:rPr>
              <w:t>Compensation</w:t>
            </w:r>
          </w:p>
        </w:tc>
        <w:tc>
          <w:tcPr>
            <w:tcW w:w="1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1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126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20" w:type="dxa"/>
            <w:vAlign w:val="bottom"/>
            <w:gridSpan w:val="2"/>
            <w:vMerge w:val="restart"/>
          </w:tcPr>
          <w:p>
            <w:pPr>
              <w:jc w:val="center"/>
              <w:ind w:right="120"/>
              <w:spacing w:after="0"/>
              <w:rPr>
                <w:sz w:val="20"/>
                <w:szCs w:val="20"/>
                <w:color w:val="auto"/>
              </w:rPr>
            </w:pPr>
            <w:r>
              <w:rPr>
                <w:rFonts w:ascii="Arial" w:cs="Arial" w:eastAsia="Arial" w:hAnsi="Arial"/>
                <w:sz w:val="14"/>
                <w:szCs w:val="14"/>
                <w:b w:val="1"/>
                <w:bCs w:val="1"/>
                <w:color w:val="auto"/>
                <w:w w:val="92"/>
              </w:rPr>
              <w:t>Option-</w:t>
            </w:r>
          </w:p>
        </w:tc>
        <w:tc>
          <w:tcPr>
            <w:tcW w:w="660" w:type="dxa"/>
            <w:vAlign w:val="bottom"/>
            <w:vMerge w:val="restart"/>
          </w:tcPr>
          <w:p>
            <w:pPr>
              <w:jc w:val="center"/>
              <w:spacing w:after="0"/>
              <w:rPr>
                <w:sz w:val="20"/>
                <w:szCs w:val="20"/>
                <w:color w:val="auto"/>
              </w:rPr>
            </w:pPr>
            <w:r>
              <w:rPr>
                <w:rFonts w:ascii="Arial" w:cs="Arial" w:eastAsia="Arial" w:hAnsi="Arial"/>
                <w:sz w:val="14"/>
                <w:szCs w:val="14"/>
                <w:b w:val="1"/>
                <w:bCs w:val="1"/>
                <w:color w:val="auto"/>
                <w:w w:val="92"/>
              </w:rPr>
              <w:t>Annual</w:t>
            </w:r>
          </w:p>
        </w:tc>
        <w:tc>
          <w:tcPr>
            <w:tcW w:w="120" w:type="dxa"/>
            <w:vAlign w:val="bottom"/>
          </w:tcPr>
          <w:p>
            <w:pPr>
              <w:spacing w:after="0"/>
              <w:rPr>
                <w:sz w:val="11"/>
                <w:szCs w:val="11"/>
                <w:color w:val="auto"/>
              </w:rPr>
            </w:pPr>
          </w:p>
        </w:tc>
        <w:tc>
          <w:tcPr>
            <w:tcW w:w="640" w:type="dxa"/>
            <w:vAlign w:val="bottom"/>
          </w:tcPr>
          <w:p>
            <w:pPr>
              <w:jc w:val="center"/>
              <w:spacing w:after="0" w:line="129" w:lineRule="exact"/>
              <w:rPr>
                <w:sz w:val="20"/>
                <w:szCs w:val="20"/>
                <w:color w:val="auto"/>
              </w:rPr>
            </w:pPr>
            <w:r>
              <w:rPr>
                <w:rFonts w:ascii="Arial" w:cs="Arial" w:eastAsia="Arial" w:hAnsi="Arial"/>
                <w:sz w:val="14"/>
                <w:szCs w:val="14"/>
                <w:b w:val="1"/>
                <w:bCs w:val="1"/>
                <w:color w:val="auto"/>
                <w:w w:val="87"/>
              </w:rPr>
              <w:t>Long-</w:t>
            </w:r>
          </w:p>
        </w:tc>
        <w:tc>
          <w:tcPr>
            <w:tcW w:w="12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1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1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4"/>
        </w:trPr>
        <w:tc>
          <w:tcPr>
            <w:tcW w:w="20" w:type="dxa"/>
            <w:vAlign w:val="bottom"/>
          </w:tcPr>
          <w:p>
            <w:pPr>
              <w:spacing w:after="0"/>
              <w:rPr>
                <w:sz w:val="11"/>
                <w:szCs w:val="11"/>
                <w:color w:val="auto"/>
              </w:rPr>
            </w:pPr>
          </w:p>
        </w:tc>
        <w:tc>
          <w:tcPr>
            <w:tcW w:w="126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20" w:type="dxa"/>
            <w:vAlign w:val="bottom"/>
          </w:tcPr>
          <w:p>
            <w:pPr>
              <w:jc w:val="center"/>
              <w:spacing w:after="0" w:line="135" w:lineRule="exact"/>
              <w:rPr>
                <w:sz w:val="20"/>
                <w:szCs w:val="20"/>
                <w:color w:val="auto"/>
              </w:rPr>
            </w:pPr>
            <w:r>
              <w:rPr>
                <w:rFonts w:ascii="Arial" w:cs="Arial" w:eastAsia="Arial" w:hAnsi="Arial"/>
                <w:sz w:val="14"/>
                <w:szCs w:val="14"/>
                <w:b w:val="1"/>
                <w:bCs w:val="1"/>
                <w:color w:val="auto"/>
                <w:w w:val="87"/>
              </w:rPr>
              <w:t>Share-</w:t>
            </w:r>
          </w:p>
        </w:tc>
        <w:tc>
          <w:tcPr>
            <w:tcW w:w="120" w:type="dxa"/>
            <w:vAlign w:val="bottom"/>
          </w:tcPr>
          <w:p>
            <w:pPr>
              <w:spacing w:after="0"/>
              <w:rPr>
                <w:sz w:val="11"/>
                <w:szCs w:val="11"/>
                <w:color w:val="auto"/>
              </w:rPr>
            </w:pPr>
          </w:p>
        </w:tc>
        <w:tc>
          <w:tcPr>
            <w:tcW w:w="820" w:type="dxa"/>
            <w:vAlign w:val="bottom"/>
            <w:gridSpan w:val="2"/>
            <w:vMerge w:val="continue"/>
          </w:tcPr>
          <w:p>
            <w:pPr>
              <w:spacing w:after="0"/>
              <w:rPr>
                <w:sz w:val="11"/>
                <w:szCs w:val="11"/>
                <w:color w:val="auto"/>
              </w:rPr>
            </w:pPr>
          </w:p>
        </w:tc>
        <w:tc>
          <w:tcPr>
            <w:tcW w:w="660" w:type="dxa"/>
            <w:vAlign w:val="bottom"/>
            <w:vMerge w:val="continue"/>
          </w:tcPr>
          <w:p>
            <w:pPr>
              <w:spacing w:after="0"/>
              <w:rPr>
                <w:sz w:val="11"/>
                <w:szCs w:val="11"/>
                <w:color w:val="auto"/>
              </w:rPr>
            </w:pPr>
          </w:p>
        </w:tc>
        <w:tc>
          <w:tcPr>
            <w:tcW w:w="120" w:type="dxa"/>
            <w:vAlign w:val="bottom"/>
          </w:tcPr>
          <w:p>
            <w:pPr>
              <w:spacing w:after="0"/>
              <w:rPr>
                <w:sz w:val="11"/>
                <w:szCs w:val="11"/>
                <w:color w:val="auto"/>
              </w:rPr>
            </w:pPr>
          </w:p>
        </w:tc>
        <w:tc>
          <w:tcPr>
            <w:tcW w:w="640" w:type="dxa"/>
            <w:vAlign w:val="bottom"/>
          </w:tcPr>
          <w:p>
            <w:pPr>
              <w:jc w:val="center"/>
              <w:spacing w:after="0" w:line="135" w:lineRule="exact"/>
              <w:rPr>
                <w:sz w:val="20"/>
                <w:szCs w:val="20"/>
                <w:color w:val="auto"/>
              </w:rPr>
            </w:pPr>
            <w:r>
              <w:rPr>
                <w:rFonts w:ascii="Arial" w:cs="Arial" w:eastAsia="Arial" w:hAnsi="Arial"/>
                <w:sz w:val="14"/>
                <w:szCs w:val="14"/>
                <w:b w:val="1"/>
                <w:bCs w:val="1"/>
                <w:color w:val="auto"/>
                <w:w w:val="87"/>
              </w:rPr>
              <w:t>Term</w:t>
            </w:r>
          </w:p>
        </w:tc>
        <w:tc>
          <w:tcPr>
            <w:tcW w:w="12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1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1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78"/>
              </w:rPr>
              <w:t>based</w:t>
            </w:r>
          </w:p>
        </w:tc>
        <w:tc>
          <w:tcPr>
            <w:tcW w:w="120" w:type="dxa"/>
            <w:vAlign w:val="bottom"/>
          </w:tcPr>
          <w:p>
            <w:pPr>
              <w:spacing w:after="0"/>
              <w:rPr>
                <w:sz w:val="12"/>
                <w:szCs w:val="12"/>
                <w:color w:val="auto"/>
              </w:rPr>
            </w:pPr>
          </w:p>
        </w:tc>
        <w:tc>
          <w:tcPr>
            <w:tcW w:w="820" w:type="dxa"/>
            <w:vAlign w:val="bottom"/>
            <w:gridSpan w:val="2"/>
          </w:tcPr>
          <w:p>
            <w:pPr>
              <w:jc w:val="center"/>
              <w:ind w:right="120"/>
              <w:spacing w:after="0" w:line="149" w:lineRule="exact"/>
              <w:rPr>
                <w:sz w:val="20"/>
                <w:szCs w:val="20"/>
                <w:color w:val="auto"/>
              </w:rPr>
            </w:pPr>
            <w:r>
              <w:rPr>
                <w:rFonts w:ascii="Arial" w:cs="Arial" w:eastAsia="Arial" w:hAnsi="Arial"/>
                <w:sz w:val="14"/>
                <w:szCs w:val="14"/>
                <w:b w:val="1"/>
                <w:bCs w:val="1"/>
                <w:color w:val="auto"/>
                <w:w w:val="83"/>
              </w:rPr>
              <w:t>based</w:t>
            </w:r>
          </w:p>
        </w:tc>
        <w:tc>
          <w:tcPr>
            <w:tcW w:w="66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8"/>
              </w:rPr>
              <w:t>Incentive</w:t>
            </w:r>
          </w:p>
        </w:tc>
        <w:tc>
          <w:tcPr>
            <w:tcW w:w="120" w:type="dxa"/>
            <w:vAlign w:val="bottom"/>
          </w:tcPr>
          <w:p>
            <w:pPr>
              <w:spacing w:after="0"/>
              <w:rPr>
                <w:sz w:val="12"/>
                <w:szCs w:val="12"/>
                <w:color w:val="auto"/>
              </w:rPr>
            </w:pPr>
          </w:p>
        </w:tc>
        <w:tc>
          <w:tcPr>
            <w:tcW w:w="64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8"/>
              </w:rPr>
              <w:t>Incentive</w:t>
            </w:r>
          </w:p>
        </w:tc>
        <w:tc>
          <w:tcPr>
            <w:tcW w:w="120" w:type="dxa"/>
            <w:vAlign w:val="bottom"/>
          </w:tcPr>
          <w:p>
            <w:pPr>
              <w:spacing w:after="0"/>
              <w:rPr>
                <w:sz w:val="12"/>
                <w:szCs w:val="12"/>
                <w:color w:val="auto"/>
              </w:rPr>
            </w:pPr>
          </w:p>
        </w:tc>
        <w:tc>
          <w:tcPr>
            <w:tcW w:w="7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0"/>
              </w:rPr>
              <w:t>Pension</w:t>
            </w:r>
          </w:p>
        </w:tc>
        <w:tc>
          <w:tcPr>
            <w:tcW w:w="11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4"/>
              </w:rPr>
              <w:t>All Other</w:t>
            </w:r>
          </w:p>
        </w:tc>
        <w:tc>
          <w:tcPr>
            <w:tcW w:w="140" w:type="dxa"/>
            <w:vAlign w:val="bottom"/>
          </w:tcPr>
          <w:p>
            <w:pPr>
              <w:spacing w:after="0"/>
              <w:rPr>
                <w:sz w:val="12"/>
                <w:szCs w:val="12"/>
                <w:color w:val="auto"/>
              </w:rPr>
            </w:pPr>
          </w:p>
        </w:tc>
        <w:tc>
          <w:tcPr>
            <w:tcW w:w="1240" w:type="dxa"/>
            <w:vAlign w:val="bottom"/>
            <w:gridSpan w:val="2"/>
          </w:tcPr>
          <w:p>
            <w:pPr>
              <w:jc w:val="center"/>
              <w:ind w:right="140"/>
              <w:spacing w:after="0" w:line="149" w:lineRule="exact"/>
              <w:rPr>
                <w:sz w:val="20"/>
                <w:szCs w:val="20"/>
                <w:color w:val="auto"/>
              </w:rPr>
            </w:pPr>
            <w:r>
              <w:rPr>
                <w:rFonts w:ascii="Arial" w:cs="Arial" w:eastAsia="Arial" w:hAnsi="Arial"/>
                <w:sz w:val="14"/>
                <w:szCs w:val="14"/>
                <w:b w:val="1"/>
                <w:bCs w:val="1"/>
                <w:color w:val="auto"/>
                <w:w w:val="89"/>
              </w:rPr>
              <w:t>Total</w:t>
            </w:r>
          </w:p>
        </w:tc>
        <w:tc>
          <w:tcPr>
            <w:tcW w:w="0" w:type="dxa"/>
            <w:vAlign w:val="bottom"/>
          </w:tcPr>
          <w:p>
            <w:pPr>
              <w:spacing w:after="0"/>
              <w:rPr>
                <w:sz w:val="1"/>
                <w:szCs w:val="1"/>
                <w:color w:val="auto"/>
              </w:rPr>
            </w:pPr>
          </w:p>
        </w:tc>
      </w:tr>
      <w:tr>
        <w:trPr>
          <w:trHeight w:val="176"/>
        </w:trPr>
        <w:tc>
          <w:tcPr>
            <w:tcW w:w="1820" w:type="dxa"/>
            <w:vAlign w:val="bottom"/>
            <w:gridSpan w:val="3"/>
          </w:tcPr>
          <w:p>
            <w:pPr>
              <w:spacing w:after="0"/>
              <w:rPr>
                <w:sz w:val="20"/>
                <w:szCs w:val="20"/>
                <w:color w:val="auto"/>
              </w:rPr>
            </w:pPr>
            <w:r>
              <w:rPr>
                <w:rFonts w:ascii="Arial" w:cs="Arial" w:eastAsia="Arial" w:hAnsi="Arial"/>
                <w:sz w:val="14"/>
                <w:szCs w:val="14"/>
                <w:b w:val="1"/>
                <w:bCs w:val="1"/>
                <w:color w:val="auto"/>
                <w:w w:val="95"/>
              </w:rPr>
              <w:t>Name and Principal Position</w:t>
            </w:r>
          </w:p>
        </w:tc>
        <w:tc>
          <w:tcPr>
            <w:tcW w:w="80" w:type="dxa"/>
            <w:vAlign w:val="bottom"/>
          </w:tcPr>
          <w:p>
            <w:pPr>
              <w:spacing w:after="0"/>
              <w:rPr>
                <w:sz w:val="15"/>
                <w:szCs w:val="15"/>
                <w:color w:val="auto"/>
              </w:rPr>
            </w:pPr>
          </w:p>
        </w:tc>
        <w:tc>
          <w:tcPr>
            <w:tcW w:w="380" w:type="dxa"/>
            <w:vAlign w:val="bottom"/>
          </w:tcPr>
          <w:p>
            <w:pPr>
              <w:jc w:val="right"/>
              <w:spacing w:after="0"/>
              <w:rPr>
                <w:sz w:val="20"/>
                <w:szCs w:val="20"/>
                <w:color w:val="auto"/>
              </w:rPr>
            </w:pPr>
            <w:r>
              <w:rPr>
                <w:rFonts w:ascii="Arial" w:cs="Arial" w:eastAsia="Arial" w:hAnsi="Arial"/>
                <w:sz w:val="14"/>
                <w:szCs w:val="14"/>
                <w:b w:val="1"/>
                <w:bCs w:val="1"/>
                <w:color w:val="auto"/>
                <w:w w:val="98"/>
              </w:rPr>
              <w:t>Year</w:t>
            </w:r>
          </w:p>
        </w:tc>
        <w:tc>
          <w:tcPr>
            <w:tcW w:w="100" w:type="dxa"/>
            <w:vAlign w:val="bottom"/>
          </w:tcPr>
          <w:p>
            <w:pPr>
              <w:spacing w:after="0"/>
              <w:rPr>
                <w:sz w:val="15"/>
                <w:szCs w:val="15"/>
                <w:color w:val="auto"/>
              </w:rPr>
            </w:pPr>
          </w:p>
        </w:tc>
        <w:tc>
          <w:tcPr>
            <w:tcW w:w="560" w:type="dxa"/>
            <w:vAlign w:val="bottom"/>
          </w:tcPr>
          <w:p>
            <w:pPr>
              <w:jc w:val="right"/>
              <w:ind w:right="32"/>
              <w:spacing w:after="0"/>
              <w:rPr>
                <w:sz w:val="20"/>
                <w:szCs w:val="20"/>
                <w:color w:val="auto"/>
              </w:rPr>
            </w:pPr>
            <w:r>
              <w:rPr>
                <w:rFonts w:ascii="Arial" w:cs="Arial" w:eastAsia="Arial" w:hAnsi="Arial"/>
                <w:sz w:val="14"/>
                <w:szCs w:val="14"/>
                <w:b w:val="1"/>
                <w:bCs w:val="1"/>
                <w:color w:val="auto"/>
              </w:rPr>
              <w:t>Salary</w:t>
            </w:r>
          </w:p>
        </w:tc>
        <w:tc>
          <w:tcPr>
            <w:tcW w:w="100" w:type="dxa"/>
            <w:vAlign w:val="bottom"/>
          </w:tcPr>
          <w:p>
            <w:pPr>
              <w:spacing w:after="0"/>
              <w:rPr>
                <w:sz w:val="15"/>
                <w:szCs w:val="15"/>
                <w:color w:val="auto"/>
              </w:rPr>
            </w:pPr>
          </w:p>
        </w:tc>
        <w:tc>
          <w:tcPr>
            <w:tcW w:w="520" w:type="dxa"/>
            <w:vAlign w:val="bottom"/>
          </w:tcPr>
          <w:p>
            <w:pPr>
              <w:jc w:val="center"/>
              <w:spacing w:after="0"/>
              <w:rPr>
                <w:sz w:val="20"/>
                <w:szCs w:val="20"/>
                <w:color w:val="auto"/>
              </w:rPr>
            </w:pPr>
            <w:r>
              <w:rPr>
                <w:rFonts w:ascii="Arial" w:cs="Arial" w:eastAsia="Arial" w:hAnsi="Arial"/>
                <w:sz w:val="14"/>
                <w:szCs w:val="14"/>
                <w:b w:val="1"/>
                <w:bCs w:val="1"/>
                <w:color w:val="auto"/>
                <w:w w:val="86"/>
              </w:rPr>
              <w:t>Awards</w:t>
            </w:r>
          </w:p>
        </w:tc>
        <w:tc>
          <w:tcPr>
            <w:tcW w:w="120" w:type="dxa"/>
            <w:vAlign w:val="bottom"/>
          </w:tcPr>
          <w:p>
            <w:pPr>
              <w:spacing w:after="0"/>
              <w:rPr>
                <w:sz w:val="15"/>
                <w:szCs w:val="15"/>
                <w:color w:val="auto"/>
              </w:rPr>
            </w:pPr>
          </w:p>
        </w:tc>
        <w:tc>
          <w:tcPr>
            <w:tcW w:w="820" w:type="dxa"/>
            <w:vAlign w:val="bottom"/>
            <w:gridSpan w:val="2"/>
          </w:tcPr>
          <w:p>
            <w:pPr>
              <w:jc w:val="center"/>
              <w:ind w:right="120"/>
              <w:spacing w:after="0" w:line="176" w:lineRule="exact"/>
              <w:rPr>
                <w:sz w:val="20"/>
                <w:szCs w:val="20"/>
                <w:color w:val="auto"/>
              </w:rPr>
            </w:pPr>
            <w:r>
              <w:rPr>
                <w:rFonts w:ascii="Arial" w:cs="Arial" w:eastAsia="Arial" w:hAnsi="Arial"/>
                <w:sz w:val="13"/>
                <w:szCs w:val="13"/>
                <w:b w:val="1"/>
                <w:bCs w:val="1"/>
                <w:color w:val="auto"/>
                <w:w w:val="91"/>
              </w:rPr>
              <w:t>Awards</w:t>
            </w:r>
            <w:r>
              <w:rPr>
                <w:rFonts w:ascii="Arial" w:cs="Arial" w:eastAsia="Arial" w:hAnsi="Arial"/>
                <w:sz w:val="20"/>
                <w:szCs w:val="20"/>
                <w:b w:val="1"/>
                <w:bCs w:val="1"/>
                <w:color w:val="auto"/>
                <w:w w:val="91"/>
                <w:vertAlign w:val="superscript"/>
              </w:rPr>
              <w:t>(1)</w:t>
            </w:r>
          </w:p>
        </w:tc>
        <w:tc>
          <w:tcPr>
            <w:tcW w:w="660" w:type="dxa"/>
            <w:vAlign w:val="bottom"/>
          </w:tcPr>
          <w:p>
            <w:pPr>
              <w:jc w:val="center"/>
              <w:spacing w:after="0" w:line="176" w:lineRule="exact"/>
              <w:rPr>
                <w:sz w:val="20"/>
                <w:szCs w:val="20"/>
                <w:color w:val="auto"/>
              </w:rPr>
            </w:pPr>
            <w:r>
              <w:rPr>
                <w:rFonts w:ascii="Arial" w:cs="Arial" w:eastAsia="Arial" w:hAnsi="Arial"/>
                <w:sz w:val="13"/>
                <w:szCs w:val="13"/>
                <w:b w:val="1"/>
                <w:bCs w:val="1"/>
                <w:color w:val="auto"/>
                <w:w w:val="86"/>
              </w:rPr>
              <w:t>Plans</w:t>
            </w:r>
            <w:r>
              <w:rPr>
                <w:rFonts w:ascii="Arial" w:cs="Arial" w:eastAsia="Arial" w:hAnsi="Arial"/>
                <w:sz w:val="20"/>
                <w:szCs w:val="20"/>
                <w:b w:val="1"/>
                <w:bCs w:val="1"/>
                <w:color w:val="auto"/>
                <w:w w:val="86"/>
                <w:vertAlign w:val="superscript"/>
              </w:rPr>
              <w:t>(2)</w:t>
            </w:r>
          </w:p>
        </w:tc>
        <w:tc>
          <w:tcPr>
            <w:tcW w:w="120" w:type="dxa"/>
            <w:vAlign w:val="bottom"/>
          </w:tcPr>
          <w:p>
            <w:pPr>
              <w:spacing w:after="0"/>
              <w:rPr>
                <w:sz w:val="15"/>
                <w:szCs w:val="15"/>
                <w:color w:val="auto"/>
              </w:rPr>
            </w:pPr>
          </w:p>
        </w:tc>
        <w:tc>
          <w:tcPr>
            <w:tcW w:w="640" w:type="dxa"/>
            <w:vAlign w:val="bottom"/>
          </w:tcPr>
          <w:p>
            <w:pPr>
              <w:jc w:val="center"/>
              <w:spacing w:after="0"/>
              <w:rPr>
                <w:sz w:val="20"/>
                <w:szCs w:val="20"/>
                <w:color w:val="auto"/>
              </w:rPr>
            </w:pPr>
            <w:r>
              <w:rPr>
                <w:rFonts w:ascii="Arial" w:cs="Arial" w:eastAsia="Arial" w:hAnsi="Arial"/>
                <w:sz w:val="14"/>
                <w:szCs w:val="14"/>
                <w:b w:val="1"/>
                <w:bCs w:val="1"/>
                <w:color w:val="auto"/>
                <w:w w:val="85"/>
              </w:rPr>
              <w:t>Plans</w:t>
            </w:r>
          </w:p>
        </w:tc>
        <w:tc>
          <w:tcPr>
            <w:tcW w:w="120" w:type="dxa"/>
            <w:vAlign w:val="bottom"/>
          </w:tcPr>
          <w:p>
            <w:pPr>
              <w:spacing w:after="0"/>
              <w:rPr>
                <w:sz w:val="15"/>
                <w:szCs w:val="15"/>
                <w:color w:val="auto"/>
              </w:rPr>
            </w:pPr>
          </w:p>
        </w:tc>
        <w:tc>
          <w:tcPr>
            <w:tcW w:w="7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5"/>
              </w:rPr>
              <w:t>Value</w:t>
            </w:r>
          </w:p>
        </w:tc>
        <w:tc>
          <w:tcPr>
            <w:tcW w:w="1120" w:type="dxa"/>
            <w:vAlign w:val="bottom"/>
          </w:tcPr>
          <w:p>
            <w:pPr>
              <w:jc w:val="center"/>
              <w:spacing w:after="0" w:line="176" w:lineRule="exact"/>
              <w:rPr>
                <w:sz w:val="20"/>
                <w:szCs w:val="20"/>
                <w:color w:val="auto"/>
              </w:rPr>
            </w:pPr>
            <w:r>
              <w:rPr>
                <w:rFonts w:ascii="Arial" w:cs="Arial" w:eastAsia="Arial" w:hAnsi="Arial"/>
                <w:sz w:val="13"/>
                <w:szCs w:val="13"/>
                <w:b w:val="1"/>
                <w:bCs w:val="1"/>
                <w:color w:val="auto"/>
                <w:w w:val="90"/>
              </w:rPr>
              <w:t>Compensation</w:t>
            </w:r>
            <w:r>
              <w:rPr>
                <w:rFonts w:ascii="Arial" w:cs="Arial" w:eastAsia="Arial" w:hAnsi="Arial"/>
                <w:sz w:val="20"/>
                <w:szCs w:val="20"/>
                <w:b w:val="1"/>
                <w:bCs w:val="1"/>
                <w:color w:val="auto"/>
                <w:w w:val="90"/>
                <w:vertAlign w:val="superscript"/>
              </w:rPr>
              <w:t>(2)</w:t>
            </w:r>
          </w:p>
        </w:tc>
        <w:tc>
          <w:tcPr>
            <w:tcW w:w="140" w:type="dxa"/>
            <w:vAlign w:val="bottom"/>
          </w:tcPr>
          <w:p>
            <w:pPr>
              <w:spacing w:after="0"/>
              <w:rPr>
                <w:sz w:val="15"/>
                <w:szCs w:val="15"/>
                <w:color w:val="auto"/>
              </w:rPr>
            </w:pPr>
          </w:p>
        </w:tc>
        <w:tc>
          <w:tcPr>
            <w:tcW w:w="1240" w:type="dxa"/>
            <w:vAlign w:val="bottom"/>
            <w:gridSpan w:val="2"/>
          </w:tcPr>
          <w:p>
            <w:pPr>
              <w:jc w:val="center"/>
              <w:ind w:right="160"/>
              <w:spacing w:after="0" w:line="176" w:lineRule="exact"/>
              <w:rPr>
                <w:sz w:val="20"/>
                <w:szCs w:val="20"/>
                <w:color w:val="auto"/>
              </w:rPr>
            </w:pPr>
            <w:r>
              <w:rPr>
                <w:rFonts w:ascii="Arial" w:cs="Arial" w:eastAsia="Arial" w:hAnsi="Arial"/>
                <w:sz w:val="13"/>
                <w:szCs w:val="13"/>
                <w:b w:val="1"/>
                <w:bCs w:val="1"/>
                <w:color w:val="auto"/>
                <w:w w:val="90"/>
              </w:rPr>
              <w:t>Compensation</w:t>
            </w:r>
            <w:r>
              <w:rPr>
                <w:rFonts w:ascii="Arial" w:cs="Arial" w:eastAsia="Arial" w:hAnsi="Arial"/>
                <w:sz w:val="20"/>
                <w:szCs w:val="20"/>
                <w:b w:val="1"/>
                <w:bCs w:val="1"/>
                <w:color w:val="auto"/>
                <w:w w:val="90"/>
                <w:vertAlign w:val="superscript"/>
              </w:rPr>
              <w:t>(3)</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1260" w:type="dxa"/>
            <w:vAlign w:val="bottom"/>
            <w:tcBorders>
              <w:top w:val="single" w:sz="8" w:color="auto"/>
            </w:tcBorders>
          </w:tcPr>
          <w:p>
            <w:pPr>
              <w:spacing w:after="0"/>
              <w:rPr>
                <w:sz w:val="12"/>
                <w:szCs w:val="12"/>
                <w:color w:val="auto"/>
              </w:rPr>
            </w:pPr>
          </w:p>
        </w:tc>
        <w:tc>
          <w:tcPr>
            <w:tcW w:w="540" w:type="dxa"/>
            <w:vAlign w:val="bottom"/>
            <w:tcBorders>
              <w:top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38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Borders>
              <w:top w:val="single" w:sz="8" w:color="auto"/>
            </w:tcBorders>
          </w:tcPr>
          <w:p>
            <w:pPr>
              <w:jc w:val="right"/>
              <w:ind w:right="92"/>
              <w:spacing w:after="0" w:line="142" w:lineRule="exact"/>
              <w:rPr>
                <w:sz w:val="20"/>
                <w:szCs w:val="20"/>
                <w:color w:val="auto"/>
              </w:rPr>
            </w:pPr>
            <w:r>
              <w:rPr>
                <w:rFonts w:ascii="Arial" w:cs="Arial" w:eastAsia="Arial" w:hAnsi="Arial"/>
                <w:sz w:val="14"/>
                <w:szCs w:val="14"/>
                <w:b w:val="1"/>
                <w:bCs w:val="1"/>
                <w:color w:val="auto"/>
              </w:rPr>
              <w:t>(C$)</w:t>
            </w:r>
          </w:p>
        </w:tc>
        <w:tc>
          <w:tcPr>
            <w:tcW w:w="100" w:type="dxa"/>
            <w:vAlign w:val="bottom"/>
          </w:tcPr>
          <w:p>
            <w:pPr>
              <w:spacing w:after="0"/>
              <w:rPr>
                <w:sz w:val="12"/>
                <w:szCs w:val="12"/>
                <w:color w:val="auto"/>
              </w:rPr>
            </w:pPr>
          </w:p>
        </w:tc>
        <w:tc>
          <w:tcPr>
            <w:tcW w:w="52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8"/>
              </w:rPr>
              <w:t>(C$)</w:t>
            </w:r>
          </w:p>
        </w:tc>
        <w:tc>
          <w:tcPr>
            <w:tcW w:w="120" w:type="dxa"/>
            <w:vAlign w:val="bottom"/>
          </w:tcPr>
          <w:p>
            <w:pPr>
              <w:spacing w:after="0"/>
              <w:rPr>
                <w:sz w:val="12"/>
                <w:szCs w:val="12"/>
                <w:color w:val="auto"/>
              </w:rPr>
            </w:pPr>
          </w:p>
        </w:tc>
        <w:tc>
          <w:tcPr>
            <w:tcW w:w="70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95"/>
              </w:rPr>
              <w:t>(C$)</w:t>
            </w:r>
          </w:p>
        </w:tc>
        <w:tc>
          <w:tcPr>
            <w:tcW w:w="120" w:type="dxa"/>
            <w:vAlign w:val="bottom"/>
          </w:tcPr>
          <w:p>
            <w:pPr>
              <w:spacing w:after="0"/>
              <w:rPr>
                <w:sz w:val="12"/>
                <w:szCs w:val="12"/>
                <w:color w:val="auto"/>
              </w:rPr>
            </w:pPr>
          </w:p>
        </w:tc>
        <w:tc>
          <w:tcPr>
            <w:tcW w:w="66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95"/>
              </w:rPr>
              <w:t>(C$)</w:t>
            </w:r>
          </w:p>
        </w:tc>
        <w:tc>
          <w:tcPr>
            <w:tcW w:w="120" w:type="dxa"/>
            <w:vAlign w:val="bottom"/>
          </w:tcPr>
          <w:p>
            <w:pPr>
              <w:spacing w:after="0"/>
              <w:rPr>
                <w:sz w:val="12"/>
                <w:szCs w:val="12"/>
                <w:color w:val="auto"/>
              </w:rPr>
            </w:pPr>
          </w:p>
        </w:tc>
        <w:tc>
          <w:tcPr>
            <w:tcW w:w="64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95"/>
              </w:rPr>
              <w:t>(C$)</w:t>
            </w:r>
          </w:p>
        </w:tc>
        <w:tc>
          <w:tcPr>
            <w:tcW w:w="120" w:type="dxa"/>
            <w:vAlign w:val="bottom"/>
          </w:tcPr>
          <w:p>
            <w:pPr>
              <w:spacing w:after="0"/>
              <w:rPr>
                <w:sz w:val="12"/>
                <w:szCs w:val="12"/>
                <w:color w:val="auto"/>
              </w:rPr>
            </w:pPr>
          </w:p>
        </w:tc>
        <w:tc>
          <w:tcPr>
            <w:tcW w:w="56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95"/>
              </w:rPr>
              <w:t>(C$)</w:t>
            </w:r>
          </w:p>
        </w:tc>
        <w:tc>
          <w:tcPr>
            <w:tcW w:w="160" w:type="dxa"/>
            <w:vAlign w:val="bottom"/>
          </w:tcPr>
          <w:p>
            <w:pPr>
              <w:spacing w:after="0"/>
              <w:rPr>
                <w:sz w:val="12"/>
                <w:szCs w:val="12"/>
                <w:color w:val="auto"/>
              </w:rPr>
            </w:pPr>
          </w:p>
        </w:tc>
        <w:tc>
          <w:tcPr>
            <w:tcW w:w="112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8"/>
              </w:rPr>
              <w:t>(C$)</w:t>
            </w:r>
          </w:p>
        </w:tc>
        <w:tc>
          <w:tcPr>
            <w:tcW w:w="140" w:type="dxa"/>
            <w:vAlign w:val="bottom"/>
          </w:tcPr>
          <w:p>
            <w:pPr>
              <w:spacing w:after="0"/>
              <w:rPr>
                <w:sz w:val="12"/>
                <w:szCs w:val="12"/>
                <w:color w:val="auto"/>
              </w:rPr>
            </w:pPr>
          </w:p>
        </w:tc>
        <w:tc>
          <w:tcPr>
            <w:tcW w:w="112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95"/>
              </w:rPr>
              <w:t>(C$)</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3"/>
        </w:trPr>
        <w:tc>
          <w:tcPr>
            <w:tcW w:w="20" w:type="dxa"/>
            <w:vAlign w:val="bottom"/>
          </w:tcPr>
          <w:p>
            <w:pPr>
              <w:spacing w:after="0"/>
              <w:rPr>
                <w:sz w:val="11"/>
                <w:szCs w:val="11"/>
                <w:color w:val="auto"/>
              </w:rPr>
            </w:pPr>
          </w:p>
        </w:tc>
        <w:tc>
          <w:tcPr>
            <w:tcW w:w="1800" w:type="dxa"/>
            <w:vAlign w:val="bottom"/>
            <w:gridSpan w:val="2"/>
            <w:shd w:val="clear" w:color="auto" w:fill="CCEEFF"/>
          </w:tcPr>
          <w:p>
            <w:pPr>
              <w:spacing w:after="0" w:line="133" w:lineRule="exact"/>
              <w:rPr>
                <w:sz w:val="20"/>
                <w:szCs w:val="20"/>
                <w:color w:val="auto"/>
              </w:rPr>
            </w:pPr>
            <w:r>
              <w:rPr>
                <w:rFonts w:ascii="Arial" w:cs="Arial" w:eastAsia="Arial" w:hAnsi="Arial"/>
                <w:sz w:val="14"/>
                <w:szCs w:val="14"/>
                <w:b w:val="1"/>
                <w:bCs w:val="1"/>
                <w:color w:val="auto"/>
              </w:rPr>
              <w:t>Sean Boyd</w:t>
            </w:r>
          </w:p>
        </w:tc>
        <w:tc>
          <w:tcPr>
            <w:tcW w:w="46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4"/>
                <w:szCs w:val="14"/>
                <w:color w:val="auto"/>
              </w:rPr>
              <w:t>2009</w:t>
            </w:r>
          </w:p>
        </w:tc>
        <w:tc>
          <w:tcPr>
            <w:tcW w:w="66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4"/>
                <w:szCs w:val="14"/>
                <w:color w:val="auto"/>
              </w:rPr>
              <w:t>925,000</w:t>
            </w:r>
          </w:p>
        </w:tc>
        <w:tc>
          <w:tcPr>
            <w:tcW w:w="62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4"/>
                <w:szCs w:val="14"/>
                <w:color w:val="auto"/>
              </w:rPr>
              <w:t>39,000</w:t>
            </w:r>
          </w:p>
        </w:tc>
        <w:tc>
          <w:tcPr>
            <w:tcW w:w="82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4"/>
                <w:szCs w:val="14"/>
                <w:color w:val="auto"/>
              </w:rPr>
              <w:t>6,147,500</w:t>
            </w:r>
          </w:p>
        </w:tc>
        <w:tc>
          <w:tcPr>
            <w:tcW w:w="120" w:type="dxa"/>
            <w:vAlign w:val="bottom"/>
            <w:shd w:val="clear" w:color="auto" w:fill="CCEEFF"/>
          </w:tcPr>
          <w:p>
            <w:pPr>
              <w:spacing w:after="0"/>
              <w:rPr>
                <w:sz w:val="11"/>
                <w:szCs w:val="11"/>
                <w:color w:val="auto"/>
              </w:rPr>
            </w:pPr>
          </w:p>
        </w:tc>
        <w:tc>
          <w:tcPr>
            <w:tcW w:w="660" w:type="dxa"/>
            <w:vAlign w:val="bottom"/>
            <w:shd w:val="clear" w:color="auto" w:fill="CCEEFF"/>
          </w:tcPr>
          <w:p>
            <w:pPr>
              <w:jc w:val="right"/>
              <w:spacing w:after="0" w:line="133" w:lineRule="exact"/>
              <w:rPr>
                <w:sz w:val="20"/>
                <w:szCs w:val="20"/>
                <w:color w:val="auto"/>
              </w:rPr>
            </w:pPr>
            <w:r>
              <w:rPr>
                <w:rFonts w:ascii="Arial" w:cs="Arial" w:eastAsia="Arial" w:hAnsi="Arial"/>
                <w:sz w:val="14"/>
                <w:szCs w:val="14"/>
                <w:color w:val="auto"/>
              </w:rPr>
              <w:t>1,175,000</w:t>
            </w:r>
          </w:p>
        </w:tc>
        <w:tc>
          <w:tcPr>
            <w:tcW w:w="120" w:type="dxa"/>
            <w:vAlign w:val="bottom"/>
            <w:shd w:val="clear" w:color="auto" w:fill="CCEEFF"/>
          </w:tcPr>
          <w:p>
            <w:pPr>
              <w:spacing w:after="0"/>
              <w:rPr>
                <w:sz w:val="11"/>
                <w:szCs w:val="11"/>
                <w:color w:val="auto"/>
              </w:rPr>
            </w:pPr>
          </w:p>
        </w:tc>
        <w:tc>
          <w:tcPr>
            <w:tcW w:w="640" w:type="dxa"/>
            <w:vAlign w:val="bottom"/>
            <w:shd w:val="clear" w:color="auto" w:fill="CCEEFF"/>
          </w:tcPr>
          <w:p>
            <w:pPr>
              <w:jc w:val="center"/>
              <w:spacing w:after="0" w:line="133" w:lineRule="exact"/>
              <w:rPr>
                <w:sz w:val="20"/>
                <w:szCs w:val="20"/>
                <w:color w:val="auto"/>
              </w:rPr>
            </w:pPr>
            <w:r>
              <w:rPr>
                <w:rFonts w:ascii="Arial" w:cs="Arial" w:eastAsia="Arial" w:hAnsi="Arial"/>
                <w:sz w:val="14"/>
                <w:szCs w:val="14"/>
                <w:color w:val="auto"/>
                <w:w w:val="81"/>
              </w:rPr>
              <w:t>n/a</w:t>
            </w:r>
          </w:p>
        </w:tc>
        <w:tc>
          <w:tcPr>
            <w:tcW w:w="68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4"/>
                <w:szCs w:val="14"/>
                <w:color w:val="auto"/>
              </w:rPr>
              <w:t>794,877</w:t>
            </w:r>
          </w:p>
        </w:tc>
        <w:tc>
          <w:tcPr>
            <w:tcW w:w="160" w:type="dxa"/>
            <w:vAlign w:val="bottom"/>
            <w:shd w:val="clear" w:color="auto" w:fill="CCEEFF"/>
          </w:tcPr>
          <w:p>
            <w:pPr>
              <w:spacing w:after="0"/>
              <w:rPr>
                <w:sz w:val="11"/>
                <w:szCs w:val="11"/>
                <w:color w:val="auto"/>
              </w:rPr>
            </w:pPr>
          </w:p>
        </w:tc>
        <w:tc>
          <w:tcPr>
            <w:tcW w:w="1120" w:type="dxa"/>
            <w:vAlign w:val="bottom"/>
            <w:shd w:val="clear" w:color="auto" w:fill="CCEEFF"/>
          </w:tcPr>
          <w:p>
            <w:pPr>
              <w:jc w:val="right"/>
              <w:spacing w:after="0" w:line="133" w:lineRule="exact"/>
              <w:rPr>
                <w:sz w:val="20"/>
                <w:szCs w:val="20"/>
                <w:color w:val="auto"/>
              </w:rPr>
            </w:pPr>
            <w:r>
              <w:rPr>
                <w:rFonts w:ascii="Arial" w:cs="Arial" w:eastAsia="Arial" w:hAnsi="Arial"/>
                <w:sz w:val="14"/>
                <w:szCs w:val="14"/>
                <w:color w:val="auto"/>
              </w:rPr>
              <w:t>21,264</w:t>
            </w:r>
          </w:p>
        </w:tc>
        <w:tc>
          <w:tcPr>
            <w:tcW w:w="126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4"/>
                <w:szCs w:val="14"/>
                <w:color w:val="auto"/>
              </w:rPr>
              <w:t>9,102,641</w:t>
            </w:r>
          </w:p>
        </w:tc>
        <w:tc>
          <w:tcPr>
            <w:tcW w:w="12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64"/>
        </w:trPr>
        <w:tc>
          <w:tcPr>
            <w:tcW w:w="20" w:type="dxa"/>
            <w:vAlign w:val="bottom"/>
          </w:tcPr>
          <w:p>
            <w:pPr>
              <w:spacing w:after="0"/>
              <w:rPr>
                <w:sz w:val="14"/>
                <w:szCs w:val="14"/>
                <w:color w:val="auto"/>
              </w:rPr>
            </w:pPr>
          </w:p>
        </w:tc>
        <w:tc>
          <w:tcPr>
            <w:tcW w:w="1800" w:type="dxa"/>
            <w:vAlign w:val="bottom"/>
            <w:gridSpan w:val="2"/>
            <w:shd w:val="clear" w:color="auto" w:fill="CCEEFF"/>
          </w:tcPr>
          <w:p>
            <w:pPr>
              <w:spacing w:after="0"/>
              <w:rPr>
                <w:sz w:val="20"/>
                <w:szCs w:val="20"/>
                <w:color w:val="auto"/>
              </w:rPr>
            </w:pPr>
            <w:r>
              <w:rPr>
                <w:rFonts w:ascii="Arial" w:cs="Arial" w:eastAsia="Arial" w:hAnsi="Arial"/>
                <w:sz w:val="14"/>
                <w:szCs w:val="14"/>
                <w:color w:val="auto"/>
              </w:rPr>
              <w:t>Vice-Chairman and</w:t>
            </w:r>
          </w:p>
        </w:tc>
        <w:tc>
          <w:tcPr>
            <w:tcW w:w="80" w:type="dxa"/>
            <w:vAlign w:val="bottom"/>
            <w:shd w:val="clear" w:color="auto" w:fill="CCEEFF"/>
          </w:tcPr>
          <w:p>
            <w:pPr>
              <w:spacing w:after="0"/>
              <w:rPr>
                <w:sz w:val="14"/>
                <w:szCs w:val="14"/>
                <w:color w:val="auto"/>
              </w:rPr>
            </w:pPr>
          </w:p>
        </w:tc>
        <w:tc>
          <w:tcPr>
            <w:tcW w:w="38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2008</w:t>
            </w: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925,000</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39,000</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3,312,000</w:t>
            </w:r>
          </w:p>
        </w:tc>
        <w:tc>
          <w:tcPr>
            <w:tcW w:w="120" w:type="dxa"/>
            <w:vAlign w:val="bottom"/>
            <w:shd w:val="clear" w:color="auto" w:fill="CCEEFF"/>
          </w:tcPr>
          <w:p>
            <w:pPr>
              <w:spacing w:after="0"/>
              <w:rPr>
                <w:sz w:val="14"/>
                <w:szCs w:val="14"/>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740,000</w:t>
            </w:r>
          </w:p>
        </w:tc>
        <w:tc>
          <w:tcPr>
            <w:tcW w:w="120" w:type="dxa"/>
            <w:vAlign w:val="bottom"/>
            <w:shd w:val="clear" w:color="auto" w:fill="CCEEFF"/>
          </w:tcPr>
          <w:p>
            <w:pPr>
              <w:spacing w:after="0"/>
              <w:rPr>
                <w:sz w:val="14"/>
                <w:szCs w:val="14"/>
                <w:color w:val="auto"/>
              </w:rPr>
            </w:pPr>
          </w:p>
        </w:tc>
        <w:tc>
          <w:tcPr>
            <w:tcW w:w="640" w:type="dxa"/>
            <w:vAlign w:val="bottom"/>
            <w:shd w:val="clear" w:color="auto" w:fill="CCEEFF"/>
          </w:tcPr>
          <w:p>
            <w:pPr>
              <w:jc w:val="center"/>
              <w:spacing w:after="0"/>
              <w:rPr>
                <w:sz w:val="20"/>
                <w:szCs w:val="20"/>
                <w:color w:val="auto"/>
              </w:rPr>
            </w:pPr>
            <w:r>
              <w:rPr>
                <w:rFonts w:ascii="Arial" w:cs="Arial" w:eastAsia="Arial" w:hAnsi="Arial"/>
                <w:sz w:val="14"/>
                <w:szCs w:val="14"/>
                <w:color w:val="auto"/>
                <w:w w:val="81"/>
              </w:rPr>
              <w:t>n/a</w:t>
            </w:r>
          </w:p>
        </w:tc>
        <w:tc>
          <w:tcPr>
            <w:tcW w:w="840" w:type="dxa"/>
            <w:vAlign w:val="bottom"/>
            <w:gridSpan w:val="3"/>
            <w:shd w:val="clear" w:color="auto" w:fill="CCEEFF"/>
          </w:tcPr>
          <w:p>
            <w:pPr>
              <w:jc w:val="right"/>
              <w:ind w:right="20"/>
              <w:spacing w:after="0" w:line="164" w:lineRule="exact"/>
              <w:rPr>
                <w:sz w:val="20"/>
                <w:szCs w:val="20"/>
                <w:color w:val="auto"/>
              </w:rPr>
            </w:pPr>
            <w:r>
              <w:rPr>
                <w:rFonts w:ascii="Arial" w:cs="Arial" w:eastAsia="Arial" w:hAnsi="Arial"/>
                <w:sz w:val="12"/>
                <w:szCs w:val="12"/>
                <w:color w:val="auto"/>
              </w:rPr>
              <w:t>186,500</w:t>
            </w:r>
            <w:r>
              <w:rPr>
                <w:rFonts w:ascii="Arial" w:cs="Arial" w:eastAsia="Arial" w:hAnsi="Arial"/>
                <w:sz w:val="19"/>
                <w:szCs w:val="19"/>
                <w:color w:val="auto"/>
                <w:vertAlign w:val="superscript"/>
              </w:rPr>
              <w:t>(4)</w:t>
            </w:r>
          </w:p>
        </w:tc>
        <w:tc>
          <w:tcPr>
            <w:tcW w:w="11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21,265</w:t>
            </w:r>
          </w:p>
        </w:tc>
        <w:tc>
          <w:tcPr>
            <w:tcW w:w="12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5,058,265</w:t>
            </w:r>
          </w:p>
        </w:tc>
        <w:tc>
          <w:tcPr>
            <w:tcW w:w="12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8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Chief Executive Officer</w:t>
            </w:r>
          </w:p>
        </w:tc>
        <w:tc>
          <w:tcPr>
            <w:tcW w:w="8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308"/>
        </w:trPr>
        <w:tc>
          <w:tcPr>
            <w:tcW w:w="1820" w:type="dxa"/>
            <w:vAlign w:val="bottom"/>
            <w:gridSpan w:val="3"/>
          </w:tcPr>
          <w:p>
            <w:pPr>
              <w:spacing w:after="0"/>
              <w:rPr>
                <w:sz w:val="20"/>
                <w:szCs w:val="20"/>
                <w:color w:val="auto"/>
              </w:rPr>
            </w:pPr>
            <w:r>
              <w:rPr>
                <w:rFonts w:ascii="Arial" w:cs="Arial" w:eastAsia="Arial" w:hAnsi="Arial"/>
                <w:sz w:val="14"/>
                <w:szCs w:val="14"/>
                <w:b w:val="1"/>
                <w:bCs w:val="1"/>
                <w:color w:val="auto"/>
              </w:rPr>
              <w:t>Eberhard Scherkus</w:t>
            </w:r>
          </w:p>
        </w:tc>
        <w:tc>
          <w:tcPr>
            <w:tcW w:w="460" w:type="dxa"/>
            <w:vAlign w:val="bottom"/>
            <w:gridSpan w:val="2"/>
          </w:tcPr>
          <w:p>
            <w:pPr>
              <w:jc w:val="right"/>
              <w:spacing w:after="0"/>
              <w:rPr>
                <w:sz w:val="20"/>
                <w:szCs w:val="20"/>
                <w:color w:val="auto"/>
              </w:rPr>
            </w:pPr>
            <w:r>
              <w:rPr>
                <w:rFonts w:ascii="Arial" w:cs="Arial" w:eastAsia="Arial" w:hAnsi="Arial"/>
                <w:sz w:val="14"/>
                <w:szCs w:val="14"/>
                <w:color w:val="auto"/>
              </w:rPr>
              <w:t>2009</w:t>
            </w:r>
          </w:p>
        </w:tc>
        <w:tc>
          <w:tcPr>
            <w:tcW w:w="660" w:type="dxa"/>
            <w:vAlign w:val="bottom"/>
            <w:gridSpan w:val="2"/>
          </w:tcPr>
          <w:p>
            <w:pPr>
              <w:jc w:val="right"/>
              <w:spacing w:after="0"/>
              <w:rPr>
                <w:sz w:val="20"/>
                <w:szCs w:val="20"/>
                <w:color w:val="auto"/>
              </w:rPr>
            </w:pPr>
            <w:r>
              <w:rPr>
                <w:rFonts w:ascii="Arial" w:cs="Arial" w:eastAsia="Arial" w:hAnsi="Arial"/>
                <w:sz w:val="14"/>
                <w:szCs w:val="14"/>
                <w:color w:val="auto"/>
              </w:rPr>
              <w:t>660,000</w:t>
            </w:r>
          </w:p>
        </w:tc>
        <w:tc>
          <w:tcPr>
            <w:tcW w:w="620" w:type="dxa"/>
            <w:vAlign w:val="bottom"/>
            <w:gridSpan w:val="2"/>
          </w:tcPr>
          <w:p>
            <w:pPr>
              <w:jc w:val="right"/>
              <w:spacing w:after="0"/>
              <w:rPr>
                <w:sz w:val="20"/>
                <w:szCs w:val="20"/>
                <w:color w:val="auto"/>
              </w:rPr>
            </w:pPr>
            <w:r>
              <w:rPr>
                <w:rFonts w:ascii="Arial" w:cs="Arial" w:eastAsia="Arial" w:hAnsi="Arial"/>
                <w:sz w:val="14"/>
                <w:szCs w:val="14"/>
                <w:color w:val="auto"/>
              </w:rPr>
              <w:t>33,000</w:t>
            </w:r>
          </w:p>
        </w:tc>
        <w:tc>
          <w:tcPr>
            <w:tcW w:w="820" w:type="dxa"/>
            <w:vAlign w:val="bottom"/>
            <w:gridSpan w:val="2"/>
          </w:tcPr>
          <w:p>
            <w:pPr>
              <w:jc w:val="right"/>
              <w:spacing w:after="0"/>
              <w:rPr>
                <w:sz w:val="20"/>
                <w:szCs w:val="20"/>
                <w:color w:val="auto"/>
              </w:rPr>
            </w:pPr>
            <w:r>
              <w:rPr>
                <w:rFonts w:ascii="Arial" w:cs="Arial" w:eastAsia="Arial" w:hAnsi="Arial"/>
                <w:sz w:val="14"/>
                <w:szCs w:val="14"/>
                <w:color w:val="auto"/>
              </w:rPr>
              <w:t>4,303,250</w:t>
            </w:r>
          </w:p>
        </w:tc>
        <w:tc>
          <w:tcPr>
            <w:tcW w:w="120" w:type="dxa"/>
            <w:vAlign w:val="bottom"/>
          </w:tcPr>
          <w:p>
            <w:pPr>
              <w:spacing w:after="0"/>
              <w:rPr>
                <w:sz w:val="24"/>
                <w:szCs w:val="24"/>
                <w:color w:val="auto"/>
              </w:rPr>
            </w:pPr>
          </w:p>
        </w:tc>
        <w:tc>
          <w:tcPr>
            <w:tcW w:w="660" w:type="dxa"/>
            <w:vAlign w:val="bottom"/>
          </w:tcPr>
          <w:p>
            <w:pPr>
              <w:jc w:val="right"/>
              <w:spacing w:after="0"/>
              <w:rPr>
                <w:sz w:val="20"/>
                <w:szCs w:val="20"/>
                <w:color w:val="auto"/>
              </w:rPr>
            </w:pPr>
            <w:r>
              <w:rPr>
                <w:rFonts w:ascii="Arial" w:cs="Arial" w:eastAsia="Arial" w:hAnsi="Arial"/>
                <w:sz w:val="14"/>
                <w:szCs w:val="14"/>
                <w:color w:val="auto"/>
              </w:rPr>
              <w:t>596,000</w:t>
            </w:r>
          </w:p>
        </w:tc>
        <w:tc>
          <w:tcPr>
            <w:tcW w:w="120" w:type="dxa"/>
            <w:vAlign w:val="bottom"/>
          </w:tcPr>
          <w:p>
            <w:pPr>
              <w:spacing w:after="0"/>
              <w:rPr>
                <w:sz w:val="24"/>
                <w:szCs w:val="24"/>
                <w:color w:val="auto"/>
              </w:rPr>
            </w:pPr>
          </w:p>
        </w:tc>
        <w:tc>
          <w:tcPr>
            <w:tcW w:w="640" w:type="dxa"/>
            <w:vAlign w:val="bottom"/>
          </w:tcPr>
          <w:p>
            <w:pPr>
              <w:jc w:val="center"/>
              <w:spacing w:after="0"/>
              <w:rPr>
                <w:sz w:val="20"/>
                <w:szCs w:val="20"/>
                <w:color w:val="auto"/>
              </w:rPr>
            </w:pPr>
            <w:r>
              <w:rPr>
                <w:rFonts w:ascii="Arial" w:cs="Arial" w:eastAsia="Arial" w:hAnsi="Arial"/>
                <w:sz w:val="14"/>
                <w:szCs w:val="14"/>
                <w:color w:val="auto"/>
                <w:w w:val="81"/>
              </w:rPr>
              <w:t>n/a</w:t>
            </w:r>
          </w:p>
        </w:tc>
        <w:tc>
          <w:tcPr>
            <w:tcW w:w="680" w:type="dxa"/>
            <w:vAlign w:val="bottom"/>
            <w:gridSpan w:val="2"/>
          </w:tcPr>
          <w:p>
            <w:pPr>
              <w:jc w:val="right"/>
              <w:spacing w:after="0"/>
              <w:rPr>
                <w:sz w:val="20"/>
                <w:szCs w:val="20"/>
                <w:color w:val="auto"/>
              </w:rPr>
            </w:pPr>
            <w:r>
              <w:rPr>
                <w:rFonts w:ascii="Arial" w:cs="Arial" w:eastAsia="Arial" w:hAnsi="Arial"/>
                <w:sz w:val="14"/>
                <w:szCs w:val="14"/>
                <w:color w:val="auto"/>
              </w:rPr>
              <w:t>203,100</w:t>
            </w:r>
          </w:p>
        </w:tc>
        <w:tc>
          <w:tcPr>
            <w:tcW w:w="160" w:type="dxa"/>
            <w:vAlign w:val="bottom"/>
          </w:tcPr>
          <w:p>
            <w:pPr>
              <w:spacing w:after="0"/>
              <w:rPr>
                <w:sz w:val="24"/>
                <w:szCs w:val="24"/>
                <w:color w:val="auto"/>
              </w:rPr>
            </w:pPr>
          </w:p>
        </w:tc>
        <w:tc>
          <w:tcPr>
            <w:tcW w:w="1120" w:type="dxa"/>
            <w:vAlign w:val="bottom"/>
          </w:tcPr>
          <w:p>
            <w:pPr>
              <w:jc w:val="right"/>
              <w:spacing w:after="0"/>
              <w:rPr>
                <w:sz w:val="20"/>
                <w:szCs w:val="20"/>
                <w:color w:val="auto"/>
              </w:rPr>
            </w:pPr>
            <w:r>
              <w:rPr>
                <w:rFonts w:ascii="Arial" w:cs="Arial" w:eastAsia="Arial" w:hAnsi="Arial"/>
                <w:sz w:val="14"/>
                <w:szCs w:val="14"/>
                <w:color w:val="auto"/>
              </w:rPr>
              <w:t>21,944</w:t>
            </w:r>
          </w:p>
        </w:tc>
        <w:tc>
          <w:tcPr>
            <w:tcW w:w="1260" w:type="dxa"/>
            <w:vAlign w:val="bottom"/>
            <w:gridSpan w:val="2"/>
          </w:tcPr>
          <w:p>
            <w:pPr>
              <w:jc w:val="right"/>
              <w:spacing w:after="0"/>
              <w:rPr>
                <w:sz w:val="20"/>
                <w:szCs w:val="20"/>
                <w:color w:val="auto"/>
              </w:rPr>
            </w:pPr>
            <w:r>
              <w:rPr>
                <w:rFonts w:ascii="Arial" w:cs="Arial" w:eastAsia="Arial" w:hAnsi="Arial"/>
                <w:sz w:val="14"/>
                <w:szCs w:val="14"/>
                <w:color w:val="auto"/>
              </w:rPr>
              <w:t>5,817,294</w:t>
            </w: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53"/>
        </w:trPr>
        <w:tc>
          <w:tcPr>
            <w:tcW w:w="1820" w:type="dxa"/>
            <w:vAlign w:val="bottom"/>
            <w:gridSpan w:val="3"/>
          </w:tcPr>
          <w:p>
            <w:pPr>
              <w:spacing w:after="0" w:line="153" w:lineRule="exact"/>
              <w:rPr>
                <w:sz w:val="20"/>
                <w:szCs w:val="20"/>
                <w:color w:val="auto"/>
              </w:rPr>
            </w:pPr>
            <w:r>
              <w:rPr>
                <w:rFonts w:ascii="Arial" w:cs="Arial" w:eastAsia="Arial" w:hAnsi="Arial"/>
                <w:sz w:val="14"/>
                <w:szCs w:val="14"/>
                <w:color w:val="auto"/>
              </w:rPr>
              <w:t>President and</w:t>
            </w:r>
          </w:p>
        </w:tc>
        <w:tc>
          <w:tcPr>
            <w:tcW w:w="460" w:type="dxa"/>
            <w:vAlign w:val="bottom"/>
            <w:gridSpan w:val="2"/>
          </w:tcPr>
          <w:p>
            <w:pPr>
              <w:jc w:val="right"/>
              <w:spacing w:after="0" w:line="153" w:lineRule="exact"/>
              <w:rPr>
                <w:sz w:val="20"/>
                <w:szCs w:val="20"/>
                <w:color w:val="auto"/>
              </w:rPr>
            </w:pPr>
            <w:r>
              <w:rPr>
                <w:rFonts w:ascii="Arial" w:cs="Arial" w:eastAsia="Arial" w:hAnsi="Arial"/>
                <w:sz w:val="14"/>
                <w:szCs w:val="14"/>
                <w:color w:val="auto"/>
              </w:rPr>
              <w:t>2008</w:t>
            </w:r>
          </w:p>
        </w:tc>
        <w:tc>
          <w:tcPr>
            <w:tcW w:w="660" w:type="dxa"/>
            <w:vAlign w:val="bottom"/>
            <w:gridSpan w:val="2"/>
          </w:tcPr>
          <w:p>
            <w:pPr>
              <w:jc w:val="right"/>
              <w:spacing w:after="0" w:line="153" w:lineRule="exact"/>
              <w:rPr>
                <w:sz w:val="20"/>
                <w:szCs w:val="20"/>
                <w:color w:val="auto"/>
              </w:rPr>
            </w:pPr>
            <w:r>
              <w:rPr>
                <w:rFonts w:ascii="Arial" w:cs="Arial" w:eastAsia="Arial" w:hAnsi="Arial"/>
                <w:sz w:val="14"/>
                <w:szCs w:val="14"/>
                <w:color w:val="auto"/>
              </w:rPr>
              <w:t>660,000</w:t>
            </w:r>
          </w:p>
        </w:tc>
        <w:tc>
          <w:tcPr>
            <w:tcW w:w="620" w:type="dxa"/>
            <w:vAlign w:val="bottom"/>
            <w:gridSpan w:val="2"/>
          </w:tcPr>
          <w:p>
            <w:pPr>
              <w:jc w:val="right"/>
              <w:spacing w:after="0" w:line="153" w:lineRule="exact"/>
              <w:rPr>
                <w:sz w:val="20"/>
                <w:szCs w:val="20"/>
                <w:color w:val="auto"/>
              </w:rPr>
            </w:pPr>
            <w:r>
              <w:rPr>
                <w:rFonts w:ascii="Arial" w:cs="Arial" w:eastAsia="Arial" w:hAnsi="Arial"/>
                <w:sz w:val="14"/>
                <w:szCs w:val="14"/>
                <w:color w:val="auto"/>
              </w:rPr>
              <w:t>30,000</w:t>
            </w:r>
          </w:p>
        </w:tc>
        <w:tc>
          <w:tcPr>
            <w:tcW w:w="820" w:type="dxa"/>
            <w:vAlign w:val="bottom"/>
            <w:gridSpan w:val="2"/>
          </w:tcPr>
          <w:p>
            <w:pPr>
              <w:jc w:val="right"/>
              <w:spacing w:after="0" w:line="153" w:lineRule="exact"/>
              <w:rPr>
                <w:sz w:val="20"/>
                <w:szCs w:val="20"/>
                <w:color w:val="auto"/>
              </w:rPr>
            </w:pPr>
            <w:r>
              <w:rPr>
                <w:rFonts w:ascii="Arial" w:cs="Arial" w:eastAsia="Arial" w:hAnsi="Arial"/>
                <w:sz w:val="14"/>
                <w:szCs w:val="14"/>
                <w:color w:val="auto"/>
              </w:rPr>
              <w:t>2,070,000</w:t>
            </w:r>
          </w:p>
        </w:tc>
        <w:tc>
          <w:tcPr>
            <w:tcW w:w="120" w:type="dxa"/>
            <w:vAlign w:val="bottom"/>
          </w:tcPr>
          <w:p>
            <w:pPr>
              <w:spacing w:after="0"/>
              <w:rPr>
                <w:sz w:val="13"/>
                <w:szCs w:val="13"/>
                <w:color w:val="auto"/>
              </w:rPr>
            </w:pPr>
          </w:p>
        </w:tc>
        <w:tc>
          <w:tcPr>
            <w:tcW w:w="660" w:type="dxa"/>
            <w:vAlign w:val="bottom"/>
          </w:tcPr>
          <w:p>
            <w:pPr>
              <w:jc w:val="right"/>
              <w:spacing w:after="0" w:line="153" w:lineRule="exact"/>
              <w:rPr>
                <w:sz w:val="20"/>
                <w:szCs w:val="20"/>
                <w:color w:val="auto"/>
              </w:rPr>
            </w:pPr>
            <w:r>
              <w:rPr>
                <w:rFonts w:ascii="Arial" w:cs="Arial" w:eastAsia="Arial" w:hAnsi="Arial"/>
                <w:sz w:val="14"/>
                <w:szCs w:val="14"/>
                <w:color w:val="auto"/>
              </w:rPr>
              <w:t>372,000</w:t>
            </w:r>
          </w:p>
        </w:tc>
        <w:tc>
          <w:tcPr>
            <w:tcW w:w="120" w:type="dxa"/>
            <w:vAlign w:val="bottom"/>
          </w:tcPr>
          <w:p>
            <w:pPr>
              <w:spacing w:after="0"/>
              <w:rPr>
                <w:sz w:val="13"/>
                <w:szCs w:val="13"/>
                <w:color w:val="auto"/>
              </w:rPr>
            </w:pPr>
          </w:p>
        </w:tc>
        <w:tc>
          <w:tcPr>
            <w:tcW w:w="640" w:type="dxa"/>
            <w:vAlign w:val="bottom"/>
          </w:tcPr>
          <w:p>
            <w:pPr>
              <w:jc w:val="center"/>
              <w:spacing w:after="0" w:line="153" w:lineRule="exact"/>
              <w:rPr>
                <w:sz w:val="20"/>
                <w:szCs w:val="20"/>
                <w:color w:val="auto"/>
              </w:rPr>
            </w:pPr>
            <w:r>
              <w:rPr>
                <w:rFonts w:ascii="Arial" w:cs="Arial" w:eastAsia="Arial" w:hAnsi="Arial"/>
                <w:sz w:val="14"/>
                <w:szCs w:val="14"/>
                <w:color w:val="auto"/>
                <w:w w:val="81"/>
              </w:rPr>
              <w:t>n/a</w:t>
            </w:r>
          </w:p>
        </w:tc>
        <w:tc>
          <w:tcPr>
            <w:tcW w:w="840" w:type="dxa"/>
            <w:vAlign w:val="bottom"/>
            <w:gridSpan w:val="3"/>
          </w:tcPr>
          <w:p>
            <w:pPr>
              <w:jc w:val="right"/>
              <w:ind w:right="20"/>
              <w:spacing w:after="0" w:line="154" w:lineRule="exact"/>
              <w:rPr>
                <w:sz w:val="20"/>
                <w:szCs w:val="20"/>
                <w:color w:val="auto"/>
              </w:rPr>
            </w:pPr>
            <w:r>
              <w:rPr>
                <w:rFonts w:ascii="Arial" w:cs="Arial" w:eastAsia="Arial" w:hAnsi="Arial"/>
                <w:sz w:val="11"/>
                <w:szCs w:val="11"/>
                <w:color w:val="auto"/>
              </w:rPr>
              <w:t>123,200</w:t>
            </w:r>
            <w:r>
              <w:rPr>
                <w:rFonts w:ascii="Arial" w:cs="Arial" w:eastAsia="Arial" w:hAnsi="Arial"/>
                <w:sz w:val="17"/>
                <w:szCs w:val="17"/>
                <w:color w:val="auto"/>
                <w:vertAlign w:val="superscript"/>
              </w:rPr>
              <w:t>(4)</w:t>
            </w:r>
          </w:p>
        </w:tc>
        <w:tc>
          <w:tcPr>
            <w:tcW w:w="1120" w:type="dxa"/>
            <w:vAlign w:val="bottom"/>
          </w:tcPr>
          <w:p>
            <w:pPr>
              <w:jc w:val="right"/>
              <w:spacing w:after="0" w:line="153" w:lineRule="exact"/>
              <w:rPr>
                <w:sz w:val="20"/>
                <w:szCs w:val="20"/>
                <w:color w:val="auto"/>
              </w:rPr>
            </w:pPr>
            <w:r>
              <w:rPr>
                <w:rFonts w:ascii="Arial" w:cs="Arial" w:eastAsia="Arial" w:hAnsi="Arial"/>
                <w:sz w:val="14"/>
                <w:szCs w:val="14"/>
                <w:color w:val="auto"/>
              </w:rPr>
              <w:t>21,945</w:t>
            </w:r>
          </w:p>
        </w:tc>
        <w:tc>
          <w:tcPr>
            <w:tcW w:w="1260" w:type="dxa"/>
            <w:vAlign w:val="bottom"/>
            <w:gridSpan w:val="2"/>
          </w:tcPr>
          <w:p>
            <w:pPr>
              <w:jc w:val="right"/>
              <w:spacing w:after="0" w:line="153" w:lineRule="exact"/>
              <w:rPr>
                <w:sz w:val="20"/>
                <w:szCs w:val="20"/>
                <w:color w:val="auto"/>
              </w:rPr>
            </w:pPr>
            <w:r>
              <w:rPr>
                <w:rFonts w:ascii="Arial" w:cs="Arial" w:eastAsia="Arial" w:hAnsi="Arial"/>
                <w:sz w:val="14"/>
                <w:szCs w:val="14"/>
                <w:color w:val="auto"/>
              </w:rPr>
              <w:t>3,174,945</w:t>
            </w:r>
          </w:p>
        </w:tc>
        <w:tc>
          <w:tcPr>
            <w:tcW w:w="1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9"/>
        </w:trPr>
        <w:tc>
          <w:tcPr>
            <w:tcW w:w="1820" w:type="dxa"/>
            <w:vAlign w:val="bottom"/>
            <w:gridSpan w:val="3"/>
          </w:tcPr>
          <w:p>
            <w:pPr>
              <w:spacing w:after="0" w:line="159" w:lineRule="exact"/>
              <w:rPr>
                <w:sz w:val="20"/>
                <w:szCs w:val="20"/>
                <w:color w:val="auto"/>
              </w:rPr>
            </w:pPr>
            <w:r>
              <w:rPr>
                <w:rFonts w:ascii="Arial" w:cs="Arial" w:eastAsia="Arial" w:hAnsi="Arial"/>
                <w:sz w:val="14"/>
                <w:szCs w:val="14"/>
                <w:color w:val="auto"/>
              </w:rPr>
              <w:t>Chief Operating Officer</w:t>
            </w:r>
          </w:p>
        </w:tc>
        <w:tc>
          <w:tcPr>
            <w:tcW w:w="8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1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1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308"/>
        </w:trPr>
        <w:tc>
          <w:tcPr>
            <w:tcW w:w="20" w:type="dxa"/>
            <w:vAlign w:val="bottom"/>
          </w:tcPr>
          <w:p>
            <w:pPr>
              <w:spacing w:after="0"/>
              <w:rPr>
                <w:sz w:val="24"/>
                <w:szCs w:val="24"/>
                <w:color w:val="auto"/>
              </w:rPr>
            </w:pPr>
          </w:p>
        </w:tc>
        <w:tc>
          <w:tcPr>
            <w:tcW w:w="1800" w:type="dxa"/>
            <w:vAlign w:val="bottom"/>
            <w:gridSpan w:val="2"/>
            <w:shd w:val="clear" w:color="auto" w:fill="CCEEFF"/>
          </w:tcPr>
          <w:p>
            <w:pPr>
              <w:spacing w:after="0"/>
              <w:rPr>
                <w:sz w:val="20"/>
                <w:szCs w:val="20"/>
                <w:color w:val="auto"/>
              </w:rPr>
            </w:pPr>
            <w:r>
              <w:rPr>
                <w:rFonts w:ascii="Arial" w:cs="Arial" w:eastAsia="Arial" w:hAnsi="Arial"/>
                <w:sz w:val="14"/>
                <w:szCs w:val="14"/>
                <w:b w:val="1"/>
                <w:bCs w:val="1"/>
                <w:color w:val="auto"/>
              </w:rPr>
              <w:t>David Garofalo</w:t>
            </w:r>
          </w:p>
        </w:tc>
        <w:tc>
          <w:tcPr>
            <w:tcW w:w="4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2009</w:t>
            </w: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410,000</w:t>
            </w:r>
          </w:p>
        </w:tc>
        <w:tc>
          <w:tcPr>
            <w:tcW w:w="100" w:type="dxa"/>
            <w:vAlign w:val="bottom"/>
            <w:shd w:val="clear" w:color="auto" w:fill="CCEEFF"/>
          </w:tcPr>
          <w:p>
            <w:pPr>
              <w:spacing w:after="0"/>
              <w:rPr>
                <w:sz w:val="24"/>
                <w:szCs w:val="24"/>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nil</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2,459,000</w:t>
            </w:r>
          </w:p>
        </w:tc>
        <w:tc>
          <w:tcPr>
            <w:tcW w:w="120" w:type="dxa"/>
            <w:vAlign w:val="bottom"/>
            <w:shd w:val="clear" w:color="auto" w:fill="CCEEFF"/>
          </w:tcPr>
          <w:p>
            <w:pPr>
              <w:spacing w:after="0"/>
              <w:rPr>
                <w:sz w:val="24"/>
                <w:szCs w:val="24"/>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314,000</w:t>
            </w:r>
          </w:p>
        </w:tc>
        <w:tc>
          <w:tcPr>
            <w:tcW w:w="120" w:type="dxa"/>
            <w:vAlign w:val="bottom"/>
            <w:shd w:val="clear" w:color="auto" w:fill="CCEEFF"/>
          </w:tcPr>
          <w:p>
            <w:pPr>
              <w:spacing w:after="0"/>
              <w:rPr>
                <w:sz w:val="24"/>
                <w:szCs w:val="24"/>
                <w:color w:val="auto"/>
              </w:rPr>
            </w:pPr>
          </w:p>
        </w:tc>
        <w:tc>
          <w:tcPr>
            <w:tcW w:w="640" w:type="dxa"/>
            <w:vAlign w:val="bottom"/>
            <w:shd w:val="clear" w:color="auto" w:fill="CCEEFF"/>
          </w:tcPr>
          <w:p>
            <w:pPr>
              <w:jc w:val="center"/>
              <w:spacing w:after="0"/>
              <w:rPr>
                <w:sz w:val="20"/>
                <w:szCs w:val="20"/>
                <w:color w:val="auto"/>
              </w:rPr>
            </w:pPr>
            <w:r>
              <w:rPr>
                <w:rFonts w:ascii="Arial" w:cs="Arial" w:eastAsia="Arial" w:hAnsi="Arial"/>
                <w:sz w:val="14"/>
                <w:szCs w:val="14"/>
                <w:color w:val="auto"/>
                <w:w w:val="81"/>
              </w:rPr>
              <w:t>n/a</w:t>
            </w: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89,274</w:t>
            </w:r>
          </w:p>
        </w:tc>
        <w:tc>
          <w:tcPr>
            <w:tcW w:w="160" w:type="dxa"/>
            <w:vAlign w:val="bottom"/>
            <w:shd w:val="clear" w:color="auto" w:fill="CCEEFF"/>
          </w:tcPr>
          <w:p>
            <w:pPr>
              <w:spacing w:after="0"/>
              <w:rPr>
                <w:sz w:val="24"/>
                <w:szCs w:val="24"/>
                <w:color w:val="auto"/>
              </w:rPr>
            </w:pPr>
          </w:p>
        </w:tc>
        <w:tc>
          <w:tcPr>
            <w:tcW w:w="11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23,944</w:t>
            </w:r>
          </w:p>
        </w:tc>
        <w:tc>
          <w:tcPr>
            <w:tcW w:w="12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3,296,218</w:t>
            </w:r>
          </w:p>
        </w:tc>
        <w:tc>
          <w:tcPr>
            <w:tcW w:w="12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164"/>
        </w:trPr>
        <w:tc>
          <w:tcPr>
            <w:tcW w:w="20" w:type="dxa"/>
            <w:vAlign w:val="bottom"/>
          </w:tcPr>
          <w:p>
            <w:pPr>
              <w:spacing w:after="0"/>
              <w:rPr>
                <w:sz w:val="14"/>
                <w:szCs w:val="14"/>
                <w:color w:val="auto"/>
              </w:rPr>
            </w:pPr>
          </w:p>
        </w:tc>
        <w:tc>
          <w:tcPr>
            <w:tcW w:w="1800" w:type="dxa"/>
            <w:vAlign w:val="bottom"/>
            <w:gridSpan w:val="2"/>
            <w:shd w:val="clear" w:color="auto" w:fill="CCEEFF"/>
          </w:tcPr>
          <w:p>
            <w:pPr>
              <w:spacing w:after="0"/>
              <w:rPr>
                <w:sz w:val="20"/>
                <w:szCs w:val="20"/>
                <w:color w:val="auto"/>
              </w:rPr>
            </w:pPr>
            <w:r>
              <w:rPr>
                <w:rFonts w:ascii="Arial" w:cs="Arial" w:eastAsia="Arial" w:hAnsi="Arial"/>
                <w:sz w:val="14"/>
                <w:szCs w:val="14"/>
                <w:color w:val="auto"/>
              </w:rPr>
              <w:t>Senior Vice-President,</w:t>
            </w:r>
          </w:p>
        </w:tc>
        <w:tc>
          <w:tcPr>
            <w:tcW w:w="80" w:type="dxa"/>
            <w:vAlign w:val="bottom"/>
            <w:shd w:val="clear" w:color="auto" w:fill="CCEEFF"/>
          </w:tcPr>
          <w:p>
            <w:pPr>
              <w:spacing w:after="0"/>
              <w:rPr>
                <w:sz w:val="14"/>
                <w:szCs w:val="14"/>
                <w:color w:val="auto"/>
              </w:rPr>
            </w:pPr>
          </w:p>
        </w:tc>
        <w:tc>
          <w:tcPr>
            <w:tcW w:w="38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2008</w:t>
            </w: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410,000</w:t>
            </w:r>
          </w:p>
        </w:tc>
        <w:tc>
          <w:tcPr>
            <w:tcW w:w="100" w:type="dxa"/>
            <w:vAlign w:val="bottom"/>
            <w:shd w:val="clear" w:color="auto" w:fill="CCEEFF"/>
          </w:tcPr>
          <w:p>
            <w:pPr>
              <w:spacing w:after="0"/>
              <w:rPr>
                <w:sz w:val="14"/>
                <w:szCs w:val="14"/>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nil</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1,242,000</w:t>
            </w:r>
          </w:p>
        </w:tc>
        <w:tc>
          <w:tcPr>
            <w:tcW w:w="120" w:type="dxa"/>
            <w:vAlign w:val="bottom"/>
            <w:shd w:val="clear" w:color="auto" w:fill="CCEEFF"/>
          </w:tcPr>
          <w:p>
            <w:pPr>
              <w:spacing w:after="0"/>
              <w:rPr>
                <w:sz w:val="14"/>
                <w:szCs w:val="14"/>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167,000</w:t>
            </w:r>
          </w:p>
        </w:tc>
        <w:tc>
          <w:tcPr>
            <w:tcW w:w="120" w:type="dxa"/>
            <w:vAlign w:val="bottom"/>
            <w:shd w:val="clear" w:color="auto" w:fill="CCEEFF"/>
          </w:tcPr>
          <w:p>
            <w:pPr>
              <w:spacing w:after="0"/>
              <w:rPr>
                <w:sz w:val="14"/>
                <w:szCs w:val="14"/>
                <w:color w:val="auto"/>
              </w:rPr>
            </w:pPr>
          </w:p>
        </w:tc>
        <w:tc>
          <w:tcPr>
            <w:tcW w:w="640" w:type="dxa"/>
            <w:vAlign w:val="bottom"/>
            <w:shd w:val="clear" w:color="auto" w:fill="CCEEFF"/>
          </w:tcPr>
          <w:p>
            <w:pPr>
              <w:jc w:val="center"/>
              <w:spacing w:after="0"/>
              <w:rPr>
                <w:sz w:val="20"/>
                <w:szCs w:val="20"/>
                <w:color w:val="auto"/>
              </w:rPr>
            </w:pPr>
            <w:r>
              <w:rPr>
                <w:rFonts w:ascii="Arial" w:cs="Arial" w:eastAsia="Arial" w:hAnsi="Arial"/>
                <w:sz w:val="14"/>
                <w:szCs w:val="14"/>
                <w:color w:val="auto"/>
                <w:w w:val="81"/>
              </w:rPr>
              <w:t>n/a</w:t>
            </w:r>
          </w:p>
        </w:tc>
        <w:tc>
          <w:tcPr>
            <w:tcW w:w="840" w:type="dxa"/>
            <w:vAlign w:val="bottom"/>
            <w:gridSpan w:val="3"/>
            <w:shd w:val="clear" w:color="auto" w:fill="CCEEFF"/>
          </w:tcPr>
          <w:p>
            <w:pPr>
              <w:jc w:val="right"/>
              <w:ind w:right="20"/>
              <w:spacing w:after="0" w:line="164" w:lineRule="exact"/>
              <w:rPr>
                <w:sz w:val="20"/>
                <w:szCs w:val="20"/>
                <w:color w:val="auto"/>
              </w:rPr>
            </w:pPr>
            <w:r>
              <w:rPr>
                <w:rFonts w:ascii="Arial" w:cs="Arial" w:eastAsia="Arial" w:hAnsi="Arial"/>
                <w:sz w:val="12"/>
                <w:szCs w:val="12"/>
                <w:color w:val="auto"/>
              </w:rPr>
              <w:t>77,700</w:t>
            </w:r>
            <w:r>
              <w:rPr>
                <w:rFonts w:ascii="Arial" w:cs="Arial" w:eastAsia="Arial" w:hAnsi="Arial"/>
                <w:sz w:val="19"/>
                <w:szCs w:val="19"/>
                <w:color w:val="auto"/>
                <w:vertAlign w:val="superscript"/>
              </w:rPr>
              <w:t>(4)</w:t>
            </w:r>
          </w:p>
        </w:tc>
        <w:tc>
          <w:tcPr>
            <w:tcW w:w="11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23,945</w:t>
            </w:r>
          </w:p>
        </w:tc>
        <w:tc>
          <w:tcPr>
            <w:tcW w:w="12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1,945,595</w:t>
            </w:r>
          </w:p>
        </w:tc>
        <w:tc>
          <w:tcPr>
            <w:tcW w:w="12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8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Finance and</w:t>
            </w:r>
          </w:p>
        </w:tc>
        <w:tc>
          <w:tcPr>
            <w:tcW w:w="8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8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Chief Financial Officer</w:t>
            </w:r>
          </w:p>
        </w:tc>
        <w:tc>
          <w:tcPr>
            <w:tcW w:w="8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308"/>
        </w:trPr>
        <w:tc>
          <w:tcPr>
            <w:tcW w:w="1820" w:type="dxa"/>
            <w:vAlign w:val="bottom"/>
            <w:gridSpan w:val="3"/>
          </w:tcPr>
          <w:p>
            <w:pPr>
              <w:spacing w:after="0"/>
              <w:rPr>
                <w:sz w:val="20"/>
                <w:szCs w:val="20"/>
                <w:color w:val="auto"/>
              </w:rPr>
            </w:pPr>
            <w:r>
              <w:rPr>
                <w:rFonts w:ascii="Arial" w:cs="Arial" w:eastAsia="Arial" w:hAnsi="Arial"/>
                <w:sz w:val="14"/>
                <w:szCs w:val="14"/>
                <w:b w:val="1"/>
                <w:bCs w:val="1"/>
                <w:color w:val="auto"/>
              </w:rPr>
              <w:t>Alain Blackburn</w:t>
            </w:r>
          </w:p>
        </w:tc>
        <w:tc>
          <w:tcPr>
            <w:tcW w:w="460" w:type="dxa"/>
            <w:vAlign w:val="bottom"/>
            <w:gridSpan w:val="2"/>
          </w:tcPr>
          <w:p>
            <w:pPr>
              <w:jc w:val="right"/>
              <w:spacing w:after="0"/>
              <w:rPr>
                <w:sz w:val="20"/>
                <w:szCs w:val="20"/>
                <w:color w:val="auto"/>
              </w:rPr>
            </w:pPr>
            <w:r>
              <w:rPr>
                <w:rFonts w:ascii="Arial" w:cs="Arial" w:eastAsia="Arial" w:hAnsi="Arial"/>
                <w:sz w:val="14"/>
                <w:szCs w:val="14"/>
                <w:color w:val="auto"/>
              </w:rPr>
              <w:t>2009</w:t>
            </w:r>
          </w:p>
        </w:tc>
        <w:tc>
          <w:tcPr>
            <w:tcW w:w="660" w:type="dxa"/>
            <w:vAlign w:val="bottom"/>
            <w:gridSpan w:val="2"/>
          </w:tcPr>
          <w:p>
            <w:pPr>
              <w:jc w:val="right"/>
              <w:spacing w:after="0"/>
              <w:rPr>
                <w:sz w:val="20"/>
                <w:szCs w:val="20"/>
                <w:color w:val="auto"/>
              </w:rPr>
            </w:pPr>
            <w:r>
              <w:rPr>
                <w:rFonts w:ascii="Arial" w:cs="Arial" w:eastAsia="Arial" w:hAnsi="Arial"/>
                <w:sz w:val="14"/>
                <w:szCs w:val="14"/>
                <w:color w:val="auto"/>
              </w:rPr>
              <w:t>340,000</w:t>
            </w:r>
          </w:p>
        </w:tc>
        <w:tc>
          <w:tcPr>
            <w:tcW w:w="620" w:type="dxa"/>
            <w:vAlign w:val="bottom"/>
            <w:gridSpan w:val="2"/>
          </w:tcPr>
          <w:p>
            <w:pPr>
              <w:jc w:val="right"/>
              <w:spacing w:after="0"/>
              <w:rPr>
                <w:sz w:val="20"/>
                <w:szCs w:val="20"/>
                <w:color w:val="auto"/>
              </w:rPr>
            </w:pPr>
            <w:r>
              <w:rPr>
                <w:rFonts w:ascii="Arial" w:cs="Arial" w:eastAsia="Arial" w:hAnsi="Arial"/>
                <w:sz w:val="14"/>
                <w:szCs w:val="14"/>
                <w:color w:val="auto"/>
              </w:rPr>
              <w:t>15,600</w:t>
            </w:r>
          </w:p>
        </w:tc>
        <w:tc>
          <w:tcPr>
            <w:tcW w:w="820" w:type="dxa"/>
            <w:vAlign w:val="bottom"/>
            <w:gridSpan w:val="2"/>
          </w:tcPr>
          <w:p>
            <w:pPr>
              <w:jc w:val="right"/>
              <w:spacing w:after="0"/>
              <w:rPr>
                <w:sz w:val="20"/>
                <w:szCs w:val="20"/>
                <w:color w:val="auto"/>
              </w:rPr>
            </w:pPr>
            <w:r>
              <w:rPr>
                <w:rFonts w:ascii="Arial" w:cs="Arial" w:eastAsia="Arial" w:hAnsi="Arial"/>
                <w:sz w:val="14"/>
                <w:szCs w:val="14"/>
                <w:color w:val="auto"/>
              </w:rPr>
              <w:t>2,459,000</w:t>
            </w:r>
          </w:p>
        </w:tc>
        <w:tc>
          <w:tcPr>
            <w:tcW w:w="120" w:type="dxa"/>
            <w:vAlign w:val="bottom"/>
          </w:tcPr>
          <w:p>
            <w:pPr>
              <w:spacing w:after="0"/>
              <w:rPr>
                <w:sz w:val="24"/>
                <w:szCs w:val="24"/>
                <w:color w:val="auto"/>
              </w:rPr>
            </w:pPr>
          </w:p>
        </w:tc>
        <w:tc>
          <w:tcPr>
            <w:tcW w:w="660" w:type="dxa"/>
            <w:vAlign w:val="bottom"/>
          </w:tcPr>
          <w:p>
            <w:pPr>
              <w:jc w:val="right"/>
              <w:spacing w:after="0"/>
              <w:rPr>
                <w:sz w:val="20"/>
                <w:szCs w:val="20"/>
                <w:color w:val="auto"/>
              </w:rPr>
            </w:pPr>
            <w:r>
              <w:rPr>
                <w:rFonts w:ascii="Arial" w:cs="Arial" w:eastAsia="Arial" w:hAnsi="Arial"/>
                <w:sz w:val="14"/>
                <w:szCs w:val="14"/>
                <w:color w:val="auto"/>
              </w:rPr>
              <w:t>260,000</w:t>
            </w:r>
          </w:p>
        </w:tc>
        <w:tc>
          <w:tcPr>
            <w:tcW w:w="120" w:type="dxa"/>
            <w:vAlign w:val="bottom"/>
          </w:tcPr>
          <w:p>
            <w:pPr>
              <w:spacing w:after="0"/>
              <w:rPr>
                <w:sz w:val="24"/>
                <w:szCs w:val="24"/>
                <w:color w:val="auto"/>
              </w:rPr>
            </w:pPr>
          </w:p>
        </w:tc>
        <w:tc>
          <w:tcPr>
            <w:tcW w:w="640" w:type="dxa"/>
            <w:vAlign w:val="bottom"/>
          </w:tcPr>
          <w:p>
            <w:pPr>
              <w:jc w:val="center"/>
              <w:spacing w:after="0"/>
              <w:rPr>
                <w:sz w:val="20"/>
                <w:szCs w:val="20"/>
                <w:color w:val="auto"/>
              </w:rPr>
            </w:pPr>
            <w:r>
              <w:rPr>
                <w:rFonts w:ascii="Arial" w:cs="Arial" w:eastAsia="Arial" w:hAnsi="Arial"/>
                <w:sz w:val="14"/>
                <w:szCs w:val="14"/>
                <w:color w:val="auto"/>
                <w:w w:val="81"/>
              </w:rPr>
              <w:t>n/a</w:t>
            </w:r>
          </w:p>
        </w:tc>
        <w:tc>
          <w:tcPr>
            <w:tcW w:w="680" w:type="dxa"/>
            <w:vAlign w:val="bottom"/>
            <w:gridSpan w:val="2"/>
          </w:tcPr>
          <w:p>
            <w:pPr>
              <w:jc w:val="right"/>
              <w:spacing w:after="0"/>
              <w:rPr>
                <w:sz w:val="20"/>
                <w:szCs w:val="20"/>
                <w:color w:val="auto"/>
              </w:rPr>
            </w:pPr>
            <w:r>
              <w:rPr>
                <w:rFonts w:ascii="Arial" w:cs="Arial" w:eastAsia="Arial" w:hAnsi="Arial"/>
                <w:sz w:val="14"/>
                <w:szCs w:val="14"/>
                <w:color w:val="auto"/>
              </w:rPr>
              <w:t>70,050</w:t>
            </w:r>
          </w:p>
        </w:tc>
        <w:tc>
          <w:tcPr>
            <w:tcW w:w="160" w:type="dxa"/>
            <w:vAlign w:val="bottom"/>
          </w:tcPr>
          <w:p>
            <w:pPr>
              <w:spacing w:after="0"/>
              <w:rPr>
                <w:sz w:val="24"/>
                <w:szCs w:val="24"/>
                <w:color w:val="auto"/>
              </w:rPr>
            </w:pPr>
          </w:p>
        </w:tc>
        <w:tc>
          <w:tcPr>
            <w:tcW w:w="1120" w:type="dxa"/>
            <w:vAlign w:val="bottom"/>
          </w:tcPr>
          <w:p>
            <w:pPr>
              <w:jc w:val="right"/>
              <w:spacing w:after="0"/>
              <w:rPr>
                <w:sz w:val="20"/>
                <w:szCs w:val="20"/>
                <w:color w:val="auto"/>
              </w:rPr>
            </w:pPr>
            <w:r>
              <w:rPr>
                <w:rFonts w:ascii="Arial" w:cs="Arial" w:eastAsia="Arial" w:hAnsi="Arial"/>
                <w:sz w:val="14"/>
                <w:szCs w:val="14"/>
                <w:color w:val="auto"/>
              </w:rPr>
              <w:t>23,444</w:t>
            </w:r>
          </w:p>
        </w:tc>
        <w:tc>
          <w:tcPr>
            <w:tcW w:w="1260" w:type="dxa"/>
            <w:vAlign w:val="bottom"/>
            <w:gridSpan w:val="2"/>
          </w:tcPr>
          <w:p>
            <w:pPr>
              <w:jc w:val="right"/>
              <w:spacing w:after="0"/>
              <w:rPr>
                <w:sz w:val="20"/>
                <w:szCs w:val="20"/>
                <w:color w:val="auto"/>
              </w:rPr>
            </w:pPr>
            <w:r>
              <w:rPr>
                <w:rFonts w:ascii="Arial" w:cs="Arial" w:eastAsia="Arial" w:hAnsi="Arial"/>
                <w:sz w:val="14"/>
                <w:szCs w:val="14"/>
                <w:color w:val="auto"/>
              </w:rPr>
              <w:t>3,168,094</w:t>
            </w: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53"/>
        </w:trPr>
        <w:tc>
          <w:tcPr>
            <w:tcW w:w="1820" w:type="dxa"/>
            <w:vAlign w:val="bottom"/>
            <w:gridSpan w:val="3"/>
          </w:tcPr>
          <w:p>
            <w:pPr>
              <w:spacing w:after="0" w:line="153" w:lineRule="exact"/>
              <w:rPr>
                <w:sz w:val="20"/>
                <w:szCs w:val="20"/>
                <w:color w:val="auto"/>
              </w:rPr>
            </w:pPr>
            <w:r>
              <w:rPr>
                <w:rFonts w:ascii="Arial" w:cs="Arial" w:eastAsia="Arial" w:hAnsi="Arial"/>
                <w:sz w:val="14"/>
                <w:szCs w:val="14"/>
                <w:color w:val="auto"/>
              </w:rPr>
              <w:t>Senior Vice-President,</w:t>
            </w:r>
          </w:p>
        </w:tc>
        <w:tc>
          <w:tcPr>
            <w:tcW w:w="460" w:type="dxa"/>
            <w:vAlign w:val="bottom"/>
            <w:gridSpan w:val="2"/>
          </w:tcPr>
          <w:p>
            <w:pPr>
              <w:jc w:val="right"/>
              <w:spacing w:after="0" w:line="153" w:lineRule="exact"/>
              <w:rPr>
                <w:sz w:val="20"/>
                <w:szCs w:val="20"/>
                <w:color w:val="auto"/>
              </w:rPr>
            </w:pPr>
            <w:r>
              <w:rPr>
                <w:rFonts w:ascii="Arial" w:cs="Arial" w:eastAsia="Arial" w:hAnsi="Arial"/>
                <w:sz w:val="14"/>
                <w:szCs w:val="14"/>
                <w:color w:val="auto"/>
              </w:rPr>
              <w:t>2008</w:t>
            </w:r>
          </w:p>
        </w:tc>
        <w:tc>
          <w:tcPr>
            <w:tcW w:w="660" w:type="dxa"/>
            <w:vAlign w:val="bottom"/>
            <w:gridSpan w:val="2"/>
          </w:tcPr>
          <w:p>
            <w:pPr>
              <w:jc w:val="right"/>
              <w:spacing w:after="0" w:line="153" w:lineRule="exact"/>
              <w:rPr>
                <w:sz w:val="20"/>
                <w:szCs w:val="20"/>
                <w:color w:val="auto"/>
              </w:rPr>
            </w:pPr>
            <w:r>
              <w:rPr>
                <w:rFonts w:ascii="Arial" w:cs="Arial" w:eastAsia="Arial" w:hAnsi="Arial"/>
                <w:sz w:val="14"/>
                <w:szCs w:val="14"/>
                <w:color w:val="auto"/>
              </w:rPr>
              <w:t>340,000</w:t>
            </w:r>
          </w:p>
        </w:tc>
        <w:tc>
          <w:tcPr>
            <w:tcW w:w="620" w:type="dxa"/>
            <w:vAlign w:val="bottom"/>
            <w:gridSpan w:val="2"/>
          </w:tcPr>
          <w:p>
            <w:pPr>
              <w:jc w:val="right"/>
              <w:spacing w:after="0" w:line="153" w:lineRule="exact"/>
              <w:rPr>
                <w:sz w:val="20"/>
                <w:szCs w:val="20"/>
                <w:color w:val="auto"/>
              </w:rPr>
            </w:pPr>
            <w:r>
              <w:rPr>
                <w:rFonts w:ascii="Arial" w:cs="Arial" w:eastAsia="Arial" w:hAnsi="Arial"/>
                <w:sz w:val="14"/>
                <w:szCs w:val="14"/>
                <w:color w:val="auto"/>
              </w:rPr>
              <w:t>15,500</w:t>
            </w:r>
          </w:p>
        </w:tc>
        <w:tc>
          <w:tcPr>
            <w:tcW w:w="820" w:type="dxa"/>
            <w:vAlign w:val="bottom"/>
            <w:gridSpan w:val="2"/>
          </w:tcPr>
          <w:p>
            <w:pPr>
              <w:jc w:val="right"/>
              <w:spacing w:after="0" w:line="153" w:lineRule="exact"/>
              <w:rPr>
                <w:sz w:val="20"/>
                <w:szCs w:val="20"/>
                <w:color w:val="auto"/>
              </w:rPr>
            </w:pPr>
            <w:r>
              <w:rPr>
                <w:rFonts w:ascii="Arial" w:cs="Arial" w:eastAsia="Arial" w:hAnsi="Arial"/>
                <w:sz w:val="14"/>
                <w:szCs w:val="14"/>
                <w:color w:val="auto"/>
              </w:rPr>
              <w:t>1,242,000</w:t>
            </w:r>
          </w:p>
        </w:tc>
        <w:tc>
          <w:tcPr>
            <w:tcW w:w="120" w:type="dxa"/>
            <w:vAlign w:val="bottom"/>
          </w:tcPr>
          <w:p>
            <w:pPr>
              <w:spacing w:after="0"/>
              <w:rPr>
                <w:sz w:val="13"/>
                <w:szCs w:val="13"/>
                <w:color w:val="auto"/>
              </w:rPr>
            </w:pPr>
          </w:p>
        </w:tc>
        <w:tc>
          <w:tcPr>
            <w:tcW w:w="660" w:type="dxa"/>
            <w:vAlign w:val="bottom"/>
          </w:tcPr>
          <w:p>
            <w:pPr>
              <w:jc w:val="right"/>
              <w:spacing w:after="0" w:line="153" w:lineRule="exact"/>
              <w:rPr>
                <w:sz w:val="20"/>
                <w:szCs w:val="20"/>
                <w:color w:val="auto"/>
              </w:rPr>
            </w:pPr>
            <w:r>
              <w:rPr>
                <w:rFonts w:ascii="Arial" w:cs="Arial" w:eastAsia="Arial" w:hAnsi="Arial"/>
                <w:sz w:val="14"/>
                <w:szCs w:val="14"/>
                <w:color w:val="auto"/>
              </w:rPr>
              <w:t>135,000</w:t>
            </w:r>
          </w:p>
        </w:tc>
        <w:tc>
          <w:tcPr>
            <w:tcW w:w="120" w:type="dxa"/>
            <w:vAlign w:val="bottom"/>
          </w:tcPr>
          <w:p>
            <w:pPr>
              <w:spacing w:after="0"/>
              <w:rPr>
                <w:sz w:val="13"/>
                <w:szCs w:val="13"/>
                <w:color w:val="auto"/>
              </w:rPr>
            </w:pPr>
          </w:p>
        </w:tc>
        <w:tc>
          <w:tcPr>
            <w:tcW w:w="640" w:type="dxa"/>
            <w:vAlign w:val="bottom"/>
          </w:tcPr>
          <w:p>
            <w:pPr>
              <w:jc w:val="center"/>
              <w:spacing w:after="0" w:line="153" w:lineRule="exact"/>
              <w:rPr>
                <w:sz w:val="20"/>
                <w:szCs w:val="20"/>
                <w:color w:val="auto"/>
              </w:rPr>
            </w:pPr>
            <w:r>
              <w:rPr>
                <w:rFonts w:ascii="Arial" w:cs="Arial" w:eastAsia="Arial" w:hAnsi="Arial"/>
                <w:sz w:val="14"/>
                <w:szCs w:val="14"/>
                <w:color w:val="auto"/>
                <w:w w:val="81"/>
              </w:rPr>
              <w:t>n/a</w:t>
            </w:r>
          </w:p>
        </w:tc>
        <w:tc>
          <w:tcPr>
            <w:tcW w:w="840" w:type="dxa"/>
            <w:vAlign w:val="bottom"/>
            <w:gridSpan w:val="3"/>
          </w:tcPr>
          <w:p>
            <w:pPr>
              <w:jc w:val="right"/>
              <w:ind w:right="20"/>
              <w:spacing w:after="0" w:line="154" w:lineRule="exact"/>
              <w:rPr>
                <w:sz w:val="20"/>
                <w:szCs w:val="20"/>
                <w:color w:val="auto"/>
              </w:rPr>
            </w:pPr>
            <w:r>
              <w:rPr>
                <w:rFonts w:ascii="Arial" w:cs="Arial" w:eastAsia="Arial" w:hAnsi="Arial"/>
                <w:sz w:val="11"/>
                <w:szCs w:val="11"/>
                <w:color w:val="auto"/>
              </w:rPr>
              <w:t>67,500</w:t>
            </w:r>
            <w:r>
              <w:rPr>
                <w:rFonts w:ascii="Arial" w:cs="Arial" w:eastAsia="Arial" w:hAnsi="Arial"/>
                <w:sz w:val="17"/>
                <w:szCs w:val="17"/>
                <w:color w:val="auto"/>
                <w:vertAlign w:val="superscript"/>
              </w:rPr>
              <w:t>(4)</w:t>
            </w:r>
          </w:p>
        </w:tc>
        <w:tc>
          <w:tcPr>
            <w:tcW w:w="1120" w:type="dxa"/>
            <w:vAlign w:val="bottom"/>
          </w:tcPr>
          <w:p>
            <w:pPr>
              <w:jc w:val="right"/>
              <w:spacing w:after="0" w:line="153" w:lineRule="exact"/>
              <w:rPr>
                <w:sz w:val="20"/>
                <w:szCs w:val="20"/>
                <w:color w:val="auto"/>
              </w:rPr>
            </w:pPr>
            <w:r>
              <w:rPr>
                <w:rFonts w:ascii="Arial" w:cs="Arial" w:eastAsia="Arial" w:hAnsi="Arial"/>
                <w:sz w:val="14"/>
                <w:szCs w:val="14"/>
                <w:color w:val="auto"/>
              </w:rPr>
              <w:t>22,591</w:t>
            </w:r>
          </w:p>
        </w:tc>
        <w:tc>
          <w:tcPr>
            <w:tcW w:w="1260" w:type="dxa"/>
            <w:vAlign w:val="bottom"/>
            <w:gridSpan w:val="2"/>
          </w:tcPr>
          <w:p>
            <w:pPr>
              <w:jc w:val="right"/>
              <w:spacing w:after="0" w:line="153" w:lineRule="exact"/>
              <w:rPr>
                <w:sz w:val="20"/>
                <w:szCs w:val="20"/>
                <w:color w:val="auto"/>
              </w:rPr>
            </w:pPr>
            <w:r>
              <w:rPr>
                <w:rFonts w:ascii="Arial" w:cs="Arial" w:eastAsia="Arial" w:hAnsi="Arial"/>
                <w:sz w:val="14"/>
                <w:szCs w:val="14"/>
                <w:color w:val="auto"/>
              </w:rPr>
              <w:t>1,839,891</w:t>
            </w:r>
          </w:p>
        </w:tc>
        <w:tc>
          <w:tcPr>
            <w:tcW w:w="1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59"/>
        </w:trPr>
        <w:tc>
          <w:tcPr>
            <w:tcW w:w="1820" w:type="dxa"/>
            <w:vAlign w:val="bottom"/>
            <w:gridSpan w:val="3"/>
          </w:tcPr>
          <w:p>
            <w:pPr>
              <w:spacing w:after="0" w:line="159" w:lineRule="exact"/>
              <w:rPr>
                <w:sz w:val="20"/>
                <w:szCs w:val="20"/>
                <w:color w:val="auto"/>
              </w:rPr>
            </w:pPr>
            <w:r>
              <w:rPr>
                <w:rFonts w:ascii="Arial" w:cs="Arial" w:eastAsia="Arial" w:hAnsi="Arial"/>
                <w:sz w:val="14"/>
                <w:szCs w:val="14"/>
                <w:color w:val="auto"/>
              </w:rPr>
              <w:t>Exploration</w:t>
            </w:r>
          </w:p>
        </w:tc>
        <w:tc>
          <w:tcPr>
            <w:tcW w:w="8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1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1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324"/>
        </w:trPr>
        <w:tc>
          <w:tcPr>
            <w:tcW w:w="20" w:type="dxa"/>
            <w:vAlign w:val="bottom"/>
          </w:tcPr>
          <w:p>
            <w:pPr>
              <w:spacing w:after="0"/>
              <w:rPr>
                <w:sz w:val="24"/>
                <w:szCs w:val="24"/>
                <w:color w:val="auto"/>
              </w:rPr>
            </w:pPr>
          </w:p>
        </w:tc>
        <w:tc>
          <w:tcPr>
            <w:tcW w:w="1800" w:type="dxa"/>
            <w:vAlign w:val="bottom"/>
            <w:gridSpan w:val="2"/>
            <w:shd w:val="clear" w:color="auto" w:fill="CCEEFF"/>
          </w:tcPr>
          <w:p>
            <w:pPr>
              <w:spacing w:after="0"/>
              <w:rPr>
                <w:sz w:val="20"/>
                <w:szCs w:val="20"/>
                <w:color w:val="auto"/>
              </w:rPr>
            </w:pPr>
            <w:r>
              <w:rPr>
                <w:rFonts w:ascii="Arial" w:cs="Arial" w:eastAsia="Arial" w:hAnsi="Arial"/>
                <w:sz w:val="14"/>
                <w:szCs w:val="14"/>
                <w:b w:val="1"/>
                <w:bCs w:val="1"/>
                <w:color w:val="auto"/>
              </w:rPr>
              <w:t>Daniel Racine</w:t>
            </w:r>
          </w:p>
        </w:tc>
        <w:tc>
          <w:tcPr>
            <w:tcW w:w="4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2009</w:t>
            </w: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340,000</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17,000</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1,844,250</w:t>
            </w:r>
          </w:p>
        </w:tc>
        <w:tc>
          <w:tcPr>
            <w:tcW w:w="120" w:type="dxa"/>
            <w:vAlign w:val="bottom"/>
            <w:shd w:val="clear" w:color="auto" w:fill="CCEEFF"/>
          </w:tcPr>
          <w:p>
            <w:pPr>
              <w:spacing w:after="0"/>
              <w:rPr>
                <w:sz w:val="24"/>
                <w:szCs w:val="24"/>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175,000</w:t>
            </w:r>
          </w:p>
        </w:tc>
        <w:tc>
          <w:tcPr>
            <w:tcW w:w="120" w:type="dxa"/>
            <w:vAlign w:val="bottom"/>
            <w:shd w:val="clear" w:color="auto" w:fill="CCEEFF"/>
          </w:tcPr>
          <w:p>
            <w:pPr>
              <w:spacing w:after="0"/>
              <w:rPr>
                <w:sz w:val="24"/>
                <w:szCs w:val="24"/>
                <w:color w:val="auto"/>
              </w:rPr>
            </w:pPr>
          </w:p>
        </w:tc>
        <w:tc>
          <w:tcPr>
            <w:tcW w:w="640" w:type="dxa"/>
            <w:vAlign w:val="bottom"/>
            <w:shd w:val="clear" w:color="auto" w:fill="CCEEFF"/>
          </w:tcPr>
          <w:p>
            <w:pPr>
              <w:jc w:val="center"/>
              <w:spacing w:after="0"/>
              <w:rPr>
                <w:sz w:val="20"/>
                <w:szCs w:val="20"/>
                <w:color w:val="auto"/>
              </w:rPr>
            </w:pPr>
            <w:r>
              <w:rPr>
                <w:rFonts w:ascii="Arial" w:cs="Arial" w:eastAsia="Arial" w:hAnsi="Arial"/>
                <w:sz w:val="14"/>
                <w:szCs w:val="14"/>
                <w:color w:val="auto"/>
                <w:w w:val="81"/>
              </w:rPr>
              <w:t>n/a</w:t>
            </w: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57,202</w:t>
            </w:r>
          </w:p>
        </w:tc>
        <w:tc>
          <w:tcPr>
            <w:tcW w:w="160" w:type="dxa"/>
            <w:vAlign w:val="bottom"/>
            <w:shd w:val="clear" w:color="auto" w:fill="CCEEFF"/>
          </w:tcPr>
          <w:p>
            <w:pPr>
              <w:spacing w:after="0"/>
              <w:rPr>
                <w:sz w:val="24"/>
                <w:szCs w:val="24"/>
                <w:color w:val="auto"/>
              </w:rPr>
            </w:pPr>
          </w:p>
        </w:tc>
        <w:tc>
          <w:tcPr>
            <w:tcW w:w="11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24,444</w:t>
            </w:r>
          </w:p>
        </w:tc>
        <w:tc>
          <w:tcPr>
            <w:tcW w:w="12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2,457,896</w:t>
            </w:r>
          </w:p>
        </w:tc>
        <w:tc>
          <w:tcPr>
            <w:tcW w:w="12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8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Senior Vice President,</w:t>
            </w:r>
          </w:p>
        </w:tc>
        <w:tc>
          <w:tcPr>
            <w:tcW w:w="8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2008</w:t>
            </w:r>
          </w:p>
        </w:tc>
        <w:tc>
          <w:tcPr>
            <w:tcW w:w="6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330,000</w:t>
            </w:r>
          </w:p>
        </w:tc>
        <w:tc>
          <w:tcPr>
            <w:tcW w:w="6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14,500</w:t>
            </w:r>
          </w:p>
        </w:tc>
        <w:tc>
          <w:tcPr>
            <w:tcW w:w="8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748,100</w:t>
            </w: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119,000</w:t>
            </w:r>
          </w:p>
        </w:tc>
        <w:tc>
          <w:tcPr>
            <w:tcW w:w="120" w:type="dxa"/>
            <w:vAlign w:val="bottom"/>
            <w:shd w:val="clear" w:color="auto" w:fill="CCEEFF"/>
          </w:tcPr>
          <w:p>
            <w:pPr>
              <w:spacing w:after="0"/>
              <w:rPr>
                <w:sz w:val="12"/>
                <w:szCs w:val="12"/>
                <w:color w:val="auto"/>
              </w:rPr>
            </w:pPr>
          </w:p>
        </w:tc>
        <w:tc>
          <w:tcPr>
            <w:tcW w:w="640" w:type="dxa"/>
            <w:vAlign w:val="bottom"/>
            <w:shd w:val="clear" w:color="auto" w:fill="CCEEFF"/>
          </w:tcPr>
          <w:p>
            <w:pPr>
              <w:jc w:val="center"/>
              <w:spacing w:after="0" w:line="149" w:lineRule="exact"/>
              <w:rPr>
                <w:sz w:val="20"/>
                <w:szCs w:val="20"/>
                <w:color w:val="auto"/>
              </w:rPr>
            </w:pPr>
            <w:r>
              <w:rPr>
                <w:rFonts w:ascii="Arial" w:cs="Arial" w:eastAsia="Arial" w:hAnsi="Arial"/>
                <w:sz w:val="14"/>
                <w:szCs w:val="14"/>
                <w:color w:val="auto"/>
                <w:w w:val="81"/>
              </w:rPr>
              <w:t>n/a</w:t>
            </w:r>
          </w:p>
        </w:tc>
        <w:tc>
          <w:tcPr>
            <w:tcW w:w="6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68,850</w:t>
            </w:r>
          </w:p>
        </w:tc>
        <w:tc>
          <w:tcPr>
            <w:tcW w:w="160" w:type="dxa"/>
            <w:vAlign w:val="bottom"/>
            <w:shd w:val="clear" w:color="auto" w:fill="CCEEFF"/>
          </w:tcPr>
          <w:p>
            <w:pPr>
              <w:spacing w:after="0"/>
              <w:rPr>
                <w:sz w:val="12"/>
                <w:szCs w:val="12"/>
                <w:color w:val="auto"/>
              </w:rPr>
            </w:pPr>
          </w:p>
        </w:tc>
        <w:tc>
          <w:tcPr>
            <w:tcW w:w="11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23,192</w:t>
            </w:r>
          </w:p>
        </w:tc>
        <w:tc>
          <w:tcPr>
            <w:tcW w:w="12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1,303,642</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80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rPr>
              <w:t>Operations</w:t>
            </w:r>
          </w:p>
        </w:tc>
        <w:tc>
          <w:tcPr>
            <w:tcW w:w="8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08"/>
        </w:trPr>
        <w:tc>
          <w:tcPr>
            <w:tcW w:w="20" w:type="dxa"/>
            <w:vAlign w:val="bottom"/>
          </w:tcPr>
          <w:p>
            <w:pPr>
              <w:spacing w:after="0"/>
              <w:rPr>
                <w:sz w:val="9"/>
                <w:szCs w:val="9"/>
                <w:color w:val="auto"/>
              </w:rPr>
            </w:pPr>
          </w:p>
        </w:tc>
        <w:tc>
          <w:tcPr>
            <w:tcW w:w="1260" w:type="dxa"/>
            <w:vAlign w:val="bottom"/>
            <w:tcBorders>
              <w:bottom w:val="single" w:sz="8" w:color="auto"/>
            </w:tcBorders>
          </w:tcPr>
          <w:p>
            <w:pPr>
              <w:spacing w:after="0"/>
              <w:rPr>
                <w:sz w:val="9"/>
                <w:szCs w:val="9"/>
                <w:color w:val="auto"/>
              </w:rPr>
            </w:pPr>
          </w:p>
        </w:tc>
        <w:tc>
          <w:tcPr>
            <w:tcW w:w="540" w:type="dxa"/>
            <w:vAlign w:val="bottom"/>
          </w:tcPr>
          <w:p>
            <w:pPr>
              <w:spacing w:after="0"/>
              <w:rPr>
                <w:sz w:val="9"/>
                <w:szCs w:val="9"/>
                <w:color w:val="auto"/>
              </w:rPr>
            </w:pPr>
          </w:p>
        </w:tc>
        <w:tc>
          <w:tcPr>
            <w:tcW w:w="80" w:type="dxa"/>
            <w:vAlign w:val="bottom"/>
          </w:tcPr>
          <w:p>
            <w:pPr>
              <w:spacing w:after="0"/>
              <w:rPr>
                <w:sz w:val="9"/>
                <w:szCs w:val="9"/>
                <w:color w:val="auto"/>
              </w:rPr>
            </w:pPr>
          </w:p>
        </w:tc>
        <w:tc>
          <w:tcPr>
            <w:tcW w:w="380" w:type="dxa"/>
            <w:vAlign w:val="bottom"/>
          </w:tcPr>
          <w:p>
            <w:pPr>
              <w:spacing w:after="0"/>
              <w:rPr>
                <w:sz w:val="9"/>
                <w:szCs w:val="9"/>
                <w:color w:val="auto"/>
              </w:rPr>
            </w:pPr>
          </w:p>
        </w:tc>
        <w:tc>
          <w:tcPr>
            <w:tcW w:w="100" w:type="dxa"/>
            <w:vAlign w:val="bottom"/>
          </w:tcPr>
          <w:p>
            <w:pPr>
              <w:spacing w:after="0"/>
              <w:rPr>
                <w:sz w:val="9"/>
                <w:szCs w:val="9"/>
                <w:color w:val="auto"/>
              </w:rPr>
            </w:pPr>
          </w:p>
        </w:tc>
        <w:tc>
          <w:tcPr>
            <w:tcW w:w="560" w:type="dxa"/>
            <w:vAlign w:val="bottom"/>
          </w:tcPr>
          <w:p>
            <w:pPr>
              <w:spacing w:after="0"/>
              <w:rPr>
                <w:sz w:val="9"/>
                <w:szCs w:val="9"/>
                <w:color w:val="auto"/>
              </w:rPr>
            </w:pPr>
          </w:p>
        </w:tc>
        <w:tc>
          <w:tcPr>
            <w:tcW w:w="100" w:type="dxa"/>
            <w:vAlign w:val="bottom"/>
          </w:tcPr>
          <w:p>
            <w:pPr>
              <w:spacing w:after="0"/>
              <w:rPr>
                <w:sz w:val="9"/>
                <w:szCs w:val="9"/>
                <w:color w:val="auto"/>
              </w:rPr>
            </w:pPr>
          </w:p>
        </w:tc>
        <w:tc>
          <w:tcPr>
            <w:tcW w:w="520" w:type="dxa"/>
            <w:vAlign w:val="bottom"/>
          </w:tcPr>
          <w:p>
            <w:pPr>
              <w:spacing w:after="0"/>
              <w:rPr>
                <w:sz w:val="9"/>
                <w:szCs w:val="9"/>
                <w:color w:val="auto"/>
              </w:rPr>
            </w:pPr>
          </w:p>
        </w:tc>
        <w:tc>
          <w:tcPr>
            <w:tcW w:w="120" w:type="dxa"/>
            <w:vAlign w:val="bottom"/>
          </w:tcPr>
          <w:p>
            <w:pPr>
              <w:spacing w:after="0"/>
              <w:rPr>
                <w:sz w:val="9"/>
                <w:szCs w:val="9"/>
                <w:color w:val="auto"/>
              </w:rPr>
            </w:pPr>
          </w:p>
        </w:tc>
        <w:tc>
          <w:tcPr>
            <w:tcW w:w="700" w:type="dxa"/>
            <w:vAlign w:val="bottom"/>
          </w:tcPr>
          <w:p>
            <w:pPr>
              <w:spacing w:after="0"/>
              <w:rPr>
                <w:sz w:val="9"/>
                <w:szCs w:val="9"/>
                <w:color w:val="auto"/>
              </w:rPr>
            </w:pPr>
          </w:p>
        </w:tc>
        <w:tc>
          <w:tcPr>
            <w:tcW w:w="120" w:type="dxa"/>
            <w:vAlign w:val="bottom"/>
          </w:tcPr>
          <w:p>
            <w:pPr>
              <w:spacing w:after="0"/>
              <w:rPr>
                <w:sz w:val="9"/>
                <w:szCs w:val="9"/>
                <w:color w:val="auto"/>
              </w:rPr>
            </w:pPr>
          </w:p>
        </w:tc>
        <w:tc>
          <w:tcPr>
            <w:tcW w:w="660" w:type="dxa"/>
            <w:vAlign w:val="bottom"/>
          </w:tcPr>
          <w:p>
            <w:pPr>
              <w:spacing w:after="0"/>
              <w:rPr>
                <w:sz w:val="9"/>
                <w:szCs w:val="9"/>
                <w:color w:val="auto"/>
              </w:rPr>
            </w:pPr>
          </w:p>
        </w:tc>
        <w:tc>
          <w:tcPr>
            <w:tcW w:w="120" w:type="dxa"/>
            <w:vAlign w:val="bottom"/>
          </w:tcPr>
          <w:p>
            <w:pPr>
              <w:spacing w:after="0"/>
              <w:rPr>
                <w:sz w:val="9"/>
                <w:szCs w:val="9"/>
                <w:color w:val="auto"/>
              </w:rPr>
            </w:pPr>
          </w:p>
        </w:tc>
        <w:tc>
          <w:tcPr>
            <w:tcW w:w="640" w:type="dxa"/>
            <w:vAlign w:val="bottom"/>
          </w:tcPr>
          <w:p>
            <w:pPr>
              <w:spacing w:after="0"/>
              <w:rPr>
                <w:sz w:val="9"/>
                <w:szCs w:val="9"/>
                <w:color w:val="auto"/>
              </w:rPr>
            </w:pPr>
          </w:p>
        </w:tc>
        <w:tc>
          <w:tcPr>
            <w:tcW w:w="120" w:type="dxa"/>
            <w:vAlign w:val="bottom"/>
          </w:tcPr>
          <w:p>
            <w:pPr>
              <w:spacing w:after="0"/>
              <w:rPr>
                <w:sz w:val="9"/>
                <w:szCs w:val="9"/>
                <w:color w:val="auto"/>
              </w:rPr>
            </w:pPr>
          </w:p>
        </w:tc>
        <w:tc>
          <w:tcPr>
            <w:tcW w:w="560" w:type="dxa"/>
            <w:vAlign w:val="bottom"/>
          </w:tcPr>
          <w:p>
            <w:pPr>
              <w:spacing w:after="0"/>
              <w:rPr>
                <w:sz w:val="9"/>
                <w:szCs w:val="9"/>
                <w:color w:val="auto"/>
              </w:rPr>
            </w:pPr>
          </w:p>
        </w:tc>
        <w:tc>
          <w:tcPr>
            <w:tcW w:w="160" w:type="dxa"/>
            <w:vAlign w:val="bottom"/>
          </w:tcPr>
          <w:p>
            <w:pPr>
              <w:spacing w:after="0"/>
              <w:rPr>
                <w:sz w:val="9"/>
                <w:szCs w:val="9"/>
                <w:color w:val="auto"/>
              </w:rPr>
            </w:pPr>
          </w:p>
        </w:tc>
        <w:tc>
          <w:tcPr>
            <w:tcW w:w="1120" w:type="dxa"/>
            <w:vAlign w:val="bottom"/>
          </w:tcPr>
          <w:p>
            <w:pPr>
              <w:spacing w:after="0"/>
              <w:rPr>
                <w:sz w:val="9"/>
                <w:szCs w:val="9"/>
                <w:color w:val="auto"/>
              </w:rPr>
            </w:pPr>
          </w:p>
        </w:tc>
        <w:tc>
          <w:tcPr>
            <w:tcW w:w="140" w:type="dxa"/>
            <w:vAlign w:val="bottom"/>
          </w:tcPr>
          <w:p>
            <w:pPr>
              <w:spacing w:after="0"/>
              <w:rPr>
                <w:sz w:val="9"/>
                <w:szCs w:val="9"/>
                <w:color w:val="auto"/>
              </w:rPr>
            </w:pPr>
          </w:p>
        </w:tc>
        <w:tc>
          <w:tcPr>
            <w:tcW w:w="1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p>
    <w:p>
      <w:pPr>
        <w:jc w:val="both"/>
        <w:ind w:left="1680" w:hanging="531"/>
        <w:spacing w:after="0" w:line="273" w:lineRule="auto"/>
        <w:tabs>
          <w:tab w:leader="none" w:pos="1680" w:val="left"/>
        </w:tabs>
        <w:numPr>
          <w:ilvl w:val="0"/>
          <w:numId w:val="46"/>
        </w:numPr>
        <w:rPr>
          <w:rFonts w:ascii="Arial" w:cs="Arial" w:eastAsia="Arial" w:hAnsi="Arial"/>
          <w:sz w:val="12"/>
          <w:szCs w:val="12"/>
          <w:color w:val="auto"/>
        </w:rPr>
      </w:pPr>
      <w:r>
        <w:rPr>
          <w:rFonts w:ascii="Arial" w:cs="Arial" w:eastAsia="Arial" w:hAnsi="Arial"/>
          <w:sz w:val="12"/>
          <w:szCs w:val="12"/>
          <w:color w:val="auto"/>
        </w:rPr>
        <w:t>The value of option-based awards, being C$24.59 (2008 — C$16.56) per option, was determined using the Black-Scholes-Merton option pricing model. The Black-Scholes-Merton option pricing model is a commonly used pricing model that assumes the valued option can only be exercised at expiration. Key assumptions used were: (i) the exercise price which is the closing price for the common shares of the Company on the TSX on the day prior to the date of grant, which was C$62.77 (2008 — C$54.42); (ii) the risk free interest rate, which was 1.3% (2008 — 3.70%</w:t>
      </w:r>
      <w:r>
        <w:rPr>
          <w:rFonts w:ascii="Arial" w:cs="Arial" w:eastAsia="Arial" w:hAnsi="Arial"/>
          <w:sz w:val="12"/>
          <w:szCs w:val="12"/>
          <w:b w:val="1"/>
          <w:bCs w:val="1"/>
          <w:color w:val="auto"/>
        </w:rPr>
        <w:t>)</w:t>
      </w:r>
      <w:r>
        <w:rPr>
          <w:rFonts w:ascii="Arial" w:cs="Arial" w:eastAsia="Arial" w:hAnsi="Arial"/>
          <w:sz w:val="12"/>
          <w:szCs w:val="12"/>
          <w:color w:val="auto"/>
        </w:rPr>
        <w:t>; (iii) current time to expiration of the option which was assumed to be 2.5 years; (iv) the volatility for the common shares of the Company on the TSX, which was 64% (2008 — 44.37%</w:t>
      </w:r>
      <w:r>
        <w:rPr>
          <w:rFonts w:ascii="Arial" w:cs="Arial" w:eastAsia="Arial" w:hAnsi="Arial"/>
          <w:sz w:val="12"/>
          <w:szCs w:val="12"/>
          <w:b w:val="1"/>
          <w:bCs w:val="1"/>
          <w:color w:val="auto"/>
        </w:rPr>
        <w:t>)</w:t>
      </w:r>
      <w:r>
        <w:rPr>
          <w:rFonts w:ascii="Arial" w:cs="Arial" w:eastAsia="Arial" w:hAnsi="Arial"/>
          <w:sz w:val="12"/>
          <w:szCs w:val="12"/>
          <w:color w:val="auto"/>
        </w:rPr>
        <w:t>; and (iv) the dividend yield for the common shares of the Company, which was 0.42% (2008 — 0.22%).</w:t>
      </w:r>
    </w:p>
    <w:p>
      <w:pPr>
        <w:spacing w:after="0" w:line="93" w:lineRule="exact"/>
        <w:rPr>
          <w:rFonts w:ascii="Arial" w:cs="Arial" w:eastAsia="Arial" w:hAnsi="Arial"/>
          <w:sz w:val="12"/>
          <w:szCs w:val="12"/>
          <w:color w:val="auto"/>
        </w:rPr>
      </w:pPr>
    </w:p>
    <w:p>
      <w:pPr>
        <w:ind w:left="1680" w:hanging="531"/>
        <w:spacing w:after="0"/>
        <w:tabs>
          <w:tab w:leader="none" w:pos="1680" w:val="left"/>
        </w:tabs>
        <w:numPr>
          <w:ilvl w:val="0"/>
          <w:numId w:val="46"/>
        </w:numPr>
        <w:rPr>
          <w:rFonts w:ascii="Arial" w:cs="Arial" w:eastAsia="Arial" w:hAnsi="Arial"/>
          <w:sz w:val="14"/>
          <w:szCs w:val="14"/>
          <w:color w:val="auto"/>
        </w:rPr>
      </w:pPr>
      <w:r>
        <w:rPr>
          <w:rFonts w:ascii="Arial" w:cs="Arial" w:eastAsia="Arial" w:hAnsi="Arial"/>
          <w:sz w:val="14"/>
          <w:szCs w:val="14"/>
          <w:color w:val="auto"/>
        </w:rPr>
        <w:t>Consists of premiums paid for term life insurance, automobile allowances and education and fitness benefits for the Named Executive Officers.</w:t>
      </w:r>
    </w:p>
    <w:p>
      <w:pPr>
        <w:spacing w:after="0" w:line="122" w:lineRule="exact"/>
        <w:rPr>
          <w:rFonts w:ascii="Arial" w:cs="Arial" w:eastAsia="Arial" w:hAnsi="Arial"/>
          <w:sz w:val="14"/>
          <w:szCs w:val="14"/>
          <w:color w:val="auto"/>
        </w:rPr>
      </w:pPr>
    </w:p>
    <w:p>
      <w:pPr>
        <w:ind w:left="1680" w:hanging="531"/>
        <w:spacing w:after="0" w:line="239" w:lineRule="auto"/>
        <w:tabs>
          <w:tab w:leader="none" w:pos="1680" w:val="left"/>
        </w:tabs>
        <w:numPr>
          <w:ilvl w:val="0"/>
          <w:numId w:val="46"/>
        </w:numPr>
        <w:rPr>
          <w:rFonts w:ascii="Arial" w:cs="Arial" w:eastAsia="Arial" w:hAnsi="Arial"/>
          <w:sz w:val="14"/>
          <w:szCs w:val="14"/>
          <w:color w:val="auto"/>
        </w:rPr>
      </w:pPr>
      <w:r>
        <w:rPr>
          <w:rFonts w:ascii="Arial" w:cs="Arial" w:eastAsia="Arial" w:hAnsi="Arial"/>
          <w:sz w:val="14"/>
          <w:szCs w:val="14"/>
          <w:color w:val="auto"/>
        </w:rPr>
        <w:t>The total compensation was paid in Canadian dollars. The Company reports its financial statements in United States dollars. On December 31, 2009 the Noon Buying Rate was C$1.00 equals US$0.9555.</w:t>
      </w:r>
    </w:p>
    <w:p>
      <w:pPr>
        <w:spacing w:after="0" w:line="111" w:lineRule="exact"/>
        <w:rPr>
          <w:rFonts w:ascii="Arial" w:cs="Arial" w:eastAsia="Arial" w:hAnsi="Arial"/>
          <w:sz w:val="14"/>
          <w:szCs w:val="14"/>
          <w:color w:val="auto"/>
        </w:rPr>
      </w:pPr>
    </w:p>
    <w:p>
      <w:pPr>
        <w:ind w:left="1680" w:hanging="531"/>
        <w:spacing w:after="0" w:line="239" w:lineRule="auto"/>
        <w:tabs>
          <w:tab w:leader="none" w:pos="1680" w:val="left"/>
        </w:tabs>
        <w:numPr>
          <w:ilvl w:val="0"/>
          <w:numId w:val="46"/>
        </w:numPr>
        <w:rPr>
          <w:rFonts w:ascii="Arial" w:cs="Arial" w:eastAsia="Arial" w:hAnsi="Arial"/>
          <w:sz w:val="14"/>
          <w:szCs w:val="14"/>
          <w:color w:val="auto"/>
        </w:rPr>
      </w:pPr>
      <w:r>
        <w:rPr>
          <w:rFonts w:ascii="Arial" w:cs="Arial" w:eastAsia="Arial" w:hAnsi="Arial"/>
          <w:sz w:val="14"/>
          <w:szCs w:val="14"/>
          <w:color w:val="auto"/>
        </w:rPr>
        <w:t>Disclosure of pension value in the summary compensation table of the 2008 Management Proxy Circular overstated the pension amounts for Messrs. Garofalo and Blackburn and understated the amounts for Messrs. Boyd and Scherkus. These amounts have been corrected.</w:t>
      </w:r>
    </w:p>
    <w:p>
      <w:pPr>
        <w:spacing w:after="0" w:line="19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 Option Plan</w:t>
      </w:r>
    </w:p>
    <w:p>
      <w:pPr>
        <w:spacing w:after="0" w:line="225" w:lineRule="exact"/>
        <w:rPr>
          <w:sz w:val="20"/>
          <w:szCs w:val="20"/>
          <w:color w:val="auto"/>
        </w:rPr>
      </w:pPr>
    </w:p>
    <w:p>
      <w:pPr>
        <w:jc w:val="both"/>
        <w:ind w:firstLine="420"/>
        <w:spacing w:after="0" w:line="291" w:lineRule="auto"/>
        <w:rPr>
          <w:sz w:val="20"/>
          <w:szCs w:val="20"/>
          <w:color w:val="auto"/>
        </w:rPr>
      </w:pPr>
      <w:r>
        <w:rPr>
          <w:rFonts w:ascii="Arial" w:cs="Arial" w:eastAsia="Arial" w:hAnsi="Arial"/>
          <w:sz w:val="16"/>
          <w:szCs w:val="16"/>
          <w:color w:val="auto"/>
        </w:rPr>
        <w:t>Under the Stock Option Plan, options to purchase common shares may be granted to directors, officers, employees and service providers of the Company. The exercise price of options granted may not be less than the closing market price for the common shares of the Company on the TSX on the day prior to the date of grant. The maximum term of options granted under the Stock Option Plan is five years and the maximum number of options that can be issued in any year is 2% of the Company's outstanding common shares. In addition, a maximum of 25% of the options granted in an option grant vest upon the date they are granted with the remaining options vesting equally over the next three anniversaries of the option grant. The value of options granted to non-executive directors participating in the Stock Option Plan is limited to C$100,000 per year.</w:t>
      </w:r>
    </w:p>
    <w:p>
      <w:pPr>
        <w:spacing w:after="0" w:line="17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47" w:name="page148"/>
    <w:bookmarkEnd w:id="147"/>
    <w:p>
      <w:pPr>
        <w:ind w:left="360"/>
        <w:spacing w:after="0"/>
        <w:rPr>
          <w:sz w:val="20"/>
          <w:szCs w:val="20"/>
          <w:color w:val="auto"/>
        </w:rPr>
      </w:pPr>
      <w:r>
        <w:rPr>
          <w:rFonts w:ascii="Arial" w:cs="Arial" w:eastAsia="Arial" w:hAnsi="Arial"/>
          <w:sz w:val="18"/>
          <w:szCs w:val="18"/>
          <w:color w:val="auto"/>
        </w:rPr>
        <w:t>The Stock Option Plan provides for the termination of an option held by an option holder in the following circumstances:</w:t>
      </w:r>
    </w:p>
    <w:p>
      <w:pPr>
        <w:spacing w:after="0" w:line="239" w:lineRule="exact"/>
        <w:rPr>
          <w:sz w:val="20"/>
          <w:szCs w:val="20"/>
          <w:color w:val="auto"/>
        </w:rPr>
      </w:pPr>
    </w:p>
    <w:p>
      <w:pPr>
        <w:ind w:left="1080" w:hanging="532"/>
        <w:spacing w:after="0"/>
        <w:tabs>
          <w:tab w:leader="none" w:pos="1080" w:val="left"/>
        </w:tabs>
        <w:numPr>
          <w:ilvl w:val="0"/>
          <w:numId w:val="47"/>
        </w:numPr>
        <w:rPr>
          <w:rFonts w:ascii="Arial" w:cs="Arial" w:eastAsia="Arial" w:hAnsi="Arial"/>
          <w:sz w:val="18"/>
          <w:szCs w:val="18"/>
          <w:color w:val="auto"/>
        </w:rPr>
      </w:pPr>
      <w:r>
        <w:rPr>
          <w:rFonts w:ascii="Arial" w:cs="Arial" w:eastAsia="Arial" w:hAnsi="Arial"/>
          <w:sz w:val="18"/>
          <w:szCs w:val="18"/>
          <w:color w:val="auto"/>
        </w:rPr>
        <w:t>the option expires (no later than five years after the option was granted);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7"/>
        </w:numPr>
        <w:rPr>
          <w:rFonts w:ascii="Arial" w:cs="Arial" w:eastAsia="Arial" w:hAnsi="Arial"/>
          <w:sz w:val="16"/>
          <w:szCs w:val="16"/>
          <w:color w:val="auto"/>
        </w:rPr>
      </w:pPr>
      <w:r>
        <w:rPr>
          <w:rFonts w:ascii="Arial" w:cs="Arial" w:eastAsia="Arial" w:hAnsi="Arial"/>
          <w:sz w:val="16"/>
          <w:szCs w:val="16"/>
          <w:color w:val="auto"/>
        </w:rPr>
        <w:t>30 days after the option holder ceases to be an employee, officer, director of or consultant to the Company or any subsidiary of the Company;</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47"/>
        </w:numPr>
        <w:rPr>
          <w:rFonts w:ascii="Arial" w:cs="Arial" w:eastAsia="Arial" w:hAnsi="Arial"/>
          <w:sz w:val="18"/>
          <w:szCs w:val="18"/>
          <w:color w:val="auto"/>
        </w:rPr>
      </w:pPr>
      <w:r>
        <w:rPr>
          <w:rFonts w:ascii="Arial" w:cs="Arial" w:eastAsia="Arial" w:hAnsi="Arial"/>
          <w:sz w:val="18"/>
          <w:szCs w:val="18"/>
          <w:color w:val="auto"/>
        </w:rPr>
        <w:t>six months after the death of the option holder; and</w:t>
      </w:r>
    </w:p>
    <w:p>
      <w:pPr>
        <w:spacing w:after="0" w:line="238"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47"/>
        </w:numPr>
        <w:rPr>
          <w:rFonts w:ascii="Arial" w:cs="Arial" w:eastAsia="Arial" w:hAnsi="Arial"/>
          <w:sz w:val="18"/>
          <w:szCs w:val="18"/>
          <w:color w:val="auto"/>
        </w:rPr>
      </w:pPr>
      <w:r>
        <w:rPr>
          <w:rFonts w:ascii="Arial" w:cs="Arial" w:eastAsia="Arial" w:hAnsi="Arial"/>
          <w:sz w:val="18"/>
          <w:szCs w:val="18"/>
          <w:color w:val="auto"/>
        </w:rPr>
        <w:t>where such option holder is a director, four years after the date he or she resigns or retires from the Board of Directors (provided that in no event will any option expire later than five years after the option was granted).</w:t>
      </w:r>
    </w:p>
    <w:p>
      <w:pPr>
        <w:spacing w:after="0" w:line="186" w:lineRule="exact"/>
        <w:rPr>
          <w:sz w:val="20"/>
          <w:szCs w:val="20"/>
          <w:color w:val="auto"/>
        </w:rPr>
      </w:pPr>
    </w:p>
    <w:p>
      <w:pPr>
        <w:jc w:val="both"/>
        <w:ind w:firstLine="430"/>
        <w:spacing w:after="0" w:line="256" w:lineRule="auto"/>
        <w:rPr>
          <w:sz w:val="20"/>
          <w:szCs w:val="20"/>
          <w:color w:val="auto"/>
        </w:rPr>
      </w:pPr>
      <w:r>
        <w:rPr>
          <w:rFonts w:ascii="Arial" w:cs="Arial" w:eastAsia="Arial" w:hAnsi="Arial"/>
          <w:sz w:val="18"/>
          <w:szCs w:val="18"/>
          <w:color w:val="auto"/>
        </w:rPr>
        <w:t>An option granted under the Stock Option Plan may only be assigned to eligible assignees, including a spouse, a minor child, a minor grandchild, a trust governed by a registered retirement savings plan of an eligible participant, a corporation controlled by such participant or a family trust of which the eligible participant is a trustee and of which all beneficiaries are eligible assignees. Assignments must be approved by the Board of Directors and any stock exchange or other authority.</w:t>
      </w:r>
    </w:p>
    <w:p>
      <w:pPr>
        <w:spacing w:after="0" w:line="197" w:lineRule="exact"/>
        <w:rPr>
          <w:sz w:val="20"/>
          <w:szCs w:val="20"/>
          <w:color w:val="auto"/>
        </w:rPr>
      </w:pPr>
    </w:p>
    <w:p>
      <w:pPr>
        <w:jc w:val="both"/>
        <w:ind w:firstLine="459"/>
        <w:spacing w:after="0" w:line="288" w:lineRule="auto"/>
        <w:rPr>
          <w:sz w:val="20"/>
          <w:szCs w:val="20"/>
          <w:color w:val="auto"/>
        </w:rPr>
      </w:pPr>
      <w:r>
        <w:rPr>
          <w:rFonts w:ascii="Arial" w:cs="Arial" w:eastAsia="Arial" w:hAnsi="Arial"/>
          <w:sz w:val="16"/>
          <w:szCs w:val="16"/>
          <w:color w:val="auto"/>
        </w:rPr>
        <w:t>The Board of Directors may amend or revise the terms of the Stock Option Plan as permitted by law and subject to any required approval by any stock exchange or other authority including amendments of a "housekeeping" nature, amendments necessary to comply with the provisions of applicable law (including, without limitation, the rules, regulations and policies of the TSX), amendments respecting administration of the Stock Option Plan, any amendment to the vesting provisions of the Stock Option Plan or any option, any amendment to the early termination provisions of the Stock Option Plan or any option, whether or not such option is held by an insider, provided such amendment does not entail an extension beyond the original expiry date, the addition or modification of a cashless exercise feature, amendments necessary to suspend or terminate the Stock Option Plan and any other amendment, whether fundamental or otherwise, not requiring shareholder approval under applicable law (including, without limitation, the rules, regulations and policies of the TSX). No amendment or revision to the Stock Option Plan which adversely affects the rights of any option holder under any option granted under the Stock Option Plan can be made without the consent of the option holder whose rights are being affected.</w:t>
      </w:r>
    </w:p>
    <w:p>
      <w:pPr>
        <w:spacing w:after="0" w:line="174" w:lineRule="exact"/>
        <w:rPr>
          <w:sz w:val="20"/>
          <w:szCs w:val="20"/>
          <w:color w:val="auto"/>
        </w:rPr>
      </w:pPr>
    </w:p>
    <w:p>
      <w:pPr>
        <w:jc w:val="both"/>
        <w:ind w:firstLine="361"/>
        <w:spacing w:after="0" w:line="290" w:lineRule="auto"/>
        <w:rPr>
          <w:sz w:val="20"/>
          <w:szCs w:val="20"/>
          <w:color w:val="auto"/>
        </w:rPr>
      </w:pPr>
      <w:r>
        <w:rPr>
          <w:rFonts w:ascii="Arial" w:cs="Arial" w:eastAsia="Arial" w:hAnsi="Arial"/>
          <w:sz w:val="16"/>
          <w:szCs w:val="16"/>
          <w:color w:val="auto"/>
        </w:rPr>
        <w:t>In addition, no amendments to the Stock Option Plan to increase the number of common shares reserved for issuance, to change the designation of who is an eligible participant, to extend the term of an option held by an insider, to increase any limit on grants of options to insiders of the Company, to change the participation limits in any given year for non-executive directors, to decrease the prices at which options can be exercised or to amend the amending provisions of the Stock Option Plan can be made without first obtaining the approval of the Company's shareholders. In response to a TSX staff notice regarding amendments to security based compensation arrangements, the Stock Option Plan was amended in 2007 such that where the Company has imposed trading restrictions on directors and officers that fall within ten trading days of the expiry of an option, such option's expiry date shall be the tenth day following the termination of such restrictions. The Stock Option Plan does not expressly entitle participants to convert an option into a stock appreciation right.</w:t>
      </w:r>
    </w:p>
    <w:p>
      <w:pPr>
        <w:spacing w:after="0" w:line="172" w:lineRule="exact"/>
        <w:rPr>
          <w:sz w:val="20"/>
          <w:szCs w:val="20"/>
          <w:color w:val="auto"/>
        </w:rPr>
      </w:pPr>
    </w:p>
    <w:p>
      <w:pPr>
        <w:jc w:val="both"/>
        <w:ind w:firstLine="358"/>
        <w:spacing w:after="0" w:line="370" w:lineRule="auto"/>
        <w:rPr>
          <w:sz w:val="20"/>
          <w:szCs w:val="20"/>
          <w:color w:val="auto"/>
        </w:rPr>
      </w:pPr>
      <w:r>
        <w:rPr>
          <w:rFonts w:ascii="Arial" w:cs="Arial" w:eastAsia="Arial" w:hAnsi="Arial"/>
          <w:sz w:val="15"/>
          <w:szCs w:val="15"/>
          <w:color w:val="auto"/>
        </w:rPr>
        <w:t>Under the Stock Option Plan, only eligible persons who are not directors or officers of the Company are entitled to receive loans, guarantees or other support arrangements from the Company to facilitate option exercises. During 2009, no loans, guarantees or other financial assistance was provided under the plan.</w:t>
      </w:r>
    </w:p>
    <w:p>
      <w:pPr>
        <w:spacing w:after="0" w:line="116" w:lineRule="exact"/>
        <w:rPr>
          <w:sz w:val="20"/>
          <w:szCs w:val="20"/>
          <w:color w:val="auto"/>
        </w:rPr>
      </w:pPr>
    </w:p>
    <w:p>
      <w:pPr>
        <w:jc w:val="both"/>
        <w:ind w:right="20" w:firstLine="445"/>
        <w:spacing w:after="0" w:line="259" w:lineRule="auto"/>
        <w:rPr>
          <w:sz w:val="20"/>
          <w:szCs w:val="20"/>
          <w:color w:val="auto"/>
        </w:rPr>
      </w:pPr>
      <w:r>
        <w:rPr>
          <w:rFonts w:ascii="Arial" w:cs="Arial" w:eastAsia="Arial" w:hAnsi="Arial"/>
          <w:sz w:val="18"/>
          <w:szCs w:val="18"/>
          <w:color w:val="auto"/>
        </w:rPr>
        <w:t>The number of common shares reserved for issuance under the Stock Option Plan is 9,802,565 common shares (comprised of 8,395,645 common shares relating to options issued but unexercised and 1,406,920 common shares relating to options available to be issued), being 6.26% of the Company's 156,714,381 common shares issued and outstanding as at March 22, 2010.</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48" w:name="page149"/>
    <w:bookmarkEnd w:id="148"/>
    <w:p>
      <w:pPr>
        <w:ind w:firstLine="456"/>
        <w:spacing w:after="0" w:line="268" w:lineRule="auto"/>
        <w:rPr>
          <w:sz w:val="20"/>
          <w:szCs w:val="20"/>
          <w:color w:val="auto"/>
        </w:rPr>
      </w:pPr>
      <w:r>
        <w:rPr>
          <w:rFonts w:ascii="Arial" w:cs="Arial" w:eastAsia="Arial" w:hAnsi="Arial"/>
          <w:sz w:val="18"/>
          <w:szCs w:val="18"/>
          <w:color w:val="auto"/>
        </w:rPr>
        <w:t>The following table sets out the value vested during the most recently completed financial year of the Company of incentive plan awards granted to the Named Executive Officers.</w:t>
      </w:r>
    </w:p>
    <w:p>
      <w:pPr>
        <w:spacing w:after="0" w:line="18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Incentive Plan Awards Table — Value Vested or Earned During Fiscal Year 2009</w:t>
      </w:r>
    </w:p>
    <w:p>
      <w:pPr>
        <w:spacing w:after="0" w:line="214"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2920" w:type="dxa"/>
            <w:vAlign w:val="bottom"/>
          </w:tcPr>
          <w:p>
            <w:pPr>
              <w:spacing w:after="0"/>
              <w:rPr>
                <w:sz w:val="14"/>
                <w:szCs w:val="14"/>
                <w:color w:val="auto"/>
              </w:rPr>
            </w:pPr>
          </w:p>
        </w:tc>
        <w:tc>
          <w:tcPr>
            <w:tcW w:w="17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5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28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8"/>
              </w:rPr>
              <w:t>Non-Equity</w:t>
            </w:r>
          </w:p>
        </w:tc>
      </w:tr>
      <w:tr>
        <w:trPr>
          <w:trHeight w:val="149"/>
        </w:trPr>
        <w:tc>
          <w:tcPr>
            <w:tcW w:w="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2920" w:type="dxa"/>
            <w:vAlign w:val="bottom"/>
          </w:tcPr>
          <w:p>
            <w:pPr>
              <w:spacing w:after="0"/>
              <w:rPr>
                <w:sz w:val="12"/>
                <w:szCs w:val="12"/>
                <w:color w:val="auto"/>
              </w:rPr>
            </w:pPr>
          </w:p>
        </w:tc>
        <w:tc>
          <w:tcPr>
            <w:tcW w:w="17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6"/>
              </w:rPr>
              <w:t>Options-Based Awards —</w:t>
            </w:r>
          </w:p>
        </w:tc>
        <w:tc>
          <w:tcPr>
            <w:tcW w:w="160" w:type="dxa"/>
            <w:vAlign w:val="bottom"/>
          </w:tcPr>
          <w:p>
            <w:pPr>
              <w:spacing w:after="0"/>
              <w:rPr>
                <w:sz w:val="12"/>
                <w:szCs w:val="12"/>
                <w:color w:val="auto"/>
              </w:rPr>
            </w:pPr>
          </w:p>
        </w:tc>
        <w:tc>
          <w:tcPr>
            <w:tcW w:w="15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6"/>
              </w:rPr>
              <w:t>Share-Based Awards —</w:t>
            </w:r>
          </w:p>
        </w:tc>
        <w:tc>
          <w:tcPr>
            <w:tcW w:w="160" w:type="dxa"/>
            <w:vAlign w:val="bottom"/>
          </w:tcPr>
          <w:p>
            <w:pPr>
              <w:spacing w:after="0"/>
              <w:rPr>
                <w:sz w:val="12"/>
                <w:szCs w:val="12"/>
                <w:color w:val="auto"/>
              </w:rPr>
            </w:pPr>
          </w:p>
        </w:tc>
        <w:tc>
          <w:tcPr>
            <w:tcW w:w="228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7"/>
              </w:rPr>
              <w:t>Incentive Plan Compensation —</w:t>
            </w:r>
          </w:p>
        </w:tc>
      </w:tr>
      <w:tr>
        <w:trPr>
          <w:trHeight w:val="149"/>
        </w:trPr>
        <w:tc>
          <w:tcPr>
            <w:tcW w:w="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2920" w:type="dxa"/>
            <w:vAlign w:val="bottom"/>
          </w:tcPr>
          <w:p>
            <w:pPr>
              <w:spacing w:after="0"/>
              <w:rPr>
                <w:sz w:val="12"/>
                <w:szCs w:val="12"/>
                <w:color w:val="auto"/>
              </w:rPr>
            </w:pPr>
          </w:p>
        </w:tc>
        <w:tc>
          <w:tcPr>
            <w:tcW w:w="17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4"/>
              </w:rPr>
              <w:t>Value Vested</w:t>
            </w:r>
          </w:p>
        </w:tc>
        <w:tc>
          <w:tcPr>
            <w:tcW w:w="160" w:type="dxa"/>
            <w:vAlign w:val="bottom"/>
          </w:tcPr>
          <w:p>
            <w:pPr>
              <w:spacing w:after="0"/>
              <w:rPr>
                <w:sz w:val="12"/>
                <w:szCs w:val="12"/>
                <w:color w:val="auto"/>
              </w:rPr>
            </w:pPr>
          </w:p>
        </w:tc>
        <w:tc>
          <w:tcPr>
            <w:tcW w:w="15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4"/>
              </w:rPr>
              <w:t>Value Vested</w:t>
            </w:r>
          </w:p>
        </w:tc>
        <w:tc>
          <w:tcPr>
            <w:tcW w:w="160" w:type="dxa"/>
            <w:vAlign w:val="bottom"/>
          </w:tcPr>
          <w:p>
            <w:pPr>
              <w:spacing w:after="0"/>
              <w:rPr>
                <w:sz w:val="12"/>
                <w:szCs w:val="12"/>
                <w:color w:val="auto"/>
              </w:rPr>
            </w:pPr>
          </w:p>
        </w:tc>
        <w:tc>
          <w:tcPr>
            <w:tcW w:w="228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7"/>
              </w:rPr>
              <w:t>Value Earned</w:t>
            </w:r>
          </w:p>
        </w:tc>
      </w:tr>
      <w:tr>
        <w:trPr>
          <w:trHeight w:val="161"/>
        </w:trPr>
        <w:tc>
          <w:tcPr>
            <w:tcW w:w="332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700" w:type="dxa"/>
            <w:vAlign w:val="bottom"/>
          </w:tcPr>
          <w:p>
            <w:pPr>
              <w:jc w:val="center"/>
              <w:spacing w:after="0"/>
              <w:rPr>
                <w:sz w:val="20"/>
                <w:szCs w:val="20"/>
                <w:color w:val="auto"/>
              </w:rPr>
            </w:pPr>
            <w:r>
              <w:rPr>
                <w:rFonts w:ascii="Arial" w:cs="Arial" w:eastAsia="Arial" w:hAnsi="Arial"/>
                <w:sz w:val="14"/>
                <w:szCs w:val="14"/>
                <w:b w:val="1"/>
                <w:bCs w:val="1"/>
                <w:color w:val="auto"/>
                <w:w w:val="88"/>
              </w:rPr>
              <w:t>During the Year</w:t>
            </w:r>
          </w:p>
        </w:tc>
        <w:tc>
          <w:tcPr>
            <w:tcW w:w="160" w:type="dxa"/>
            <w:vAlign w:val="bottom"/>
          </w:tcPr>
          <w:p>
            <w:pPr>
              <w:spacing w:after="0"/>
              <w:rPr>
                <w:sz w:val="14"/>
                <w:szCs w:val="14"/>
                <w:color w:val="auto"/>
              </w:rPr>
            </w:pPr>
          </w:p>
        </w:tc>
        <w:tc>
          <w:tcPr>
            <w:tcW w:w="1500" w:type="dxa"/>
            <w:vAlign w:val="bottom"/>
          </w:tcPr>
          <w:p>
            <w:pPr>
              <w:jc w:val="center"/>
              <w:spacing w:after="0"/>
              <w:rPr>
                <w:sz w:val="20"/>
                <w:szCs w:val="20"/>
                <w:color w:val="auto"/>
              </w:rPr>
            </w:pPr>
            <w:r>
              <w:rPr>
                <w:rFonts w:ascii="Arial" w:cs="Arial" w:eastAsia="Arial" w:hAnsi="Arial"/>
                <w:sz w:val="14"/>
                <w:szCs w:val="14"/>
                <w:b w:val="1"/>
                <w:bCs w:val="1"/>
                <w:color w:val="auto"/>
                <w:w w:val="88"/>
              </w:rPr>
              <w:t>During the Year</w:t>
            </w:r>
          </w:p>
        </w:tc>
        <w:tc>
          <w:tcPr>
            <w:tcW w:w="160" w:type="dxa"/>
            <w:vAlign w:val="bottom"/>
          </w:tcPr>
          <w:p>
            <w:pPr>
              <w:spacing w:after="0"/>
              <w:rPr>
                <w:sz w:val="14"/>
                <w:szCs w:val="14"/>
                <w:color w:val="auto"/>
              </w:rPr>
            </w:pPr>
          </w:p>
        </w:tc>
        <w:tc>
          <w:tcPr>
            <w:tcW w:w="228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90"/>
              </w:rPr>
              <w:t>During the Year</w:t>
            </w:r>
          </w:p>
        </w:tc>
      </w:tr>
      <w:tr>
        <w:trPr>
          <w:trHeight w:val="142"/>
        </w:trPr>
        <w:tc>
          <w:tcPr>
            <w:tcW w:w="20" w:type="dxa"/>
            <w:vAlign w:val="bottom"/>
          </w:tcPr>
          <w:p>
            <w:pPr>
              <w:spacing w:after="0"/>
              <w:rPr>
                <w:sz w:val="12"/>
                <w:szCs w:val="12"/>
                <w:color w:val="auto"/>
              </w:rPr>
            </w:pPr>
          </w:p>
        </w:tc>
        <w:tc>
          <w:tcPr>
            <w:tcW w:w="380" w:type="dxa"/>
            <w:vAlign w:val="bottom"/>
            <w:tcBorders>
              <w:top w:val="single" w:sz="8" w:color="auto"/>
            </w:tcBorders>
          </w:tcPr>
          <w:p>
            <w:pPr>
              <w:spacing w:after="0"/>
              <w:rPr>
                <w:sz w:val="12"/>
                <w:szCs w:val="12"/>
                <w:color w:val="auto"/>
              </w:rPr>
            </w:pPr>
          </w:p>
        </w:tc>
        <w:tc>
          <w:tcPr>
            <w:tcW w:w="2920" w:type="dxa"/>
            <w:vAlign w:val="bottom"/>
          </w:tcPr>
          <w:p>
            <w:pPr>
              <w:spacing w:after="0"/>
              <w:rPr>
                <w:sz w:val="12"/>
                <w:szCs w:val="12"/>
                <w:color w:val="auto"/>
              </w:rPr>
            </w:pPr>
          </w:p>
        </w:tc>
        <w:tc>
          <w:tcPr>
            <w:tcW w:w="170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8"/>
              </w:rPr>
              <w:t>(C$)</w:t>
            </w:r>
          </w:p>
        </w:tc>
        <w:tc>
          <w:tcPr>
            <w:tcW w:w="160" w:type="dxa"/>
            <w:vAlign w:val="bottom"/>
          </w:tcPr>
          <w:p>
            <w:pPr>
              <w:spacing w:after="0"/>
              <w:rPr>
                <w:sz w:val="12"/>
                <w:szCs w:val="12"/>
                <w:color w:val="auto"/>
              </w:rPr>
            </w:pPr>
          </w:p>
        </w:tc>
        <w:tc>
          <w:tcPr>
            <w:tcW w:w="150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95"/>
              </w:rPr>
              <w:t>(C$)</w:t>
            </w:r>
          </w:p>
        </w:tc>
        <w:tc>
          <w:tcPr>
            <w:tcW w:w="160" w:type="dxa"/>
            <w:vAlign w:val="bottom"/>
          </w:tcPr>
          <w:p>
            <w:pPr>
              <w:spacing w:after="0"/>
              <w:rPr>
                <w:sz w:val="12"/>
                <w:szCs w:val="12"/>
                <w:color w:val="auto"/>
              </w:rPr>
            </w:pPr>
          </w:p>
        </w:tc>
        <w:tc>
          <w:tcPr>
            <w:tcW w:w="212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95"/>
              </w:rPr>
              <w:t>(C$)</w:t>
            </w:r>
          </w:p>
        </w:tc>
        <w:tc>
          <w:tcPr>
            <w:tcW w:w="160" w:type="dxa"/>
            <w:vAlign w:val="bottom"/>
          </w:tcPr>
          <w:p>
            <w:pPr>
              <w:spacing w:after="0"/>
              <w:rPr>
                <w:sz w:val="12"/>
                <w:szCs w:val="12"/>
                <w:color w:val="auto"/>
              </w:rPr>
            </w:pPr>
          </w:p>
        </w:tc>
      </w:tr>
      <w:tr>
        <w:trPr>
          <w:trHeight w:val="216"/>
        </w:trPr>
        <w:tc>
          <w:tcPr>
            <w:tcW w:w="20" w:type="dxa"/>
            <w:vAlign w:val="bottom"/>
          </w:tcPr>
          <w:p>
            <w:pPr>
              <w:spacing w:after="0"/>
              <w:rPr>
                <w:sz w:val="18"/>
                <w:szCs w:val="18"/>
                <w:color w:val="auto"/>
              </w:rPr>
            </w:pPr>
          </w:p>
        </w:tc>
        <w:tc>
          <w:tcPr>
            <w:tcW w:w="33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Sean Boyd</w:t>
            </w:r>
          </w:p>
        </w:tc>
        <w:tc>
          <w:tcPr>
            <w:tcW w:w="1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1,726,250</w:t>
            </w:r>
          </w:p>
        </w:tc>
        <w:tc>
          <w:tcPr>
            <w:tcW w:w="160" w:type="dxa"/>
            <w:vAlign w:val="bottom"/>
            <w:shd w:val="clear" w:color="auto" w:fill="CCEEFF"/>
          </w:tcPr>
          <w:p>
            <w:pPr>
              <w:spacing w:after="0"/>
              <w:rPr>
                <w:sz w:val="18"/>
                <w:szCs w:val="18"/>
                <w:color w:val="auto"/>
              </w:rPr>
            </w:pPr>
          </w:p>
        </w:tc>
        <w:tc>
          <w:tcPr>
            <w:tcW w:w="15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n/a</w:t>
            </w:r>
          </w:p>
        </w:tc>
        <w:tc>
          <w:tcPr>
            <w:tcW w:w="2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1,175,000</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3300" w:type="dxa"/>
            <w:vAlign w:val="bottom"/>
            <w:gridSpan w:val="2"/>
          </w:tcPr>
          <w:p>
            <w:pPr>
              <w:spacing w:after="0"/>
              <w:rPr>
                <w:sz w:val="20"/>
                <w:szCs w:val="20"/>
                <w:color w:val="auto"/>
              </w:rPr>
            </w:pPr>
            <w:r>
              <w:rPr>
                <w:rFonts w:ascii="Arial" w:cs="Arial" w:eastAsia="Arial" w:hAnsi="Arial"/>
                <w:sz w:val="18"/>
                <w:szCs w:val="18"/>
                <w:color w:val="auto"/>
              </w:rPr>
              <w:t>Eberhard Scherkus</w:t>
            </w:r>
          </w:p>
        </w:tc>
        <w:tc>
          <w:tcPr>
            <w:tcW w:w="1700" w:type="dxa"/>
            <w:vAlign w:val="bottom"/>
          </w:tcPr>
          <w:p>
            <w:pPr>
              <w:jc w:val="right"/>
              <w:spacing w:after="0"/>
              <w:rPr>
                <w:sz w:val="20"/>
                <w:szCs w:val="20"/>
                <w:color w:val="auto"/>
              </w:rPr>
            </w:pPr>
            <w:r>
              <w:rPr>
                <w:rFonts w:ascii="Arial" w:cs="Arial" w:eastAsia="Arial" w:hAnsi="Arial"/>
                <w:sz w:val="18"/>
                <w:szCs w:val="18"/>
                <w:color w:val="auto"/>
              </w:rPr>
              <w:t>510,188</w:t>
            </w:r>
          </w:p>
        </w:tc>
        <w:tc>
          <w:tcPr>
            <w:tcW w:w="160" w:type="dxa"/>
            <w:vAlign w:val="bottom"/>
          </w:tcPr>
          <w:p>
            <w:pPr>
              <w:spacing w:after="0"/>
              <w:rPr>
                <w:sz w:val="18"/>
                <w:szCs w:val="18"/>
                <w:color w:val="auto"/>
              </w:rPr>
            </w:pPr>
          </w:p>
        </w:tc>
        <w:tc>
          <w:tcPr>
            <w:tcW w:w="1500" w:type="dxa"/>
            <w:vAlign w:val="bottom"/>
          </w:tcPr>
          <w:p>
            <w:pPr>
              <w:jc w:val="center"/>
              <w:spacing w:after="0"/>
              <w:rPr>
                <w:sz w:val="20"/>
                <w:szCs w:val="20"/>
                <w:color w:val="auto"/>
              </w:rPr>
            </w:pPr>
            <w:r>
              <w:rPr>
                <w:rFonts w:ascii="Arial" w:cs="Arial" w:eastAsia="Arial" w:hAnsi="Arial"/>
                <w:sz w:val="18"/>
                <w:szCs w:val="18"/>
                <w:color w:val="auto"/>
                <w:w w:val="87"/>
              </w:rPr>
              <w:t>n/a</w:t>
            </w:r>
          </w:p>
        </w:tc>
        <w:tc>
          <w:tcPr>
            <w:tcW w:w="2280" w:type="dxa"/>
            <w:vAlign w:val="bottom"/>
            <w:gridSpan w:val="2"/>
          </w:tcPr>
          <w:p>
            <w:pPr>
              <w:jc w:val="right"/>
              <w:spacing w:after="0"/>
              <w:rPr>
                <w:sz w:val="20"/>
                <w:szCs w:val="20"/>
                <w:color w:val="auto"/>
              </w:rPr>
            </w:pPr>
            <w:r>
              <w:rPr>
                <w:rFonts w:ascii="Arial" w:cs="Arial" w:eastAsia="Arial" w:hAnsi="Arial"/>
                <w:sz w:val="18"/>
                <w:szCs w:val="18"/>
                <w:color w:val="auto"/>
              </w:rPr>
              <w:t>596,000</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33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David Garofalo</w:t>
            </w:r>
          </w:p>
        </w:tc>
        <w:tc>
          <w:tcPr>
            <w:tcW w:w="1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323,813</w:t>
            </w:r>
          </w:p>
        </w:tc>
        <w:tc>
          <w:tcPr>
            <w:tcW w:w="160" w:type="dxa"/>
            <w:vAlign w:val="bottom"/>
            <w:shd w:val="clear" w:color="auto" w:fill="CCEEFF"/>
          </w:tcPr>
          <w:p>
            <w:pPr>
              <w:spacing w:after="0"/>
              <w:rPr>
                <w:sz w:val="18"/>
                <w:szCs w:val="18"/>
                <w:color w:val="auto"/>
              </w:rPr>
            </w:pPr>
          </w:p>
        </w:tc>
        <w:tc>
          <w:tcPr>
            <w:tcW w:w="15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n/a</w:t>
            </w:r>
          </w:p>
        </w:tc>
        <w:tc>
          <w:tcPr>
            <w:tcW w:w="2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314,000</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3300" w:type="dxa"/>
            <w:vAlign w:val="bottom"/>
            <w:gridSpan w:val="2"/>
          </w:tcPr>
          <w:p>
            <w:pPr>
              <w:spacing w:after="0"/>
              <w:rPr>
                <w:sz w:val="20"/>
                <w:szCs w:val="20"/>
                <w:color w:val="auto"/>
              </w:rPr>
            </w:pPr>
            <w:r>
              <w:rPr>
                <w:rFonts w:ascii="Arial" w:cs="Arial" w:eastAsia="Arial" w:hAnsi="Arial"/>
                <w:sz w:val="18"/>
                <w:szCs w:val="18"/>
                <w:color w:val="auto"/>
              </w:rPr>
              <w:t>Alain Blackburn</w:t>
            </w:r>
          </w:p>
        </w:tc>
        <w:tc>
          <w:tcPr>
            <w:tcW w:w="1700" w:type="dxa"/>
            <w:vAlign w:val="bottom"/>
          </w:tcPr>
          <w:p>
            <w:pPr>
              <w:jc w:val="right"/>
              <w:spacing w:after="0"/>
              <w:rPr>
                <w:sz w:val="20"/>
                <w:szCs w:val="20"/>
                <w:color w:val="auto"/>
              </w:rPr>
            </w:pPr>
            <w:r>
              <w:rPr>
                <w:rFonts w:ascii="Arial" w:cs="Arial" w:eastAsia="Arial" w:hAnsi="Arial"/>
                <w:sz w:val="18"/>
                <w:szCs w:val="18"/>
                <w:color w:val="auto"/>
              </w:rPr>
              <w:t>323,813</w:t>
            </w:r>
          </w:p>
        </w:tc>
        <w:tc>
          <w:tcPr>
            <w:tcW w:w="160" w:type="dxa"/>
            <w:vAlign w:val="bottom"/>
          </w:tcPr>
          <w:p>
            <w:pPr>
              <w:spacing w:after="0"/>
              <w:rPr>
                <w:sz w:val="18"/>
                <w:szCs w:val="18"/>
                <w:color w:val="auto"/>
              </w:rPr>
            </w:pPr>
          </w:p>
        </w:tc>
        <w:tc>
          <w:tcPr>
            <w:tcW w:w="1500" w:type="dxa"/>
            <w:vAlign w:val="bottom"/>
          </w:tcPr>
          <w:p>
            <w:pPr>
              <w:jc w:val="center"/>
              <w:spacing w:after="0"/>
              <w:rPr>
                <w:sz w:val="20"/>
                <w:szCs w:val="20"/>
                <w:color w:val="auto"/>
              </w:rPr>
            </w:pPr>
            <w:r>
              <w:rPr>
                <w:rFonts w:ascii="Arial" w:cs="Arial" w:eastAsia="Arial" w:hAnsi="Arial"/>
                <w:sz w:val="18"/>
                <w:szCs w:val="18"/>
                <w:color w:val="auto"/>
                <w:w w:val="87"/>
              </w:rPr>
              <w:t>n/a</w:t>
            </w:r>
          </w:p>
        </w:tc>
        <w:tc>
          <w:tcPr>
            <w:tcW w:w="2280" w:type="dxa"/>
            <w:vAlign w:val="bottom"/>
            <w:gridSpan w:val="2"/>
          </w:tcPr>
          <w:p>
            <w:pPr>
              <w:jc w:val="right"/>
              <w:spacing w:after="0"/>
              <w:rPr>
                <w:sz w:val="20"/>
                <w:szCs w:val="20"/>
                <w:color w:val="auto"/>
              </w:rPr>
            </w:pPr>
            <w:r>
              <w:rPr>
                <w:rFonts w:ascii="Arial" w:cs="Arial" w:eastAsia="Arial" w:hAnsi="Arial"/>
                <w:sz w:val="18"/>
                <w:szCs w:val="18"/>
                <w:color w:val="auto"/>
              </w:rPr>
              <w:t>260,000</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33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Daniel Racine</w:t>
            </w:r>
          </w:p>
        </w:tc>
        <w:tc>
          <w:tcPr>
            <w:tcW w:w="1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748,100</w:t>
            </w:r>
          </w:p>
        </w:tc>
        <w:tc>
          <w:tcPr>
            <w:tcW w:w="160" w:type="dxa"/>
            <w:vAlign w:val="bottom"/>
            <w:shd w:val="clear" w:color="auto" w:fill="CCEEFF"/>
          </w:tcPr>
          <w:p>
            <w:pPr>
              <w:spacing w:after="0"/>
              <w:rPr>
                <w:sz w:val="18"/>
                <w:szCs w:val="18"/>
                <w:color w:val="auto"/>
              </w:rPr>
            </w:pPr>
          </w:p>
        </w:tc>
        <w:tc>
          <w:tcPr>
            <w:tcW w:w="15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n/a</w:t>
            </w:r>
          </w:p>
        </w:tc>
        <w:tc>
          <w:tcPr>
            <w:tcW w:w="2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175,000</w:t>
            </w:r>
          </w:p>
        </w:tc>
        <w:tc>
          <w:tcPr>
            <w:tcW w:w="160" w:type="dxa"/>
            <w:vAlign w:val="bottom"/>
            <w:shd w:val="clear" w:color="auto" w:fill="CCEEFF"/>
          </w:tcPr>
          <w:p>
            <w:pPr>
              <w:spacing w:after="0"/>
              <w:rPr>
                <w:sz w:val="18"/>
                <w:szCs w:val="18"/>
                <w:color w:val="auto"/>
              </w:rPr>
            </w:pPr>
          </w:p>
        </w:tc>
      </w:tr>
    </w:tbl>
    <w:p>
      <w:pPr>
        <w:spacing w:after="0" w:line="208"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following table sets out the outstanding option awards of the Named Executive Officers as at December 31, 2009.</w:t>
      </w:r>
    </w:p>
    <w:p>
      <w:pPr>
        <w:spacing w:after="0" w:line="21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Outstanding Incentive Plan Awards Table</w:t>
      </w:r>
    </w:p>
    <w:p>
      <w:pPr>
        <w:spacing w:after="0" w:line="281"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4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3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320" w:type="dxa"/>
            <w:vAlign w:val="bottom"/>
            <w:tcBorders>
              <w:bottom w:val="single" w:sz="8" w:color="auto"/>
            </w:tcBorders>
            <w:gridSpan w:val="3"/>
          </w:tcPr>
          <w:p>
            <w:pPr>
              <w:ind w:left="560"/>
              <w:spacing w:after="0"/>
              <w:rPr>
                <w:sz w:val="20"/>
                <w:szCs w:val="20"/>
                <w:color w:val="auto"/>
              </w:rPr>
            </w:pPr>
            <w:r>
              <w:rPr>
                <w:rFonts w:ascii="Arial" w:cs="Arial" w:eastAsia="Arial" w:hAnsi="Arial"/>
                <w:sz w:val="14"/>
                <w:szCs w:val="14"/>
                <w:b w:val="1"/>
                <w:bCs w:val="1"/>
                <w:color w:val="auto"/>
              </w:rPr>
              <w:t>Share-Based Awards</w:t>
            </w:r>
          </w:p>
        </w:tc>
        <w:tc>
          <w:tcPr>
            <w:tcW w:w="0" w:type="dxa"/>
            <w:vAlign w:val="bottom"/>
          </w:tcPr>
          <w:p>
            <w:pPr>
              <w:spacing w:after="0"/>
              <w:rPr>
                <w:sz w:val="1"/>
                <w:szCs w:val="1"/>
                <w:color w:val="auto"/>
              </w:rPr>
            </w:pPr>
          </w:p>
        </w:tc>
      </w:tr>
      <w:tr>
        <w:trPr>
          <w:trHeight w:val="156"/>
        </w:trPr>
        <w:tc>
          <w:tcPr>
            <w:tcW w:w="2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88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40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5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00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38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118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980" w:type="dxa"/>
            <w:vAlign w:val="bottom"/>
          </w:tcPr>
          <w:p>
            <w:pPr>
              <w:jc w:val="center"/>
              <w:spacing w:after="0" w:line="156" w:lineRule="exact"/>
              <w:rPr>
                <w:sz w:val="20"/>
                <w:szCs w:val="20"/>
                <w:color w:val="auto"/>
              </w:rPr>
            </w:pPr>
            <w:r>
              <w:rPr>
                <w:rFonts w:ascii="Arial" w:cs="Arial" w:eastAsia="Arial" w:hAnsi="Arial"/>
                <w:sz w:val="14"/>
                <w:szCs w:val="14"/>
                <w:b w:val="1"/>
                <w:bCs w:val="1"/>
                <w:color w:val="auto"/>
                <w:w w:val="95"/>
              </w:rPr>
              <w:t>Market or</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700" w:type="dxa"/>
            <w:vAlign w:val="bottom"/>
            <w:gridSpan w:val="3"/>
            <w:vMerge w:val="restart"/>
          </w:tcPr>
          <w:p>
            <w:pPr>
              <w:jc w:val="right"/>
              <w:ind w:right="192"/>
              <w:spacing w:after="0"/>
              <w:rPr>
                <w:sz w:val="20"/>
                <w:szCs w:val="20"/>
                <w:color w:val="auto"/>
              </w:rPr>
            </w:pPr>
            <w:r>
              <w:rPr>
                <w:rFonts w:ascii="Arial" w:cs="Arial" w:eastAsia="Arial" w:hAnsi="Arial"/>
                <w:sz w:val="14"/>
                <w:szCs w:val="14"/>
                <w:b w:val="1"/>
                <w:bCs w:val="1"/>
                <w:color w:val="auto"/>
                <w:w w:val="97"/>
              </w:rPr>
              <w:t>Option-Based Awards</w:t>
            </w:r>
          </w:p>
        </w:tc>
        <w:tc>
          <w:tcPr>
            <w:tcW w:w="180" w:type="dxa"/>
            <w:vAlign w:val="bottom"/>
          </w:tcPr>
          <w:p>
            <w:pPr>
              <w:spacing w:after="0"/>
              <w:rPr>
                <w:sz w:val="12"/>
                <w:szCs w:val="12"/>
                <w:color w:val="auto"/>
              </w:rPr>
            </w:pPr>
          </w:p>
        </w:tc>
        <w:tc>
          <w:tcPr>
            <w:tcW w:w="13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1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6"/>
              </w:rPr>
              <w:t>Payout Value</w:t>
            </w:r>
          </w:p>
        </w:tc>
        <w:tc>
          <w:tcPr>
            <w:tcW w:w="0" w:type="dxa"/>
            <w:vAlign w:val="bottom"/>
          </w:tcPr>
          <w:p>
            <w:pPr>
              <w:spacing w:after="0"/>
              <w:rPr>
                <w:sz w:val="1"/>
                <w:szCs w:val="1"/>
                <w:color w:val="auto"/>
              </w:rPr>
            </w:pPr>
          </w:p>
        </w:tc>
      </w:tr>
      <w:tr>
        <w:trPr>
          <w:trHeight w:val="121"/>
        </w:trPr>
        <w:tc>
          <w:tcPr>
            <w:tcW w:w="2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88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400" w:type="dxa"/>
            <w:vAlign w:val="bottom"/>
            <w:tcBorders>
              <w:bottom w:val="single" w:sz="8" w:color="auto"/>
            </w:tcBorders>
          </w:tcPr>
          <w:p>
            <w:pPr>
              <w:spacing w:after="0"/>
              <w:rPr>
                <w:sz w:val="10"/>
                <w:szCs w:val="10"/>
                <w:color w:val="auto"/>
              </w:rPr>
            </w:pPr>
          </w:p>
        </w:tc>
        <w:tc>
          <w:tcPr>
            <w:tcW w:w="160" w:type="dxa"/>
            <w:vAlign w:val="bottom"/>
            <w:tcBorders>
              <w:bottom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1700" w:type="dxa"/>
            <w:vAlign w:val="bottom"/>
            <w:tcBorders>
              <w:bottom w:val="single" w:sz="8" w:color="auto"/>
            </w:tcBorders>
            <w:gridSpan w:val="3"/>
            <w:vMerge w:val="continue"/>
          </w:tcPr>
          <w:p>
            <w:pPr>
              <w:spacing w:after="0"/>
              <w:rPr>
                <w:sz w:val="10"/>
                <w:szCs w:val="10"/>
                <w:color w:val="auto"/>
              </w:rPr>
            </w:pPr>
          </w:p>
        </w:tc>
        <w:tc>
          <w:tcPr>
            <w:tcW w:w="180" w:type="dxa"/>
            <w:vAlign w:val="bottom"/>
            <w:tcBorders>
              <w:bottom w:val="single" w:sz="8" w:color="auto"/>
            </w:tcBorders>
          </w:tcPr>
          <w:p>
            <w:pPr>
              <w:spacing w:after="0"/>
              <w:rPr>
                <w:sz w:val="10"/>
                <w:szCs w:val="10"/>
                <w:color w:val="auto"/>
              </w:rPr>
            </w:pPr>
          </w:p>
        </w:tc>
        <w:tc>
          <w:tcPr>
            <w:tcW w:w="1380" w:type="dxa"/>
            <w:vAlign w:val="bottom"/>
            <w:tcBorders>
              <w:bottom w:val="single" w:sz="8" w:color="auto"/>
            </w:tcBorders>
          </w:tcPr>
          <w:p>
            <w:pPr>
              <w:spacing w:after="0"/>
              <w:rPr>
                <w:sz w:val="10"/>
                <w:szCs w:val="10"/>
                <w:color w:val="auto"/>
              </w:rPr>
            </w:pPr>
          </w:p>
        </w:tc>
        <w:tc>
          <w:tcPr>
            <w:tcW w:w="160" w:type="dxa"/>
            <w:vAlign w:val="bottom"/>
          </w:tcPr>
          <w:p>
            <w:pPr>
              <w:spacing w:after="0"/>
              <w:rPr>
                <w:sz w:val="10"/>
                <w:szCs w:val="10"/>
                <w:color w:val="auto"/>
              </w:rPr>
            </w:pPr>
          </w:p>
        </w:tc>
        <w:tc>
          <w:tcPr>
            <w:tcW w:w="1340" w:type="dxa"/>
            <w:vAlign w:val="bottom"/>
            <w:gridSpan w:val="2"/>
          </w:tcPr>
          <w:p>
            <w:pPr>
              <w:jc w:val="center"/>
              <w:ind w:right="180"/>
              <w:spacing w:after="0" w:line="114" w:lineRule="exact"/>
              <w:rPr>
                <w:sz w:val="20"/>
                <w:szCs w:val="20"/>
                <w:color w:val="auto"/>
              </w:rPr>
            </w:pPr>
            <w:r>
              <w:rPr>
                <w:rFonts w:ascii="Arial" w:cs="Arial" w:eastAsia="Arial" w:hAnsi="Arial"/>
                <w:sz w:val="12"/>
                <w:szCs w:val="12"/>
                <w:b w:val="1"/>
                <w:bCs w:val="1"/>
                <w:color w:val="auto"/>
              </w:rPr>
              <w:t>Number of Shares</w:t>
            </w:r>
          </w:p>
        </w:tc>
        <w:tc>
          <w:tcPr>
            <w:tcW w:w="980" w:type="dxa"/>
            <w:vAlign w:val="bottom"/>
          </w:tcPr>
          <w:p>
            <w:pPr>
              <w:jc w:val="center"/>
              <w:spacing w:after="0" w:line="114" w:lineRule="exact"/>
              <w:rPr>
                <w:sz w:val="20"/>
                <w:szCs w:val="20"/>
                <w:color w:val="auto"/>
              </w:rPr>
            </w:pPr>
            <w:r>
              <w:rPr>
                <w:rFonts w:ascii="Arial" w:cs="Arial" w:eastAsia="Arial" w:hAnsi="Arial"/>
                <w:sz w:val="12"/>
                <w:szCs w:val="12"/>
                <w:b w:val="1"/>
                <w:bCs w:val="1"/>
                <w:color w:val="auto"/>
                <w:w w:val="99"/>
              </w:rPr>
              <w:t>of Share-Based</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0" w:type="dxa"/>
            <w:vAlign w:val="bottom"/>
          </w:tcPr>
          <w:p>
            <w:pPr>
              <w:jc w:val="center"/>
              <w:spacing w:after="0" w:line="142" w:lineRule="exact"/>
              <w:rPr>
                <w:sz w:val="20"/>
                <w:szCs w:val="20"/>
                <w:color w:val="auto"/>
              </w:rPr>
            </w:pPr>
            <w:r>
              <w:rPr>
                <w:rFonts w:ascii="Arial" w:cs="Arial" w:eastAsia="Arial" w:hAnsi="Arial"/>
                <w:sz w:val="14"/>
                <w:szCs w:val="14"/>
                <w:b w:val="1"/>
                <w:bCs w:val="1"/>
                <w:color w:val="auto"/>
                <w:w w:val="86"/>
              </w:rPr>
              <w:t>Number of Securities</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jc w:val="center"/>
              <w:ind w:right="6"/>
              <w:spacing w:after="0" w:line="142" w:lineRule="exact"/>
              <w:rPr>
                <w:sz w:val="20"/>
                <w:szCs w:val="20"/>
                <w:color w:val="auto"/>
              </w:rPr>
            </w:pPr>
            <w:r>
              <w:rPr>
                <w:rFonts w:ascii="Arial" w:cs="Arial" w:eastAsia="Arial" w:hAnsi="Arial"/>
                <w:sz w:val="14"/>
                <w:szCs w:val="14"/>
                <w:b w:val="1"/>
                <w:bCs w:val="1"/>
                <w:color w:val="auto"/>
                <w:w w:val="93"/>
              </w:rPr>
              <w:t>Option</w:t>
            </w:r>
          </w:p>
        </w:tc>
        <w:tc>
          <w:tcPr>
            <w:tcW w:w="160" w:type="dxa"/>
            <w:vAlign w:val="bottom"/>
          </w:tcPr>
          <w:p>
            <w:pPr>
              <w:spacing w:after="0"/>
              <w:rPr>
                <w:sz w:val="12"/>
                <w:szCs w:val="12"/>
                <w:color w:val="auto"/>
              </w:rPr>
            </w:pPr>
          </w:p>
        </w:tc>
        <w:tc>
          <w:tcPr>
            <w:tcW w:w="1000" w:type="dxa"/>
            <w:vAlign w:val="bottom"/>
          </w:tcPr>
          <w:p>
            <w:pPr>
              <w:jc w:val="center"/>
              <w:spacing w:after="0" w:line="142" w:lineRule="exact"/>
              <w:rPr>
                <w:sz w:val="20"/>
                <w:szCs w:val="20"/>
                <w:color w:val="auto"/>
              </w:rPr>
            </w:pPr>
            <w:r>
              <w:rPr>
                <w:rFonts w:ascii="Arial" w:cs="Arial" w:eastAsia="Arial" w:hAnsi="Arial"/>
                <w:sz w:val="14"/>
                <w:szCs w:val="14"/>
                <w:b w:val="1"/>
                <w:bCs w:val="1"/>
                <w:color w:val="auto"/>
                <w:w w:val="88"/>
              </w:rPr>
              <w:t>Option</w:t>
            </w:r>
          </w:p>
        </w:tc>
        <w:tc>
          <w:tcPr>
            <w:tcW w:w="180" w:type="dxa"/>
            <w:vAlign w:val="bottom"/>
          </w:tcPr>
          <w:p>
            <w:pPr>
              <w:spacing w:after="0"/>
              <w:rPr>
                <w:sz w:val="12"/>
                <w:szCs w:val="12"/>
                <w:color w:val="auto"/>
              </w:rPr>
            </w:pPr>
          </w:p>
        </w:tc>
        <w:tc>
          <w:tcPr>
            <w:tcW w:w="1540" w:type="dxa"/>
            <w:vAlign w:val="bottom"/>
            <w:gridSpan w:val="2"/>
          </w:tcPr>
          <w:p>
            <w:pPr>
              <w:jc w:val="center"/>
              <w:ind w:right="180"/>
              <w:spacing w:after="0" w:line="142" w:lineRule="exact"/>
              <w:rPr>
                <w:sz w:val="20"/>
                <w:szCs w:val="20"/>
                <w:color w:val="auto"/>
              </w:rPr>
            </w:pPr>
            <w:r>
              <w:rPr>
                <w:rFonts w:ascii="Arial" w:cs="Arial" w:eastAsia="Arial" w:hAnsi="Arial"/>
                <w:sz w:val="14"/>
                <w:szCs w:val="14"/>
                <w:b w:val="1"/>
                <w:bCs w:val="1"/>
                <w:color w:val="auto"/>
                <w:w w:val="84"/>
              </w:rPr>
              <w:t>Value of Unexercised</w:t>
            </w:r>
          </w:p>
        </w:tc>
        <w:tc>
          <w:tcPr>
            <w:tcW w:w="1340" w:type="dxa"/>
            <w:vAlign w:val="bottom"/>
            <w:gridSpan w:val="2"/>
          </w:tcPr>
          <w:p>
            <w:pPr>
              <w:jc w:val="center"/>
              <w:ind w:right="180"/>
              <w:spacing w:after="0" w:line="142" w:lineRule="exact"/>
              <w:rPr>
                <w:sz w:val="20"/>
                <w:szCs w:val="20"/>
                <w:color w:val="auto"/>
              </w:rPr>
            </w:pPr>
            <w:r>
              <w:rPr>
                <w:rFonts w:ascii="Arial" w:cs="Arial" w:eastAsia="Arial" w:hAnsi="Arial"/>
                <w:sz w:val="14"/>
                <w:szCs w:val="14"/>
                <w:b w:val="1"/>
                <w:bCs w:val="1"/>
                <w:color w:val="auto"/>
                <w:w w:val="86"/>
              </w:rPr>
              <w:t>or Units of Shares</w:t>
            </w:r>
          </w:p>
        </w:tc>
        <w:tc>
          <w:tcPr>
            <w:tcW w:w="980" w:type="dxa"/>
            <w:vAlign w:val="bottom"/>
          </w:tcPr>
          <w:p>
            <w:pPr>
              <w:jc w:val="center"/>
              <w:spacing w:after="0" w:line="142" w:lineRule="exact"/>
              <w:rPr>
                <w:sz w:val="20"/>
                <w:szCs w:val="20"/>
                <w:color w:val="auto"/>
              </w:rPr>
            </w:pPr>
            <w:r>
              <w:rPr>
                <w:rFonts w:ascii="Arial" w:cs="Arial" w:eastAsia="Arial" w:hAnsi="Arial"/>
                <w:sz w:val="14"/>
                <w:szCs w:val="14"/>
                <w:b w:val="1"/>
                <w:bCs w:val="1"/>
                <w:color w:val="auto"/>
                <w:w w:val="86"/>
              </w:rPr>
              <w:t>Awards</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0"/>
              </w:rPr>
              <w:t>Underlying</w:t>
            </w:r>
          </w:p>
        </w:tc>
        <w:tc>
          <w:tcPr>
            <w:tcW w:w="160" w:type="dxa"/>
            <w:vAlign w:val="bottom"/>
          </w:tcPr>
          <w:p>
            <w:pPr>
              <w:spacing w:after="0"/>
              <w:rPr>
                <w:sz w:val="12"/>
                <w:szCs w:val="12"/>
                <w:color w:val="auto"/>
              </w:rPr>
            </w:pPr>
          </w:p>
        </w:tc>
        <w:tc>
          <w:tcPr>
            <w:tcW w:w="620" w:type="dxa"/>
            <w:vAlign w:val="bottom"/>
            <w:gridSpan w:val="2"/>
          </w:tcPr>
          <w:p>
            <w:pPr>
              <w:jc w:val="center"/>
              <w:spacing w:after="0" w:line="149" w:lineRule="exact"/>
              <w:rPr>
                <w:sz w:val="20"/>
                <w:szCs w:val="20"/>
                <w:color w:val="auto"/>
              </w:rPr>
            </w:pPr>
            <w:r>
              <w:rPr>
                <w:rFonts w:ascii="Arial" w:cs="Arial" w:eastAsia="Arial" w:hAnsi="Arial"/>
                <w:sz w:val="14"/>
                <w:szCs w:val="14"/>
                <w:b w:val="1"/>
                <w:bCs w:val="1"/>
                <w:color w:val="auto"/>
                <w:w w:val="86"/>
              </w:rPr>
              <w:t>Exercise</w:t>
            </w:r>
          </w:p>
        </w:tc>
        <w:tc>
          <w:tcPr>
            <w:tcW w:w="160" w:type="dxa"/>
            <w:vAlign w:val="bottom"/>
          </w:tcPr>
          <w:p>
            <w:pPr>
              <w:spacing w:after="0"/>
              <w:rPr>
                <w:sz w:val="12"/>
                <w:szCs w:val="12"/>
                <w:color w:val="auto"/>
              </w:rPr>
            </w:pPr>
          </w:p>
        </w:tc>
        <w:tc>
          <w:tcPr>
            <w:tcW w:w="10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0"/>
              </w:rPr>
              <w:t>Expiration</w:t>
            </w:r>
          </w:p>
        </w:tc>
        <w:tc>
          <w:tcPr>
            <w:tcW w:w="180" w:type="dxa"/>
            <w:vAlign w:val="bottom"/>
          </w:tcPr>
          <w:p>
            <w:pPr>
              <w:spacing w:after="0"/>
              <w:rPr>
                <w:sz w:val="12"/>
                <w:szCs w:val="12"/>
                <w:color w:val="auto"/>
              </w:rPr>
            </w:pPr>
          </w:p>
        </w:tc>
        <w:tc>
          <w:tcPr>
            <w:tcW w:w="154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92"/>
              </w:rPr>
              <w:t>In-The-Money</w:t>
            </w:r>
          </w:p>
        </w:tc>
        <w:tc>
          <w:tcPr>
            <w:tcW w:w="134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7"/>
              </w:rPr>
              <w:t>that have not</w:t>
            </w:r>
          </w:p>
        </w:tc>
        <w:tc>
          <w:tcPr>
            <w:tcW w:w="9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4"/>
              </w:rPr>
              <w:t>that have</w:t>
            </w:r>
          </w:p>
        </w:tc>
        <w:tc>
          <w:tcPr>
            <w:tcW w:w="0" w:type="dxa"/>
            <w:vAlign w:val="bottom"/>
          </w:tcPr>
          <w:p>
            <w:pPr>
              <w:spacing w:after="0"/>
              <w:rPr>
                <w:sz w:val="1"/>
                <w:szCs w:val="1"/>
                <w:color w:val="auto"/>
              </w:rPr>
            </w:pPr>
          </w:p>
        </w:tc>
      </w:tr>
      <w:tr>
        <w:trPr>
          <w:trHeight w:val="176"/>
        </w:trPr>
        <w:tc>
          <w:tcPr>
            <w:tcW w:w="1720" w:type="dxa"/>
            <w:vAlign w:val="bottom"/>
            <w:gridSpan w:val="4"/>
          </w:tcPr>
          <w:p>
            <w:pPr>
              <w:spacing w:after="0"/>
              <w:rPr>
                <w:sz w:val="20"/>
                <w:szCs w:val="20"/>
                <w:color w:val="auto"/>
              </w:rPr>
            </w:pPr>
            <w:r>
              <w:rPr>
                <w:rFonts w:ascii="Arial" w:cs="Arial" w:eastAsia="Arial" w:hAnsi="Arial"/>
                <w:sz w:val="14"/>
                <w:szCs w:val="14"/>
                <w:b w:val="1"/>
                <w:bCs w:val="1"/>
                <w:color w:val="auto"/>
              </w:rPr>
              <w:t>Name</w:t>
            </w:r>
          </w:p>
        </w:tc>
        <w:tc>
          <w:tcPr>
            <w:tcW w:w="160" w:type="dxa"/>
            <w:vAlign w:val="bottom"/>
          </w:tcPr>
          <w:p>
            <w:pPr>
              <w:spacing w:after="0"/>
              <w:rPr>
                <w:sz w:val="15"/>
                <w:szCs w:val="15"/>
                <w:color w:val="auto"/>
              </w:rPr>
            </w:pPr>
          </w:p>
        </w:tc>
        <w:tc>
          <w:tcPr>
            <w:tcW w:w="1400" w:type="dxa"/>
            <w:vAlign w:val="bottom"/>
          </w:tcPr>
          <w:p>
            <w:pPr>
              <w:jc w:val="center"/>
              <w:spacing w:after="0"/>
              <w:rPr>
                <w:sz w:val="20"/>
                <w:szCs w:val="20"/>
                <w:color w:val="auto"/>
              </w:rPr>
            </w:pPr>
            <w:r>
              <w:rPr>
                <w:rFonts w:ascii="Arial" w:cs="Arial" w:eastAsia="Arial" w:hAnsi="Arial"/>
                <w:sz w:val="14"/>
                <w:szCs w:val="14"/>
                <w:b w:val="1"/>
                <w:bCs w:val="1"/>
                <w:color w:val="auto"/>
                <w:w w:val="85"/>
              </w:rPr>
              <w:t>Unexercised Options</w:t>
            </w:r>
          </w:p>
        </w:tc>
        <w:tc>
          <w:tcPr>
            <w:tcW w:w="1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40" w:type="dxa"/>
            <w:vAlign w:val="bottom"/>
          </w:tcPr>
          <w:p>
            <w:pPr>
              <w:jc w:val="center"/>
              <w:ind w:right="6"/>
              <w:spacing w:after="0"/>
              <w:rPr>
                <w:sz w:val="20"/>
                <w:szCs w:val="20"/>
                <w:color w:val="auto"/>
              </w:rPr>
            </w:pPr>
            <w:r>
              <w:rPr>
                <w:rFonts w:ascii="Arial" w:cs="Arial" w:eastAsia="Arial" w:hAnsi="Arial"/>
                <w:sz w:val="14"/>
                <w:szCs w:val="14"/>
                <w:b w:val="1"/>
                <w:bCs w:val="1"/>
                <w:color w:val="auto"/>
                <w:w w:val="87"/>
              </w:rPr>
              <w:t>Price</w:t>
            </w:r>
          </w:p>
        </w:tc>
        <w:tc>
          <w:tcPr>
            <w:tcW w:w="160" w:type="dxa"/>
            <w:vAlign w:val="bottom"/>
          </w:tcPr>
          <w:p>
            <w:pPr>
              <w:spacing w:after="0"/>
              <w:rPr>
                <w:sz w:val="15"/>
                <w:szCs w:val="15"/>
                <w:color w:val="auto"/>
              </w:rPr>
            </w:pPr>
          </w:p>
        </w:tc>
        <w:tc>
          <w:tcPr>
            <w:tcW w:w="1000" w:type="dxa"/>
            <w:vAlign w:val="bottom"/>
          </w:tcPr>
          <w:p>
            <w:pPr>
              <w:jc w:val="center"/>
              <w:spacing w:after="0"/>
              <w:rPr>
                <w:sz w:val="20"/>
                <w:szCs w:val="20"/>
                <w:color w:val="auto"/>
              </w:rPr>
            </w:pPr>
            <w:r>
              <w:rPr>
                <w:rFonts w:ascii="Arial" w:cs="Arial" w:eastAsia="Arial" w:hAnsi="Arial"/>
                <w:sz w:val="14"/>
                <w:szCs w:val="14"/>
                <w:b w:val="1"/>
                <w:bCs w:val="1"/>
                <w:color w:val="auto"/>
                <w:w w:val="92"/>
              </w:rPr>
              <w:t>Date</w:t>
            </w:r>
          </w:p>
        </w:tc>
        <w:tc>
          <w:tcPr>
            <w:tcW w:w="180" w:type="dxa"/>
            <w:vAlign w:val="bottom"/>
          </w:tcPr>
          <w:p>
            <w:pPr>
              <w:spacing w:after="0"/>
              <w:rPr>
                <w:sz w:val="15"/>
                <w:szCs w:val="15"/>
                <w:color w:val="auto"/>
              </w:rPr>
            </w:pPr>
          </w:p>
        </w:tc>
        <w:tc>
          <w:tcPr>
            <w:tcW w:w="1540" w:type="dxa"/>
            <w:vAlign w:val="bottom"/>
            <w:gridSpan w:val="2"/>
          </w:tcPr>
          <w:p>
            <w:pPr>
              <w:jc w:val="center"/>
              <w:ind w:right="180"/>
              <w:spacing w:after="0" w:line="176" w:lineRule="exact"/>
              <w:rPr>
                <w:sz w:val="20"/>
                <w:szCs w:val="20"/>
                <w:color w:val="auto"/>
              </w:rPr>
            </w:pPr>
            <w:r>
              <w:rPr>
                <w:rFonts w:ascii="Arial" w:cs="Arial" w:eastAsia="Arial" w:hAnsi="Arial"/>
                <w:sz w:val="13"/>
                <w:szCs w:val="13"/>
                <w:b w:val="1"/>
                <w:bCs w:val="1"/>
                <w:color w:val="auto"/>
                <w:w w:val="91"/>
              </w:rPr>
              <w:t>Options</w:t>
            </w:r>
            <w:r>
              <w:rPr>
                <w:rFonts w:ascii="Arial" w:cs="Arial" w:eastAsia="Arial" w:hAnsi="Arial"/>
                <w:sz w:val="20"/>
                <w:szCs w:val="20"/>
                <w:b w:val="1"/>
                <w:bCs w:val="1"/>
                <w:color w:val="auto"/>
                <w:w w:val="91"/>
                <w:vertAlign w:val="superscript"/>
              </w:rPr>
              <w:t>(1)</w:t>
            </w:r>
          </w:p>
        </w:tc>
        <w:tc>
          <w:tcPr>
            <w:tcW w:w="134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2"/>
              </w:rPr>
              <w:t>Vested</w:t>
            </w:r>
          </w:p>
        </w:tc>
        <w:tc>
          <w:tcPr>
            <w:tcW w:w="980" w:type="dxa"/>
            <w:vAlign w:val="bottom"/>
          </w:tcPr>
          <w:p>
            <w:pPr>
              <w:jc w:val="center"/>
              <w:spacing w:after="0"/>
              <w:rPr>
                <w:sz w:val="20"/>
                <w:szCs w:val="20"/>
                <w:color w:val="auto"/>
              </w:rPr>
            </w:pPr>
            <w:r>
              <w:rPr>
                <w:rFonts w:ascii="Arial" w:cs="Arial" w:eastAsia="Arial" w:hAnsi="Arial"/>
                <w:sz w:val="14"/>
                <w:szCs w:val="14"/>
                <w:b w:val="1"/>
                <w:bCs w:val="1"/>
                <w:color w:val="auto"/>
                <w:w w:val="83"/>
              </w:rPr>
              <w:t>not Vested</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380" w:type="dxa"/>
            <w:vAlign w:val="bottom"/>
            <w:tcBorders>
              <w:top w:val="single" w:sz="8" w:color="auto"/>
            </w:tcBorders>
          </w:tcPr>
          <w:p>
            <w:pPr>
              <w:spacing w:after="0"/>
              <w:rPr>
                <w:sz w:val="12"/>
                <w:szCs w:val="12"/>
                <w:color w:val="auto"/>
              </w:rPr>
            </w:pPr>
          </w:p>
        </w:tc>
        <w:tc>
          <w:tcPr>
            <w:tcW w:w="88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540" w:type="dxa"/>
            <w:vAlign w:val="bottom"/>
            <w:tcBorders>
              <w:top w:val="single" w:sz="8" w:color="auto"/>
            </w:tcBorders>
          </w:tcPr>
          <w:p>
            <w:pPr>
              <w:jc w:val="center"/>
              <w:ind w:right="6"/>
              <w:spacing w:after="0" w:line="142" w:lineRule="exact"/>
              <w:rPr>
                <w:sz w:val="20"/>
                <w:szCs w:val="20"/>
                <w:color w:val="auto"/>
              </w:rPr>
            </w:pPr>
            <w:r>
              <w:rPr>
                <w:rFonts w:ascii="Arial" w:cs="Arial" w:eastAsia="Arial" w:hAnsi="Arial"/>
                <w:sz w:val="14"/>
                <w:szCs w:val="14"/>
                <w:b w:val="1"/>
                <w:bCs w:val="1"/>
                <w:color w:val="auto"/>
                <w:w w:val="95"/>
              </w:rPr>
              <w:t>(C$)</w:t>
            </w:r>
          </w:p>
        </w:tc>
        <w:tc>
          <w:tcPr>
            <w:tcW w:w="160" w:type="dxa"/>
            <w:vAlign w:val="bottom"/>
          </w:tcPr>
          <w:p>
            <w:pPr>
              <w:spacing w:after="0"/>
              <w:rPr>
                <w:sz w:val="12"/>
                <w:szCs w:val="12"/>
                <w:color w:val="auto"/>
              </w:rPr>
            </w:pPr>
          </w:p>
        </w:tc>
        <w:tc>
          <w:tcPr>
            <w:tcW w:w="1000" w:type="dxa"/>
            <w:vAlign w:val="bottom"/>
            <w:tcBorders>
              <w:top w:val="single" w:sz="8" w:color="auto"/>
            </w:tcBorders>
          </w:tcPr>
          <w:p>
            <w:pPr>
              <w:spacing w:after="0"/>
              <w:rPr>
                <w:sz w:val="12"/>
                <w:szCs w:val="12"/>
                <w:color w:val="auto"/>
              </w:rPr>
            </w:pPr>
          </w:p>
        </w:tc>
        <w:tc>
          <w:tcPr>
            <w:tcW w:w="180" w:type="dxa"/>
            <w:vAlign w:val="bottom"/>
          </w:tcPr>
          <w:p>
            <w:pPr>
              <w:spacing w:after="0"/>
              <w:rPr>
                <w:sz w:val="12"/>
                <w:szCs w:val="12"/>
                <w:color w:val="auto"/>
              </w:rPr>
            </w:pPr>
          </w:p>
        </w:tc>
        <w:tc>
          <w:tcPr>
            <w:tcW w:w="138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8"/>
              </w:rPr>
              <w:t>(C$)</w:t>
            </w:r>
          </w:p>
        </w:tc>
        <w:tc>
          <w:tcPr>
            <w:tcW w:w="160" w:type="dxa"/>
            <w:vAlign w:val="bottom"/>
          </w:tcPr>
          <w:p>
            <w:pPr>
              <w:spacing w:after="0"/>
              <w:rPr>
                <w:sz w:val="12"/>
                <w:szCs w:val="12"/>
                <w:color w:val="auto"/>
              </w:rPr>
            </w:pPr>
          </w:p>
        </w:tc>
        <w:tc>
          <w:tcPr>
            <w:tcW w:w="118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2"/>
                <w:szCs w:val="12"/>
                <w:color w:val="auto"/>
              </w:rPr>
            </w:pPr>
          </w:p>
        </w:tc>
        <w:tc>
          <w:tcPr>
            <w:tcW w:w="98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8"/>
              </w:rPr>
              <w:t>(C$)</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70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Sean Boyd</w:t>
            </w:r>
          </w:p>
        </w:tc>
        <w:tc>
          <w:tcPr>
            <w:tcW w:w="1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40,000</w:t>
            </w:r>
          </w:p>
        </w:tc>
        <w:tc>
          <w:tcPr>
            <w:tcW w:w="78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23.02</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1/3/2011</w:t>
            </w:r>
          </w:p>
        </w:tc>
        <w:tc>
          <w:tcPr>
            <w:tcW w:w="1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1,356,000</w:t>
            </w:r>
          </w:p>
        </w:tc>
        <w:tc>
          <w:tcPr>
            <w:tcW w:w="16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center"/>
              <w:ind w:right="160"/>
              <w:spacing w:after="0"/>
              <w:rPr>
                <w:sz w:val="20"/>
                <w:szCs w:val="20"/>
                <w:color w:val="auto"/>
              </w:rPr>
            </w:pPr>
            <w:r>
              <w:rPr>
                <w:rFonts w:ascii="Arial" w:cs="Arial" w:eastAsia="Arial" w:hAnsi="Arial"/>
                <w:sz w:val="18"/>
                <w:szCs w:val="18"/>
                <w:color w:val="auto"/>
                <w:w w:val="99"/>
              </w:rPr>
              <w:t>nil</w:t>
            </w:r>
          </w:p>
        </w:tc>
        <w:tc>
          <w:tcPr>
            <w:tcW w:w="98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nil</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100,000</w:t>
            </w:r>
          </w:p>
        </w:tc>
        <w:tc>
          <w:tcPr>
            <w:tcW w:w="78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48.09</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1/2/2012</w:t>
            </w:r>
          </w:p>
        </w:tc>
        <w:tc>
          <w:tcPr>
            <w:tcW w:w="1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883,000</w:t>
            </w:r>
          </w:p>
        </w:tc>
        <w:tc>
          <w:tcPr>
            <w:tcW w:w="160" w:type="dxa"/>
            <w:vAlign w:val="bottom"/>
            <w:shd w:val="clear" w:color="auto" w:fill="CCEEFF"/>
          </w:tcPr>
          <w:p>
            <w:pPr>
              <w:spacing w:after="0"/>
              <w:rPr>
                <w:sz w:val="18"/>
                <w:szCs w:val="18"/>
                <w:color w:val="auto"/>
              </w:rPr>
            </w:pPr>
          </w:p>
        </w:tc>
        <w:tc>
          <w:tcPr>
            <w:tcW w:w="1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200,000</w:t>
            </w:r>
          </w:p>
        </w:tc>
        <w:tc>
          <w:tcPr>
            <w:tcW w:w="78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54.42</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1/2/2013</w:t>
            </w:r>
          </w:p>
        </w:tc>
        <w:tc>
          <w:tcPr>
            <w:tcW w:w="1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500,000</w:t>
            </w:r>
          </w:p>
        </w:tc>
        <w:tc>
          <w:tcPr>
            <w:tcW w:w="160" w:type="dxa"/>
            <w:vAlign w:val="bottom"/>
            <w:shd w:val="clear" w:color="auto" w:fill="CCEEFF"/>
          </w:tcPr>
          <w:p>
            <w:pPr>
              <w:spacing w:after="0"/>
              <w:rPr>
                <w:sz w:val="18"/>
                <w:szCs w:val="18"/>
                <w:color w:val="auto"/>
              </w:rPr>
            </w:pPr>
          </w:p>
        </w:tc>
        <w:tc>
          <w:tcPr>
            <w:tcW w:w="1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250,000</w:t>
            </w:r>
          </w:p>
        </w:tc>
        <w:tc>
          <w:tcPr>
            <w:tcW w:w="78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62.77</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1/2/2014</w:t>
            </w:r>
          </w:p>
        </w:tc>
        <w:tc>
          <w:tcPr>
            <w:tcW w:w="180" w:type="dxa"/>
            <w:vAlign w:val="bottom"/>
            <w:shd w:val="clear" w:color="auto" w:fill="CCEEFF"/>
          </w:tcPr>
          <w:p>
            <w:pPr>
              <w:spacing w:after="0"/>
              <w:rPr>
                <w:sz w:val="18"/>
                <w:szCs w:val="18"/>
                <w:color w:val="auto"/>
              </w:rPr>
            </w:pPr>
          </w:p>
        </w:tc>
        <w:tc>
          <w:tcPr>
            <w:tcW w:w="1540" w:type="dxa"/>
            <w:vAlign w:val="bottom"/>
            <w:gridSpan w:val="2"/>
            <w:shd w:val="clear" w:color="auto" w:fill="CCEEFF"/>
          </w:tcPr>
          <w:p>
            <w:pPr>
              <w:ind w:left="1200"/>
              <w:spacing w:after="0"/>
              <w:rPr>
                <w:sz w:val="20"/>
                <w:szCs w:val="20"/>
                <w:color w:val="auto"/>
              </w:rPr>
            </w:pPr>
            <w:r>
              <w:rPr>
                <w:rFonts w:ascii="Arial" w:cs="Arial" w:eastAsia="Arial" w:hAnsi="Arial"/>
                <w:sz w:val="18"/>
                <w:szCs w:val="18"/>
                <w:color w:val="auto"/>
              </w:rPr>
              <w:t>nil</w:t>
            </w:r>
          </w:p>
        </w:tc>
        <w:tc>
          <w:tcPr>
            <w:tcW w:w="1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1700" w:type="dxa"/>
            <w:vAlign w:val="bottom"/>
            <w:gridSpan w:val="3"/>
          </w:tcPr>
          <w:p>
            <w:pPr>
              <w:spacing w:after="0"/>
              <w:rPr>
                <w:sz w:val="20"/>
                <w:szCs w:val="20"/>
                <w:color w:val="auto"/>
              </w:rPr>
            </w:pPr>
            <w:r>
              <w:rPr>
                <w:rFonts w:ascii="Arial" w:cs="Arial" w:eastAsia="Arial" w:hAnsi="Arial"/>
                <w:sz w:val="18"/>
                <w:szCs w:val="18"/>
                <w:color w:val="auto"/>
              </w:rPr>
              <w:t>Eberhard Scherkus</w:t>
            </w:r>
          </w:p>
        </w:tc>
        <w:tc>
          <w:tcPr>
            <w:tcW w:w="160" w:type="dxa"/>
            <w:vAlign w:val="bottom"/>
          </w:tcPr>
          <w:p>
            <w:pPr>
              <w:spacing w:after="0"/>
              <w:rPr>
                <w:sz w:val="18"/>
                <w:szCs w:val="18"/>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75,000</w:t>
            </w:r>
          </w:p>
        </w:tc>
        <w:tc>
          <w:tcPr>
            <w:tcW w:w="780" w:type="dxa"/>
            <w:vAlign w:val="bottom"/>
            <w:gridSpan w:val="3"/>
          </w:tcPr>
          <w:p>
            <w:pPr>
              <w:jc w:val="right"/>
              <w:spacing w:after="0"/>
              <w:rPr>
                <w:sz w:val="20"/>
                <w:szCs w:val="20"/>
                <w:color w:val="auto"/>
              </w:rPr>
            </w:pPr>
            <w:r>
              <w:rPr>
                <w:rFonts w:ascii="Arial" w:cs="Arial" w:eastAsia="Arial" w:hAnsi="Arial"/>
                <w:sz w:val="18"/>
                <w:szCs w:val="18"/>
                <w:color w:val="auto"/>
              </w:rPr>
              <w:t>48.09</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1/2/2012</w:t>
            </w:r>
          </w:p>
        </w:tc>
        <w:tc>
          <w:tcPr>
            <w:tcW w:w="1560" w:type="dxa"/>
            <w:vAlign w:val="bottom"/>
            <w:gridSpan w:val="2"/>
          </w:tcPr>
          <w:p>
            <w:pPr>
              <w:jc w:val="right"/>
              <w:spacing w:after="0"/>
              <w:rPr>
                <w:sz w:val="20"/>
                <w:szCs w:val="20"/>
                <w:color w:val="auto"/>
              </w:rPr>
            </w:pPr>
            <w:r>
              <w:rPr>
                <w:rFonts w:ascii="Arial" w:cs="Arial" w:eastAsia="Arial" w:hAnsi="Arial"/>
                <w:sz w:val="18"/>
                <w:szCs w:val="18"/>
                <w:color w:val="auto"/>
              </w:rPr>
              <w:t>662,250</w:t>
            </w:r>
          </w:p>
        </w:tc>
        <w:tc>
          <w:tcPr>
            <w:tcW w:w="160" w:type="dxa"/>
            <w:vAlign w:val="bottom"/>
          </w:tcPr>
          <w:p>
            <w:pPr>
              <w:spacing w:after="0"/>
              <w:rPr>
                <w:sz w:val="18"/>
                <w:szCs w:val="18"/>
                <w:color w:val="auto"/>
              </w:rPr>
            </w:pPr>
          </w:p>
        </w:tc>
        <w:tc>
          <w:tcPr>
            <w:tcW w:w="1340" w:type="dxa"/>
            <w:vAlign w:val="bottom"/>
            <w:gridSpan w:val="2"/>
          </w:tcPr>
          <w:p>
            <w:pPr>
              <w:jc w:val="center"/>
              <w:ind w:right="160"/>
              <w:spacing w:after="0"/>
              <w:rPr>
                <w:sz w:val="20"/>
                <w:szCs w:val="20"/>
                <w:color w:val="auto"/>
              </w:rPr>
            </w:pPr>
            <w:r>
              <w:rPr>
                <w:rFonts w:ascii="Arial" w:cs="Arial" w:eastAsia="Arial" w:hAnsi="Arial"/>
                <w:sz w:val="18"/>
                <w:szCs w:val="18"/>
                <w:color w:val="auto"/>
                <w:w w:val="99"/>
              </w:rPr>
              <w:t>nil</w:t>
            </w:r>
          </w:p>
        </w:tc>
        <w:tc>
          <w:tcPr>
            <w:tcW w:w="980" w:type="dxa"/>
            <w:vAlign w:val="bottom"/>
          </w:tcPr>
          <w:p>
            <w:pPr>
              <w:jc w:val="center"/>
              <w:spacing w:after="0"/>
              <w:rPr>
                <w:sz w:val="20"/>
                <w:szCs w:val="20"/>
                <w:color w:val="auto"/>
              </w:rPr>
            </w:pPr>
            <w:r>
              <w:rPr>
                <w:rFonts w:ascii="Arial" w:cs="Arial" w:eastAsia="Arial" w:hAnsi="Arial"/>
                <w:sz w:val="18"/>
                <w:szCs w:val="18"/>
                <w:color w:val="auto"/>
              </w:rPr>
              <w:t>nil</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560" w:type="dxa"/>
            <w:vAlign w:val="bottom"/>
            <w:gridSpan w:val="2"/>
          </w:tcPr>
          <w:p>
            <w:pPr>
              <w:jc w:val="right"/>
              <w:spacing w:after="0"/>
              <w:rPr>
                <w:sz w:val="20"/>
                <w:szCs w:val="20"/>
                <w:color w:val="auto"/>
              </w:rPr>
            </w:pPr>
            <w:r>
              <w:rPr>
                <w:rFonts w:ascii="Arial" w:cs="Arial" w:eastAsia="Arial" w:hAnsi="Arial"/>
                <w:sz w:val="18"/>
                <w:szCs w:val="18"/>
                <w:color w:val="auto"/>
              </w:rPr>
              <w:t>125,000</w:t>
            </w:r>
          </w:p>
        </w:tc>
        <w:tc>
          <w:tcPr>
            <w:tcW w:w="780" w:type="dxa"/>
            <w:vAlign w:val="bottom"/>
            <w:gridSpan w:val="3"/>
          </w:tcPr>
          <w:p>
            <w:pPr>
              <w:jc w:val="right"/>
              <w:spacing w:after="0"/>
              <w:rPr>
                <w:sz w:val="20"/>
                <w:szCs w:val="20"/>
                <w:color w:val="auto"/>
              </w:rPr>
            </w:pPr>
            <w:r>
              <w:rPr>
                <w:rFonts w:ascii="Arial" w:cs="Arial" w:eastAsia="Arial" w:hAnsi="Arial"/>
                <w:sz w:val="18"/>
                <w:szCs w:val="18"/>
                <w:color w:val="auto"/>
              </w:rPr>
              <w:t>54.42</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1/2/2013</w:t>
            </w:r>
          </w:p>
        </w:tc>
        <w:tc>
          <w:tcPr>
            <w:tcW w:w="1560" w:type="dxa"/>
            <w:vAlign w:val="bottom"/>
            <w:gridSpan w:val="2"/>
          </w:tcPr>
          <w:p>
            <w:pPr>
              <w:jc w:val="right"/>
              <w:spacing w:after="0"/>
              <w:rPr>
                <w:sz w:val="20"/>
                <w:szCs w:val="20"/>
                <w:color w:val="auto"/>
              </w:rPr>
            </w:pPr>
            <w:r>
              <w:rPr>
                <w:rFonts w:ascii="Arial" w:cs="Arial" w:eastAsia="Arial" w:hAnsi="Arial"/>
                <w:sz w:val="18"/>
                <w:szCs w:val="18"/>
                <w:color w:val="auto"/>
              </w:rPr>
              <w:t>312,500</w:t>
            </w:r>
          </w:p>
        </w:tc>
        <w:tc>
          <w:tcPr>
            <w:tcW w:w="160" w:type="dxa"/>
            <w:vAlign w:val="bottom"/>
          </w:tcPr>
          <w:p>
            <w:pPr>
              <w:spacing w:after="0"/>
              <w:rPr>
                <w:sz w:val="18"/>
                <w:szCs w:val="18"/>
                <w:color w:val="auto"/>
              </w:rPr>
            </w:pPr>
          </w:p>
        </w:tc>
        <w:tc>
          <w:tcPr>
            <w:tcW w:w="11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560" w:type="dxa"/>
            <w:vAlign w:val="bottom"/>
            <w:gridSpan w:val="2"/>
          </w:tcPr>
          <w:p>
            <w:pPr>
              <w:jc w:val="right"/>
              <w:spacing w:after="0"/>
              <w:rPr>
                <w:sz w:val="20"/>
                <w:szCs w:val="20"/>
                <w:color w:val="auto"/>
              </w:rPr>
            </w:pPr>
            <w:r>
              <w:rPr>
                <w:rFonts w:ascii="Arial" w:cs="Arial" w:eastAsia="Arial" w:hAnsi="Arial"/>
                <w:sz w:val="18"/>
                <w:szCs w:val="18"/>
                <w:color w:val="auto"/>
              </w:rPr>
              <w:t>175,000</w:t>
            </w:r>
          </w:p>
        </w:tc>
        <w:tc>
          <w:tcPr>
            <w:tcW w:w="780" w:type="dxa"/>
            <w:vAlign w:val="bottom"/>
            <w:gridSpan w:val="3"/>
          </w:tcPr>
          <w:p>
            <w:pPr>
              <w:jc w:val="right"/>
              <w:spacing w:after="0"/>
              <w:rPr>
                <w:sz w:val="20"/>
                <w:szCs w:val="20"/>
                <w:color w:val="auto"/>
              </w:rPr>
            </w:pPr>
            <w:r>
              <w:rPr>
                <w:rFonts w:ascii="Arial" w:cs="Arial" w:eastAsia="Arial" w:hAnsi="Arial"/>
                <w:sz w:val="18"/>
                <w:szCs w:val="18"/>
                <w:color w:val="auto"/>
              </w:rPr>
              <w:t>62.77</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1/2/2014</w:t>
            </w:r>
          </w:p>
        </w:tc>
        <w:tc>
          <w:tcPr>
            <w:tcW w:w="180" w:type="dxa"/>
            <w:vAlign w:val="bottom"/>
          </w:tcPr>
          <w:p>
            <w:pPr>
              <w:spacing w:after="0"/>
              <w:rPr>
                <w:sz w:val="19"/>
                <w:szCs w:val="19"/>
                <w:color w:val="auto"/>
              </w:rPr>
            </w:pPr>
          </w:p>
        </w:tc>
        <w:tc>
          <w:tcPr>
            <w:tcW w:w="1540" w:type="dxa"/>
            <w:vAlign w:val="bottom"/>
            <w:gridSpan w:val="2"/>
          </w:tcPr>
          <w:p>
            <w:pPr>
              <w:ind w:left="1200"/>
              <w:spacing w:after="0"/>
              <w:rPr>
                <w:sz w:val="20"/>
                <w:szCs w:val="20"/>
                <w:color w:val="auto"/>
              </w:rPr>
            </w:pPr>
            <w:r>
              <w:rPr>
                <w:rFonts w:ascii="Arial" w:cs="Arial" w:eastAsia="Arial" w:hAnsi="Arial"/>
                <w:sz w:val="18"/>
                <w:szCs w:val="18"/>
                <w:color w:val="auto"/>
              </w:rPr>
              <w:t>nil</w:t>
            </w:r>
          </w:p>
        </w:tc>
        <w:tc>
          <w:tcPr>
            <w:tcW w:w="11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170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David Garofalo</w:t>
            </w:r>
          </w:p>
        </w:tc>
        <w:tc>
          <w:tcPr>
            <w:tcW w:w="1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50,000</w:t>
            </w:r>
          </w:p>
        </w:tc>
        <w:tc>
          <w:tcPr>
            <w:tcW w:w="78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48.09</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1/2/2012</w:t>
            </w:r>
          </w:p>
        </w:tc>
        <w:tc>
          <w:tcPr>
            <w:tcW w:w="1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441,500</w:t>
            </w:r>
          </w:p>
        </w:tc>
        <w:tc>
          <w:tcPr>
            <w:tcW w:w="16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center"/>
              <w:ind w:right="160"/>
              <w:spacing w:after="0"/>
              <w:rPr>
                <w:sz w:val="20"/>
                <w:szCs w:val="20"/>
                <w:color w:val="auto"/>
              </w:rPr>
            </w:pPr>
            <w:r>
              <w:rPr>
                <w:rFonts w:ascii="Arial" w:cs="Arial" w:eastAsia="Arial" w:hAnsi="Arial"/>
                <w:sz w:val="18"/>
                <w:szCs w:val="18"/>
                <w:color w:val="auto"/>
                <w:w w:val="99"/>
              </w:rPr>
              <w:t>nil</w:t>
            </w:r>
          </w:p>
        </w:tc>
        <w:tc>
          <w:tcPr>
            <w:tcW w:w="98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nil</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75,000</w:t>
            </w:r>
          </w:p>
        </w:tc>
        <w:tc>
          <w:tcPr>
            <w:tcW w:w="78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54.42</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1/2/2013</w:t>
            </w:r>
          </w:p>
        </w:tc>
        <w:tc>
          <w:tcPr>
            <w:tcW w:w="1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187,500</w:t>
            </w:r>
          </w:p>
        </w:tc>
        <w:tc>
          <w:tcPr>
            <w:tcW w:w="160" w:type="dxa"/>
            <w:vAlign w:val="bottom"/>
            <w:shd w:val="clear" w:color="auto" w:fill="CCEEFF"/>
          </w:tcPr>
          <w:p>
            <w:pPr>
              <w:spacing w:after="0"/>
              <w:rPr>
                <w:sz w:val="18"/>
                <w:szCs w:val="18"/>
                <w:color w:val="auto"/>
              </w:rPr>
            </w:pPr>
          </w:p>
        </w:tc>
        <w:tc>
          <w:tcPr>
            <w:tcW w:w="1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100,000</w:t>
            </w:r>
          </w:p>
        </w:tc>
        <w:tc>
          <w:tcPr>
            <w:tcW w:w="78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62.77</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1/2/2014</w:t>
            </w:r>
          </w:p>
        </w:tc>
        <w:tc>
          <w:tcPr>
            <w:tcW w:w="180" w:type="dxa"/>
            <w:vAlign w:val="bottom"/>
            <w:shd w:val="clear" w:color="auto" w:fill="CCEEFF"/>
          </w:tcPr>
          <w:p>
            <w:pPr>
              <w:spacing w:after="0"/>
              <w:rPr>
                <w:sz w:val="18"/>
                <w:szCs w:val="18"/>
                <w:color w:val="auto"/>
              </w:rPr>
            </w:pPr>
          </w:p>
        </w:tc>
        <w:tc>
          <w:tcPr>
            <w:tcW w:w="1540" w:type="dxa"/>
            <w:vAlign w:val="bottom"/>
            <w:gridSpan w:val="2"/>
            <w:shd w:val="clear" w:color="auto" w:fill="CCEEFF"/>
          </w:tcPr>
          <w:p>
            <w:pPr>
              <w:ind w:left="1200"/>
              <w:spacing w:after="0"/>
              <w:rPr>
                <w:sz w:val="20"/>
                <w:szCs w:val="20"/>
                <w:color w:val="auto"/>
              </w:rPr>
            </w:pPr>
            <w:r>
              <w:rPr>
                <w:rFonts w:ascii="Arial" w:cs="Arial" w:eastAsia="Arial" w:hAnsi="Arial"/>
                <w:sz w:val="18"/>
                <w:szCs w:val="18"/>
                <w:color w:val="auto"/>
              </w:rPr>
              <w:t>nil</w:t>
            </w:r>
          </w:p>
        </w:tc>
        <w:tc>
          <w:tcPr>
            <w:tcW w:w="1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1700" w:type="dxa"/>
            <w:vAlign w:val="bottom"/>
            <w:gridSpan w:val="3"/>
          </w:tcPr>
          <w:p>
            <w:pPr>
              <w:spacing w:after="0"/>
              <w:rPr>
                <w:sz w:val="20"/>
                <w:szCs w:val="20"/>
                <w:color w:val="auto"/>
              </w:rPr>
            </w:pPr>
            <w:r>
              <w:rPr>
                <w:rFonts w:ascii="Arial" w:cs="Arial" w:eastAsia="Arial" w:hAnsi="Arial"/>
                <w:sz w:val="18"/>
                <w:szCs w:val="18"/>
                <w:color w:val="auto"/>
              </w:rPr>
              <w:t>Alain Blackburn</w:t>
            </w:r>
          </w:p>
        </w:tc>
        <w:tc>
          <w:tcPr>
            <w:tcW w:w="160" w:type="dxa"/>
            <w:vAlign w:val="bottom"/>
          </w:tcPr>
          <w:p>
            <w:pPr>
              <w:spacing w:after="0"/>
              <w:rPr>
                <w:sz w:val="18"/>
                <w:szCs w:val="18"/>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22,500</w:t>
            </w:r>
          </w:p>
        </w:tc>
        <w:tc>
          <w:tcPr>
            <w:tcW w:w="780" w:type="dxa"/>
            <w:vAlign w:val="bottom"/>
            <w:gridSpan w:val="3"/>
          </w:tcPr>
          <w:p>
            <w:pPr>
              <w:jc w:val="right"/>
              <w:spacing w:after="0"/>
              <w:rPr>
                <w:sz w:val="20"/>
                <w:szCs w:val="20"/>
                <w:color w:val="auto"/>
              </w:rPr>
            </w:pPr>
            <w:r>
              <w:rPr>
                <w:rFonts w:ascii="Arial" w:cs="Arial" w:eastAsia="Arial" w:hAnsi="Arial"/>
                <w:sz w:val="18"/>
                <w:szCs w:val="18"/>
                <w:color w:val="auto"/>
              </w:rPr>
              <w:t>48.09</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1/2/2012</w:t>
            </w:r>
          </w:p>
        </w:tc>
        <w:tc>
          <w:tcPr>
            <w:tcW w:w="1560" w:type="dxa"/>
            <w:vAlign w:val="bottom"/>
            <w:gridSpan w:val="2"/>
          </w:tcPr>
          <w:p>
            <w:pPr>
              <w:jc w:val="right"/>
              <w:spacing w:after="0"/>
              <w:rPr>
                <w:sz w:val="20"/>
                <w:szCs w:val="20"/>
                <w:color w:val="auto"/>
              </w:rPr>
            </w:pPr>
            <w:r>
              <w:rPr>
                <w:rFonts w:ascii="Arial" w:cs="Arial" w:eastAsia="Arial" w:hAnsi="Arial"/>
                <w:sz w:val="18"/>
                <w:szCs w:val="18"/>
                <w:color w:val="auto"/>
              </w:rPr>
              <w:t>198,675</w:t>
            </w:r>
          </w:p>
        </w:tc>
        <w:tc>
          <w:tcPr>
            <w:tcW w:w="160" w:type="dxa"/>
            <w:vAlign w:val="bottom"/>
          </w:tcPr>
          <w:p>
            <w:pPr>
              <w:spacing w:after="0"/>
              <w:rPr>
                <w:sz w:val="18"/>
                <w:szCs w:val="18"/>
                <w:color w:val="auto"/>
              </w:rPr>
            </w:pPr>
          </w:p>
        </w:tc>
        <w:tc>
          <w:tcPr>
            <w:tcW w:w="1340" w:type="dxa"/>
            <w:vAlign w:val="bottom"/>
            <w:gridSpan w:val="2"/>
          </w:tcPr>
          <w:p>
            <w:pPr>
              <w:jc w:val="center"/>
              <w:ind w:right="160"/>
              <w:spacing w:after="0"/>
              <w:rPr>
                <w:sz w:val="20"/>
                <w:szCs w:val="20"/>
                <w:color w:val="auto"/>
              </w:rPr>
            </w:pPr>
            <w:r>
              <w:rPr>
                <w:rFonts w:ascii="Arial" w:cs="Arial" w:eastAsia="Arial" w:hAnsi="Arial"/>
                <w:sz w:val="18"/>
                <w:szCs w:val="18"/>
                <w:color w:val="auto"/>
                <w:w w:val="99"/>
              </w:rPr>
              <w:t>nil</w:t>
            </w:r>
          </w:p>
        </w:tc>
        <w:tc>
          <w:tcPr>
            <w:tcW w:w="980" w:type="dxa"/>
            <w:vAlign w:val="bottom"/>
          </w:tcPr>
          <w:p>
            <w:pPr>
              <w:jc w:val="center"/>
              <w:spacing w:after="0"/>
              <w:rPr>
                <w:sz w:val="20"/>
                <w:szCs w:val="20"/>
                <w:color w:val="auto"/>
              </w:rPr>
            </w:pPr>
            <w:r>
              <w:rPr>
                <w:rFonts w:ascii="Arial" w:cs="Arial" w:eastAsia="Arial" w:hAnsi="Arial"/>
                <w:sz w:val="18"/>
                <w:szCs w:val="18"/>
                <w:color w:val="auto"/>
              </w:rPr>
              <w:t>nil</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560" w:type="dxa"/>
            <w:vAlign w:val="bottom"/>
            <w:gridSpan w:val="2"/>
          </w:tcPr>
          <w:p>
            <w:pPr>
              <w:jc w:val="right"/>
              <w:spacing w:after="0"/>
              <w:rPr>
                <w:sz w:val="20"/>
                <w:szCs w:val="20"/>
                <w:color w:val="auto"/>
              </w:rPr>
            </w:pPr>
            <w:r>
              <w:rPr>
                <w:rFonts w:ascii="Arial" w:cs="Arial" w:eastAsia="Arial" w:hAnsi="Arial"/>
                <w:sz w:val="18"/>
                <w:szCs w:val="18"/>
                <w:color w:val="auto"/>
              </w:rPr>
              <w:t>75,000</w:t>
            </w:r>
          </w:p>
        </w:tc>
        <w:tc>
          <w:tcPr>
            <w:tcW w:w="780" w:type="dxa"/>
            <w:vAlign w:val="bottom"/>
            <w:gridSpan w:val="3"/>
          </w:tcPr>
          <w:p>
            <w:pPr>
              <w:jc w:val="right"/>
              <w:spacing w:after="0"/>
              <w:rPr>
                <w:sz w:val="20"/>
                <w:szCs w:val="20"/>
                <w:color w:val="auto"/>
              </w:rPr>
            </w:pPr>
            <w:r>
              <w:rPr>
                <w:rFonts w:ascii="Arial" w:cs="Arial" w:eastAsia="Arial" w:hAnsi="Arial"/>
                <w:sz w:val="18"/>
                <w:szCs w:val="18"/>
                <w:color w:val="auto"/>
              </w:rPr>
              <w:t>54.42</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1/2/2013</w:t>
            </w:r>
          </w:p>
        </w:tc>
        <w:tc>
          <w:tcPr>
            <w:tcW w:w="1560" w:type="dxa"/>
            <w:vAlign w:val="bottom"/>
            <w:gridSpan w:val="2"/>
          </w:tcPr>
          <w:p>
            <w:pPr>
              <w:jc w:val="right"/>
              <w:spacing w:after="0"/>
              <w:rPr>
                <w:sz w:val="20"/>
                <w:szCs w:val="20"/>
                <w:color w:val="auto"/>
              </w:rPr>
            </w:pPr>
            <w:r>
              <w:rPr>
                <w:rFonts w:ascii="Arial" w:cs="Arial" w:eastAsia="Arial" w:hAnsi="Arial"/>
                <w:sz w:val="18"/>
                <w:szCs w:val="18"/>
                <w:color w:val="auto"/>
              </w:rPr>
              <w:t>187,500</w:t>
            </w:r>
          </w:p>
        </w:tc>
        <w:tc>
          <w:tcPr>
            <w:tcW w:w="160" w:type="dxa"/>
            <w:vAlign w:val="bottom"/>
          </w:tcPr>
          <w:p>
            <w:pPr>
              <w:spacing w:after="0"/>
              <w:rPr>
                <w:sz w:val="18"/>
                <w:szCs w:val="18"/>
                <w:color w:val="auto"/>
              </w:rPr>
            </w:pPr>
          </w:p>
        </w:tc>
        <w:tc>
          <w:tcPr>
            <w:tcW w:w="11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560" w:type="dxa"/>
            <w:vAlign w:val="bottom"/>
            <w:gridSpan w:val="2"/>
          </w:tcPr>
          <w:p>
            <w:pPr>
              <w:jc w:val="right"/>
              <w:spacing w:after="0"/>
              <w:rPr>
                <w:sz w:val="20"/>
                <w:szCs w:val="20"/>
                <w:color w:val="auto"/>
              </w:rPr>
            </w:pPr>
            <w:r>
              <w:rPr>
                <w:rFonts w:ascii="Arial" w:cs="Arial" w:eastAsia="Arial" w:hAnsi="Arial"/>
                <w:sz w:val="18"/>
                <w:szCs w:val="18"/>
                <w:color w:val="auto"/>
              </w:rPr>
              <w:t>100,000</w:t>
            </w:r>
          </w:p>
        </w:tc>
        <w:tc>
          <w:tcPr>
            <w:tcW w:w="780" w:type="dxa"/>
            <w:vAlign w:val="bottom"/>
            <w:gridSpan w:val="3"/>
          </w:tcPr>
          <w:p>
            <w:pPr>
              <w:jc w:val="right"/>
              <w:spacing w:after="0"/>
              <w:rPr>
                <w:sz w:val="20"/>
                <w:szCs w:val="20"/>
                <w:color w:val="auto"/>
              </w:rPr>
            </w:pPr>
            <w:r>
              <w:rPr>
                <w:rFonts w:ascii="Arial" w:cs="Arial" w:eastAsia="Arial" w:hAnsi="Arial"/>
                <w:sz w:val="18"/>
                <w:szCs w:val="18"/>
                <w:color w:val="auto"/>
              </w:rPr>
              <w:t>62.77</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1/2/2014</w:t>
            </w:r>
          </w:p>
        </w:tc>
        <w:tc>
          <w:tcPr>
            <w:tcW w:w="180" w:type="dxa"/>
            <w:vAlign w:val="bottom"/>
          </w:tcPr>
          <w:p>
            <w:pPr>
              <w:spacing w:after="0"/>
              <w:rPr>
                <w:sz w:val="19"/>
                <w:szCs w:val="19"/>
                <w:color w:val="auto"/>
              </w:rPr>
            </w:pPr>
          </w:p>
        </w:tc>
        <w:tc>
          <w:tcPr>
            <w:tcW w:w="1540" w:type="dxa"/>
            <w:vAlign w:val="bottom"/>
            <w:gridSpan w:val="2"/>
          </w:tcPr>
          <w:p>
            <w:pPr>
              <w:ind w:left="1200"/>
              <w:spacing w:after="0"/>
              <w:rPr>
                <w:sz w:val="20"/>
                <w:szCs w:val="20"/>
                <w:color w:val="auto"/>
              </w:rPr>
            </w:pPr>
            <w:r>
              <w:rPr>
                <w:rFonts w:ascii="Arial" w:cs="Arial" w:eastAsia="Arial" w:hAnsi="Arial"/>
                <w:sz w:val="18"/>
                <w:szCs w:val="18"/>
                <w:color w:val="auto"/>
              </w:rPr>
              <w:t>nil</w:t>
            </w:r>
          </w:p>
        </w:tc>
        <w:tc>
          <w:tcPr>
            <w:tcW w:w="11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170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Daniel Racine</w:t>
            </w:r>
          </w:p>
        </w:tc>
        <w:tc>
          <w:tcPr>
            <w:tcW w:w="1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3,000</w:t>
            </w:r>
          </w:p>
        </w:tc>
        <w:tc>
          <w:tcPr>
            <w:tcW w:w="78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15.96</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10/26/10</w:t>
            </w:r>
          </w:p>
        </w:tc>
        <w:tc>
          <w:tcPr>
            <w:tcW w:w="1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122,882</w:t>
            </w:r>
          </w:p>
        </w:tc>
        <w:tc>
          <w:tcPr>
            <w:tcW w:w="16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center"/>
              <w:ind w:right="160"/>
              <w:spacing w:after="0"/>
              <w:rPr>
                <w:sz w:val="20"/>
                <w:szCs w:val="20"/>
                <w:color w:val="auto"/>
              </w:rPr>
            </w:pPr>
            <w:r>
              <w:rPr>
                <w:rFonts w:ascii="Arial" w:cs="Arial" w:eastAsia="Arial" w:hAnsi="Arial"/>
                <w:sz w:val="18"/>
                <w:szCs w:val="18"/>
                <w:color w:val="auto"/>
                <w:w w:val="99"/>
              </w:rPr>
              <w:t>nil</w:t>
            </w:r>
          </w:p>
        </w:tc>
        <w:tc>
          <w:tcPr>
            <w:tcW w:w="98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nil</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30,000</w:t>
            </w:r>
          </w:p>
        </w:tc>
        <w:tc>
          <w:tcPr>
            <w:tcW w:w="78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23.02</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1/3/2011</w:t>
            </w:r>
          </w:p>
        </w:tc>
        <w:tc>
          <w:tcPr>
            <w:tcW w:w="1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1,017,000</w:t>
            </w:r>
          </w:p>
        </w:tc>
        <w:tc>
          <w:tcPr>
            <w:tcW w:w="160" w:type="dxa"/>
            <w:vAlign w:val="bottom"/>
            <w:shd w:val="clear" w:color="auto" w:fill="CCEEFF"/>
          </w:tcPr>
          <w:p>
            <w:pPr>
              <w:spacing w:after="0"/>
              <w:rPr>
                <w:sz w:val="18"/>
                <w:szCs w:val="18"/>
                <w:color w:val="auto"/>
              </w:rPr>
            </w:pPr>
          </w:p>
        </w:tc>
        <w:tc>
          <w:tcPr>
            <w:tcW w:w="1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40,000</w:t>
            </w:r>
          </w:p>
        </w:tc>
        <w:tc>
          <w:tcPr>
            <w:tcW w:w="78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48.09</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1/2/2012</w:t>
            </w:r>
          </w:p>
        </w:tc>
        <w:tc>
          <w:tcPr>
            <w:tcW w:w="1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353,200</w:t>
            </w:r>
          </w:p>
        </w:tc>
        <w:tc>
          <w:tcPr>
            <w:tcW w:w="160" w:type="dxa"/>
            <w:vAlign w:val="bottom"/>
            <w:shd w:val="clear" w:color="auto" w:fill="CCEEFF"/>
          </w:tcPr>
          <w:p>
            <w:pPr>
              <w:spacing w:after="0"/>
              <w:rPr>
                <w:sz w:val="18"/>
                <w:szCs w:val="18"/>
                <w:color w:val="auto"/>
              </w:rPr>
            </w:pPr>
          </w:p>
        </w:tc>
        <w:tc>
          <w:tcPr>
            <w:tcW w:w="1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35,000</w:t>
            </w:r>
          </w:p>
        </w:tc>
        <w:tc>
          <w:tcPr>
            <w:tcW w:w="78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39.18</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5/8/2012</w:t>
            </w:r>
          </w:p>
        </w:tc>
        <w:tc>
          <w:tcPr>
            <w:tcW w:w="1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620,900</w:t>
            </w:r>
          </w:p>
        </w:tc>
        <w:tc>
          <w:tcPr>
            <w:tcW w:w="160" w:type="dxa"/>
            <w:vAlign w:val="bottom"/>
            <w:shd w:val="clear" w:color="auto" w:fill="CCEEFF"/>
          </w:tcPr>
          <w:p>
            <w:pPr>
              <w:spacing w:after="0"/>
              <w:rPr>
                <w:sz w:val="18"/>
                <w:szCs w:val="18"/>
                <w:color w:val="auto"/>
              </w:rPr>
            </w:pPr>
          </w:p>
        </w:tc>
        <w:tc>
          <w:tcPr>
            <w:tcW w:w="1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50,000</w:t>
            </w:r>
          </w:p>
        </w:tc>
        <w:tc>
          <w:tcPr>
            <w:tcW w:w="16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54.42</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1/2/2013</w:t>
            </w:r>
          </w:p>
        </w:tc>
        <w:tc>
          <w:tcPr>
            <w:tcW w:w="1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125,000</w:t>
            </w:r>
          </w:p>
        </w:tc>
        <w:tc>
          <w:tcPr>
            <w:tcW w:w="160" w:type="dxa"/>
            <w:vAlign w:val="bottom"/>
            <w:shd w:val="clear" w:color="auto" w:fill="CCEEFF"/>
          </w:tcPr>
          <w:p>
            <w:pPr>
              <w:spacing w:after="0"/>
              <w:rPr>
                <w:sz w:val="18"/>
                <w:szCs w:val="18"/>
                <w:color w:val="auto"/>
              </w:rPr>
            </w:pPr>
          </w:p>
        </w:tc>
        <w:tc>
          <w:tcPr>
            <w:tcW w:w="1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10,000</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66.74</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6/26/2013</w:t>
            </w:r>
          </w:p>
        </w:tc>
        <w:tc>
          <w:tcPr>
            <w:tcW w:w="180" w:type="dxa"/>
            <w:vAlign w:val="bottom"/>
            <w:shd w:val="clear" w:color="auto" w:fill="CCEEFF"/>
          </w:tcPr>
          <w:p>
            <w:pPr>
              <w:spacing w:after="0"/>
              <w:rPr>
                <w:sz w:val="18"/>
                <w:szCs w:val="18"/>
                <w:color w:val="auto"/>
              </w:rPr>
            </w:pPr>
          </w:p>
        </w:tc>
        <w:tc>
          <w:tcPr>
            <w:tcW w:w="1540" w:type="dxa"/>
            <w:vAlign w:val="bottom"/>
            <w:gridSpan w:val="2"/>
            <w:shd w:val="clear" w:color="auto" w:fill="CCEEFF"/>
          </w:tcPr>
          <w:p>
            <w:pPr>
              <w:ind w:left="1200"/>
              <w:spacing w:after="0"/>
              <w:rPr>
                <w:sz w:val="20"/>
                <w:szCs w:val="20"/>
                <w:color w:val="auto"/>
              </w:rPr>
            </w:pPr>
            <w:r>
              <w:rPr>
                <w:rFonts w:ascii="Arial" w:cs="Arial" w:eastAsia="Arial" w:hAnsi="Arial"/>
                <w:sz w:val="18"/>
                <w:szCs w:val="18"/>
                <w:color w:val="auto"/>
              </w:rPr>
              <w:t>nil</w:t>
            </w:r>
          </w:p>
        </w:tc>
        <w:tc>
          <w:tcPr>
            <w:tcW w:w="1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75,000</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62.77</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1/2/2014</w:t>
            </w:r>
          </w:p>
        </w:tc>
        <w:tc>
          <w:tcPr>
            <w:tcW w:w="180" w:type="dxa"/>
            <w:vAlign w:val="bottom"/>
            <w:shd w:val="clear" w:color="auto" w:fill="CCEEFF"/>
          </w:tcPr>
          <w:p>
            <w:pPr>
              <w:spacing w:after="0"/>
              <w:rPr>
                <w:sz w:val="18"/>
                <w:szCs w:val="18"/>
                <w:color w:val="auto"/>
              </w:rPr>
            </w:pPr>
          </w:p>
        </w:tc>
        <w:tc>
          <w:tcPr>
            <w:tcW w:w="1540" w:type="dxa"/>
            <w:vAlign w:val="bottom"/>
            <w:gridSpan w:val="2"/>
            <w:shd w:val="clear" w:color="auto" w:fill="CCEEFF"/>
          </w:tcPr>
          <w:p>
            <w:pPr>
              <w:ind w:left="1200"/>
              <w:spacing w:after="0"/>
              <w:rPr>
                <w:sz w:val="20"/>
                <w:szCs w:val="20"/>
                <w:color w:val="auto"/>
              </w:rPr>
            </w:pPr>
            <w:r>
              <w:rPr>
                <w:rFonts w:ascii="Arial" w:cs="Arial" w:eastAsia="Arial" w:hAnsi="Arial"/>
                <w:sz w:val="18"/>
                <w:szCs w:val="18"/>
                <w:color w:val="auto"/>
              </w:rPr>
              <w:t>nil</w:t>
            </w:r>
          </w:p>
        </w:tc>
        <w:tc>
          <w:tcPr>
            <w:tcW w:w="1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08"/>
        </w:trPr>
        <w:tc>
          <w:tcPr>
            <w:tcW w:w="20" w:type="dxa"/>
            <w:vAlign w:val="bottom"/>
          </w:tcPr>
          <w:p>
            <w:pPr>
              <w:spacing w:after="0"/>
              <w:rPr>
                <w:sz w:val="9"/>
                <w:szCs w:val="9"/>
                <w:color w:val="auto"/>
              </w:rPr>
            </w:pPr>
          </w:p>
        </w:tc>
        <w:tc>
          <w:tcPr>
            <w:tcW w:w="380" w:type="dxa"/>
            <w:vAlign w:val="bottom"/>
            <w:tcBorders>
              <w:bottom w:val="single" w:sz="8" w:color="auto"/>
            </w:tcBorders>
          </w:tcPr>
          <w:p>
            <w:pPr>
              <w:spacing w:after="0"/>
              <w:rPr>
                <w:sz w:val="9"/>
                <w:szCs w:val="9"/>
                <w:color w:val="auto"/>
              </w:rPr>
            </w:pPr>
          </w:p>
        </w:tc>
        <w:tc>
          <w:tcPr>
            <w:tcW w:w="880" w:type="dxa"/>
            <w:vAlign w:val="bottom"/>
            <w:tcBorders>
              <w:bottom w:val="single" w:sz="8" w:color="auto"/>
            </w:tcBorders>
          </w:tcPr>
          <w:p>
            <w:pPr>
              <w:spacing w:after="0"/>
              <w:rPr>
                <w:sz w:val="9"/>
                <w:szCs w:val="9"/>
                <w:color w:val="auto"/>
              </w:rPr>
            </w:pPr>
          </w:p>
        </w:tc>
        <w:tc>
          <w:tcPr>
            <w:tcW w:w="440" w:type="dxa"/>
            <w:vAlign w:val="bottom"/>
          </w:tcPr>
          <w:p>
            <w:pPr>
              <w:spacing w:after="0"/>
              <w:rPr>
                <w:sz w:val="9"/>
                <w:szCs w:val="9"/>
                <w:color w:val="auto"/>
              </w:rPr>
            </w:pPr>
          </w:p>
        </w:tc>
        <w:tc>
          <w:tcPr>
            <w:tcW w:w="160" w:type="dxa"/>
            <w:vAlign w:val="bottom"/>
          </w:tcPr>
          <w:p>
            <w:pPr>
              <w:spacing w:after="0"/>
              <w:rPr>
                <w:sz w:val="9"/>
                <w:szCs w:val="9"/>
                <w:color w:val="auto"/>
              </w:rPr>
            </w:pPr>
          </w:p>
        </w:tc>
        <w:tc>
          <w:tcPr>
            <w:tcW w:w="1400" w:type="dxa"/>
            <w:vAlign w:val="bottom"/>
          </w:tcPr>
          <w:p>
            <w:pPr>
              <w:spacing w:after="0"/>
              <w:rPr>
                <w:sz w:val="9"/>
                <w:szCs w:val="9"/>
                <w:color w:val="auto"/>
              </w:rPr>
            </w:pPr>
          </w:p>
        </w:tc>
        <w:tc>
          <w:tcPr>
            <w:tcW w:w="160" w:type="dxa"/>
            <w:vAlign w:val="bottom"/>
          </w:tcPr>
          <w:p>
            <w:pPr>
              <w:spacing w:after="0"/>
              <w:rPr>
                <w:sz w:val="9"/>
                <w:szCs w:val="9"/>
                <w:color w:val="auto"/>
              </w:rPr>
            </w:pPr>
          </w:p>
        </w:tc>
        <w:tc>
          <w:tcPr>
            <w:tcW w:w="80" w:type="dxa"/>
            <w:vAlign w:val="bottom"/>
          </w:tcPr>
          <w:p>
            <w:pPr>
              <w:spacing w:after="0"/>
              <w:rPr>
                <w:sz w:val="9"/>
                <w:szCs w:val="9"/>
                <w:color w:val="auto"/>
              </w:rPr>
            </w:pPr>
          </w:p>
        </w:tc>
        <w:tc>
          <w:tcPr>
            <w:tcW w:w="540" w:type="dxa"/>
            <w:vAlign w:val="bottom"/>
          </w:tcPr>
          <w:p>
            <w:pPr>
              <w:spacing w:after="0"/>
              <w:rPr>
                <w:sz w:val="9"/>
                <w:szCs w:val="9"/>
                <w:color w:val="auto"/>
              </w:rPr>
            </w:pPr>
          </w:p>
        </w:tc>
        <w:tc>
          <w:tcPr>
            <w:tcW w:w="160" w:type="dxa"/>
            <w:vAlign w:val="bottom"/>
          </w:tcPr>
          <w:p>
            <w:pPr>
              <w:spacing w:after="0"/>
              <w:rPr>
                <w:sz w:val="9"/>
                <w:szCs w:val="9"/>
                <w:color w:val="auto"/>
              </w:rPr>
            </w:pPr>
          </w:p>
        </w:tc>
        <w:tc>
          <w:tcPr>
            <w:tcW w:w="1000" w:type="dxa"/>
            <w:vAlign w:val="bottom"/>
          </w:tcPr>
          <w:p>
            <w:pPr>
              <w:spacing w:after="0"/>
              <w:rPr>
                <w:sz w:val="9"/>
                <w:szCs w:val="9"/>
                <w:color w:val="auto"/>
              </w:rPr>
            </w:pPr>
          </w:p>
        </w:tc>
        <w:tc>
          <w:tcPr>
            <w:tcW w:w="180" w:type="dxa"/>
            <w:vAlign w:val="bottom"/>
          </w:tcPr>
          <w:p>
            <w:pPr>
              <w:spacing w:after="0"/>
              <w:rPr>
                <w:sz w:val="9"/>
                <w:szCs w:val="9"/>
                <w:color w:val="auto"/>
              </w:rPr>
            </w:pPr>
          </w:p>
        </w:tc>
        <w:tc>
          <w:tcPr>
            <w:tcW w:w="1380" w:type="dxa"/>
            <w:vAlign w:val="bottom"/>
          </w:tcPr>
          <w:p>
            <w:pPr>
              <w:spacing w:after="0"/>
              <w:rPr>
                <w:sz w:val="9"/>
                <w:szCs w:val="9"/>
                <w:color w:val="auto"/>
              </w:rPr>
            </w:pPr>
          </w:p>
        </w:tc>
        <w:tc>
          <w:tcPr>
            <w:tcW w:w="160" w:type="dxa"/>
            <w:vAlign w:val="bottom"/>
          </w:tcPr>
          <w:p>
            <w:pPr>
              <w:spacing w:after="0"/>
              <w:rPr>
                <w:sz w:val="9"/>
                <w:szCs w:val="9"/>
                <w:color w:val="auto"/>
              </w:rPr>
            </w:pPr>
          </w:p>
        </w:tc>
        <w:tc>
          <w:tcPr>
            <w:tcW w:w="1180" w:type="dxa"/>
            <w:vAlign w:val="bottom"/>
          </w:tcPr>
          <w:p>
            <w:pPr>
              <w:spacing w:after="0"/>
              <w:rPr>
                <w:sz w:val="9"/>
                <w:szCs w:val="9"/>
                <w:color w:val="auto"/>
              </w:rPr>
            </w:pPr>
          </w:p>
        </w:tc>
        <w:tc>
          <w:tcPr>
            <w:tcW w:w="160" w:type="dxa"/>
            <w:vAlign w:val="bottom"/>
          </w:tcPr>
          <w:p>
            <w:pPr>
              <w:spacing w:after="0"/>
              <w:rPr>
                <w:sz w:val="9"/>
                <w:szCs w:val="9"/>
                <w:color w:val="auto"/>
              </w:rPr>
            </w:pPr>
          </w:p>
        </w:tc>
        <w:tc>
          <w:tcPr>
            <w:tcW w:w="98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p>
    <w:p>
      <w:pPr>
        <w:ind w:left="1680" w:hanging="531"/>
        <w:spacing w:after="0"/>
        <w:tabs>
          <w:tab w:leader="none" w:pos="1680" w:val="left"/>
        </w:tabs>
        <w:numPr>
          <w:ilvl w:val="0"/>
          <w:numId w:val="48"/>
        </w:numPr>
        <w:rPr>
          <w:rFonts w:ascii="Arial" w:cs="Arial" w:eastAsia="Arial" w:hAnsi="Arial"/>
          <w:sz w:val="12"/>
          <w:szCs w:val="12"/>
          <w:color w:val="auto"/>
        </w:rPr>
      </w:pPr>
      <w:r>
        <w:rPr>
          <w:rFonts w:ascii="Arial" w:cs="Arial" w:eastAsia="Arial" w:hAnsi="Arial"/>
          <w:sz w:val="12"/>
          <w:szCs w:val="12"/>
          <w:color w:val="auto"/>
        </w:rPr>
        <w:t>Based on a closing price of the Company's shares on the TSX of C$56.92 on December 31, 2009. On December 31, 2009 the Noon Buying Rate was C$1.00 equals US$0.9555.</w:t>
      </w:r>
    </w:p>
    <w:p>
      <w:pPr>
        <w:spacing w:after="0" w:line="22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49" w:name="page150"/>
    <w:bookmarkEnd w:id="149"/>
    <w:p>
      <w:pPr>
        <w:jc w:val="both"/>
        <w:ind w:firstLine="419"/>
        <w:spacing w:after="0" w:line="332" w:lineRule="auto"/>
        <w:rPr>
          <w:sz w:val="20"/>
          <w:szCs w:val="20"/>
          <w:color w:val="auto"/>
        </w:rPr>
      </w:pPr>
      <w:r>
        <w:rPr>
          <w:rFonts w:ascii="Arial" w:cs="Arial" w:eastAsia="Arial" w:hAnsi="Arial"/>
          <w:sz w:val="16"/>
          <w:szCs w:val="16"/>
          <w:color w:val="auto"/>
        </w:rPr>
        <w:t>The following table shows, as at December 31, 2009, compensation plans under which equity securities of Agnico-Eagle are authorized for issuance from treasury. The information has been aggregated by plans approved by shareholders and plans not approved by shareholders, of which there are none.</w:t>
      </w:r>
    </w:p>
    <w:p>
      <w:pPr>
        <w:spacing w:after="0" w:line="13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Equity Compensation Plan Information</w:t>
      </w:r>
    </w:p>
    <w:p>
      <w:pPr>
        <w:spacing w:after="0" w:line="214"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3180" w:type="dxa"/>
            <w:vAlign w:val="bottom"/>
          </w:tcPr>
          <w:p>
            <w:pPr>
              <w:spacing w:after="0"/>
              <w:rPr>
                <w:sz w:val="14"/>
                <w:szCs w:val="14"/>
                <w:color w:val="auto"/>
              </w:rPr>
            </w:pPr>
          </w:p>
        </w:tc>
        <w:tc>
          <w:tcPr>
            <w:tcW w:w="1400" w:type="dxa"/>
            <w:vAlign w:val="bottom"/>
          </w:tcPr>
          <w:p>
            <w:pPr>
              <w:jc w:val="center"/>
              <w:spacing w:after="0"/>
              <w:rPr>
                <w:sz w:val="20"/>
                <w:szCs w:val="20"/>
                <w:color w:val="auto"/>
              </w:rPr>
            </w:pPr>
            <w:r>
              <w:rPr>
                <w:rFonts w:ascii="Arial" w:cs="Arial" w:eastAsia="Arial" w:hAnsi="Arial"/>
                <w:sz w:val="14"/>
                <w:szCs w:val="14"/>
                <w:b w:val="1"/>
                <w:bCs w:val="1"/>
                <w:color w:val="auto"/>
                <w:w w:val="86"/>
              </w:rPr>
              <w:t>Number of securities</w:t>
            </w:r>
          </w:p>
        </w:tc>
        <w:tc>
          <w:tcPr>
            <w:tcW w:w="1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9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6"/>
              </w:rPr>
              <w:t>Number of securities</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3180" w:type="dxa"/>
            <w:vAlign w:val="bottom"/>
          </w:tcPr>
          <w:p>
            <w:pPr>
              <w:spacing w:after="0"/>
              <w:rPr>
                <w:sz w:val="12"/>
                <w:szCs w:val="12"/>
                <w:color w:val="auto"/>
              </w:rPr>
            </w:pPr>
          </w:p>
        </w:tc>
        <w:tc>
          <w:tcPr>
            <w:tcW w:w="14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1"/>
              </w:rPr>
              <w:t>to be issued on</w:t>
            </w:r>
          </w:p>
        </w:tc>
        <w:tc>
          <w:tcPr>
            <w:tcW w:w="1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40" w:type="dxa"/>
            <w:vAlign w:val="bottom"/>
          </w:tcPr>
          <w:p>
            <w:pPr>
              <w:jc w:val="center"/>
              <w:ind w:right="142"/>
              <w:spacing w:after="0" w:line="149" w:lineRule="exact"/>
              <w:rPr>
                <w:sz w:val="20"/>
                <w:szCs w:val="20"/>
                <w:color w:val="auto"/>
              </w:rPr>
            </w:pPr>
            <w:r>
              <w:rPr>
                <w:rFonts w:ascii="Arial" w:cs="Arial" w:eastAsia="Arial" w:hAnsi="Arial"/>
                <w:sz w:val="14"/>
                <w:szCs w:val="14"/>
                <w:b w:val="1"/>
                <w:bCs w:val="1"/>
                <w:color w:val="auto"/>
                <w:w w:val="85"/>
              </w:rPr>
              <w:t>Weighted average</w:t>
            </w:r>
          </w:p>
        </w:tc>
        <w:tc>
          <w:tcPr>
            <w:tcW w:w="160" w:type="dxa"/>
            <w:vAlign w:val="bottom"/>
          </w:tcPr>
          <w:p>
            <w:pPr>
              <w:spacing w:after="0"/>
              <w:rPr>
                <w:sz w:val="12"/>
                <w:szCs w:val="12"/>
                <w:color w:val="auto"/>
              </w:rPr>
            </w:pPr>
          </w:p>
        </w:tc>
        <w:tc>
          <w:tcPr>
            <w:tcW w:w="192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7"/>
              </w:rPr>
              <w:t>remaining available for</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3180" w:type="dxa"/>
            <w:vAlign w:val="bottom"/>
          </w:tcPr>
          <w:p>
            <w:pPr>
              <w:spacing w:after="0"/>
              <w:rPr>
                <w:sz w:val="12"/>
                <w:szCs w:val="12"/>
                <w:color w:val="auto"/>
              </w:rPr>
            </w:pPr>
          </w:p>
        </w:tc>
        <w:tc>
          <w:tcPr>
            <w:tcW w:w="14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1"/>
              </w:rPr>
              <w:t>exercise of</w:t>
            </w:r>
          </w:p>
        </w:tc>
        <w:tc>
          <w:tcPr>
            <w:tcW w:w="1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40" w:type="dxa"/>
            <w:vAlign w:val="bottom"/>
          </w:tcPr>
          <w:p>
            <w:pPr>
              <w:jc w:val="center"/>
              <w:ind w:right="142"/>
              <w:spacing w:after="0" w:line="149" w:lineRule="exact"/>
              <w:rPr>
                <w:sz w:val="20"/>
                <w:szCs w:val="20"/>
                <w:color w:val="auto"/>
              </w:rPr>
            </w:pPr>
            <w:r>
              <w:rPr>
                <w:rFonts w:ascii="Arial" w:cs="Arial" w:eastAsia="Arial" w:hAnsi="Arial"/>
                <w:sz w:val="14"/>
                <w:szCs w:val="14"/>
                <w:b w:val="1"/>
                <w:bCs w:val="1"/>
                <w:color w:val="auto"/>
                <w:w w:val="85"/>
              </w:rPr>
              <w:t>exercise price of</w:t>
            </w:r>
          </w:p>
        </w:tc>
        <w:tc>
          <w:tcPr>
            <w:tcW w:w="160" w:type="dxa"/>
            <w:vAlign w:val="bottom"/>
          </w:tcPr>
          <w:p>
            <w:pPr>
              <w:spacing w:after="0"/>
              <w:rPr>
                <w:sz w:val="12"/>
                <w:szCs w:val="12"/>
                <w:color w:val="auto"/>
              </w:rPr>
            </w:pPr>
          </w:p>
        </w:tc>
        <w:tc>
          <w:tcPr>
            <w:tcW w:w="192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4"/>
              </w:rPr>
              <w:t>future issuances under</w:t>
            </w:r>
          </w:p>
        </w:tc>
        <w:tc>
          <w:tcPr>
            <w:tcW w:w="0" w:type="dxa"/>
            <w:vAlign w:val="bottom"/>
          </w:tcPr>
          <w:p>
            <w:pPr>
              <w:spacing w:after="0"/>
              <w:rPr>
                <w:sz w:val="1"/>
                <w:szCs w:val="1"/>
                <w:color w:val="auto"/>
              </w:rPr>
            </w:pPr>
          </w:p>
        </w:tc>
      </w:tr>
      <w:tr>
        <w:trPr>
          <w:trHeight w:val="161"/>
        </w:trPr>
        <w:tc>
          <w:tcPr>
            <w:tcW w:w="4080" w:type="dxa"/>
            <w:vAlign w:val="bottom"/>
            <w:gridSpan w:val="3"/>
          </w:tcPr>
          <w:p>
            <w:pPr>
              <w:spacing w:after="0"/>
              <w:rPr>
                <w:sz w:val="20"/>
                <w:szCs w:val="20"/>
                <w:color w:val="auto"/>
              </w:rPr>
            </w:pPr>
            <w:r>
              <w:rPr>
                <w:rFonts w:ascii="Arial" w:cs="Arial" w:eastAsia="Arial" w:hAnsi="Arial"/>
                <w:sz w:val="14"/>
                <w:szCs w:val="14"/>
                <w:b w:val="1"/>
                <w:bCs w:val="1"/>
                <w:color w:val="auto"/>
              </w:rPr>
              <w:t>Plan Category</w:t>
            </w:r>
          </w:p>
        </w:tc>
        <w:tc>
          <w:tcPr>
            <w:tcW w:w="1400" w:type="dxa"/>
            <w:vAlign w:val="bottom"/>
          </w:tcPr>
          <w:p>
            <w:pPr>
              <w:jc w:val="center"/>
              <w:spacing w:after="0"/>
              <w:rPr>
                <w:sz w:val="20"/>
                <w:szCs w:val="20"/>
                <w:color w:val="auto"/>
              </w:rPr>
            </w:pPr>
            <w:r>
              <w:rPr>
                <w:rFonts w:ascii="Arial" w:cs="Arial" w:eastAsia="Arial" w:hAnsi="Arial"/>
                <w:sz w:val="14"/>
                <w:szCs w:val="14"/>
                <w:b w:val="1"/>
                <w:bCs w:val="1"/>
                <w:color w:val="auto"/>
                <w:w w:val="84"/>
              </w:rPr>
              <w:t>outstanding options</w:t>
            </w:r>
          </w:p>
        </w:tc>
        <w:tc>
          <w:tcPr>
            <w:tcW w:w="160" w:type="dxa"/>
            <w:vAlign w:val="bottom"/>
          </w:tcPr>
          <w:p>
            <w:pPr>
              <w:spacing w:after="0"/>
              <w:rPr>
                <w:sz w:val="14"/>
                <w:szCs w:val="14"/>
                <w:color w:val="auto"/>
              </w:rPr>
            </w:pPr>
          </w:p>
        </w:tc>
        <w:tc>
          <w:tcPr>
            <w:tcW w:w="1460" w:type="dxa"/>
            <w:vAlign w:val="bottom"/>
            <w:gridSpan w:val="2"/>
          </w:tcPr>
          <w:p>
            <w:pPr>
              <w:jc w:val="center"/>
              <w:spacing w:after="0"/>
              <w:rPr>
                <w:sz w:val="20"/>
                <w:szCs w:val="20"/>
                <w:color w:val="auto"/>
              </w:rPr>
            </w:pPr>
            <w:r>
              <w:rPr>
                <w:rFonts w:ascii="Arial" w:cs="Arial" w:eastAsia="Arial" w:hAnsi="Arial"/>
                <w:sz w:val="14"/>
                <w:szCs w:val="14"/>
                <w:b w:val="1"/>
                <w:bCs w:val="1"/>
                <w:color w:val="auto"/>
                <w:w w:val="84"/>
              </w:rPr>
              <w:t>outstanding options</w:t>
            </w:r>
          </w:p>
        </w:tc>
        <w:tc>
          <w:tcPr>
            <w:tcW w:w="160" w:type="dxa"/>
            <w:vAlign w:val="bottom"/>
          </w:tcPr>
          <w:p>
            <w:pPr>
              <w:spacing w:after="0"/>
              <w:rPr>
                <w:sz w:val="14"/>
                <w:szCs w:val="14"/>
                <w:color w:val="auto"/>
              </w:rPr>
            </w:pPr>
          </w:p>
        </w:tc>
        <w:tc>
          <w:tcPr>
            <w:tcW w:w="192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5"/>
              </w:rPr>
              <w:t>equity compensation plans</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3180" w:type="dxa"/>
            <w:vAlign w:val="bottom"/>
          </w:tcPr>
          <w:p>
            <w:pPr>
              <w:spacing w:after="0" w:line="20" w:lineRule="exact"/>
              <w:rPr>
                <w:sz w:val="1"/>
                <w:szCs w:val="1"/>
                <w:color w:val="auto"/>
              </w:rPr>
            </w:pPr>
          </w:p>
        </w:tc>
        <w:tc>
          <w:tcPr>
            <w:tcW w:w="14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2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7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406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4"/>
              </w:rPr>
              <w:t>Equity compensation plans approved by shareholders</w:t>
            </w: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5,707,940</w:t>
            </w:r>
          </w:p>
        </w:tc>
        <w:tc>
          <w:tcPr>
            <w:tcW w:w="38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w w:val="86"/>
              </w:rPr>
              <w:t>C$</w:t>
            </w:r>
          </w:p>
        </w:tc>
        <w:tc>
          <w:tcPr>
            <w:tcW w:w="1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53.85</w:t>
            </w:r>
          </w:p>
        </w:tc>
        <w:tc>
          <w:tcPr>
            <w:tcW w:w="19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4,155,750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4060" w:type="dxa"/>
            <w:vAlign w:val="bottom"/>
            <w:gridSpan w:val="2"/>
          </w:tcPr>
          <w:p>
            <w:pPr>
              <w:spacing w:after="0"/>
              <w:rPr>
                <w:sz w:val="20"/>
                <w:szCs w:val="20"/>
                <w:color w:val="auto"/>
              </w:rPr>
            </w:pPr>
            <w:r>
              <w:rPr>
                <w:rFonts w:ascii="Arial" w:cs="Arial" w:eastAsia="Arial" w:hAnsi="Arial"/>
                <w:sz w:val="18"/>
                <w:szCs w:val="18"/>
                <w:color w:val="auto"/>
              </w:rPr>
              <w:t>Equity compensation plans not approved by</w:t>
            </w:r>
          </w:p>
        </w:tc>
        <w:tc>
          <w:tcPr>
            <w:tcW w:w="1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4060" w:type="dxa"/>
            <w:vAlign w:val="bottom"/>
            <w:gridSpan w:val="2"/>
          </w:tcPr>
          <w:p>
            <w:pPr>
              <w:ind w:left="160"/>
              <w:spacing w:after="0"/>
              <w:rPr>
                <w:sz w:val="20"/>
                <w:szCs w:val="20"/>
                <w:color w:val="auto"/>
              </w:rPr>
            </w:pPr>
            <w:r>
              <w:rPr>
                <w:rFonts w:ascii="Arial" w:cs="Arial" w:eastAsia="Arial" w:hAnsi="Arial"/>
                <w:sz w:val="18"/>
                <w:szCs w:val="18"/>
                <w:color w:val="auto"/>
              </w:rPr>
              <w:t>shareholders</w:t>
            </w:r>
          </w:p>
        </w:tc>
        <w:tc>
          <w:tcPr>
            <w:tcW w:w="1400" w:type="dxa"/>
            <w:vAlign w:val="bottom"/>
          </w:tcPr>
          <w:p>
            <w:pPr>
              <w:jc w:val="right"/>
              <w:spacing w:after="0"/>
              <w:rPr>
                <w:sz w:val="20"/>
                <w:szCs w:val="20"/>
                <w:color w:val="auto"/>
              </w:rPr>
            </w:pPr>
            <w:r>
              <w:rPr>
                <w:rFonts w:ascii="Arial" w:cs="Arial" w:eastAsia="Arial" w:hAnsi="Arial"/>
                <w:sz w:val="18"/>
                <w:szCs w:val="18"/>
                <w:color w:val="auto"/>
              </w:rPr>
              <w:t>Nil</w:t>
            </w:r>
          </w:p>
        </w:tc>
        <w:tc>
          <w:tcPr>
            <w:tcW w:w="1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240" w:type="dxa"/>
            <w:vAlign w:val="bottom"/>
          </w:tcPr>
          <w:p>
            <w:pPr>
              <w:jc w:val="right"/>
              <w:spacing w:after="0"/>
              <w:rPr>
                <w:sz w:val="20"/>
                <w:szCs w:val="20"/>
                <w:color w:val="auto"/>
              </w:rPr>
            </w:pPr>
            <w:r>
              <w:rPr>
                <w:rFonts w:ascii="Arial" w:cs="Arial" w:eastAsia="Arial" w:hAnsi="Arial"/>
                <w:sz w:val="18"/>
                <w:szCs w:val="18"/>
                <w:color w:val="auto"/>
              </w:rPr>
              <w:t>Nil</w:t>
            </w:r>
          </w:p>
        </w:tc>
        <w:tc>
          <w:tcPr>
            <w:tcW w:w="160" w:type="dxa"/>
            <w:vAlign w:val="bottom"/>
          </w:tcPr>
          <w:p>
            <w:pPr>
              <w:spacing w:after="0"/>
              <w:rPr>
                <w:sz w:val="19"/>
                <w:szCs w:val="19"/>
                <w:color w:val="auto"/>
              </w:rPr>
            </w:pPr>
          </w:p>
        </w:tc>
        <w:tc>
          <w:tcPr>
            <w:tcW w:w="1920" w:type="dxa"/>
            <w:vAlign w:val="bottom"/>
            <w:gridSpan w:val="2"/>
          </w:tcPr>
          <w:p>
            <w:pPr>
              <w:jc w:val="right"/>
              <w:ind w:right="180"/>
              <w:spacing w:after="0"/>
              <w:rPr>
                <w:sz w:val="20"/>
                <w:szCs w:val="20"/>
                <w:color w:val="auto"/>
              </w:rPr>
            </w:pPr>
            <w:r>
              <w:rPr>
                <w:rFonts w:ascii="Arial" w:cs="Arial" w:eastAsia="Arial" w:hAnsi="Arial"/>
                <w:sz w:val="18"/>
                <w:szCs w:val="18"/>
                <w:color w:val="auto"/>
              </w:rPr>
              <w:t>Nil</w:t>
            </w:r>
          </w:p>
        </w:tc>
        <w:tc>
          <w:tcPr>
            <w:tcW w:w="0" w:type="dxa"/>
            <w:vAlign w:val="bottom"/>
          </w:tcPr>
          <w:p>
            <w:pPr>
              <w:spacing w:after="0"/>
              <w:rPr>
                <w:sz w:val="1"/>
                <w:szCs w:val="1"/>
                <w:color w:val="auto"/>
              </w:rPr>
            </w:pPr>
          </w:p>
        </w:tc>
      </w:tr>
    </w:tbl>
    <w:p>
      <w:pPr>
        <w:spacing w:after="0" w:line="21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Employee Share Purchase Plan</w:t>
      </w:r>
    </w:p>
    <w:p>
      <w:pPr>
        <w:spacing w:after="0" w:line="225" w:lineRule="exact"/>
        <w:rPr>
          <w:sz w:val="20"/>
          <w:szCs w:val="20"/>
          <w:color w:val="auto"/>
        </w:rPr>
      </w:pPr>
    </w:p>
    <w:p>
      <w:pPr>
        <w:jc w:val="both"/>
        <w:ind w:firstLine="378"/>
        <w:spacing w:after="0" w:line="288" w:lineRule="auto"/>
        <w:rPr>
          <w:sz w:val="20"/>
          <w:szCs w:val="20"/>
          <w:color w:val="auto"/>
        </w:rPr>
      </w:pPr>
      <w:r>
        <w:rPr>
          <w:rFonts w:ascii="Arial" w:cs="Arial" w:eastAsia="Arial" w:hAnsi="Arial"/>
          <w:sz w:val="16"/>
          <w:szCs w:val="16"/>
          <w:color w:val="auto"/>
        </w:rPr>
        <w:t>In 1997, the shareholders of Agnico-Eagle approved the Employee Share Purchase Plan to encourage directors, officers and full-time employees of Agnico-Eagle to purchase common shares of Agnico-Eagle. In 2009, the Employee Share Purchase Plan was amended to prohibit non-executive directors from participating in the plan. Full-time employees who have been continuously employed by Agnico-Eagle or its subsidiaries for at least twelve months are eligible at the beginning of each fiscal year to elect to participate in the Employee Share Purchase Plan. Eligible employees may contribute up to 10% of their basic annual salary through monthly payroll deductions or quarterly payments by cheque. Agnico-Eagle contributes an amount equal to 50% of the individual's contributions and issues common shares which have a market value equal to the total contributions (individual and Company) under the Employee Share Purchase Plan. In 2008, the shareholders of Agnico-Eagle approved an amendment to the Employee Share Purchase Plan to increase the number of shares available under such plan to 5,000,000 common shares. Of the 5,000,000 common shares approved, Agnico-Eagle has, as of March 22, 2010, reserved 2,740,504 common shares for issuance under the Employee Share Purchase Plan.</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Pension Plan Benefits</w:t>
      </w:r>
    </w:p>
    <w:p>
      <w:pPr>
        <w:spacing w:after="0" w:line="225" w:lineRule="exact"/>
        <w:rPr>
          <w:sz w:val="20"/>
          <w:szCs w:val="20"/>
          <w:color w:val="auto"/>
        </w:rPr>
      </w:pPr>
    </w:p>
    <w:p>
      <w:pPr>
        <w:jc w:val="both"/>
        <w:ind w:firstLine="532"/>
        <w:spacing w:after="0" w:line="289" w:lineRule="auto"/>
        <w:rPr>
          <w:sz w:val="20"/>
          <w:szCs w:val="20"/>
          <w:color w:val="auto"/>
        </w:rPr>
      </w:pPr>
      <w:r>
        <w:rPr>
          <w:rFonts w:ascii="Arial" w:cs="Arial" w:eastAsia="Arial" w:hAnsi="Arial"/>
          <w:sz w:val="16"/>
          <w:szCs w:val="16"/>
          <w:color w:val="auto"/>
        </w:rPr>
        <w:t>Two individual Retirement Compensation Arrangement Plans (the "RCA Plans") for Mr. Boyd and Mr. Scherkus provide pension benefits which are generally equal (on an after-tax basis) to what the pension benefits would be if they were provided directly from a registered pension plan. There are no pension benefit limits under the RCA Plans. The RCA Plans provide an annual pension at age 60 equal to 2% of the executive's final three-year average pensionable earnings for each year of continuous service with the Company, less the annual pension payable under the Company's basic defined contribution pension plan (the "Basic Plan"). The pensionable earnings for the purposes of the RCA Plans consist of all basic remuneration and do not include benefits, bonuses, automobile or other allowances, or unusual payments. Payments under the RCA Plans are secured by a letter of credit from a Canadian chartered bank. Mr. Boyd and Mr. Scherkus may retire early, any time after reaching age 55, with a benefit based on service and final average earnings at the date of retirement and with no early retirement reduction. The Company does not have a policy to grant extra years of service under its pension plans.</w:t>
      </w:r>
    </w:p>
    <w:p>
      <w:pPr>
        <w:spacing w:after="0" w:line="172" w:lineRule="exact"/>
        <w:rPr>
          <w:sz w:val="20"/>
          <w:szCs w:val="20"/>
          <w:color w:val="auto"/>
        </w:rPr>
      </w:pPr>
    </w:p>
    <w:p>
      <w:pPr>
        <w:jc w:val="both"/>
        <w:ind w:right="20" w:firstLine="376"/>
        <w:spacing w:after="0" w:line="268" w:lineRule="auto"/>
        <w:rPr>
          <w:sz w:val="20"/>
          <w:szCs w:val="20"/>
          <w:color w:val="auto"/>
        </w:rPr>
      </w:pPr>
      <w:r>
        <w:rPr>
          <w:rFonts w:ascii="Arial" w:cs="Arial" w:eastAsia="Arial" w:hAnsi="Arial"/>
          <w:sz w:val="18"/>
          <w:szCs w:val="18"/>
          <w:color w:val="auto"/>
        </w:rPr>
        <w:t>The following table sets out the benefits to Mr. Boyd and Mr. Scherkus and the associated costs to the Company in excess of the costs under the Company's Basic Plan.</w:t>
      </w:r>
    </w:p>
    <w:p>
      <w:pPr>
        <w:spacing w:after="0" w:line="18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Defined Benefit Plans Table</w:t>
      </w:r>
    </w:p>
    <w:p>
      <w:pPr>
        <w:spacing w:after="0" w:line="268"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1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620" w:type="dxa"/>
            <w:vAlign w:val="bottom"/>
            <w:gridSpan w:val="3"/>
          </w:tcPr>
          <w:p>
            <w:pPr>
              <w:jc w:val="right"/>
              <w:ind w:right="292"/>
              <w:spacing w:after="0"/>
              <w:rPr>
                <w:sz w:val="20"/>
                <w:szCs w:val="20"/>
                <w:color w:val="auto"/>
              </w:rPr>
            </w:pPr>
            <w:r>
              <w:rPr>
                <w:rFonts w:ascii="Arial" w:cs="Arial" w:eastAsia="Arial" w:hAnsi="Arial"/>
                <w:sz w:val="14"/>
                <w:szCs w:val="14"/>
                <w:b w:val="1"/>
                <w:bCs w:val="1"/>
                <w:color w:val="auto"/>
              </w:rPr>
              <w:t>Annual Benefits</w:t>
            </w:r>
          </w:p>
        </w:tc>
        <w:tc>
          <w:tcPr>
            <w:tcW w:w="16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1"/>
        </w:trPr>
        <w:tc>
          <w:tcPr>
            <w:tcW w:w="11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940" w:type="dxa"/>
            <w:vAlign w:val="bottom"/>
            <w:gridSpan w:val="2"/>
            <w:vMerge w:val="restart"/>
          </w:tcPr>
          <w:p>
            <w:pPr>
              <w:jc w:val="center"/>
              <w:ind w:right="200"/>
              <w:spacing w:after="0"/>
              <w:rPr>
                <w:sz w:val="20"/>
                <w:szCs w:val="20"/>
                <w:color w:val="auto"/>
              </w:rPr>
            </w:pPr>
            <w:r>
              <w:rPr>
                <w:rFonts w:ascii="Arial" w:cs="Arial" w:eastAsia="Arial" w:hAnsi="Arial"/>
                <w:sz w:val="14"/>
                <w:szCs w:val="14"/>
                <w:b w:val="1"/>
                <w:bCs w:val="1"/>
                <w:color w:val="auto"/>
                <w:w w:val="88"/>
              </w:rPr>
              <w:t>Number of</w:t>
            </w:r>
          </w:p>
        </w:tc>
        <w:tc>
          <w:tcPr>
            <w:tcW w:w="1620" w:type="dxa"/>
            <w:vAlign w:val="bottom"/>
            <w:tcBorders>
              <w:bottom w:val="single" w:sz="8" w:color="auto"/>
            </w:tcBorders>
            <w:gridSpan w:val="3"/>
          </w:tcPr>
          <w:p>
            <w:pPr>
              <w:jc w:val="right"/>
              <w:ind w:right="512"/>
              <w:spacing w:after="0" w:line="141" w:lineRule="exact"/>
              <w:rPr>
                <w:sz w:val="20"/>
                <w:szCs w:val="20"/>
                <w:color w:val="auto"/>
              </w:rPr>
            </w:pPr>
            <w:r>
              <w:rPr>
                <w:rFonts w:ascii="Arial" w:cs="Arial" w:eastAsia="Arial" w:hAnsi="Arial"/>
                <w:sz w:val="14"/>
                <w:szCs w:val="14"/>
                <w:b w:val="1"/>
                <w:bCs w:val="1"/>
                <w:color w:val="auto"/>
              </w:rPr>
              <w:t>Accrued</w:t>
            </w:r>
          </w:p>
        </w:tc>
        <w:tc>
          <w:tcPr>
            <w:tcW w:w="160" w:type="dxa"/>
            <w:vAlign w:val="bottom"/>
          </w:tcPr>
          <w:p>
            <w:pPr>
              <w:spacing w:after="0"/>
              <w:rPr>
                <w:sz w:val="14"/>
                <w:szCs w:val="14"/>
                <w:color w:val="auto"/>
              </w:rPr>
            </w:pPr>
          </w:p>
        </w:tc>
        <w:tc>
          <w:tcPr>
            <w:tcW w:w="840" w:type="dxa"/>
            <w:vAlign w:val="bottom"/>
          </w:tcPr>
          <w:p>
            <w:pPr>
              <w:jc w:val="center"/>
              <w:spacing w:after="0" w:line="155" w:lineRule="exact"/>
              <w:rPr>
                <w:sz w:val="20"/>
                <w:szCs w:val="20"/>
                <w:color w:val="auto"/>
              </w:rPr>
            </w:pPr>
            <w:r>
              <w:rPr>
                <w:rFonts w:ascii="Arial" w:cs="Arial" w:eastAsia="Arial" w:hAnsi="Arial"/>
                <w:sz w:val="14"/>
                <w:szCs w:val="14"/>
                <w:b w:val="1"/>
                <w:bCs w:val="1"/>
                <w:color w:val="auto"/>
                <w:w w:val="89"/>
              </w:rPr>
              <w:t>Accrued</w:t>
            </w:r>
          </w:p>
        </w:tc>
        <w:tc>
          <w:tcPr>
            <w:tcW w:w="160" w:type="dxa"/>
            <w:vAlign w:val="bottom"/>
          </w:tcPr>
          <w:p>
            <w:pPr>
              <w:spacing w:after="0"/>
              <w:rPr>
                <w:sz w:val="14"/>
                <w:szCs w:val="14"/>
                <w:color w:val="auto"/>
              </w:rPr>
            </w:pPr>
          </w:p>
        </w:tc>
        <w:tc>
          <w:tcPr>
            <w:tcW w:w="10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11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940" w:type="dxa"/>
            <w:vAlign w:val="bottom"/>
            <w:gridSpan w:val="2"/>
            <w:vMerge w:val="continue"/>
          </w:tcPr>
          <w:p>
            <w:pPr>
              <w:spacing w:after="0"/>
              <w:rPr>
                <w:sz w:val="12"/>
                <w:szCs w:val="12"/>
                <w:color w:val="auto"/>
              </w:rPr>
            </w:pPr>
          </w:p>
        </w:tc>
        <w:tc>
          <w:tcPr>
            <w:tcW w:w="7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40" w:type="dxa"/>
            <w:vAlign w:val="bottom"/>
          </w:tcPr>
          <w:p>
            <w:pPr>
              <w:jc w:val="center"/>
              <w:spacing w:after="0" w:line="142" w:lineRule="exact"/>
              <w:rPr>
                <w:sz w:val="20"/>
                <w:szCs w:val="20"/>
                <w:color w:val="auto"/>
              </w:rPr>
            </w:pPr>
            <w:r>
              <w:rPr>
                <w:rFonts w:ascii="Arial" w:cs="Arial" w:eastAsia="Arial" w:hAnsi="Arial"/>
                <w:sz w:val="14"/>
                <w:szCs w:val="14"/>
                <w:b w:val="1"/>
                <w:bCs w:val="1"/>
                <w:color w:val="auto"/>
                <w:w w:val="89"/>
              </w:rPr>
              <w:t>Obligation</w:t>
            </w:r>
          </w:p>
        </w:tc>
        <w:tc>
          <w:tcPr>
            <w:tcW w:w="160" w:type="dxa"/>
            <w:vAlign w:val="bottom"/>
          </w:tcPr>
          <w:p>
            <w:pPr>
              <w:spacing w:after="0"/>
              <w:rPr>
                <w:sz w:val="12"/>
                <w:szCs w:val="12"/>
                <w:color w:val="auto"/>
              </w:rPr>
            </w:pPr>
          </w:p>
        </w:tc>
        <w:tc>
          <w:tcPr>
            <w:tcW w:w="10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0" w:type="dxa"/>
            <w:vAlign w:val="bottom"/>
          </w:tcPr>
          <w:p>
            <w:pPr>
              <w:jc w:val="center"/>
              <w:spacing w:after="0" w:line="142" w:lineRule="exact"/>
              <w:rPr>
                <w:sz w:val="20"/>
                <w:szCs w:val="20"/>
                <w:color w:val="auto"/>
              </w:rPr>
            </w:pPr>
            <w:r>
              <w:rPr>
                <w:rFonts w:ascii="Arial" w:cs="Arial" w:eastAsia="Arial" w:hAnsi="Arial"/>
                <w:sz w:val="14"/>
                <w:szCs w:val="14"/>
                <w:b w:val="1"/>
                <w:bCs w:val="1"/>
                <w:color w:val="auto"/>
                <w:w w:val="93"/>
              </w:rPr>
              <w:t>Non-</w:t>
            </w:r>
          </w:p>
        </w:tc>
        <w:tc>
          <w:tcPr>
            <w:tcW w:w="160" w:type="dxa"/>
            <w:vAlign w:val="bottom"/>
          </w:tcPr>
          <w:p>
            <w:pPr>
              <w:spacing w:after="0"/>
              <w:rPr>
                <w:sz w:val="12"/>
                <w:szCs w:val="12"/>
                <w:color w:val="auto"/>
              </w:rPr>
            </w:pPr>
          </w:p>
        </w:tc>
        <w:tc>
          <w:tcPr>
            <w:tcW w:w="2040" w:type="dxa"/>
            <w:vAlign w:val="bottom"/>
            <w:gridSpan w:val="3"/>
          </w:tcPr>
          <w:p>
            <w:pPr>
              <w:jc w:val="center"/>
              <w:ind w:right="1200"/>
              <w:spacing w:after="0" w:line="142" w:lineRule="exact"/>
              <w:rPr>
                <w:sz w:val="20"/>
                <w:szCs w:val="20"/>
                <w:color w:val="auto"/>
              </w:rPr>
            </w:pPr>
            <w:r>
              <w:rPr>
                <w:rFonts w:ascii="Arial" w:cs="Arial" w:eastAsia="Arial" w:hAnsi="Arial"/>
                <w:sz w:val="14"/>
                <w:szCs w:val="14"/>
                <w:b w:val="1"/>
                <w:bCs w:val="1"/>
                <w:color w:val="auto"/>
                <w:w w:val="85"/>
              </w:rPr>
              <w:t>Accrued</w:t>
            </w:r>
          </w:p>
        </w:tc>
        <w:tc>
          <w:tcPr>
            <w:tcW w:w="0" w:type="dxa"/>
            <w:vAlign w:val="bottom"/>
          </w:tcPr>
          <w:p>
            <w:pPr>
              <w:spacing w:after="0"/>
              <w:rPr>
                <w:sz w:val="1"/>
                <w:szCs w:val="1"/>
                <w:color w:val="auto"/>
              </w:rPr>
            </w:pPr>
          </w:p>
        </w:tc>
      </w:tr>
      <w:tr>
        <w:trPr>
          <w:trHeight w:val="149"/>
        </w:trPr>
        <w:tc>
          <w:tcPr>
            <w:tcW w:w="11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94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3"/>
              </w:rPr>
              <w:t>Years of</w:t>
            </w:r>
          </w:p>
        </w:tc>
        <w:tc>
          <w:tcPr>
            <w:tcW w:w="76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3"/>
              </w:rPr>
              <w:t>At Year</w:t>
            </w:r>
          </w:p>
        </w:tc>
        <w:tc>
          <w:tcPr>
            <w:tcW w:w="1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4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0"/>
              </w:rPr>
              <w:t>at the Start</w:t>
            </w:r>
          </w:p>
        </w:tc>
        <w:tc>
          <w:tcPr>
            <w:tcW w:w="160" w:type="dxa"/>
            <w:vAlign w:val="bottom"/>
          </w:tcPr>
          <w:p>
            <w:pPr>
              <w:spacing w:after="0"/>
              <w:rPr>
                <w:sz w:val="12"/>
                <w:szCs w:val="12"/>
                <w:color w:val="auto"/>
              </w:rPr>
            </w:pPr>
          </w:p>
        </w:tc>
        <w:tc>
          <w:tcPr>
            <w:tcW w:w="10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7"/>
              </w:rPr>
              <w:t>Compensatory</w:t>
            </w:r>
          </w:p>
        </w:tc>
        <w:tc>
          <w:tcPr>
            <w:tcW w:w="160" w:type="dxa"/>
            <w:vAlign w:val="bottom"/>
          </w:tcPr>
          <w:p>
            <w:pPr>
              <w:spacing w:after="0"/>
              <w:rPr>
                <w:sz w:val="12"/>
                <w:szCs w:val="12"/>
                <w:color w:val="auto"/>
              </w:rPr>
            </w:pPr>
          </w:p>
        </w:tc>
        <w:tc>
          <w:tcPr>
            <w:tcW w:w="10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7"/>
              </w:rPr>
              <w:t>Compensatory</w:t>
            </w:r>
          </w:p>
        </w:tc>
        <w:tc>
          <w:tcPr>
            <w:tcW w:w="160" w:type="dxa"/>
            <w:vAlign w:val="bottom"/>
          </w:tcPr>
          <w:p>
            <w:pPr>
              <w:spacing w:after="0"/>
              <w:rPr>
                <w:sz w:val="12"/>
                <w:szCs w:val="12"/>
                <w:color w:val="auto"/>
              </w:rPr>
            </w:pPr>
          </w:p>
        </w:tc>
        <w:tc>
          <w:tcPr>
            <w:tcW w:w="2040" w:type="dxa"/>
            <w:vAlign w:val="bottom"/>
            <w:gridSpan w:val="3"/>
          </w:tcPr>
          <w:p>
            <w:pPr>
              <w:jc w:val="center"/>
              <w:ind w:right="1200"/>
              <w:spacing w:after="0" w:line="149" w:lineRule="exact"/>
              <w:rPr>
                <w:sz w:val="20"/>
                <w:szCs w:val="20"/>
                <w:color w:val="auto"/>
              </w:rPr>
            </w:pPr>
            <w:r>
              <w:rPr>
                <w:rFonts w:ascii="Arial" w:cs="Arial" w:eastAsia="Arial" w:hAnsi="Arial"/>
                <w:sz w:val="14"/>
                <w:szCs w:val="14"/>
                <w:b w:val="1"/>
                <w:bCs w:val="1"/>
                <w:color w:val="auto"/>
                <w:w w:val="86"/>
              </w:rPr>
              <w:t>Obligation</w:t>
            </w:r>
          </w:p>
        </w:tc>
        <w:tc>
          <w:tcPr>
            <w:tcW w:w="0" w:type="dxa"/>
            <w:vAlign w:val="bottom"/>
          </w:tcPr>
          <w:p>
            <w:pPr>
              <w:spacing w:after="0"/>
              <w:rPr>
                <w:sz w:val="1"/>
                <w:szCs w:val="1"/>
                <w:color w:val="auto"/>
              </w:rPr>
            </w:pPr>
          </w:p>
        </w:tc>
      </w:tr>
      <w:tr>
        <w:trPr>
          <w:trHeight w:val="176"/>
        </w:trPr>
        <w:tc>
          <w:tcPr>
            <w:tcW w:w="1140" w:type="dxa"/>
            <w:vAlign w:val="bottom"/>
          </w:tcPr>
          <w:p>
            <w:pPr>
              <w:spacing w:after="0"/>
              <w:rPr>
                <w:sz w:val="15"/>
                <w:szCs w:val="15"/>
                <w:color w:val="auto"/>
              </w:rPr>
            </w:pPr>
          </w:p>
        </w:tc>
        <w:tc>
          <w:tcPr>
            <w:tcW w:w="400" w:type="dxa"/>
            <w:vAlign w:val="bottom"/>
            <w:gridSpan w:val="2"/>
          </w:tcPr>
          <w:p>
            <w:pPr>
              <w:spacing w:after="0"/>
              <w:rPr>
                <w:sz w:val="20"/>
                <w:szCs w:val="20"/>
                <w:color w:val="auto"/>
              </w:rPr>
            </w:pPr>
            <w:r>
              <w:rPr>
                <w:rFonts w:ascii="Arial" w:cs="Arial" w:eastAsia="Arial" w:hAnsi="Arial"/>
                <w:sz w:val="14"/>
                <w:szCs w:val="14"/>
                <w:b w:val="1"/>
                <w:bCs w:val="1"/>
                <w:color w:val="auto"/>
                <w:w w:val="99"/>
              </w:rPr>
              <w:t>Name</w:t>
            </w:r>
          </w:p>
        </w:tc>
        <w:tc>
          <w:tcPr>
            <w:tcW w:w="880" w:type="dxa"/>
            <w:vAlign w:val="bottom"/>
          </w:tcPr>
          <w:p>
            <w:pPr>
              <w:spacing w:after="0"/>
              <w:rPr>
                <w:sz w:val="15"/>
                <w:szCs w:val="15"/>
                <w:color w:val="auto"/>
              </w:rPr>
            </w:pPr>
          </w:p>
        </w:tc>
        <w:tc>
          <w:tcPr>
            <w:tcW w:w="920" w:type="dxa"/>
            <w:vAlign w:val="bottom"/>
          </w:tcPr>
          <w:p>
            <w:pPr>
              <w:spacing w:after="0"/>
              <w:rPr>
                <w:sz w:val="15"/>
                <w:szCs w:val="15"/>
                <w:color w:val="auto"/>
              </w:rPr>
            </w:pPr>
          </w:p>
        </w:tc>
        <w:tc>
          <w:tcPr>
            <w:tcW w:w="940" w:type="dxa"/>
            <w:vAlign w:val="bottom"/>
            <w:gridSpan w:val="2"/>
          </w:tcPr>
          <w:p>
            <w:pPr>
              <w:jc w:val="center"/>
              <w:ind w:right="180"/>
              <w:spacing w:after="0" w:line="176" w:lineRule="exact"/>
              <w:rPr>
                <w:sz w:val="20"/>
                <w:szCs w:val="20"/>
                <w:color w:val="auto"/>
              </w:rPr>
            </w:pPr>
            <w:r>
              <w:rPr>
                <w:rFonts w:ascii="Arial" w:cs="Arial" w:eastAsia="Arial" w:hAnsi="Arial"/>
                <w:sz w:val="13"/>
                <w:szCs w:val="13"/>
                <w:b w:val="1"/>
                <w:bCs w:val="1"/>
                <w:color w:val="auto"/>
                <w:w w:val="89"/>
              </w:rPr>
              <w:t>Service</w:t>
            </w:r>
            <w:r>
              <w:rPr>
                <w:rFonts w:ascii="Arial" w:cs="Arial" w:eastAsia="Arial" w:hAnsi="Arial"/>
                <w:sz w:val="20"/>
                <w:szCs w:val="20"/>
                <w:b w:val="1"/>
                <w:bCs w:val="1"/>
                <w:color w:val="auto"/>
                <w:w w:val="89"/>
                <w:vertAlign w:val="superscript"/>
              </w:rPr>
              <w:t>(1)</w:t>
            </w:r>
          </w:p>
        </w:tc>
        <w:tc>
          <w:tcPr>
            <w:tcW w:w="760" w:type="dxa"/>
            <w:vAlign w:val="bottom"/>
          </w:tcPr>
          <w:p>
            <w:pPr>
              <w:ind w:left="180"/>
              <w:spacing w:after="0" w:line="176" w:lineRule="exact"/>
              <w:rPr>
                <w:sz w:val="20"/>
                <w:szCs w:val="20"/>
                <w:color w:val="auto"/>
              </w:rPr>
            </w:pPr>
            <w:r>
              <w:rPr>
                <w:rFonts w:ascii="Arial" w:cs="Arial" w:eastAsia="Arial" w:hAnsi="Arial"/>
                <w:sz w:val="20"/>
                <w:szCs w:val="20"/>
                <w:b w:val="1"/>
                <w:bCs w:val="1"/>
                <w:color w:val="auto"/>
                <w:vertAlign w:val="subscript"/>
              </w:rPr>
              <w:t>End</w:t>
            </w:r>
            <w:r>
              <w:rPr>
                <w:rFonts w:ascii="Arial" w:cs="Arial" w:eastAsia="Arial" w:hAnsi="Arial"/>
                <w:sz w:val="9"/>
                <w:szCs w:val="9"/>
                <w:b w:val="1"/>
                <w:bCs w:val="1"/>
                <w:color w:val="auto"/>
              </w:rPr>
              <w:t>(1)</w:t>
            </w:r>
          </w:p>
        </w:tc>
        <w:tc>
          <w:tcPr>
            <w:tcW w:w="160" w:type="dxa"/>
            <w:vAlign w:val="bottom"/>
          </w:tcPr>
          <w:p>
            <w:pPr>
              <w:spacing w:after="0"/>
              <w:rPr>
                <w:sz w:val="15"/>
                <w:szCs w:val="15"/>
                <w:color w:val="auto"/>
              </w:rPr>
            </w:pPr>
          </w:p>
        </w:tc>
        <w:tc>
          <w:tcPr>
            <w:tcW w:w="700" w:type="dxa"/>
            <w:vAlign w:val="bottom"/>
          </w:tcPr>
          <w:p>
            <w:pPr>
              <w:jc w:val="right"/>
              <w:ind w:right="32"/>
              <w:spacing w:after="0"/>
              <w:rPr>
                <w:sz w:val="20"/>
                <w:szCs w:val="20"/>
                <w:color w:val="auto"/>
              </w:rPr>
            </w:pPr>
            <w:r>
              <w:rPr>
                <w:rFonts w:ascii="Arial" w:cs="Arial" w:eastAsia="Arial" w:hAnsi="Arial"/>
                <w:sz w:val="14"/>
                <w:szCs w:val="14"/>
                <w:b w:val="1"/>
                <w:bCs w:val="1"/>
                <w:color w:val="auto"/>
                <w:w w:val="93"/>
              </w:rPr>
              <w:t>At age 60</w:t>
            </w:r>
          </w:p>
        </w:tc>
        <w:tc>
          <w:tcPr>
            <w:tcW w:w="160" w:type="dxa"/>
            <w:vAlign w:val="bottom"/>
          </w:tcPr>
          <w:p>
            <w:pPr>
              <w:spacing w:after="0"/>
              <w:rPr>
                <w:sz w:val="15"/>
                <w:szCs w:val="15"/>
                <w:color w:val="auto"/>
              </w:rPr>
            </w:pPr>
          </w:p>
        </w:tc>
        <w:tc>
          <w:tcPr>
            <w:tcW w:w="840" w:type="dxa"/>
            <w:vAlign w:val="bottom"/>
          </w:tcPr>
          <w:p>
            <w:pPr>
              <w:jc w:val="center"/>
              <w:spacing w:after="0"/>
              <w:rPr>
                <w:sz w:val="20"/>
                <w:szCs w:val="20"/>
                <w:color w:val="auto"/>
              </w:rPr>
            </w:pPr>
            <w:r>
              <w:rPr>
                <w:rFonts w:ascii="Arial" w:cs="Arial" w:eastAsia="Arial" w:hAnsi="Arial"/>
                <w:sz w:val="14"/>
                <w:szCs w:val="14"/>
                <w:b w:val="1"/>
                <w:bCs w:val="1"/>
                <w:color w:val="auto"/>
                <w:w w:val="85"/>
              </w:rPr>
              <w:t>of the Year</w:t>
            </w:r>
          </w:p>
        </w:tc>
        <w:tc>
          <w:tcPr>
            <w:tcW w:w="160" w:type="dxa"/>
            <w:vAlign w:val="bottom"/>
          </w:tcPr>
          <w:p>
            <w:pPr>
              <w:spacing w:after="0"/>
              <w:rPr>
                <w:sz w:val="15"/>
                <w:szCs w:val="15"/>
                <w:color w:val="auto"/>
              </w:rPr>
            </w:pPr>
          </w:p>
        </w:tc>
        <w:tc>
          <w:tcPr>
            <w:tcW w:w="1000" w:type="dxa"/>
            <w:vAlign w:val="bottom"/>
          </w:tcPr>
          <w:p>
            <w:pPr>
              <w:jc w:val="center"/>
              <w:spacing w:after="0"/>
              <w:rPr>
                <w:sz w:val="20"/>
                <w:szCs w:val="20"/>
                <w:color w:val="auto"/>
              </w:rPr>
            </w:pPr>
            <w:r>
              <w:rPr>
                <w:rFonts w:ascii="Arial" w:cs="Arial" w:eastAsia="Arial" w:hAnsi="Arial"/>
                <w:sz w:val="14"/>
                <w:szCs w:val="14"/>
                <w:b w:val="1"/>
                <w:bCs w:val="1"/>
                <w:color w:val="auto"/>
                <w:w w:val="89"/>
              </w:rPr>
              <w:t>Change</w:t>
            </w:r>
          </w:p>
        </w:tc>
        <w:tc>
          <w:tcPr>
            <w:tcW w:w="160" w:type="dxa"/>
            <w:vAlign w:val="bottom"/>
          </w:tcPr>
          <w:p>
            <w:pPr>
              <w:spacing w:after="0"/>
              <w:rPr>
                <w:sz w:val="15"/>
                <w:szCs w:val="15"/>
                <w:color w:val="auto"/>
              </w:rPr>
            </w:pPr>
          </w:p>
        </w:tc>
        <w:tc>
          <w:tcPr>
            <w:tcW w:w="1000" w:type="dxa"/>
            <w:vAlign w:val="bottom"/>
          </w:tcPr>
          <w:p>
            <w:pPr>
              <w:jc w:val="center"/>
              <w:spacing w:after="0"/>
              <w:rPr>
                <w:sz w:val="20"/>
                <w:szCs w:val="20"/>
                <w:color w:val="auto"/>
              </w:rPr>
            </w:pPr>
            <w:r>
              <w:rPr>
                <w:rFonts w:ascii="Arial" w:cs="Arial" w:eastAsia="Arial" w:hAnsi="Arial"/>
                <w:sz w:val="14"/>
                <w:szCs w:val="14"/>
                <w:b w:val="1"/>
                <w:bCs w:val="1"/>
                <w:color w:val="auto"/>
                <w:w w:val="85"/>
              </w:rPr>
              <w:t>Change</w:t>
            </w:r>
          </w:p>
        </w:tc>
        <w:tc>
          <w:tcPr>
            <w:tcW w:w="160" w:type="dxa"/>
            <w:vAlign w:val="bottom"/>
          </w:tcPr>
          <w:p>
            <w:pPr>
              <w:spacing w:after="0"/>
              <w:rPr>
                <w:sz w:val="15"/>
                <w:szCs w:val="15"/>
                <w:color w:val="auto"/>
              </w:rPr>
            </w:pPr>
          </w:p>
        </w:tc>
        <w:tc>
          <w:tcPr>
            <w:tcW w:w="2040" w:type="dxa"/>
            <w:vAlign w:val="bottom"/>
            <w:gridSpan w:val="3"/>
          </w:tcPr>
          <w:p>
            <w:pPr>
              <w:jc w:val="center"/>
              <w:ind w:right="1200"/>
              <w:spacing w:after="0"/>
              <w:rPr>
                <w:sz w:val="20"/>
                <w:szCs w:val="20"/>
                <w:color w:val="auto"/>
              </w:rPr>
            </w:pPr>
            <w:r>
              <w:rPr>
                <w:rFonts w:ascii="Arial" w:cs="Arial" w:eastAsia="Arial" w:hAnsi="Arial"/>
                <w:sz w:val="14"/>
                <w:szCs w:val="14"/>
                <w:b w:val="1"/>
                <w:bCs w:val="1"/>
                <w:color w:val="auto"/>
                <w:w w:val="88"/>
              </w:rPr>
              <w:t>at Year End</w:t>
            </w:r>
          </w:p>
        </w:tc>
        <w:tc>
          <w:tcPr>
            <w:tcW w:w="0" w:type="dxa"/>
            <w:vAlign w:val="bottom"/>
          </w:tcPr>
          <w:p>
            <w:pPr>
              <w:spacing w:after="0"/>
              <w:rPr>
                <w:sz w:val="1"/>
                <w:szCs w:val="1"/>
                <w:color w:val="auto"/>
              </w:rPr>
            </w:pPr>
          </w:p>
        </w:tc>
      </w:tr>
      <w:tr>
        <w:trPr>
          <w:trHeight w:val="142"/>
        </w:trPr>
        <w:tc>
          <w:tcPr>
            <w:tcW w:w="11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380" w:type="dxa"/>
            <w:vAlign w:val="bottom"/>
            <w:tcBorders>
              <w:top w:val="single" w:sz="8" w:color="auto"/>
            </w:tcBorders>
          </w:tcPr>
          <w:p>
            <w:pPr>
              <w:spacing w:after="0"/>
              <w:rPr>
                <w:sz w:val="12"/>
                <w:szCs w:val="12"/>
                <w:color w:val="auto"/>
              </w:rPr>
            </w:pPr>
          </w:p>
        </w:tc>
        <w:tc>
          <w:tcPr>
            <w:tcW w:w="88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78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2"/>
                <w:szCs w:val="12"/>
                <w:color w:val="auto"/>
              </w:rPr>
            </w:pPr>
          </w:p>
        </w:tc>
        <w:tc>
          <w:tcPr>
            <w:tcW w:w="76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95"/>
              </w:rPr>
              <w:t>(C$)</w:t>
            </w:r>
          </w:p>
        </w:tc>
        <w:tc>
          <w:tcPr>
            <w:tcW w:w="160" w:type="dxa"/>
            <w:vAlign w:val="bottom"/>
          </w:tcPr>
          <w:p>
            <w:pPr>
              <w:spacing w:after="0"/>
              <w:rPr>
                <w:sz w:val="12"/>
                <w:szCs w:val="12"/>
                <w:color w:val="auto"/>
              </w:rPr>
            </w:pPr>
          </w:p>
        </w:tc>
        <w:tc>
          <w:tcPr>
            <w:tcW w:w="700" w:type="dxa"/>
            <w:vAlign w:val="bottom"/>
            <w:tcBorders>
              <w:top w:val="single" w:sz="8" w:color="auto"/>
            </w:tcBorders>
          </w:tcPr>
          <w:p>
            <w:pPr>
              <w:jc w:val="right"/>
              <w:ind w:right="172"/>
              <w:spacing w:after="0" w:line="142" w:lineRule="exact"/>
              <w:rPr>
                <w:sz w:val="20"/>
                <w:szCs w:val="20"/>
                <w:color w:val="auto"/>
              </w:rPr>
            </w:pPr>
            <w:r>
              <w:rPr>
                <w:rFonts w:ascii="Arial" w:cs="Arial" w:eastAsia="Arial" w:hAnsi="Arial"/>
                <w:sz w:val="14"/>
                <w:szCs w:val="14"/>
                <w:b w:val="1"/>
                <w:bCs w:val="1"/>
                <w:color w:val="auto"/>
              </w:rPr>
              <w:t>(C$)</w:t>
            </w:r>
          </w:p>
        </w:tc>
        <w:tc>
          <w:tcPr>
            <w:tcW w:w="160" w:type="dxa"/>
            <w:vAlign w:val="bottom"/>
          </w:tcPr>
          <w:p>
            <w:pPr>
              <w:spacing w:after="0"/>
              <w:rPr>
                <w:sz w:val="12"/>
                <w:szCs w:val="12"/>
                <w:color w:val="auto"/>
              </w:rPr>
            </w:pPr>
          </w:p>
        </w:tc>
        <w:tc>
          <w:tcPr>
            <w:tcW w:w="84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95"/>
              </w:rPr>
              <w:t>(C$)</w:t>
            </w:r>
          </w:p>
        </w:tc>
        <w:tc>
          <w:tcPr>
            <w:tcW w:w="160" w:type="dxa"/>
            <w:vAlign w:val="bottom"/>
          </w:tcPr>
          <w:p>
            <w:pPr>
              <w:spacing w:after="0"/>
              <w:rPr>
                <w:sz w:val="12"/>
                <w:szCs w:val="12"/>
                <w:color w:val="auto"/>
              </w:rPr>
            </w:pPr>
          </w:p>
        </w:tc>
        <w:tc>
          <w:tcPr>
            <w:tcW w:w="100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95"/>
              </w:rPr>
              <w:t>(C$)</w:t>
            </w:r>
          </w:p>
        </w:tc>
        <w:tc>
          <w:tcPr>
            <w:tcW w:w="160" w:type="dxa"/>
            <w:vAlign w:val="bottom"/>
          </w:tcPr>
          <w:p>
            <w:pPr>
              <w:spacing w:after="0"/>
              <w:rPr>
                <w:sz w:val="12"/>
                <w:szCs w:val="12"/>
                <w:color w:val="auto"/>
              </w:rPr>
            </w:pPr>
          </w:p>
        </w:tc>
        <w:tc>
          <w:tcPr>
            <w:tcW w:w="100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95"/>
              </w:rPr>
              <w:t>(C$)</w:t>
            </w:r>
          </w:p>
        </w:tc>
        <w:tc>
          <w:tcPr>
            <w:tcW w:w="160" w:type="dxa"/>
            <w:vAlign w:val="bottom"/>
          </w:tcPr>
          <w:p>
            <w:pPr>
              <w:spacing w:after="0"/>
              <w:rPr>
                <w:sz w:val="12"/>
                <w:szCs w:val="12"/>
                <w:color w:val="auto"/>
              </w:rPr>
            </w:pPr>
          </w:p>
        </w:tc>
        <w:tc>
          <w:tcPr>
            <w:tcW w:w="86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8"/>
              </w:rPr>
              <w:t>(C$)</w:t>
            </w:r>
          </w:p>
        </w:tc>
        <w:tc>
          <w:tcPr>
            <w:tcW w:w="1180" w:type="dxa"/>
            <w:vAlign w:val="bottom"/>
            <w:gridSpan w:val="2"/>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11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1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Sean Boyd</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24</w:t>
            </w:r>
          </w:p>
        </w:tc>
        <w:tc>
          <w:tcPr>
            <w:tcW w:w="160" w:type="dxa"/>
            <w:vAlign w:val="bottom"/>
            <w:shd w:val="clear" w:color="auto" w:fill="CCEEFF"/>
          </w:tcPr>
          <w:p>
            <w:pPr>
              <w:spacing w:after="0"/>
              <w:rPr>
                <w:sz w:val="18"/>
                <w:szCs w:val="18"/>
                <w:color w:val="auto"/>
              </w:rPr>
            </w:pPr>
          </w:p>
        </w:tc>
        <w:tc>
          <w:tcPr>
            <w:tcW w:w="760" w:type="dxa"/>
            <w:vAlign w:val="bottom"/>
            <w:shd w:val="clear" w:color="auto" w:fill="CCEEFF"/>
          </w:tcPr>
          <w:p>
            <w:pPr>
              <w:ind w:left="180"/>
              <w:spacing w:after="0"/>
              <w:rPr>
                <w:sz w:val="20"/>
                <w:szCs w:val="20"/>
                <w:color w:val="auto"/>
              </w:rPr>
            </w:pPr>
            <w:r>
              <w:rPr>
                <w:rFonts w:ascii="Arial" w:cs="Arial" w:eastAsia="Arial" w:hAnsi="Arial"/>
                <w:sz w:val="18"/>
                <w:szCs w:val="18"/>
                <w:color w:val="auto"/>
                <w:w w:val="86"/>
              </w:rPr>
              <w:t>663,331</w:t>
            </w:r>
          </w:p>
        </w:tc>
        <w:tc>
          <w:tcPr>
            <w:tcW w:w="8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924,991</w:t>
            </w:r>
          </w:p>
        </w:tc>
        <w:tc>
          <w:tcPr>
            <w:tcW w:w="10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2,979,205</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794,877</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212,389</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3,986,471</w:t>
            </w:r>
          </w:p>
        </w:tc>
        <w:tc>
          <w:tcPr>
            <w:tcW w:w="160" w:type="dxa"/>
            <w:vAlign w:val="bottom"/>
            <w:shd w:val="clear" w:color="auto" w:fill="CCEEFF"/>
          </w:tcPr>
          <w:p>
            <w:pPr>
              <w:spacing w:after="0"/>
              <w:rPr>
                <w:sz w:val="18"/>
                <w:szCs w:val="18"/>
                <w:color w:val="auto"/>
              </w:rPr>
            </w:pPr>
          </w:p>
        </w:tc>
        <w:tc>
          <w:tcPr>
            <w:tcW w:w="10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11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180" w:type="dxa"/>
            <w:vAlign w:val="bottom"/>
            <w:gridSpan w:val="3"/>
          </w:tcPr>
          <w:p>
            <w:pPr>
              <w:spacing w:after="0"/>
              <w:rPr>
                <w:sz w:val="20"/>
                <w:szCs w:val="20"/>
                <w:color w:val="auto"/>
              </w:rPr>
            </w:pPr>
            <w:r>
              <w:rPr>
                <w:rFonts w:ascii="Arial" w:cs="Arial" w:eastAsia="Arial" w:hAnsi="Arial"/>
                <w:sz w:val="18"/>
                <w:szCs w:val="18"/>
                <w:color w:val="auto"/>
              </w:rPr>
              <w:t>Eberhard Scherkus</w:t>
            </w:r>
          </w:p>
        </w:tc>
        <w:tc>
          <w:tcPr>
            <w:tcW w:w="780" w:type="dxa"/>
            <w:vAlign w:val="bottom"/>
          </w:tcPr>
          <w:p>
            <w:pPr>
              <w:jc w:val="right"/>
              <w:spacing w:after="0"/>
              <w:rPr>
                <w:sz w:val="20"/>
                <w:szCs w:val="20"/>
                <w:color w:val="auto"/>
              </w:rPr>
            </w:pPr>
            <w:r>
              <w:rPr>
                <w:rFonts w:ascii="Arial" w:cs="Arial" w:eastAsia="Arial" w:hAnsi="Arial"/>
                <w:sz w:val="18"/>
                <w:szCs w:val="18"/>
                <w:color w:val="auto"/>
              </w:rPr>
              <w:t>24</w:t>
            </w:r>
          </w:p>
        </w:tc>
        <w:tc>
          <w:tcPr>
            <w:tcW w:w="160" w:type="dxa"/>
            <w:vAlign w:val="bottom"/>
          </w:tcPr>
          <w:p>
            <w:pPr>
              <w:spacing w:after="0"/>
              <w:rPr>
                <w:sz w:val="19"/>
                <w:szCs w:val="19"/>
                <w:color w:val="auto"/>
              </w:rPr>
            </w:pPr>
          </w:p>
        </w:tc>
        <w:tc>
          <w:tcPr>
            <w:tcW w:w="760" w:type="dxa"/>
            <w:vAlign w:val="bottom"/>
          </w:tcPr>
          <w:p>
            <w:pPr>
              <w:ind w:left="180"/>
              <w:spacing w:after="0"/>
              <w:rPr>
                <w:sz w:val="20"/>
                <w:szCs w:val="20"/>
                <w:color w:val="auto"/>
              </w:rPr>
            </w:pPr>
            <w:r>
              <w:rPr>
                <w:rFonts w:ascii="Arial" w:cs="Arial" w:eastAsia="Arial" w:hAnsi="Arial"/>
                <w:sz w:val="18"/>
                <w:szCs w:val="18"/>
                <w:color w:val="auto"/>
                <w:w w:val="86"/>
              </w:rPr>
              <w:t>325,235</w:t>
            </w:r>
          </w:p>
        </w:tc>
        <w:tc>
          <w:tcPr>
            <w:tcW w:w="860" w:type="dxa"/>
            <w:vAlign w:val="bottom"/>
            <w:gridSpan w:val="2"/>
          </w:tcPr>
          <w:p>
            <w:pPr>
              <w:jc w:val="right"/>
              <w:spacing w:after="0"/>
              <w:rPr>
                <w:sz w:val="20"/>
                <w:szCs w:val="20"/>
                <w:color w:val="auto"/>
              </w:rPr>
            </w:pPr>
            <w:r>
              <w:rPr>
                <w:rFonts w:ascii="Arial" w:cs="Arial" w:eastAsia="Arial" w:hAnsi="Arial"/>
                <w:sz w:val="18"/>
                <w:szCs w:val="18"/>
                <w:color w:val="auto"/>
              </w:rPr>
              <w:t>361,881</w:t>
            </w:r>
          </w:p>
        </w:tc>
        <w:tc>
          <w:tcPr>
            <w:tcW w:w="1000" w:type="dxa"/>
            <w:vAlign w:val="bottom"/>
            <w:gridSpan w:val="2"/>
          </w:tcPr>
          <w:p>
            <w:pPr>
              <w:jc w:val="right"/>
              <w:spacing w:after="0"/>
              <w:rPr>
                <w:sz w:val="20"/>
                <w:szCs w:val="20"/>
                <w:color w:val="auto"/>
              </w:rPr>
            </w:pPr>
            <w:r>
              <w:rPr>
                <w:rFonts w:ascii="Arial" w:cs="Arial" w:eastAsia="Arial" w:hAnsi="Arial"/>
                <w:sz w:val="18"/>
                <w:szCs w:val="18"/>
                <w:color w:val="auto"/>
              </w:rPr>
              <w:t>2,616,889</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203,010</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283,551</w:t>
            </w:r>
          </w:p>
        </w:tc>
        <w:tc>
          <w:tcPr>
            <w:tcW w:w="1020" w:type="dxa"/>
            <w:vAlign w:val="bottom"/>
            <w:gridSpan w:val="2"/>
          </w:tcPr>
          <w:p>
            <w:pPr>
              <w:jc w:val="right"/>
              <w:spacing w:after="0"/>
              <w:rPr>
                <w:sz w:val="20"/>
                <w:szCs w:val="20"/>
                <w:color w:val="auto"/>
              </w:rPr>
            </w:pPr>
            <w:r>
              <w:rPr>
                <w:rFonts w:ascii="Arial" w:cs="Arial" w:eastAsia="Arial" w:hAnsi="Arial"/>
                <w:sz w:val="18"/>
                <w:szCs w:val="18"/>
                <w:color w:val="auto"/>
              </w:rPr>
              <w:t>3,103,450</w:t>
            </w:r>
          </w:p>
        </w:tc>
        <w:tc>
          <w:tcPr>
            <w:tcW w:w="160" w:type="dxa"/>
            <w:vAlign w:val="bottom"/>
          </w:tcPr>
          <w:p>
            <w:pPr>
              <w:spacing w:after="0"/>
              <w:rPr>
                <w:sz w:val="19"/>
                <w:szCs w:val="19"/>
                <w:color w:val="auto"/>
              </w:rPr>
            </w:pPr>
          </w:p>
        </w:tc>
        <w:tc>
          <w:tcPr>
            <w:tcW w:w="10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02"/>
        </w:trPr>
        <w:tc>
          <w:tcPr>
            <w:tcW w:w="1140" w:type="dxa"/>
            <w:vAlign w:val="bottom"/>
          </w:tcPr>
          <w:p>
            <w:pPr>
              <w:spacing w:after="0"/>
              <w:rPr>
                <w:sz w:val="8"/>
                <w:szCs w:val="8"/>
                <w:color w:val="auto"/>
              </w:rPr>
            </w:pPr>
          </w:p>
        </w:tc>
        <w:tc>
          <w:tcPr>
            <w:tcW w:w="400" w:type="dxa"/>
            <w:vAlign w:val="bottom"/>
            <w:tcBorders>
              <w:bottom w:val="single" w:sz="8" w:color="auto"/>
            </w:tcBorders>
            <w:gridSpan w:val="2"/>
          </w:tcPr>
          <w:p>
            <w:pPr>
              <w:spacing w:after="0"/>
              <w:rPr>
                <w:sz w:val="8"/>
                <w:szCs w:val="8"/>
                <w:color w:val="auto"/>
              </w:rPr>
            </w:pPr>
          </w:p>
        </w:tc>
        <w:tc>
          <w:tcPr>
            <w:tcW w:w="880" w:type="dxa"/>
            <w:vAlign w:val="bottom"/>
            <w:tcBorders>
              <w:bottom w:val="single" w:sz="8" w:color="auto"/>
            </w:tcBorders>
          </w:tcPr>
          <w:p>
            <w:pPr>
              <w:spacing w:after="0"/>
              <w:rPr>
                <w:sz w:val="8"/>
                <w:szCs w:val="8"/>
                <w:color w:val="auto"/>
              </w:rPr>
            </w:pPr>
          </w:p>
        </w:tc>
        <w:tc>
          <w:tcPr>
            <w:tcW w:w="920" w:type="dxa"/>
            <w:vAlign w:val="bottom"/>
          </w:tcPr>
          <w:p>
            <w:pPr>
              <w:spacing w:after="0"/>
              <w:rPr>
                <w:sz w:val="8"/>
                <w:szCs w:val="8"/>
                <w:color w:val="auto"/>
              </w:rPr>
            </w:pPr>
          </w:p>
        </w:tc>
        <w:tc>
          <w:tcPr>
            <w:tcW w:w="780" w:type="dxa"/>
            <w:vAlign w:val="bottom"/>
          </w:tcPr>
          <w:p>
            <w:pPr>
              <w:spacing w:after="0"/>
              <w:rPr>
                <w:sz w:val="8"/>
                <w:szCs w:val="8"/>
                <w:color w:val="auto"/>
              </w:rPr>
            </w:pPr>
          </w:p>
        </w:tc>
        <w:tc>
          <w:tcPr>
            <w:tcW w:w="160" w:type="dxa"/>
            <w:vAlign w:val="bottom"/>
          </w:tcPr>
          <w:p>
            <w:pPr>
              <w:spacing w:after="0"/>
              <w:rPr>
                <w:sz w:val="8"/>
                <w:szCs w:val="8"/>
                <w:color w:val="auto"/>
              </w:rPr>
            </w:pPr>
          </w:p>
        </w:tc>
        <w:tc>
          <w:tcPr>
            <w:tcW w:w="760" w:type="dxa"/>
            <w:vAlign w:val="bottom"/>
          </w:tcPr>
          <w:p>
            <w:pPr>
              <w:spacing w:after="0"/>
              <w:rPr>
                <w:sz w:val="8"/>
                <w:szCs w:val="8"/>
                <w:color w:val="auto"/>
              </w:rPr>
            </w:pPr>
          </w:p>
        </w:tc>
        <w:tc>
          <w:tcPr>
            <w:tcW w:w="160" w:type="dxa"/>
            <w:vAlign w:val="bottom"/>
          </w:tcPr>
          <w:p>
            <w:pPr>
              <w:spacing w:after="0"/>
              <w:rPr>
                <w:sz w:val="8"/>
                <w:szCs w:val="8"/>
                <w:color w:val="auto"/>
              </w:rPr>
            </w:pPr>
          </w:p>
        </w:tc>
        <w:tc>
          <w:tcPr>
            <w:tcW w:w="700" w:type="dxa"/>
            <w:vAlign w:val="bottom"/>
          </w:tcPr>
          <w:p>
            <w:pPr>
              <w:spacing w:after="0"/>
              <w:rPr>
                <w:sz w:val="8"/>
                <w:szCs w:val="8"/>
                <w:color w:val="auto"/>
              </w:rPr>
            </w:pPr>
          </w:p>
        </w:tc>
        <w:tc>
          <w:tcPr>
            <w:tcW w:w="160" w:type="dxa"/>
            <w:vAlign w:val="bottom"/>
          </w:tcPr>
          <w:p>
            <w:pPr>
              <w:spacing w:after="0"/>
              <w:rPr>
                <w:sz w:val="8"/>
                <w:szCs w:val="8"/>
                <w:color w:val="auto"/>
              </w:rPr>
            </w:pPr>
          </w:p>
        </w:tc>
        <w:tc>
          <w:tcPr>
            <w:tcW w:w="840" w:type="dxa"/>
            <w:vAlign w:val="bottom"/>
          </w:tcPr>
          <w:p>
            <w:pPr>
              <w:spacing w:after="0"/>
              <w:rPr>
                <w:sz w:val="8"/>
                <w:szCs w:val="8"/>
                <w:color w:val="auto"/>
              </w:rPr>
            </w:pPr>
          </w:p>
        </w:tc>
        <w:tc>
          <w:tcPr>
            <w:tcW w:w="160" w:type="dxa"/>
            <w:vAlign w:val="bottom"/>
          </w:tcPr>
          <w:p>
            <w:pPr>
              <w:spacing w:after="0"/>
              <w:rPr>
                <w:sz w:val="8"/>
                <w:szCs w:val="8"/>
                <w:color w:val="auto"/>
              </w:rPr>
            </w:pPr>
          </w:p>
        </w:tc>
        <w:tc>
          <w:tcPr>
            <w:tcW w:w="1000" w:type="dxa"/>
            <w:vAlign w:val="bottom"/>
          </w:tcPr>
          <w:p>
            <w:pPr>
              <w:spacing w:after="0"/>
              <w:rPr>
                <w:sz w:val="8"/>
                <w:szCs w:val="8"/>
                <w:color w:val="auto"/>
              </w:rPr>
            </w:pPr>
          </w:p>
        </w:tc>
        <w:tc>
          <w:tcPr>
            <w:tcW w:w="160" w:type="dxa"/>
            <w:vAlign w:val="bottom"/>
          </w:tcPr>
          <w:p>
            <w:pPr>
              <w:spacing w:after="0"/>
              <w:rPr>
                <w:sz w:val="8"/>
                <w:szCs w:val="8"/>
                <w:color w:val="auto"/>
              </w:rPr>
            </w:pPr>
          </w:p>
        </w:tc>
        <w:tc>
          <w:tcPr>
            <w:tcW w:w="1000" w:type="dxa"/>
            <w:vAlign w:val="bottom"/>
          </w:tcPr>
          <w:p>
            <w:pPr>
              <w:spacing w:after="0"/>
              <w:rPr>
                <w:sz w:val="8"/>
                <w:szCs w:val="8"/>
                <w:color w:val="auto"/>
              </w:rPr>
            </w:pPr>
          </w:p>
        </w:tc>
        <w:tc>
          <w:tcPr>
            <w:tcW w:w="160" w:type="dxa"/>
            <w:vAlign w:val="bottom"/>
          </w:tcPr>
          <w:p>
            <w:pPr>
              <w:spacing w:after="0"/>
              <w:rPr>
                <w:sz w:val="8"/>
                <w:szCs w:val="8"/>
                <w:color w:val="auto"/>
              </w:rPr>
            </w:pPr>
          </w:p>
        </w:tc>
        <w:tc>
          <w:tcPr>
            <w:tcW w:w="860" w:type="dxa"/>
            <w:vAlign w:val="bottom"/>
          </w:tcPr>
          <w:p>
            <w:pPr>
              <w:spacing w:after="0"/>
              <w:rPr>
                <w:sz w:val="8"/>
                <w:szCs w:val="8"/>
                <w:color w:val="auto"/>
              </w:rPr>
            </w:pPr>
          </w:p>
        </w:tc>
        <w:tc>
          <w:tcPr>
            <w:tcW w:w="160" w:type="dxa"/>
            <w:vAlign w:val="bottom"/>
          </w:tcPr>
          <w:p>
            <w:pPr>
              <w:spacing w:after="0"/>
              <w:rPr>
                <w:sz w:val="8"/>
                <w:szCs w:val="8"/>
                <w:color w:val="auto"/>
              </w:rPr>
            </w:pPr>
          </w:p>
        </w:tc>
        <w:tc>
          <w:tcPr>
            <w:tcW w:w="10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371"/>
        </w:trPr>
        <w:tc>
          <w:tcPr>
            <w:tcW w:w="1540" w:type="dxa"/>
            <w:vAlign w:val="bottom"/>
            <w:gridSpan w:val="3"/>
          </w:tcPr>
          <w:p>
            <w:pPr>
              <w:ind w:left="1140"/>
              <w:spacing w:after="0"/>
              <w:rPr>
                <w:sz w:val="20"/>
                <w:szCs w:val="20"/>
                <w:color w:val="auto"/>
              </w:rPr>
            </w:pPr>
            <w:r>
              <w:rPr>
                <w:rFonts w:ascii="Arial" w:cs="Arial" w:eastAsia="Arial" w:hAnsi="Arial"/>
                <w:sz w:val="14"/>
                <w:szCs w:val="14"/>
                <w:color w:val="auto"/>
              </w:rPr>
              <w:t>(1)</w:t>
            </w:r>
          </w:p>
        </w:tc>
        <w:tc>
          <w:tcPr>
            <w:tcW w:w="1800" w:type="dxa"/>
            <w:vAlign w:val="bottom"/>
            <w:gridSpan w:val="2"/>
          </w:tcPr>
          <w:p>
            <w:pPr>
              <w:ind w:left="140"/>
              <w:spacing w:after="0"/>
              <w:rPr>
                <w:sz w:val="20"/>
                <w:szCs w:val="20"/>
                <w:color w:val="auto"/>
              </w:rPr>
            </w:pPr>
            <w:r>
              <w:rPr>
                <w:rFonts w:ascii="Arial" w:cs="Arial" w:eastAsia="Arial" w:hAnsi="Arial"/>
                <w:sz w:val="14"/>
                <w:szCs w:val="14"/>
                <w:color w:val="auto"/>
              </w:rPr>
              <w:t>As at December 31, 2009</w:t>
            </w:r>
          </w:p>
        </w:tc>
        <w:tc>
          <w:tcPr>
            <w:tcW w:w="7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04"/>
        </w:trPr>
        <w:tc>
          <w:tcPr>
            <w:tcW w:w="11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color w:val="auto"/>
              </w:rPr>
              <w:t>107</w:t>
            </w:r>
          </w:p>
        </w:tc>
        <w:tc>
          <w:tcPr>
            <w:tcW w:w="16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1140" w:type="dxa"/>
            <w:vAlign w:val="bottom"/>
            <w:tcBorders>
              <w:bottom w:val="single" w:sz="8" w:color="808080"/>
            </w:tcBorders>
          </w:tcPr>
          <w:p>
            <w:pPr>
              <w:spacing w:after="0"/>
              <w:rPr>
                <w:sz w:val="19"/>
                <w:szCs w:val="19"/>
                <w:color w:val="auto"/>
              </w:rPr>
            </w:pPr>
          </w:p>
        </w:tc>
        <w:tc>
          <w:tcPr>
            <w:tcW w:w="20" w:type="dxa"/>
            <w:vAlign w:val="bottom"/>
            <w:tcBorders>
              <w:bottom w:val="single" w:sz="8" w:color="808080"/>
            </w:tcBorders>
          </w:tcPr>
          <w:p>
            <w:pPr>
              <w:spacing w:after="0"/>
              <w:rPr>
                <w:sz w:val="19"/>
                <w:szCs w:val="19"/>
                <w:color w:val="auto"/>
              </w:rPr>
            </w:pPr>
          </w:p>
        </w:tc>
        <w:tc>
          <w:tcPr>
            <w:tcW w:w="380" w:type="dxa"/>
            <w:vAlign w:val="bottom"/>
            <w:tcBorders>
              <w:bottom w:val="single" w:sz="8" w:color="808080"/>
            </w:tcBorders>
          </w:tcPr>
          <w:p>
            <w:pPr>
              <w:spacing w:after="0"/>
              <w:rPr>
                <w:sz w:val="19"/>
                <w:szCs w:val="19"/>
                <w:color w:val="auto"/>
              </w:rPr>
            </w:pPr>
          </w:p>
        </w:tc>
        <w:tc>
          <w:tcPr>
            <w:tcW w:w="880" w:type="dxa"/>
            <w:vAlign w:val="bottom"/>
            <w:tcBorders>
              <w:bottom w:val="single" w:sz="8" w:color="808080"/>
            </w:tcBorders>
          </w:tcPr>
          <w:p>
            <w:pPr>
              <w:spacing w:after="0"/>
              <w:rPr>
                <w:sz w:val="19"/>
                <w:szCs w:val="19"/>
                <w:color w:val="auto"/>
              </w:rPr>
            </w:pPr>
          </w:p>
        </w:tc>
        <w:tc>
          <w:tcPr>
            <w:tcW w:w="920" w:type="dxa"/>
            <w:vAlign w:val="bottom"/>
            <w:tcBorders>
              <w:bottom w:val="single" w:sz="8" w:color="808080"/>
            </w:tcBorders>
          </w:tcPr>
          <w:p>
            <w:pPr>
              <w:spacing w:after="0"/>
              <w:rPr>
                <w:sz w:val="19"/>
                <w:szCs w:val="19"/>
                <w:color w:val="auto"/>
              </w:rPr>
            </w:pPr>
          </w:p>
        </w:tc>
        <w:tc>
          <w:tcPr>
            <w:tcW w:w="78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76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70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84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00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00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86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02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0" w:name="page151"/>
    <w:bookmarkEnd w:id="150"/>
    <w:p>
      <w:pPr>
        <w:jc w:val="both"/>
        <w:ind w:firstLine="487"/>
        <w:spacing w:after="0" w:line="289" w:lineRule="auto"/>
        <w:rPr>
          <w:sz w:val="20"/>
          <w:szCs w:val="20"/>
          <w:color w:val="auto"/>
        </w:rPr>
      </w:pPr>
      <w:r>
        <w:rPr>
          <w:rFonts w:ascii="Arial" w:cs="Arial" w:eastAsia="Arial" w:hAnsi="Arial"/>
          <w:sz w:val="16"/>
          <w:szCs w:val="16"/>
          <w:color w:val="auto"/>
        </w:rPr>
        <w:t xml:space="preserve">The Basic Plan provides pension benefits to employees of Agnico-Eagle generally, including the Named Executive Officers. Under the Basic Plan, the Company contributes 15% of the pensionable earnings (including salary and short-term bonus) of each designated executive (at the level of Vice-President or above) to the Basic Plan. Previously, 5% was contributed under the Basic Plan, with the balance contributed under the Supplemental Plan (discussed below) to reach 15%. Currently, 15% is contributed under the Basic Plan, up to the maximum governmental allowance, and the balance required to reach 15% of pensionable earnings is contributed under the Supplemental Plan. The Company's contributions, together with the participant's contributions, cannot exceed the money purchase limit, as defined in the </w:t>
      </w:r>
      <w:r>
        <w:rPr>
          <w:rFonts w:ascii="Arial" w:cs="Arial" w:eastAsia="Arial" w:hAnsi="Arial"/>
          <w:sz w:val="16"/>
          <w:szCs w:val="16"/>
          <w:i w:val="1"/>
          <w:iCs w:val="1"/>
          <w:color w:val="auto"/>
        </w:rPr>
        <w:t>Income Tax Act</w:t>
      </w:r>
      <w:r>
        <w:rPr>
          <w:rFonts w:ascii="Arial" w:cs="Arial" w:eastAsia="Arial" w:hAnsi="Arial"/>
          <w:sz w:val="16"/>
          <w:szCs w:val="16"/>
          <w:color w:val="auto"/>
        </w:rPr>
        <w:t xml:space="preserve"> (Canada). Upon termination of the participant's employment, the Company's contribution to the Basic Plan ceases and the participant is entitled to a pension benefit in the amount of the vested account balance. All contributions to the Basic Plan are invested in a variety of funds offered by the plan administrator, at the direction of the participant.</w:t>
      </w:r>
    </w:p>
    <w:p>
      <w:pPr>
        <w:spacing w:after="0" w:line="172" w:lineRule="exact"/>
        <w:rPr>
          <w:sz w:val="20"/>
          <w:szCs w:val="20"/>
          <w:color w:val="auto"/>
        </w:rPr>
      </w:pPr>
    </w:p>
    <w:p>
      <w:pPr>
        <w:jc w:val="both"/>
        <w:ind w:firstLine="392"/>
        <w:spacing w:after="0" w:line="287" w:lineRule="auto"/>
        <w:rPr>
          <w:sz w:val="20"/>
          <w:szCs w:val="20"/>
          <w:color w:val="auto"/>
        </w:rPr>
      </w:pPr>
      <w:r>
        <w:rPr>
          <w:rFonts w:ascii="Arial" w:cs="Arial" w:eastAsia="Arial" w:hAnsi="Arial"/>
          <w:sz w:val="16"/>
          <w:szCs w:val="16"/>
          <w:color w:val="auto"/>
        </w:rPr>
        <w:t>In addition to the Basic Plan, effective January 1, 2008, in line with the Company's compensation policy that compensation must be competitive in order to help attract and retain the executives needed to lead and grow the Company's business and to address the weakness of the Company's retirement benefits when compared to its peers in the gold production industry, the Company adopted the Supplemental Defined Contribution Plan (the "Supplemental Plan") for designated executives at the level of Vice-President or above. On December 31 of each year, the Company credits each designated executive's account an amount equal to 15% of the designated executive's pensionable earnings for the year (including salary and short-term bonus), less the Company's contribution to the Basic Plan. In addition, on December 31 of each year, the Company will credit each designated executive's account a notional investment return equal to the balance of such designated executive's account at the beginning of the year multiplied by the yield rate for Government of Canada marketable bonds with average yields over ten years. Upon retirement, after attaining the minimum age of 55, the designated executive's account will be paid out in either (a) five annual installments subsequent to the date of retirement, or (b) a lump sum payment, at the executive's option. If the designated executive's employment is terminated prior to reaching the age of 55, such designated executive will receive, by way of lump sum payment, the total amount credited to his or her account.</w:t>
      </w:r>
    </w:p>
    <w:p>
      <w:pPr>
        <w:spacing w:after="0" w:line="177" w:lineRule="exact"/>
        <w:rPr>
          <w:sz w:val="20"/>
          <w:szCs w:val="20"/>
          <w:color w:val="auto"/>
        </w:rPr>
      </w:pPr>
    </w:p>
    <w:p>
      <w:pPr>
        <w:jc w:val="both"/>
        <w:ind w:firstLine="522"/>
        <w:spacing w:after="0" w:line="268" w:lineRule="auto"/>
        <w:rPr>
          <w:sz w:val="20"/>
          <w:szCs w:val="20"/>
          <w:color w:val="auto"/>
        </w:rPr>
      </w:pPr>
      <w:r>
        <w:rPr>
          <w:rFonts w:ascii="Arial" w:cs="Arial" w:eastAsia="Arial" w:hAnsi="Arial"/>
          <w:sz w:val="18"/>
          <w:szCs w:val="18"/>
          <w:color w:val="auto"/>
        </w:rPr>
        <w:t>The following tables set forth summary information about the Basic Plan and the Supplemental Plan for each of the Named Executive Officers as at December 31, 2009.</w:t>
      </w:r>
    </w:p>
    <w:p>
      <w:pPr>
        <w:spacing w:after="0" w:line="18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Defined Contributions Table — Basic Plan</w:t>
      </w:r>
    </w:p>
    <w:p>
      <w:pPr>
        <w:spacing w:after="0" w:line="214"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800" w:type="dxa"/>
            <w:vAlign w:val="bottom"/>
          </w:tcPr>
          <w:p>
            <w:pPr>
              <w:spacing w:after="0"/>
              <w:rPr>
                <w:sz w:val="14"/>
                <w:szCs w:val="14"/>
                <w:color w:val="auto"/>
              </w:rPr>
            </w:pPr>
          </w:p>
        </w:tc>
        <w:tc>
          <w:tcPr>
            <w:tcW w:w="1980" w:type="dxa"/>
            <w:vAlign w:val="bottom"/>
          </w:tcPr>
          <w:p>
            <w:pPr>
              <w:spacing w:after="0"/>
              <w:rPr>
                <w:sz w:val="14"/>
                <w:szCs w:val="14"/>
                <w:color w:val="auto"/>
              </w:rPr>
            </w:pPr>
          </w:p>
        </w:tc>
        <w:tc>
          <w:tcPr>
            <w:tcW w:w="1300" w:type="dxa"/>
            <w:vAlign w:val="bottom"/>
          </w:tcPr>
          <w:p>
            <w:pPr>
              <w:jc w:val="center"/>
              <w:spacing w:after="0"/>
              <w:rPr>
                <w:sz w:val="20"/>
                <w:szCs w:val="20"/>
                <w:color w:val="auto"/>
              </w:rPr>
            </w:pPr>
            <w:r>
              <w:rPr>
                <w:rFonts w:ascii="Arial" w:cs="Arial" w:eastAsia="Arial" w:hAnsi="Arial"/>
                <w:sz w:val="14"/>
                <w:szCs w:val="14"/>
                <w:b w:val="1"/>
                <w:bCs w:val="1"/>
                <w:color w:val="auto"/>
                <w:w w:val="86"/>
              </w:rPr>
              <w:t>Accumulated Value</w:t>
            </w:r>
          </w:p>
        </w:tc>
        <w:tc>
          <w:tcPr>
            <w:tcW w:w="160" w:type="dxa"/>
            <w:vAlign w:val="bottom"/>
          </w:tcPr>
          <w:p>
            <w:pPr>
              <w:spacing w:after="0"/>
              <w:rPr>
                <w:sz w:val="14"/>
                <w:szCs w:val="14"/>
                <w:color w:val="auto"/>
              </w:rPr>
            </w:pPr>
          </w:p>
        </w:tc>
        <w:tc>
          <w:tcPr>
            <w:tcW w:w="9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0" w:type="dxa"/>
            <w:vAlign w:val="bottom"/>
          </w:tcPr>
          <w:p>
            <w:pPr>
              <w:jc w:val="center"/>
              <w:spacing w:after="0"/>
              <w:rPr>
                <w:sz w:val="20"/>
                <w:szCs w:val="20"/>
                <w:color w:val="auto"/>
              </w:rPr>
            </w:pPr>
            <w:r>
              <w:rPr>
                <w:rFonts w:ascii="Arial" w:cs="Arial" w:eastAsia="Arial" w:hAnsi="Arial"/>
                <w:sz w:val="14"/>
                <w:szCs w:val="14"/>
                <w:b w:val="1"/>
                <w:bCs w:val="1"/>
                <w:color w:val="auto"/>
                <w:w w:val="93"/>
              </w:rPr>
              <w:t>Non-</w:t>
            </w:r>
          </w:p>
        </w:tc>
        <w:tc>
          <w:tcPr>
            <w:tcW w:w="160" w:type="dxa"/>
            <w:vAlign w:val="bottom"/>
          </w:tcPr>
          <w:p>
            <w:pPr>
              <w:spacing w:after="0"/>
              <w:rPr>
                <w:sz w:val="14"/>
                <w:szCs w:val="14"/>
                <w:color w:val="auto"/>
              </w:rPr>
            </w:pPr>
          </w:p>
        </w:tc>
        <w:tc>
          <w:tcPr>
            <w:tcW w:w="144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6"/>
              </w:rPr>
              <w:t>Accumulated Value</w:t>
            </w:r>
          </w:p>
        </w:tc>
      </w:tr>
      <w:tr>
        <w:trPr>
          <w:trHeight w:val="161"/>
        </w:trPr>
        <w:tc>
          <w:tcPr>
            <w:tcW w:w="2080" w:type="dxa"/>
            <w:vAlign w:val="bottom"/>
            <w:gridSpan w:val="4"/>
          </w:tcPr>
          <w:p>
            <w:pPr>
              <w:spacing w:after="0"/>
              <w:rPr>
                <w:sz w:val="20"/>
                <w:szCs w:val="20"/>
                <w:color w:val="auto"/>
              </w:rPr>
            </w:pPr>
            <w:r>
              <w:rPr>
                <w:rFonts w:ascii="Arial" w:cs="Arial" w:eastAsia="Arial" w:hAnsi="Arial"/>
                <w:sz w:val="14"/>
                <w:szCs w:val="14"/>
                <w:b w:val="1"/>
                <w:bCs w:val="1"/>
                <w:color w:val="auto"/>
              </w:rPr>
              <w:t>Name</w:t>
            </w:r>
          </w:p>
        </w:tc>
        <w:tc>
          <w:tcPr>
            <w:tcW w:w="1980" w:type="dxa"/>
            <w:vAlign w:val="bottom"/>
          </w:tcPr>
          <w:p>
            <w:pPr>
              <w:spacing w:after="0"/>
              <w:rPr>
                <w:sz w:val="14"/>
                <w:szCs w:val="14"/>
                <w:color w:val="auto"/>
              </w:rPr>
            </w:pPr>
          </w:p>
        </w:tc>
        <w:tc>
          <w:tcPr>
            <w:tcW w:w="1300" w:type="dxa"/>
            <w:vAlign w:val="bottom"/>
          </w:tcPr>
          <w:p>
            <w:pPr>
              <w:jc w:val="center"/>
              <w:spacing w:after="0"/>
              <w:rPr>
                <w:sz w:val="20"/>
                <w:szCs w:val="20"/>
                <w:color w:val="auto"/>
              </w:rPr>
            </w:pPr>
            <w:r>
              <w:rPr>
                <w:rFonts w:ascii="Arial" w:cs="Arial" w:eastAsia="Arial" w:hAnsi="Arial"/>
                <w:sz w:val="14"/>
                <w:szCs w:val="14"/>
                <w:b w:val="1"/>
                <w:bCs w:val="1"/>
                <w:color w:val="auto"/>
                <w:w w:val="88"/>
              </w:rPr>
              <w:t>at Start of Year</w:t>
            </w:r>
          </w:p>
        </w:tc>
        <w:tc>
          <w:tcPr>
            <w:tcW w:w="160" w:type="dxa"/>
            <w:vAlign w:val="bottom"/>
          </w:tcPr>
          <w:p>
            <w:pPr>
              <w:spacing w:after="0"/>
              <w:rPr>
                <w:sz w:val="14"/>
                <w:szCs w:val="14"/>
                <w:color w:val="auto"/>
              </w:rPr>
            </w:pPr>
          </w:p>
        </w:tc>
        <w:tc>
          <w:tcPr>
            <w:tcW w:w="106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5"/>
              </w:rPr>
              <w:t>Compensatory</w:t>
            </w:r>
          </w:p>
        </w:tc>
        <w:tc>
          <w:tcPr>
            <w:tcW w:w="1000" w:type="dxa"/>
            <w:vAlign w:val="bottom"/>
          </w:tcPr>
          <w:p>
            <w:pPr>
              <w:jc w:val="center"/>
              <w:spacing w:after="0"/>
              <w:rPr>
                <w:sz w:val="20"/>
                <w:szCs w:val="20"/>
                <w:color w:val="auto"/>
              </w:rPr>
            </w:pPr>
            <w:r>
              <w:rPr>
                <w:rFonts w:ascii="Arial" w:cs="Arial" w:eastAsia="Arial" w:hAnsi="Arial"/>
                <w:sz w:val="14"/>
                <w:szCs w:val="14"/>
                <w:b w:val="1"/>
                <w:bCs w:val="1"/>
                <w:color w:val="auto"/>
                <w:w w:val="87"/>
              </w:rPr>
              <w:t>Compensatory</w:t>
            </w:r>
          </w:p>
        </w:tc>
        <w:tc>
          <w:tcPr>
            <w:tcW w:w="160" w:type="dxa"/>
            <w:vAlign w:val="bottom"/>
          </w:tcPr>
          <w:p>
            <w:pPr>
              <w:spacing w:after="0"/>
              <w:rPr>
                <w:sz w:val="14"/>
                <w:szCs w:val="14"/>
                <w:color w:val="auto"/>
              </w:rPr>
            </w:pPr>
          </w:p>
        </w:tc>
        <w:tc>
          <w:tcPr>
            <w:tcW w:w="144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at Year End</w:t>
            </w:r>
          </w:p>
        </w:tc>
      </w:tr>
      <w:tr>
        <w:trPr>
          <w:trHeight w:val="142"/>
        </w:trPr>
        <w:tc>
          <w:tcPr>
            <w:tcW w:w="20" w:type="dxa"/>
            <w:vAlign w:val="bottom"/>
          </w:tcPr>
          <w:p>
            <w:pPr>
              <w:spacing w:after="0"/>
              <w:rPr>
                <w:sz w:val="12"/>
                <w:szCs w:val="12"/>
                <w:color w:val="auto"/>
              </w:rPr>
            </w:pPr>
          </w:p>
        </w:tc>
        <w:tc>
          <w:tcPr>
            <w:tcW w:w="380" w:type="dxa"/>
            <w:vAlign w:val="bottom"/>
            <w:tcBorders>
              <w:top w:val="single" w:sz="8" w:color="auto"/>
            </w:tcBorders>
          </w:tcPr>
          <w:p>
            <w:pPr>
              <w:spacing w:after="0"/>
              <w:rPr>
                <w:sz w:val="12"/>
                <w:szCs w:val="12"/>
                <w:color w:val="auto"/>
              </w:rPr>
            </w:pPr>
          </w:p>
        </w:tc>
        <w:tc>
          <w:tcPr>
            <w:tcW w:w="8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980" w:type="dxa"/>
            <w:vAlign w:val="bottom"/>
          </w:tcPr>
          <w:p>
            <w:pPr>
              <w:spacing w:after="0"/>
              <w:rPr>
                <w:sz w:val="12"/>
                <w:szCs w:val="12"/>
                <w:color w:val="auto"/>
              </w:rPr>
            </w:pPr>
          </w:p>
        </w:tc>
        <w:tc>
          <w:tcPr>
            <w:tcW w:w="130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8"/>
              </w:rPr>
              <w:t>(C$)</w:t>
            </w:r>
          </w:p>
        </w:tc>
        <w:tc>
          <w:tcPr>
            <w:tcW w:w="160" w:type="dxa"/>
            <w:vAlign w:val="bottom"/>
          </w:tcPr>
          <w:p>
            <w:pPr>
              <w:spacing w:after="0"/>
              <w:rPr>
                <w:sz w:val="12"/>
                <w:szCs w:val="12"/>
                <w:color w:val="auto"/>
              </w:rPr>
            </w:pPr>
          </w:p>
        </w:tc>
        <w:tc>
          <w:tcPr>
            <w:tcW w:w="90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8"/>
              </w:rPr>
              <w:t>(C$)</w:t>
            </w:r>
          </w:p>
        </w:tc>
        <w:tc>
          <w:tcPr>
            <w:tcW w:w="160" w:type="dxa"/>
            <w:vAlign w:val="bottom"/>
          </w:tcPr>
          <w:p>
            <w:pPr>
              <w:spacing w:after="0"/>
              <w:rPr>
                <w:sz w:val="12"/>
                <w:szCs w:val="12"/>
                <w:color w:val="auto"/>
              </w:rPr>
            </w:pPr>
          </w:p>
        </w:tc>
        <w:tc>
          <w:tcPr>
            <w:tcW w:w="100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95"/>
              </w:rPr>
              <w:t>(C$)</w:t>
            </w:r>
          </w:p>
        </w:tc>
        <w:tc>
          <w:tcPr>
            <w:tcW w:w="160" w:type="dxa"/>
            <w:vAlign w:val="bottom"/>
          </w:tcPr>
          <w:p>
            <w:pPr>
              <w:spacing w:after="0"/>
              <w:rPr>
                <w:sz w:val="12"/>
                <w:szCs w:val="12"/>
                <w:color w:val="auto"/>
              </w:rPr>
            </w:pPr>
          </w:p>
        </w:tc>
        <w:tc>
          <w:tcPr>
            <w:tcW w:w="128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95"/>
              </w:rPr>
              <w:t>(C$)</w:t>
            </w:r>
          </w:p>
        </w:tc>
        <w:tc>
          <w:tcPr>
            <w:tcW w:w="160" w:type="dxa"/>
            <w:vAlign w:val="bottom"/>
          </w:tcPr>
          <w:p>
            <w:pPr>
              <w:spacing w:after="0"/>
              <w:rPr>
                <w:sz w:val="12"/>
                <w:szCs w:val="12"/>
                <w:color w:val="auto"/>
              </w:rPr>
            </w:pPr>
          </w:p>
        </w:tc>
      </w:tr>
      <w:tr>
        <w:trPr>
          <w:trHeight w:val="216"/>
        </w:trPr>
        <w:tc>
          <w:tcPr>
            <w:tcW w:w="20" w:type="dxa"/>
            <w:vAlign w:val="bottom"/>
          </w:tcPr>
          <w:p>
            <w:pPr>
              <w:spacing w:after="0"/>
              <w:rPr>
                <w:sz w:val="18"/>
                <w:szCs w:val="18"/>
                <w:color w:val="auto"/>
              </w:rPr>
            </w:pPr>
          </w:p>
        </w:tc>
        <w:tc>
          <w:tcPr>
            <w:tcW w:w="20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Sean Boyd</w:t>
            </w:r>
          </w:p>
        </w:tc>
        <w:tc>
          <w:tcPr>
            <w:tcW w:w="3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272,813</w:t>
            </w:r>
          </w:p>
        </w:tc>
        <w:tc>
          <w:tcPr>
            <w:tcW w:w="16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nil</w:t>
            </w:r>
          </w:p>
        </w:tc>
        <w:tc>
          <w:tcPr>
            <w:tcW w:w="10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72,664</w:t>
            </w:r>
          </w:p>
        </w:tc>
        <w:tc>
          <w:tcPr>
            <w:tcW w:w="14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345,477</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2060" w:type="dxa"/>
            <w:vAlign w:val="bottom"/>
            <w:gridSpan w:val="3"/>
          </w:tcPr>
          <w:p>
            <w:pPr>
              <w:spacing w:after="0"/>
              <w:rPr>
                <w:sz w:val="20"/>
                <w:szCs w:val="20"/>
                <w:color w:val="auto"/>
              </w:rPr>
            </w:pPr>
            <w:r>
              <w:rPr>
                <w:rFonts w:ascii="Arial" w:cs="Arial" w:eastAsia="Arial" w:hAnsi="Arial"/>
                <w:sz w:val="18"/>
                <w:szCs w:val="18"/>
                <w:color w:val="auto"/>
              </w:rPr>
              <w:t>Eberhard Scherkus</w:t>
            </w:r>
          </w:p>
        </w:tc>
        <w:tc>
          <w:tcPr>
            <w:tcW w:w="3280" w:type="dxa"/>
            <w:vAlign w:val="bottom"/>
            <w:gridSpan w:val="2"/>
          </w:tcPr>
          <w:p>
            <w:pPr>
              <w:jc w:val="right"/>
              <w:spacing w:after="0"/>
              <w:rPr>
                <w:sz w:val="20"/>
                <w:szCs w:val="20"/>
                <w:color w:val="auto"/>
              </w:rPr>
            </w:pPr>
            <w:r>
              <w:rPr>
                <w:rFonts w:ascii="Arial" w:cs="Arial" w:eastAsia="Arial" w:hAnsi="Arial"/>
                <w:sz w:val="18"/>
                <w:szCs w:val="18"/>
                <w:color w:val="auto"/>
              </w:rPr>
              <w:t>294,606</w:t>
            </w:r>
          </w:p>
        </w:tc>
        <w:tc>
          <w:tcPr>
            <w:tcW w:w="160" w:type="dxa"/>
            <w:vAlign w:val="bottom"/>
          </w:tcPr>
          <w:p>
            <w:pPr>
              <w:spacing w:after="0"/>
              <w:rPr>
                <w:sz w:val="18"/>
                <w:szCs w:val="18"/>
                <w:color w:val="auto"/>
              </w:rPr>
            </w:pPr>
          </w:p>
        </w:tc>
        <w:tc>
          <w:tcPr>
            <w:tcW w:w="1060" w:type="dxa"/>
            <w:vAlign w:val="bottom"/>
            <w:gridSpan w:val="2"/>
          </w:tcPr>
          <w:p>
            <w:pPr>
              <w:jc w:val="right"/>
              <w:ind w:right="160"/>
              <w:spacing w:after="0"/>
              <w:rPr>
                <w:sz w:val="20"/>
                <w:szCs w:val="20"/>
                <w:color w:val="auto"/>
              </w:rPr>
            </w:pPr>
            <w:r>
              <w:rPr>
                <w:rFonts w:ascii="Arial" w:cs="Arial" w:eastAsia="Arial" w:hAnsi="Arial"/>
                <w:sz w:val="18"/>
                <w:szCs w:val="18"/>
                <w:color w:val="auto"/>
              </w:rPr>
              <w:t>nil</w:t>
            </w:r>
          </w:p>
        </w:tc>
        <w:tc>
          <w:tcPr>
            <w:tcW w:w="1000" w:type="dxa"/>
            <w:vAlign w:val="bottom"/>
          </w:tcPr>
          <w:p>
            <w:pPr>
              <w:jc w:val="right"/>
              <w:spacing w:after="0"/>
              <w:rPr>
                <w:sz w:val="20"/>
                <w:szCs w:val="20"/>
                <w:color w:val="auto"/>
              </w:rPr>
            </w:pPr>
            <w:r>
              <w:rPr>
                <w:rFonts w:ascii="Arial" w:cs="Arial" w:eastAsia="Arial" w:hAnsi="Arial"/>
                <w:sz w:val="18"/>
                <w:szCs w:val="18"/>
                <w:color w:val="auto"/>
              </w:rPr>
              <w:t>28,652</w:t>
            </w:r>
          </w:p>
        </w:tc>
        <w:tc>
          <w:tcPr>
            <w:tcW w:w="1440" w:type="dxa"/>
            <w:vAlign w:val="bottom"/>
            <w:gridSpan w:val="2"/>
          </w:tcPr>
          <w:p>
            <w:pPr>
              <w:jc w:val="right"/>
              <w:spacing w:after="0"/>
              <w:rPr>
                <w:sz w:val="20"/>
                <w:szCs w:val="20"/>
                <w:color w:val="auto"/>
              </w:rPr>
            </w:pPr>
            <w:r>
              <w:rPr>
                <w:rFonts w:ascii="Arial" w:cs="Arial" w:eastAsia="Arial" w:hAnsi="Arial"/>
                <w:sz w:val="18"/>
                <w:szCs w:val="18"/>
                <w:color w:val="auto"/>
              </w:rPr>
              <w:t>323,258</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20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David Garofalo</w:t>
            </w:r>
          </w:p>
        </w:tc>
        <w:tc>
          <w:tcPr>
            <w:tcW w:w="3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147,933</w:t>
            </w:r>
          </w:p>
        </w:tc>
        <w:tc>
          <w:tcPr>
            <w:tcW w:w="16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nil</w:t>
            </w:r>
          </w:p>
        </w:tc>
        <w:tc>
          <w:tcPr>
            <w:tcW w:w="10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51,958</w:t>
            </w:r>
          </w:p>
        </w:tc>
        <w:tc>
          <w:tcPr>
            <w:tcW w:w="14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199,891</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2060" w:type="dxa"/>
            <w:vAlign w:val="bottom"/>
            <w:gridSpan w:val="3"/>
          </w:tcPr>
          <w:p>
            <w:pPr>
              <w:spacing w:after="0"/>
              <w:rPr>
                <w:sz w:val="20"/>
                <w:szCs w:val="20"/>
                <w:color w:val="auto"/>
              </w:rPr>
            </w:pPr>
            <w:r>
              <w:rPr>
                <w:rFonts w:ascii="Arial" w:cs="Arial" w:eastAsia="Arial" w:hAnsi="Arial"/>
                <w:sz w:val="18"/>
                <w:szCs w:val="18"/>
                <w:color w:val="auto"/>
              </w:rPr>
              <w:t>Alain Blackburn</w:t>
            </w:r>
          </w:p>
        </w:tc>
        <w:tc>
          <w:tcPr>
            <w:tcW w:w="3280" w:type="dxa"/>
            <w:vAlign w:val="bottom"/>
            <w:gridSpan w:val="2"/>
          </w:tcPr>
          <w:p>
            <w:pPr>
              <w:jc w:val="right"/>
              <w:spacing w:after="0"/>
              <w:rPr>
                <w:sz w:val="20"/>
                <w:szCs w:val="20"/>
                <w:color w:val="auto"/>
              </w:rPr>
            </w:pPr>
            <w:r>
              <w:rPr>
                <w:rFonts w:ascii="Arial" w:cs="Arial" w:eastAsia="Arial" w:hAnsi="Arial"/>
                <w:sz w:val="18"/>
                <w:szCs w:val="18"/>
                <w:color w:val="auto"/>
              </w:rPr>
              <w:t>160,142</w:t>
            </w:r>
          </w:p>
        </w:tc>
        <w:tc>
          <w:tcPr>
            <w:tcW w:w="160" w:type="dxa"/>
            <w:vAlign w:val="bottom"/>
          </w:tcPr>
          <w:p>
            <w:pPr>
              <w:spacing w:after="0"/>
              <w:rPr>
                <w:sz w:val="18"/>
                <w:szCs w:val="18"/>
                <w:color w:val="auto"/>
              </w:rPr>
            </w:pPr>
          </w:p>
        </w:tc>
        <w:tc>
          <w:tcPr>
            <w:tcW w:w="1060" w:type="dxa"/>
            <w:vAlign w:val="bottom"/>
            <w:gridSpan w:val="2"/>
          </w:tcPr>
          <w:p>
            <w:pPr>
              <w:jc w:val="right"/>
              <w:ind w:right="160"/>
              <w:spacing w:after="0"/>
              <w:rPr>
                <w:sz w:val="20"/>
                <w:szCs w:val="20"/>
                <w:color w:val="auto"/>
              </w:rPr>
            </w:pPr>
            <w:r>
              <w:rPr>
                <w:rFonts w:ascii="Arial" w:cs="Arial" w:eastAsia="Arial" w:hAnsi="Arial"/>
                <w:sz w:val="18"/>
                <w:szCs w:val="18"/>
                <w:color w:val="auto"/>
              </w:rPr>
              <w:t>nil</w:t>
            </w:r>
          </w:p>
        </w:tc>
        <w:tc>
          <w:tcPr>
            <w:tcW w:w="1000" w:type="dxa"/>
            <w:vAlign w:val="bottom"/>
          </w:tcPr>
          <w:p>
            <w:pPr>
              <w:jc w:val="right"/>
              <w:spacing w:after="0"/>
              <w:rPr>
                <w:sz w:val="20"/>
                <w:szCs w:val="20"/>
                <w:color w:val="auto"/>
              </w:rPr>
            </w:pPr>
            <w:r>
              <w:rPr>
                <w:rFonts w:ascii="Arial" w:cs="Arial" w:eastAsia="Arial" w:hAnsi="Arial"/>
                <w:sz w:val="18"/>
                <w:szCs w:val="18"/>
                <w:color w:val="auto"/>
              </w:rPr>
              <w:t>72,141</w:t>
            </w:r>
          </w:p>
        </w:tc>
        <w:tc>
          <w:tcPr>
            <w:tcW w:w="1440" w:type="dxa"/>
            <w:vAlign w:val="bottom"/>
            <w:gridSpan w:val="2"/>
          </w:tcPr>
          <w:p>
            <w:pPr>
              <w:jc w:val="right"/>
              <w:spacing w:after="0"/>
              <w:rPr>
                <w:sz w:val="20"/>
                <w:szCs w:val="20"/>
                <w:color w:val="auto"/>
              </w:rPr>
            </w:pPr>
            <w:r>
              <w:rPr>
                <w:rFonts w:ascii="Arial" w:cs="Arial" w:eastAsia="Arial" w:hAnsi="Arial"/>
                <w:sz w:val="18"/>
                <w:szCs w:val="18"/>
                <w:color w:val="auto"/>
              </w:rPr>
              <w:t>232,283</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20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Daniel Racine</w:t>
            </w:r>
          </w:p>
        </w:tc>
        <w:tc>
          <w:tcPr>
            <w:tcW w:w="3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121,142</w:t>
            </w:r>
          </w:p>
        </w:tc>
        <w:tc>
          <w:tcPr>
            <w:tcW w:w="16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nil</w:t>
            </w:r>
          </w:p>
        </w:tc>
        <w:tc>
          <w:tcPr>
            <w:tcW w:w="10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24,355</w:t>
            </w:r>
          </w:p>
        </w:tc>
        <w:tc>
          <w:tcPr>
            <w:tcW w:w="14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145,497</w:t>
            </w:r>
          </w:p>
        </w:tc>
        <w:tc>
          <w:tcPr>
            <w:tcW w:w="160" w:type="dxa"/>
            <w:vAlign w:val="bottom"/>
            <w:shd w:val="clear" w:color="auto" w:fill="CCEEFF"/>
          </w:tcPr>
          <w:p>
            <w:pPr>
              <w:spacing w:after="0"/>
              <w:rPr>
                <w:sz w:val="18"/>
                <w:szCs w:val="18"/>
                <w:color w:val="auto"/>
              </w:rPr>
            </w:pPr>
          </w:p>
        </w:tc>
      </w:tr>
      <w:tr>
        <w:trPr>
          <w:trHeight w:val="430"/>
        </w:trPr>
        <w:tc>
          <w:tcPr>
            <w:tcW w:w="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4500" w:type="dxa"/>
            <w:vAlign w:val="bottom"/>
            <w:gridSpan w:val="5"/>
          </w:tcPr>
          <w:p>
            <w:pPr>
              <w:ind w:left="580"/>
              <w:spacing w:after="0"/>
              <w:rPr>
                <w:sz w:val="20"/>
                <w:szCs w:val="20"/>
                <w:color w:val="auto"/>
              </w:rPr>
            </w:pPr>
            <w:r>
              <w:rPr>
                <w:rFonts w:ascii="Arial" w:cs="Arial" w:eastAsia="Arial" w:hAnsi="Arial"/>
                <w:sz w:val="18"/>
                <w:szCs w:val="18"/>
                <w:b w:val="1"/>
                <w:bCs w:val="1"/>
                <w:color w:val="auto"/>
                <w:w w:val="90"/>
              </w:rPr>
              <w:t>Defined Contributions Table — Supplemental Plan</w:t>
            </w:r>
          </w:p>
        </w:tc>
        <w:tc>
          <w:tcPr>
            <w:tcW w:w="10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160" w:type="dxa"/>
            <w:vAlign w:val="bottom"/>
          </w:tcPr>
          <w:p>
            <w:pPr>
              <w:spacing w:after="0"/>
              <w:rPr>
                <w:sz w:val="24"/>
                <w:szCs w:val="24"/>
                <w:color w:val="auto"/>
              </w:rPr>
            </w:pPr>
          </w:p>
        </w:tc>
      </w:tr>
      <w:tr>
        <w:trPr>
          <w:trHeight w:val="354"/>
        </w:trPr>
        <w:tc>
          <w:tcPr>
            <w:tcW w:w="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1980" w:type="dxa"/>
            <w:vAlign w:val="bottom"/>
          </w:tcPr>
          <w:p>
            <w:pPr>
              <w:spacing w:after="0"/>
              <w:rPr>
                <w:sz w:val="24"/>
                <w:szCs w:val="24"/>
                <w:color w:val="auto"/>
              </w:rPr>
            </w:pPr>
          </w:p>
        </w:tc>
        <w:tc>
          <w:tcPr>
            <w:tcW w:w="1300" w:type="dxa"/>
            <w:vAlign w:val="bottom"/>
          </w:tcPr>
          <w:p>
            <w:pPr>
              <w:jc w:val="center"/>
              <w:spacing w:after="0"/>
              <w:rPr>
                <w:sz w:val="20"/>
                <w:szCs w:val="20"/>
                <w:color w:val="auto"/>
              </w:rPr>
            </w:pPr>
            <w:r>
              <w:rPr>
                <w:rFonts w:ascii="Arial" w:cs="Arial" w:eastAsia="Arial" w:hAnsi="Arial"/>
                <w:sz w:val="14"/>
                <w:szCs w:val="14"/>
                <w:b w:val="1"/>
                <w:bCs w:val="1"/>
                <w:color w:val="auto"/>
                <w:w w:val="86"/>
              </w:rPr>
              <w:t>Accumulated Value</w:t>
            </w:r>
          </w:p>
        </w:tc>
        <w:tc>
          <w:tcPr>
            <w:tcW w:w="16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0" w:type="dxa"/>
            <w:vAlign w:val="bottom"/>
          </w:tcPr>
          <w:p>
            <w:pPr>
              <w:jc w:val="center"/>
              <w:spacing w:after="0"/>
              <w:rPr>
                <w:sz w:val="20"/>
                <w:szCs w:val="20"/>
                <w:color w:val="auto"/>
              </w:rPr>
            </w:pPr>
            <w:r>
              <w:rPr>
                <w:rFonts w:ascii="Arial" w:cs="Arial" w:eastAsia="Arial" w:hAnsi="Arial"/>
                <w:sz w:val="14"/>
                <w:szCs w:val="14"/>
                <w:b w:val="1"/>
                <w:bCs w:val="1"/>
                <w:color w:val="auto"/>
                <w:w w:val="93"/>
              </w:rPr>
              <w:t>Non-</w:t>
            </w:r>
          </w:p>
        </w:tc>
        <w:tc>
          <w:tcPr>
            <w:tcW w:w="160" w:type="dxa"/>
            <w:vAlign w:val="bottom"/>
          </w:tcPr>
          <w:p>
            <w:pPr>
              <w:spacing w:after="0"/>
              <w:rPr>
                <w:sz w:val="24"/>
                <w:szCs w:val="24"/>
                <w:color w:val="auto"/>
              </w:rPr>
            </w:pPr>
          </w:p>
        </w:tc>
        <w:tc>
          <w:tcPr>
            <w:tcW w:w="144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6"/>
              </w:rPr>
              <w:t>Accumulated Value</w:t>
            </w:r>
          </w:p>
        </w:tc>
      </w:tr>
      <w:tr>
        <w:trPr>
          <w:trHeight w:val="161"/>
        </w:trPr>
        <w:tc>
          <w:tcPr>
            <w:tcW w:w="2080" w:type="dxa"/>
            <w:vAlign w:val="bottom"/>
            <w:gridSpan w:val="4"/>
          </w:tcPr>
          <w:p>
            <w:pPr>
              <w:spacing w:after="0"/>
              <w:rPr>
                <w:sz w:val="20"/>
                <w:szCs w:val="20"/>
                <w:color w:val="auto"/>
              </w:rPr>
            </w:pPr>
            <w:r>
              <w:rPr>
                <w:rFonts w:ascii="Arial" w:cs="Arial" w:eastAsia="Arial" w:hAnsi="Arial"/>
                <w:sz w:val="14"/>
                <w:szCs w:val="14"/>
                <w:b w:val="1"/>
                <w:bCs w:val="1"/>
                <w:color w:val="auto"/>
              </w:rPr>
              <w:t>Name</w:t>
            </w:r>
          </w:p>
        </w:tc>
        <w:tc>
          <w:tcPr>
            <w:tcW w:w="1980" w:type="dxa"/>
            <w:vAlign w:val="bottom"/>
          </w:tcPr>
          <w:p>
            <w:pPr>
              <w:spacing w:after="0"/>
              <w:rPr>
                <w:sz w:val="14"/>
                <w:szCs w:val="14"/>
                <w:color w:val="auto"/>
              </w:rPr>
            </w:pPr>
          </w:p>
        </w:tc>
        <w:tc>
          <w:tcPr>
            <w:tcW w:w="1300" w:type="dxa"/>
            <w:vAlign w:val="bottom"/>
          </w:tcPr>
          <w:p>
            <w:pPr>
              <w:jc w:val="center"/>
              <w:spacing w:after="0"/>
              <w:rPr>
                <w:sz w:val="20"/>
                <w:szCs w:val="20"/>
                <w:color w:val="auto"/>
              </w:rPr>
            </w:pPr>
            <w:r>
              <w:rPr>
                <w:rFonts w:ascii="Arial" w:cs="Arial" w:eastAsia="Arial" w:hAnsi="Arial"/>
                <w:sz w:val="14"/>
                <w:szCs w:val="14"/>
                <w:b w:val="1"/>
                <w:bCs w:val="1"/>
                <w:color w:val="auto"/>
                <w:w w:val="88"/>
              </w:rPr>
              <w:t>at Start of Year</w:t>
            </w:r>
          </w:p>
        </w:tc>
        <w:tc>
          <w:tcPr>
            <w:tcW w:w="160" w:type="dxa"/>
            <w:vAlign w:val="bottom"/>
          </w:tcPr>
          <w:p>
            <w:pPr>
              <w:spacing w:after="0"/>
              <w:rPr>
                <w:sz w:val="14"/>
                <w:szCs w:val="14"/>
                <w:color w:val="auto"/>
              </w:rPr>
            </w:pPr>
          </w:p>
        </w:tc>
        <w:tc>
          <w:tcPr>
            <w:tcW w:w="106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5"/>
              </w:rPr>
              <w:t>Compensatory</w:t>
            </w:r>
          </w:p>
        </w:tc>
        <w:tc>
          <w:tcPr>
            <w:tcW w:w="1000" w:type="dxa"/>
            <w:vAlign w:val="bottom"/>
          </w:tcPr>
          <w:p>
            <w:pPr>
              <w:jc w:val="center"/>
              <w:spacing w:after="0"/>
              <w:rPr>
                <w:sz w:val="20"/>
                <w:szCs w:val="20"/>
                <w:color w:val="auto"/>
              </w:rPr>
            </w:pPr>
            <w:r>
              <w:rPr>
                <w:rFonts w:ascii="Arial" w:cs="Arial" w:eastAsia="Arial" w:hAnsi="Arial"/>
                <w:sz w:val="14"/>
                <w:szCs w:val="14"/>
                <w:b w:val="1"/>
                <w:bCs w:val="1"/>
                <w:color w:val="auto"/>
                <w:w w:val="87"/>
              </w:rPr>
              <w:t>Compensatory</w:t>
            </w:r>
          </w:p>
        </w:tc>
        <w:tc>
          <w:tcPr>
            <w:tcW w:w="160" w:type="dxa"/>
            <w:vAlign w:val="bottom"/>
          </w:tcPr>
          <w:p>
            <w:pPr>
              <w:spacing w:after="0"/>
              <w:rPr>
                <w:sz w:val="14"/>
                <w:szCs w:val="14"/>
                <w:color w:val="auto"/>
              </w:rPr>
            </w:pPr>
          </w:p>
        </w:tc>
        <w:tc>
          <w:tcPr>
            <w:tcW w:w="144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at Year End</w:t>
            </w:r>
          </w:p>
        </w:tc>
      </w:tr>
      <w:tr>
        <w:trPr>
          <w:trHeight w:val="142"/>
        </w:trPr>
        <w:tc>
          <w:tcPr>
            <w:tcW w:w="20" w:type="dxa"/>
            <w:vAlign w:val="bottom"/>
          </w:tcPr>
          <w:p>
            <w:pPr>
              <w:spacing w:after="0"/>
              <w:rPr>
                <w:sz w:val="12"/>
                <w:szCs w:val="12"/>
                <w:color w:val="auto"/>
              </w:rPr>
            </w:pPr>
          </w:p>
        </w:tc>
        <w:tc>
          <w:tcPr>
            <w:tcW w:w="380" w:type="dxa"/>
            <w:vAlign w:val="bottom"/>
            <w:tcBorders>
              <w:top w:val="single" w:sz="8" w:color="auto"/>
            </w:tcBorders>
          </w:tcPr>
          <w:p>
            <w:pPr>
              <w:spacing w:after="0"/>
              <w:rPr>
                <w:sz w:val="12"/>
                <w:szCs w:val="12"/>
                <w:color w:val="auto"/>
              </w:rPr>
            </w:pPr>
          </w:p>
        </w:tc>
        <w:tc>
          <w:tcPr>
            <w:tcW w:w="8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980" w:type="dxa"/>
            <w:vAlign w:val="bottom"/>
          </w:tcPr>
          <w:p>
            <w:pPr>
              <w:spacing w:after="0"/>
              <w:rPr>
                <w:sz w:val="12"/>
                <w:szCs w:val="12"/>
                <w:color w:val="auto"/>
              </w:rPr>
            </w:pPr>
          </w:p>
        </w:tc>
        <w:tc>
          <w:tcPr>
            <w:tcW w:w="130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8"/>
              </w:rPr>
              <w:t>(C$)</w:t>
            </w:r>
          </w:p>
        </w:tc>
        <w:tc>
          <w:tcPr>
            <w:tcW w:w="160" w:type="dxa"/>
            <w:vAlign w:val="bottom"/>
          </w:tcPr>
          <w:p>
            <w:pPr>
              <w:spacing w:after="0"/>
              <w:rPr>
                <w:sz w:val="12"/>
                <w:szCs w:val="12"/>
                <w:color w:val="auto"/>
              </w:rPr>
            </w:pPr>
          </w:p>
        </w:tc>
        <w:tc>
          <w:tcPr>
            <w:tcW w:w="90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8"/>
              </w:rPr>
              <w:t>(C$)</w:t>
            </w:r>
          </w:p>
        </w:tc>
        <w:tc>
          <w:tcPr>
            <w:tcW w:w="160" w:type="dxa"/>
            <w:vAlign w:val="bottom"/>
          </w:tcPr>
          <w:p>
            <w:pPr>
              <w:spacing w:after="0"/>
              <w:rPr>
                <w:sz w:val="12"/>
                <w:szCs w:val="12"/>
                <w:color w:val="auto"/>
              </w:rPr>
            </w:pPr>
          </w:p>
        </w:tc>
        <w:tc>
          <w:tcPr>
            <w:tcW w:w="100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95"/>
              </w:rPr>
              <w:t>(C$)</w:t>
            </w:r>
          </w:p>
        </w:tc>
        <w:tc>
          <w:tcPr>
            <w:tcW w:w="160" w:type="dxa"/>
            <w:vAlign w:val="bottom"/>
          </w:tcPr>
          <w:p>
            <w:pPr>
              <w:spacing w:after="0"/>
              <w:rPr>
                <w:sz w:val="12"/>
                <w:szCs w:val="12"/>
                <w:color w:val="auto"/>
              </w:rPr>
            </w:pPr>
          </w:p>
        </w:tc>
        <w:tc>
          <w:tcPr>
            <w:tcW w:w="128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95"/>
              </w:rPr>
              <w:t>(C$)</w:t>
            </w:r>
          </w:p>
        </w:tc>
        <w:tc>
          <w:tcPr>
            <w:tcW w:w="160" w:type="dxa"/>
            <w:vAlign w:val="bottom"/>
          </w:tcPr>
          <w:p>
            <w:pPr>
              <w:spacing w:after="0"/>
              <w:rPr>
                <w:sz w:val="12"/>
                <w:szCs w:val="12"/>
                <w:color w:val="auto"/>
              </w:rPr>
            </w:pPr>
          </w:p>
        </w:tc>
      </w:tr>
      <w:tr>
        <w:trPr>
          <w:trHeight w:val="257"/>
        </w:trPr>
        <w:tc>
          <w:tcPr>
            <w:tcW w:w="20" w:type="dxa"/>
            <w:vAlign w:val="bottom"/>
          </w:tcPr>
          <w:p>
            <w:pPr>
              <w:spacing w:after="0"/>
              <w:rPr>
                <w:sz w:val="22"/>
                <w:szCs w:val="22"/>
                <w:color w:val="auto"/>
              </w:rPr>
            </w:pPr>
          </w:p>
        </w:tc>
        <w:tc>
          <w:tcPr>
            <w:tcW w:w="2060" w:type="dxa"/>
            <w:vAlign w:val="bottom"/>
            <w:gridSpan w:val="3"/>
            <w:shd w:val="clear" w:color="auto" w:fill="CCEEFF"/>
          </w:tcPr>
          <w:p>
            <w:pPr>
              <w:spacing w:after="0" w:line="256" w:lineRule="exact"/>
              <w:rPr>
                <w:sz w:val="20"/>
                <w:szCs w:val="20"/>
                <w:color w:val="auto"/>
              </w:rPr>
            </w:pPr>
            <w:r>
              <w:rPr>
                <w:rFonts w:ascii="Arial" w:cs="Arial" w:eastAsia="Arial" w:hAnsi="Arial"/>
                <w:sz w:val="18"/>
                <w:szCs w:val="18"/>
                <w:color w:val="auto"/>
              </w:rPr>
              <w:t>Sean Boyd</w:t>
            </w:r>
            <w:r>
              <w:rPr>
                <w:rFonts w:ascii="Arial" w:cs="Arial" w:eastAsia="Arial" w:hAnsi="Arial"/>
                <w:sz w:val="29"/>
                <w:szCs w:val="29"/>
                <w:color w:val="auto"/>
                <w:vertAlign w:val="superscript"/>
              </w:rPr>
              <w:t>(1)</w:t>
            </w:r>
          </w:p>
        </w:tc>
        <w:tc>
          <w:tcPr>
            <w:tcW w:w="1980" w:type="dxa"/>
            <w:vAlign w:val="bottom"/>
            <w:shd w:val="clear" w:color="auto" w:fill="CCEEFF"/>
          </w:tcPr>
          <w:p>
            <w:pPr>
              <w:spacing w:after="0"/>
              <w:rPr>
                <w:sz w:val="22"/>
                <w:szCs w:val="22"/>
                <w:color w:val="auto"/>
              </w:rPr>
            </w:pPr>
          </w:p>
        </w:tc>
        <w:tc>
          <w:tcPr>
            <w:tcW w:w="1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nil</w:t>
            </w:r>
          </w:p>
        </w:tc>
        <w:tc>
          <w:tcPr>
            <w:tcW w:w="160" w:type="dxa"/>
            <w:vAlign w:val="bottom"/>
            <w:shd w:val="clear" w:color="auto" w:fill="CCEEFF"/>
          </w:tcPr>
          <w:p>
            <w:pPr>
              <w:spacing w:after="0"/>
              <w:rPr>
                <w:sz w:val="22"/>
                <w:szCs w:val="22"/>
                <w:color w:val="auto"/>
              </w:rPr>
            </w:pPr>
          </w:p>
        </w:tc>
        <w:tc>
          <w:tcPr>
            <w:tcW w:w="10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nil</w:t>
            </w:r>
          </w:p>
        </w:tc>
        <w:tc>
          <w:tcPr>
            <w:tcW w:w="10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nil</w:t>
            </w:r>
          </w:p>
        </w:tc>
        <w:tc>
          <w:tcPr>
            <w:tcW w:w="160" w:type="dxa"/>
            <w:vAlign w:val="bottom"/>
            <w:shd w:val="clear" w:color="auto" w:fill="CCEEFF"/>
          </w:tcPr>
          <w:p>
            <w:pPr>
              <w:spacing w:after="0"/>
              <w:rPr>
                <w:sz w:val="22"/>
                <w:szCs w:val="22"/>
                <w:color w:val="auto"/>
              </w:rPr>
            </w:pPr>
          </w:p>
        </w:tc>
        <w:tc>
          <w:tcPr>
            <w:tcW w:w="14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nil</w:t>
            </w:r>
          </w:p>
        </w:tc>
      </w:tr>
      <w:tr>
        <w:trPr>
          <w:trHeight w:val="257"/>
        </w:trPr>
        <w:tc>
          <w:tcPr>
            <w:tcW w:w="20" w:type="dxa"/>
            <w:vAlign w:val="bottom"/>
          </w:tcPr>
          <w:p>
            <w:pPr>
              <w:spacing w:after="0"/>
              <w:rPr>
                <w:sz w:val="22"/>
                <w:szCs w:val="22"/>
                <w:color w:val="auto"/>
              </w:rPr>
            </w:pPr>
          </w:p>
        </w:tc>
        <w:tc>
          <w:tcPr>
            <w:tcW w:w="2060" w:type="dxa"/>
            <w:vAlign w:val="bottom"/>
            <w:gridSpan w:val="3"/>
          </w:tcPr>
          <w:p>
            <w:pPr>
              <w:spacing w:after="0" w:line="256" w:lineRule="exact"/>
              <w:rPr>
                <w:sz w:val="20"/>
                <w:szCs w:val="20"/>
                <w:color w:val="auto"/>
              </w:rPr>
            </w:pPr>
            <w:r>
              <w:rPr>
                <w:rFonts w:ascii="Arial" w:cs="Arial" w:eastAsia="Arial" w:hAnsi="Arial"/>
                <w:sz w:val="18"/>
                <w:szCs w:val="18"/>
                <w:color w:val="auto"/>
              </w:rPr>
              <w:t>Eberhard Scherkus</w:t>
            </w:r>
            <w:r>
              <w:rPr>
                <w:rFonts w:ascii="Arial" w:cs="Arial" w:eastAsia="Arial" w:hAnsi="Arial"/>
                <w:sz w:val="29"/>
                <w:szCs w:val="29"/>
                <w:color w:val="auto"/>
                <w:vertAlign w:val="superscript"/>
              </w:rPr>
              <w:t>(1)</w:t>
            </w:r>
          </w:p>
        </w:tc>
        <w:tc>
          <w:tcPr>
            <w:tcW w:w="1980" w:type="dxa"/>
            <w:vAlign w:val="bottom"/>
          </w:tcPr>
          <w:p>
            <w:pPr>
              <w:spacing w:after="0"/>
              <w:rPr>
                <w:sz w:val="22"/>
                <w:szCs w:val="22"/>
                <w:color w:val="auto"/>
              </w:rPr>
            </w:pPr>
          </w:p>
        </w:tc>
        <w:tc>
          <w:tcPr>
            <w:tcW w:w="1300" w:type="dxa"/>
            <w:vAlign w:val="bottom"/>
          </w:tcPr>
          <w:p>
            <w:pPr>
              <w:jc w:val="right"/>
              <w:spacing w:after="0"/>
              <w:rPr>
                <w:sz w:val="20"/>
                <w:szCs w:val="20"/>
                <w:color w:val="auto"/>
              </w:rPr>
            </w:pPr>
            <w:r>
              <w:rPr>
                <w:rFonts w:ascii="Arial" w:cs="Arial" w:eastAsia="Arial" w:hAnsi="Arial"/>
                <w:sz w:val="18"/>
                <w:szCs w:val="18"/>
                <w:color w:val="auto"/>
              </w:rPr>
              <w:t>nil</w:t>
            </w:r>
          </w:p>
        </w:tc>
        <w:tc>
          <w:tcPr>
            <w:tcW w:w="160" w:type="dxa"/>
            <w:vAlign w:val="bottom"/>
          </w:tcPr>
          <w:p>
            <w:pPr>
              <w:spacing w:after="0"/>
              <w:rPr>
                <w:sz w:val="22"/>
                <w:szCs w:val="22"/>
                <w:color w:val="auto"/>
              </w:rPr>
            </w:pPr>
          </w:p>
        </w:tc>
        <w:tc>
          <w:tcPr>
            <w:tcW w:w="1060" w:type="dxa"/>
            <w:vAlign w:val="bottom"/>
            <w:gridSpan w:val="2"/>
          </w:tcPr>
          <w:p>
            <w:pPr>
              <w:jc w:val="right"/>
              <w:ind w:right="160"/>
              <w:spacing w:after="0"/>
              <w:rPr>
                <w:sz w:val="20"/>
                <w:szCs w:val="20"/>
                <w:color w:val="auto"/>
              </w:rPr>
            </w:pPr>
            <w:r>
              <w:rPr>
                <w:rFonts w:ascii="Arial" w:cs="Arial" w:eastAsia="Arial" w:hAnsi="Arial"/>
                <w:sz w:val="18"/>
                <w:szCs w:val="18"/>
                <w:color w:val="auto"/>
              </w:rPr>
              <w:t>nil</w:t>
            </w:r>
          </w:p>
        </w:tc>
        <w:tc>
          <w:tcPr>
            <w:tcW w:w="1000" w:type="dxa"/>
            <w:vAlign w:val="bottom"/>
          </w:tcPr>
          <w:p>
            <w:pPr>
              <w:jc w:val="right"/>
              <w:spacing w:after="0"/>
              <w:rPr>
                <w:sz w:val="20"/>
                <w:szCs w:val="20"/>
                <w:color w:val="auto"/>
              </w:rPr>
            </w:pPr>
            <w:r>
              <w:rPr>
                <w:rFonts w:ascii="Arial" w:cs="Arial" w:eastAsia="Arial" w:hAnsi="Arial"/>
                <w:sz w:val="18"/>
                <w:szCs w:val="18"/>
                <w:color w:val="auto"/>
              </w:rPr>
              <w:t>nil</w:t>
            </w:r>
          </w:p>
        </w:tc>
        <w:tc>
          <w:tcPr>
            <w:tcW w:w="160" w:type="dxa"/>
            <w:vAlign w:val="bottom"/>
          </w:tcPr>
          <w:p>
            <w:pPr>
              <w:spacing w:after="0"/>
              <w:rPr>
                <w:sz w:val="22"/>
                <w:szCs w:val="22"/>
                <w:color w:val="auto"/>
              </w:rPr>
            </w:pPr>
          </w:p>
        </w:tc>
        <w:tc>
          <w:tcPr>
            <w:tcW w:w="1440" w:type="dxa"/>
            <w:vAlign w:val="bottom"/>
            <w:gridSpan w:val="2"/>
          </w:tcPr>
          <w:p>
            <w:pPr>
              <w:jc w:val="right"/>
              <w:ind w:right="160"/>
              <w:spacing w:after="0"/>
              <w:rPr>
                <w:sz w:val="20"/>
                <w:szCs w:val="20"/>
                <w:color w:val="auto"/>
              </w:rPr>
            </w:pPr>
            <w:r>
              <w:rPr>
                <w:rFonts w:ascii="Arial" w:cs="Arial" w:eastAsia="Arial" w:hAnsi="Arial"/>
                <w:sz w:val="18"/>
                <w:szCs w:val="18"/>
                <w:color w:val="auto"/>
              </w:rPr>
              <w:t>nil</w:t>
            </w:r>
          </w:p>
        </w:tc>
      </w:tr>
      <w:tr>
        <w:trPr>
          <w:trHeight w:val="216"/>
        </w:trPr>
        <w:tc>
          <w:tcPr>
            <w:tcW w:w="20" w:type="dxa"/>
            <w:vAlign w:val="bottom"/>
          </w:tcPr>
          <w:p>
            <w:pPr>
              <w:spacing w:after="0"/>
              <w:rPr>
                <w:sz w:val="18"/>
                <w:szCs w:val="18"/>
                <w:color w:val="auto"/>
              </w:rPr>
            </w:pPr>
          </w:p>
        </w:tc>
        <w:tc>
          <w:tcPr>
            <w:tcW w:w="20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David Garofalo</w:t>
            </w:r>
          </w:p>
        </w:tc>
        <w:tc>
          <w:tcPr>
            <w:tcW w:w="3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65,550</w:t>
            </w:r>
          </w:p>
        </w:tc>
        <w:tc>
          <w:tcPr>
            <w:tcW w:w="10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89,274</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nil</w:t>
            </w:r>
          </w:p>
        </w:tc>
        <w:tc>
          <w:tcPr>
            <w:tcW w:w="14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154,824</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2060" w:type="dxa"/>
            <w:vAlign w:val="bottom"/>
            <w:gridSpan w:val="3"/>
          </w:tcPr>
          <w:p>
            <w:pPr>
              <w:spacing w:after="0"/>
              <w:rPr>
                <w:sz w:val="20"/>
                <w:szCs w:val="20"/>
                <w:color w:val="auto"/>
              </w:rPr>
            </w:pPr>
            <w:r>
              <w:rPr>
                <w:rFonts w:ascii="Arial" w:cs="Arial" w:eastAsia="Arial" w:hAnsi="Arial"/>
                <w:sz w:val="18"/>
                <w:szCs w:val="18"/>
                <w:color w:val="auto"/>
              </w:rPr>
              <w:t>Alain Blackburn</w:t>
            </w:r>
          </w:p>
        </w:tc>
        <w:tc>
          <w:tcPr>
            <w:tcW w:w="3280" w:type="dxa"/>
            <w:vAlign w:val="bottom"/>
            <w:gridSpan w:val="2"/>
          </w:tcPr>
          <w:p>
            <w:pPr>
              <w:jc w:val="right"/>
              <w:spacing w:after="0"/>
              <w:rPr>
                <w:sz w:val="20"/>
                <w:szCs w:val="20"/>
                <w:color w:val="auto"/>
              </w:rPr>
            </w:pPr>
            <w:r>
              <w:rPr>
                <w:rFonts w:ascii="Arial" w:cs="Arial" w:eastAsia="Arial" w:hAnsi="Arial"/>
                <w:sz w:val="18"/>
                <w:szCs w:val="18"/>
                <w:color w:val="auto"/>
              </w:rPr>
              <w:t>50,250</w:t>
            </w:r>
          </w:p>
        </w:tc>
        <w:tc>
          <w:tcPr>
            <w:tcW w:w="1060" w:type="dxa"/>
            <w:vAlign w:val="bottom"/>
            <w:gridSpan w:val="2"/>
          </w:tcPr>
          <w:p>
            <w:pPr>
              <w:jc w:val="right"/>
              <w:spacing w:after="0"/>
              <w:rPr>
                <w:sz w:val="20"/>
                <w:szCs w:val="20"/>
                <w:color w:val="auto"/>
              </w:rPr>
            </w:pPr>
            <w:r>
              <w:rPr>
                <w:rFonts w:ascii="Arial" w:cs="Arial" w:eastAsia="Arial" w:hAnsi="Arial"/>
                <w:sz w:val="18"/>
                <w:szCs w:val="18"/>
                <w:color w:val="auto"/>
              </w:rPr>
              <w:t>70,050</w:t>
            </w:r>
          </w:p>
        </w:tc>
        <w:tc>
          <w:tcPr>
            <w:tcW w:w="160" w:type="dxa"/>
            <w:vAlign w:val="bottom"/>
          </w:tcPr>
          <w:p>
            <w:pPr>
              <w:spacing w:after="0"/>
              <w:rPr>
                <w:sz w:val="18"/>
                <w:szCs w:val="18"/>
                <w:color w:val="auto"/>
              </w:rPr>
            </w:pPr>
          </w:p>
        </w:tc>
        <w:tc>
          <w:tcPr>
            <w:tcW w:w="1000" w:type="dxa"/>
            <w:vAlign w:val="bottom"/>
          </w:tcPr>
          <w:p>
            <w:pPr>
              <w:jc w:val="right"/>
              <w:spacing w:after="0"/>
              <w:rPr>
                <w:sz w:val="20"/>
                <w:szCs w:val="20"/>
                <w:color w:val="auto"/>
              </w:rPr>
            </w:pPr>
            <w:r>
              <w:rPr>
                <w:rFonts w:ascii="Arial" w:cs="Arial" w:eastAsia="Arial" w:hAnsi="Arial"/>
                <w:sz w:val="18"/>
                <w:szCs w:val="18"/>
                <w:color w:val="auto"/>
              </w:rPr>
              <w:t>nil</w:t>
            </w:r>
          </w:p>
        </w:tc>
        <w:tc>
          <w:tcPr>
            <w:tcW w:w="1440" w:type="dxa"/>
            <w:vAlign w:val="bottom"/>
            <w:gridSpan w:val="2"/>
          </w:tcPr>
          <w:p>
            <w:pPr>
              <w:jc w:val="right"/>
              <w:spacing w:after="0"/>
              <w:rPr>
                <w:sz w:val="20"/>
                <w:szCs w:val="20"/>
                <w:color w:val="auto"/>
              </w:rPr>
            </w:pPr>
            <w:r>
              <w:rPr>
                <w:rFonts w:ascii="Arial" w:cs="Arial" w:eastAsia="Arial" w:hAnsi="Arial"/>
                <w:sz w:val="18"/>
                <w:szCs w:val="18"/>
                <w:color w:val="auto"/>
              </w:rPr>
              <w:t>120,300</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20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Daniel Racine</w:t>
            </w:r>
          </w:p>
        </w:tc>
        <w:tc>
          <w:tcPr>
            <w:tcW w:w="32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47,850</w:t>
            </w:r>
          </w:p>
        </w:tc>
        <w:tc>
          <w:tcPr>
            <w:tcW w:w="10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57,202</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nil</w:t>
            </w:r>
          </w:p>
        </w:tc>
        <w:tc>
          <w:tcPr>
            <w:tcW w:w="14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105,052</w:t>
            </w:r>
          </w:p>
        </w:tc>
        <w:tc>
          <w:tcPr>
            <w:tcW w:w="160" w:type="dxa"/>
            <w:vAlign w:val="bottom"/>
            <w:shd w:val="clear" w:color="auto" w:fill="CCEEFF"/>
          </w:tcPr>
          <w:p>
            <w:pPr>
              <w:spacing w:after="0"/>
              <w:rPr>
                <w:sz w:val="18"/>
                <w:szCs w:val="18"/>
                <w:color w:val="auto"/>
              </w:rPr>
            </w:pPr>
          </w:p>
        </w:tc>
      </w:tr>
      <w:tr>
        <w:trPr>
          <w:trHeight w:val="108"/>
        </w:trPr>
        <w:tc>
          <w:tcPr>
            <w:tcW w:w="20" w:type="dxa"/>
            <w:vAlign w:val="bottom"/>
          </w:tcPr>
          <w:p>
            <w:pPr>
              <w:spacing w:after="0"/>
              <w:rPr>
                <w:sz w:val="9"/>
                <w:szCs w:val="9"/>
                <w:color w:val="auto"/>
              </w:rPr>
            </w:pPr>
          </w:p>
        </w:tc>
        <w:tc>
          <w:tcPr>
            <w:tcW w:w="380" w:type="dxa"/>
            <w:vAlign w:val="bottom"/>
            <w:tcBorders>
              <w:bottom w:val="single" w:sz="8" w:color="auto"/>
            </w:tcBorders>
          </w:tcPr>
          <w:p>
            <w:pPr>
              <w:spacing w:after="0"/>
              <w:rPr>
                <w:sz w:val="9"/>
                <w:szCs w:val="9"/>
                <w:color w:val="auto"/>
              </w:rPr>
            </w:pPr>
          </w:p>
        </w:tc>
        <w:tc>
          <w:tcPr>
            <w:tcW w:w="880" w:type="dxa"/>
            <w:vAlign w:val="bottom"/>
            <w:tcBorders>
              <w:bottom w:val="single" w:sz="8" w:color="auto"/>
            </w:tcBorders>
          </w:tcPr>
          <w:p>
            <w:pPr>
              <w:spacing w:after="0"/>
              <w:rPr>
                <w:sz w:val="9"/>
                <w:szCs w:val="9"/>
                <w:color w:val="auto"/>
              </w:rPr>
            </w:pPr>
          </w:p>
        </w:tc>
        <w:tc>
          <w:tcPr>
            <w:tcW w:w="800" w:type="dxa"/>
            <w:vAlign w:val="bottom"/>
          </w:tcPr>
          <w:p>
            <w:pPr>
              <w:spacing w:after="0"/>
              <w:rPr>
                <w:sz w:val="9"/>
                <w:szCs w:val="9"/>
                <w:color w:val="auto"/>
              </w:rPr>
            </w:pPr>
          </w:p>
        </w:tc>
        <w:tc>
          <w:tcPr>
            <w:tcW w:w="1980" w:type="dxa"/>
            <w:vAlign w:val="bottom"/>
          </w:tcPr>
          <w:p>
            <w:pPr>
              <w:spacing w:after="0"/>
              <w:rPr>
                <w:sz w:val="9"/>
                <w:szCs w:val="9"/>
                <w:color w:val="auto"/>
              </w:rPr>
            </w:pPr>
          </w:p>
        </w:tc>
        <w:tc>
          <w:tcPr>
            <w:tcW w:w="1300" w:type="dxa"/>
            <w:vAlign w:val="bottom"/>
          </w:tcPr>
          <w:p>
            <w:pPr>
              <w:spacing w:after="0"/>
              <w:rPr>
                <w:sz w:val="9"/>
                <w:szCs w:val="9"/>
                <w:color w:val="auto"/>
              </w:rPr>
            </w:pPr>
          </w:p>
        </w:tc>
        <w:tc>
          <w:tcPr>
            <w:tcW w:w="160" w:type="dxa"/>
            <w:vAlign w:val="bottom"/>
          </w:tcPr>
          <w:p>
            <w:pPr>
              <w:spacing w:after="0"/>
              <w:rPr>
                <w:sz w:val="9"/>
                <w:szCs w:val="9"/>
                <w:color w:val="auto"/>
              </w:rPr>
            </w:pPr>
          </w:p>
        </w:tc>
        <w:tc>
          <w:tcPr>
            <w:tcW w:w="900" w:type="dxa"/>
            <w:vAlign w:val="bottom"/>
          </w:tcPr>
          <w:p>
            <w:pPr>
              <w:spacing w:after="0"/>
              <w:rPr>
                <w:sz w:val="9"/>
                <w:szCs w:val="9"/>
                <w:color w:val="auto"/>
              </w:rPr>
            </w:pPr>
          </w:p>
        </w:tc>
        <w:tc>
          <w:tcPr>
            <w:tcW w:w="160" w:type="dxa"/>
            <w:vAlign w:val="bottom"/>
          </w:tcPr>
          <w:p>
            <w:pPr>
              <w:spacing w:after="0"/>
              <w:rPr>
                <w:sz w:val="9"/>
                <w:szCs w:val="9"/>
                <w:color w:val="auto"/>
              </w:rPr>
            </w:pPr>
          </w:p>
        </w:tc>
        <w:tc>
          <w:tcPr>
            <w:tcW w:w="1000" w:type="dxa"/>
            <w:vAlign w:val="bottom"/>
          </w:tcPr>
          <w:p>
            <w:pPr>
              <w:spacing w:after="0"/>
              <w:rPr>
                <w:sz w:val="9"/>
                <w:szCs w:val="9"/>
                <w:color w:val="auto"/>
              </w:rPr>
            </w:pPr>
          </w:p>
        </w:tc>
        <w:tc>
          <w:tcPr>
            <w:tcW w:w="160" w:type="dxa"/>
            <w:vAlign w:val="bottom"/>
          </w:tcPr>
          <w:p>
            <w:pPr>
              <w:spacing w:after="0"/>
              <w:rPr>
                <w:sz w:val="9"/>
                <w:szCs w:val="9"/>
                <w:color w:val="auto"/>
              </w:rPr>
            </w:pPr>
          </w:p>
        </w:tc>
        <w:tc>
          <w:tcPr>
            <w:tcW w:w="1280" w:type="dxa"/>
            <w:vAlign w:val="bottom"/>
          </w:tcPr>
          <w:p>
            <w:pPr>
              <w:spacing w:after="0"/>
              <w:rPr>
                <w:sz w:val="9"/>
                <w:szCs w:val="9"/>
                <w:color w:val="auto"/>
              </w:rPr>
            </w:pPr>
          </w:p>
        </w:tc>
        <w:tc>
          <w:tcPr>
            <w:tcW w:w="160" w:type="dxa"/>
            <w:vAlign w:val="bottom"/>
          </w:tcPr>
          <w:p>
            <w:pPr>
              <w:spacing w:after="0"/>
              <w:rPr>
                <w:sz w:val="9"/>
                <w:szCs w:val="9"/>
                <w:color w:val="auto"/>
              </w:rPr>
            </w:pPr>
          </w:p>
        </w:tc>
      </w:tr>
    </w:tbl>
    <w:p>
      <w:pPr>
        <w:spacing w:after="0" w:line="192" w:lineRule="exact"/>
        <w:rPr>
          <w:sz w:val="20"/>
          <w:szCs w:val="20"/>
          <w:color w:val="auto"/>
        </w:rPr>
      </w:pPr>
    </w:p>
    <w:p>
      <w:pPr>
        <w:ind w:left="1680" w:hanging="531"/>
        <w:spacing w:after="0"/>
        <w:tabs>
          <w:tab w:leader="none" w:pos="1680" w:val="left"/>
        </w:tabs>
        <w:numPr>
          <w:ilvl w:val="0"/>
          <w:numId w:val="49"/>
        </w:numPr>
        <w:rPr>
          <w:rFonts w:ascii="Arial" w:cs="Arial" w:eastAsia="Arial" w:hAnsi="Arial"/>
          <w:sz w:val="14"/>
          <w:szCs w:val="14"/>
          <w:color w:val="auto"/>
        </w:rPr>
      </w:pPr>
      <w:r>
        <w:rPr>
          <w:rFonts w:ascii="Arial" w:cs="Arial" w:eastAsia="Arial" w:hAnsi="Arial"/>
          <w:sz w:val="14"/>
          <w:szCs w:val="14"/>
          <w:color w:val="auto"/>
        </w:rPr>
        <w:t>Messrs. Boyd and Scherkus do not participate in the Supplemental Plan.</w:t>
      </w:r>
    </w:p>
    <w:p>
      <w:pPr>
        <w:spacing w:after="0" w:line="20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1" w:name="page152"/>
    <w:bookmarkEnd w:id="151"/>
    <w:p>
      <w:pPr>
        <w:jc w:val="both"/>
        <w:ind w:firstLine="621"/>
        <w:spacing w:after="0" w:line="259" w:lineRule="auto"/>
        <w:rPr>
          <w:sz w:val="20"/>
          <w:szCs w:val="20"/>
          <w:color w:val="auto"/>
        </w:rPr>
      </w:pPr>
      <w:r>
        <w:rPr>
          <w:rFonts w:ascii="Arial" w:cs="Arial" w:eastAsia="Arial" w:hAnsi="Arial"/>
          <w:sz w:val="18"/>
          <w:szCs w:val="18"/>
          <w:color w:val="auto"/>
        </w:rPr>
        <w:t>In 2008 the Compensation Committee retained Mercer (Canada) Limited to provide consulting services on the Company's executive and director compensation and to provide support for the implementation of (i) the Supplemental Plan and (ii) Agnico-Eagle's restricted share unit program for Agnico-Eagle's staff worldwide.</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Employment Contracts/Termination Arrangements</w:t>
      </w:r>
    </w:p>
    <w:p>
      <w:pPr>
        <w:spacing w:after="0" w:line="225" w:lineRule="exact"/>
        <w:rPr>
          <w:sz w:val="20"/>
          <w:szCs w:val="20"/>
          <w:color w:val="auto"/>
        </w:rPr>
      </w:pPr>
    </w:p>
    <w:p>
      <w:pPr>
        <w:jc w:val="both"/>
        <w:ind w:firstLine="341"/>
        <w:spacing w:after="0" w:line="290" w:lineRule="auto"/>
        <w:rPr>
          <w:sz w:val="20"/>
          <w:szCs w:val="20"/>
          <w:color w:val="auto"/>
        </w:rPr>
      </w:pPr>
      <w:r>
        <w:rPr>
          <w:rFonts w:ascii="Arial" w:cs="Arial" w:eastAsia="Arial" w:hAnsi="Arial"/>
          <w:sz w:val="16"/>
          <w:szCs w:val="16"/>
          <w:color w:val="auto"/>
        </w:rPr>
        <w:t>Agnico-Eagle has employment agreements with all of its executive officers which provide for an annual base salary, bonus and certain pension, health, dental and other insurance and automobile benefits. These amounts may be increased at the discretion of the Board of Directors upon the recommendation of the Compensation Committee. For the current base salary for each Named Executive Officer see "Summary Compensation Table" above. If the individual agreements are terminated other than for cause, death or disability, or upon their resignation following certain events, all of the Named Executive Officers would be entitled to a payment equal to two and one-half times the annual base salary at the date of termination plus an amount equal to two and one-half times the annual bonus (averaged over the preceding two years but not including options) and a continuation of benefits for up to two and one-half years or until the individual commences new employment. Certain events that would trigger a severance payment are:</w:t>
      </w:r>
    </w:p>
    <w:p>
      <w:pPr>
        <w:spacing w:after="0" w:line="186" w:lineRule="exact"/>
        <w:rPr>
          <w:sz w:val="20"/>
          <w:szCs w:val="20"/>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termination of employment without cause;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substantial alteration of responsibilities;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reduction of base salary or benefits;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office relocation of greater than 100 kilometres;</w:t>
      </w:r>
    </w:p>
    <w:p>
      <w:pPr>
        <w:spacing w:after="0" w:line="25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failure to obtain a satisfactory agreement from any successor to assume the individual's employment agreement or provide the individual with a comparable position, duties, salary and benefits; or</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any change in control of the Company.</w:t>
      </w:r>
    </w:p>
    <w:p>
      <w:pPr>
        <w:spacing w:after="0" w:line="225" w:lineRule="exact"/>
        <w:rPr>
          <w:sz w:val="20"/>
          <w:szCs w:val="20"/>
          <w:color w:val="auto"/>
        </w:rPr>
      </w:pPr>
    </w:p>
    <w:p>
      <w:pPr>
        <w:jc w:val="both"/>
        <w:ind w:firstLine="361"/>
        <w:spacing w:after="0" w:line="259" w:lineRule="auto"/>
        <w:rPr>
          <w:sz w:val="20"/>
          <w:szCs w:val="20"/>
          <w:color w:val="auto"/>
        </w:rPr>
      </w:pPr>
      <w:r>
        <w:rPr>
          <w:rFonts w:ascii="Arial" w:cs="Arial" w:eastAsia="Arial" w:hAnsi="Arial"/>
          <w:sz w:val="18"/>
          <w:szCs w:val="18"/>
          <w:color w:val="auto"/>
        </w:rPr>
        <w:t>If a severance payment triggering event had occurred on December 31, 2009, the severance payments that would be payable to each of the Named Executive Officers would be approximately as follows: Mr. Boyd — C$4,814,410; Mr. Scherkus — C$2,969,860; Mr. Garofalo — C$1,957,610; Mr. Blackburn — C$1,627,360; and Mr. Racine — C$1,471,735.</w:t>
      </w:r>
    </w:p>
    <w:p>
      <w:pPr>
        <w:spacing w:after="0" w:line="200" w:lineRule="exact"/>
        <w:rPr>
          <w:sz w:val="20"/>
          <w:szCs w:val="20"/>
          <w:color w:val="auto"/>
        </w:rPr>
      </w:pPr>
    </w:p>
    <w:p>
      <w:pPr>
        <w:spacing w:after="0" w:line="20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Compensation of Directors and Other Information</w:t>
      </w:r>
    </w:p>
    <w:p>
      <w:pPr>
        <w:spacing w:after="0" w:line="231" w:lineRule="exact"/>
        <w:rPr>
          <w:sz w:val="20"/>
          <w:szCs w:val="20"/>
          <w:color w:val="auto"/>
        </w:rPr>
      </w:pPr>
    </w:p>
    <w:p>
      <w:pPr>
        <w:jc w:val="both"/>
        <w:ind w:firstLine="453"/>
        <w:spacing w:after="0" w:line="259" w:lineRule="auto"/>
        <w:rPr>
          <w:sz w:val="20"/>
          <w:szCs w:val="20"/>
          <w:color w:val="auto"/>
        </w:rPr>
      </w:pPr>
      <w:r>
        <w:rPr>
          <w:rFonts w:ascii="Arial" w:cs="Arial" w:eastAsia="Arial" w:hAnsi="Arial"/>
          <w:sz w:val="18"/>
          <w:szCs w:val="18"/>
          <w:color w:val="auto"/>
        </w:rPr>
        <w:t>Mr. Boyd, who is a director and the Vice-Chairman and Chief Executive Officer of the Company, Mr. Scherkus, who is a director and the President and Chief Operating Officer of the Company, and Mr. Garofalo, who is a director and the Senior Vice-President, Finance and Chief Financial Officer of the Company, do not receive any remuneration for their services as directors of the Company.</w:t>
      </w:r>
    </w:p>
    <w:p>
      <w:pPr>
        <w:spacing w:after="0" w:line="194" w:lineRule="exact"/>
        <w:rPr>
          <w:sz w:val="20"/>
          <w:szCs w:val="20"/>
          <w:color w:val="auto"/>
        </w:rPr>
      </w:pPr>
    </w:p>
    <w:p>
      <w:pPr>
        <w:jc w:val="both"/>
        <w:ind w:right="20" w:firstLine="381"/>
        <w:spacing w:after="0" w:line="268" w:lineRule="auto"/>
        <w:rPr>
          <w:sz w:val="20"/>
          <w:szCs w:val="20"/>
          <w:color w:val="auto"/>
        </w:rPr>
      </w:pPr>
      <w:r>
        <w:rPr>
          <w:rFonts w:ascii="Arial" w:cs="Arial" w:eastAsia="Arial" w:hAnsi="Arial"/>
          <w:sz w:val="18"/>
          <w:szCs w:val="18"/>
          <w:color w:val="auto"/>
        </w:rPr>
        <w:t>The tables below summarize the annual retainers (annual retainers for the Chairs of the Board of Directors and other Committees are in addition to the base annual retainer) and attendance fees paid to the other directors during the year ended December 31, 2009.</w:t>
      </w:r>
    </w:p>
    <w:p>
      <w:pPr>
        <w:spacing w:after="0" w:line="164"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1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5080" w:type="dxa"/>
            <w:vAlign w:val="bottom"/>
          </w:tcPr>
          <w:p>
            <w:pPr>
              <w:spacing w:after="0"/>
              <w:rPr>
                <w:sz w:val="14"/>
                <w:szCs w:val="14"/>
                <w:color w:val="auto"/>
              </w:rPr>
            </w:pPr>
          </w:p>
        </w:tc>
        <w:tc>
          <w:tcPr>
            <w:tcW w:w="3920" w:type="dxa"/>
            <w:vAlign w:val="bottom"/>
            <w:gridSpan w:val="3"/>
          </w:tcPr>
          <w:p>
            <w:pPr>
              <w:ind w:left="120"/>
              <w:spacing w:after="0"/>
              <w:rPr>
                <w:sz w:val="20"/>
                <w:szCs w:val="20"/>
                <w:color w:val="auto"/>
              </w:rPr>
            </w:pPr>
            <w:r>
              <w:rPr>
                <w:rFonts w:ascii="Arial" w:cs="Arial" w:eastAsia="Arial" w:hAnsi="Arial"/>
                <w:sz w:val="14"/>
                <w:szCs w:val="14"/>
                <w:b w:val="1"/>
                <w:bCs w:val="1"/>
                <w:color w:val="auto"/>
              </w:rPr>
              <w:t>Compensation during the period between</w:t>
            </w:r>
          </w:p>
        </w:tc>
      </w:tr>
      <w:tr>
        <w:trPr>
          <w:trHeight w:val="193"/>
        </w:trPr>
        <w:tc>
          <w:tcPr>
            <w:tcW w:w="11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5080" w:type="dxa"/>
            <w:vAlign w:val="bottom"/>
          </w:tcPr>
          <w:p>
            <w:pPr>
              <w:spacing w:after="0"/>
              <w:rPr>
                <w:sz w:val="16"/>
                <w:szCs w:val="16"/>
                <w:color w:val="auto"/>
              </w:rPr>
            </w:pPr>
          </w:p>
        </w:tc>
        <w:tc>
          <w:tcPr>
            <w:tcW w:w="2620" w:type="dxa"/>
            <w:vAlign w:val="bottom"/>
            <w:tcBorders>
              <w:bottom w:val="single" w:sz="8" w:color="auto"/>
            </w:tcBorders>
          </w:tcPr>
          <w:p>
            <w:pPr>
              <w:jc w:val="right"/>
              <w:ind w:right="178"/>
              <w:spacing w:after="0" w:line="193" w:lineRule="exact"/>
              <w:rPr>
                <w:sz w:val="20"/>
                <w:szCs w:val="20"/>
                <w:color w:val="auto"/>
              </w:rPr>
            </w:pPr>
            <w:r>
              <w:rPr>
                <w:rFonts w:ascii="Arial" w:cs="Arial" w:eastAsia="Arial" w:hAnsi="Arial"/>
                <w:sz w:val="14"/>
                <w:szCs w:val="14"/>
                <w:b w:val="1"/>
                <w:bCs w:val="1"/>
                <w:color w:val="auto"/>
                <w:w w:val="95"/>
              </w:rPr>
              <w:t>January 1, 2009 and June 30, 2009</w:t>
            </w:r>
            <w:r>
              <w:rPr>
                <w:rFonts w:ascii="Arial" w:cs="Arial" w:eastAsia="Arial" w:hAnsi="Arial"/>
                <w:sz w:val="22"/>
                <w:szCs w:val="22"/>
                <w:b w:val="1"/>
                <w:bCs w:val="1"/>
                <w:color w:val="auto"/>
                <w:w w:val="95"/>
                <w:vertAlign w:val="superscript"/>
              </w:rPr>
              <w:t>(1)</w:t>
            </w:r>
          </w:p>
        </w:tc>
        <w:tc>
          <w:tcPr>
            <w:tcW w:w="1300" w:type="dxa"/>
            <w:vAlign w:val="bottom"/>
            <w:gridSpan w:val="2"/>
          </w:tcPr>
          <w:p>
            <w:pPr>
              <w:spacing w:after="0"/>
              <w:rPr>
                <w:sz w:val="16"/>
                <w:szCs w:val="16"/>
                <w:color w:val="auto"/>
              </w:rPr>
            </w:pPr>
          </w:p>
        </w:tc>
      </w:tr>
      <w:tr>
        <w:trPr>
          <w:trHeight w:val="210"/>
        </w:trPr>
        <w:tc>
          <w:tcPr>
            <w:tcW w:w="11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634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Annual Board retainer (base)</w:t>
            </w:r>
          </w:p>
        </w:tc>
        <w:tc>
          <w:tcPr>
            <w:tcW w:w="2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C$55,000</w:t>
            </w:r>
          </w:p>
        </w:tc>
        <w:tc>
          <w:tcPr>
            <w:tcW w:w="1140" w:type="dxa"/>
            <w:vAlign w:val="bottom"/>
          </w:tcPr>
          <w:p>
            <w:pPr>
              <w:spacing w:after="0"/>
              <w:rPr>
                <w:sz w:val="18"/>
                <w:szCs w:val="18"/>
                <w:color w:val="auto"/>
              </w:rPr>
            </w:pPr>
          </w:p>
        </w:tc>
      </w:tr>
      <w:tr>
        <w:trPr>
          <w:trHeight w:val="216"/>
        </w:trPr>
        <w:tc>
          <w:tcPr>
            <w:tcW w:w="11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6340" w:type="dxa"/>
            <w:vAlign w:val="bottom"/>
            <w:gridSpan w:val="3"/>
          </w:tcPr>
          <w:p>
            <w:pPr>
              <w:spacing w:after="0"/>
              <w:rPr>
                <w:sz w:val="20"/>
                <w:szCs w:val="20"/>
                <w:color w:val="auto"/>
              </w:rPr>
            </w:pPr>
            <w:r>
              <w:rPr>
                <w:rFonts w:ascii="Arial" w:cs="Arial" w:eastAsia="Arial" w:hAnsi="Arial"/>
                <w:sz w:val="18"/>
                <w:szCs w:val="18"/>
                <w:color w:val="auto"/>
              </w:rPr>
              <w:t>Additional Annual retainer for Chairman of the Board</w:t>
            </w:r>
          </w:p>
        </w:tc>
        <w:tc>
          <w:tcPr>
            <w:tcW w:w="2780" w:type="dxa"/>
            <w:vAlign w:val="bottom"/>
            <w:gridSpan w:val="2"/>
          </w:tcPr>
          <w:p>
            <w:pPr>
              <w:jc w:val="right"/>
              <w:ind w:right="160"/>
              <w:spacing w:after="0"/>
              <w:rPr>
                <w:sz w:val="20"/>
                <w:szCs w:val="20"/>
                <w:color w:val="auto"/>
              </w:rPr>
            </w:pPr>
            <w:r>
              <w:rPr>
                <w:rFonts w:ascii="Arial" w:cs="Arial" w:eastAsia="Arial" w:hAnsi="Arial"/>
                <w:sz w:val="18"/>
                <w:szCs w:val="18"/>
                <w:color w:val="auto"/>
              </w:rPr>
              <w:t>C$70,000</w:t>
            </w:r>
          </w:p>
        </w:tc>
        <w:tc>
          <w:tcPr>
            <w:tcW w:w="1140" w:type="dxa"/>
            <w:vAlign w:val="bottom"/>
          </w:tcPr>
          <w:p>
            <w:pPr>
              <w:spacing w:after="0"/>
              <w:rPr>
                <w:sz w:val="18"/>
                <w:szCs w:val="18"/>
                <w:color w:val="auto"/>
              </w:rPr>
            </w:pPr>
          </w:p>
        </w:tc>
      </w:tr>
      <w:tr>
        <w:trPr>
          <w:trHeight w:val="216"/>
        </w:trPr>
        <w:tc>
          <w:tcPr>
            <w:tcW w:w="11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634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Additional Annual retainer for Chairman of the Audit Committee</w:t>
            </w:r>
          </w:p>
        </w:tc>
        <w:tc>
          <w:tcPr>
            <w:tcW w:w="2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C$25,000</w:t>
            </w:r>
          </w:p>
        </w:tc>
        <w:tc>
          <w:tcPr>
            <w:tcW w:w="1140" w:type="dxa"/>
            <w:vAlign w:val="bottom"/>
          </w:tcPr>
          <w:p>
            <w:pPr>
              <w:spacing w:after="0"/>
              <w:rPr>
                <w:sz w:val="18"/>
                <w:szCs w:val="18"/>
                <w:color w:val="auto"/>
              </w:rPr>
            </w:pPr>
          </w:p>
        </w:tc>
      </w:tr>
      <w:tr>
        <w:trPr>
          <w:trHeight w:val="216"/>
        </w:trPr>
        <w:tc>
          <w:tcPr>
            <w:tcW w:w="11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6340" w:type="dxa"/>
            <w:vAlign w:val="bottom"/>
            <w:gridSpan w:val="3"/>
          </w:tcPr>
          <w:p>
            <w:pPr>
              <w:spacing w:after="0"/>
              <w:rPr>
                <w:sz w:val="20"/>
                <w:szCs w:val="20"/>
                <w:color w:val="auto"/>
              </w:rPr>
            </w:pPr>
            <w:r>
              <w:rPr>
                <w:rFonts w:ascii="Arial" w:cs="Arial" w:eastAsia="Arial" w:hAnsi="Arial"/>
                <w:sz w:val="18"/>
                <w:szCs w:val="18"/>
                <w:color w:val="auto"/>
              </w:rPr>
              <w:t>Additional Annual retainer for Chairpersons of other Board Committees</w:t>
            </w:r>
          </w:p>
        </w:tc>
        <w:tc>
          <w:tcPr>
            <w:tcW w:w="2780" w:type="dxa"/>
            <w:vAlign w:val="bottom"/>
            <w:gridSpan w:val="2"/>
          </w:tcPr>
          <w:p>
            <w:pPr>
              <w:jc w:val="right"/>
              <w:ind w:right="160"/>
              <w:spacing w:after="0"/>
              <w:rPr>
                <w:sz w:val="20"/>
                <w:szCs w:val="20"/>
                <w:color w:val="auto"/>
              </w:rPr>
            </w:pPr>
            <w:r>
              <w:rPr>
                <w:rFonts w:ascii="Arial" w:cs="Arial" w:eastAsia="Arial" w:hAnsi="Arial"/>
                <w:sz w:val="18"/>
                <w:szCs w:val="18"/>
                <w:color w:val="auto"/>
              </w:rPr>
              <w:t>C$10,000</w:t>
            </w:r>
          </w:p>
        </w:tc>
        <w:tc>
          <w:tcPr>
            <w:tcW w:w="1140" w:type="dxa"/>
            <w:vAlign w:val="bottom"/>
          </w:tcPr>
          <w:p>
            <w:pPr>
              <w:spacing w:after="0"/>
              <w:rPr>
                <w:sz w:val="18"/>
                <w:szCs w:val="18"/>
                <w:color w:val="auto"/>
              </w:rPr>
            </w:pPr>
          </w:p>
        </w:tc>
      </w:tr>
      <w:tr>
        <w:trPr>
          <w:trHeight w:val="216"/>
        </w:trPr>
        <w:tc>
          <w:tcPr>
            <w:tcW w:w="11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634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Board/Committee meeting attendance fee</w:t>
            </w:r>
          </w:p>
        </w:tc>
        <w:tc>
          <w:tcPr>
            <w:tcW w:w="2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C$1,500</w:t>
            </w:r>
          </w:p>
        </w:tc>
        <w:tc>
          <w:tcPr>
            <w:tcW w:w="1140" w:type="dxa"/>
            <w:vAlign w:val="bottom"/>
          </w:tcPr>
          <w:p>
            <w:pPr>
              <w:spacing w:after="0"/>
              <w:rPr>
                <w:sz w:val="18"/>
                <w:szCs w:val="18"/>
                <w:color w:val="auto"/>
              </w:rPr>
            </w:pPr>
          </w:p>
        </w:tc>
      </w:tr>
      <w:tr>
        <w:trPr>
          <w:trHeight w:val="222"/>
        </w:trPr>
        <w:tc>
          <w:tcPr>
            <w:tcW w:w="11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6340" w:type="dxa"/>
            <w:vAlign w:val="bottom"/>
            <w:gridSpan w:val="3"/>
          </w:tcPr>
          <w:p>
            <w:pPr>
              <w:spacing w:after="0"/>
              <w:rPr>
                <w:sz w:val="20"/>
                <w:szCs w:val="20"/>
                <w:color w:val="auto"/>
              </w:rPr>
            </w:pPr>
            <w:r>
              <w:rPr>
                <w:rFonts w:ascii="Arial" w:cs="Arial" w:eastAsia="Arial" w:hAnsi="Arial"/>
                <w:sz w:val="18"/>
                <w:szCs w:val="18"/>
                <w:color w:val="auto"/>
              </w:rPr>
              <w:t>(C$2,500 maximum per day, if more than one meeting)</w:t>
            </w:r>
          </w:p>
        </w:tc>
        <w:tc>
          <w:tcPr>
            <w:tcW w:w="26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140" w:type="dxa"/>
            <w:vAlign w:val="bottom"/>
          </w:tcPr>
          <w:p>
            <w:pPr>
              <w:spacing w:after="0"/>
              <w:rPr>
                <w:sz w:val="19"/>
                <w:szCs w:val="19"/>
                <w:color w:val="auto"/>
              </w:rPr>
            </w:pPr>
          </w:p>
        </w:tc>
      </w:tr>
      <w:tr>
        <w:trPr>
          <w:trHeight w:val="102"/>
        </w:trPr>
        <w:tc>
          <w:tcPr>
            <w:tcW w:w="1140" w:type="dxa"/>
            <w:vAlign w:val="bottom"/>
          </w:tcPr>
          <w:p>
            <w:pPr>
              <w:spacing w:after="0"/>
              <w:rPr>
                <w:sz w:val="8"/>
                <w:szCs w:val="8"/>
                <w:color w:val="auto"/>
              </w:rPr>
            </w:pPr>
          </w:p>
        </w:tc>
        <w:tc>
          <w:tcPr>
            <w:tcW w:w="360" w:type="dxa"/>
            <w:vAlign w:val="bottom"/>
            <w:tcBorders>
              <w:bottom w:val="single" w:sz="8" w:color="auto"/>
            </w:tcBorders>
            <w:gridSpan w:val="2"/>
          </w:tcPr>
          <w:p>
            <w:pPr>
              <w:spacing w:after="0"/>
              <w:rPr>
                <w:sz w:val="8"/>
                <w:szCs w:val="8"/>
                <w:color w:val="auto"/>
              </w:rPr>
            </w:pPr>
          </w:p>
        </w:tc>
        <w:tc>
          <w:tcPr>
            <w:tcW w:w="920" w:type="dxa"/>
            <w:vAlign w:val="bottom"/>
            <w:tcBorders>
              <w:bottom w:val="single" w:sz="8" w:color="auto"/>
            </w:tcBorders>
          </w:tcPr>
          <w:p>
            <w:pPr>
              <w:spacing w:after="0"/>
              <w:rPr>
                <w:sz w:val="8"/>
                <w:szCs w:val="8"/>
                <w:color w:val="auto"/>
              </w:rPr>
            </w:pPr>
          </w:p>
        </w:tc>
        <w:tc>
          <w:tcPr>
            <w:tcW w:w="5080" w:type="dxa"/>
            <w:vAlign w:val="bottom"/>
          </w:tcPr>
          <w:p>
            <w:pPr>
              <w:spacing w:after="0"/>
              <w:rPr>
                <w:sz w:val="8"/>
                <w:szCs w:val="8"/>
                <w:color w:val="auto"/>
              </w:rPr>
            </w:pPr>
          </w:p>
        </w:tc>
        <w:tc>
          <w:tcPr>
            <w:tcW w:w="2620" w:type="dxa"/>
            <w:vAlign w:val="bottom"/>
          </w:tcPr>
          <w:p>
            <w:pPr>
              <w:spacing w:after="0"/>
              <w:rPr>
                <w:sz w:val="8"/>
                <w:szCs w:val="8"/>
                <w:color w:val="auto"/>
              </w:rPr>
            </w:pPr>
          </w:p>
        </w:tc>
        <w:tc>
          <w:tcPr>
            <w:tcW w:w="160" w:type="dxa"/>
            <w:vAlign w:val="bottom"/>
          </w:tcPr>
          <w:p>
            <w:pPr>
              <w:spacing w:after="0"/>
              <w:rPr>
                <w:sz w:val="8"/>
                <w:szCs w:val="8"/>
                <w:color w:val="auto"/>
              </w:rPr>
            </w:pPr>
          </w:p>
        </w:tc>
        <w:tc>
          <w:tcPr>
            <w:tcW w:w="1140" w:type="dxa"/>
            <w:vAlign w:val="bottom"/>
          </w:tcPr>
          <w:p>
            <w:pPr>
              <w:spacing w:after="0"/>
              <w:rPr>
                <w:sz w:val="8"/>
                <w:szCs w:val="8"/>
                <w:color w:val="auto"/>
              </w:rPr>
            </w:pPr>
          </w:p>
        </w:tc>
      </w:tr>
      <w:tr>
        <w:trPr>
          <w:trHeight w:val="371"/>
        </w:trPr>
        <w:tc>
          <w:tcPr>
            <w:tcW w:w="1500" w:type="dxa"/>
            <w:vAlign w:val="bottom"/>
            <w:gridSpan w:val="3"/>
          </w:tcPr>
          <w:p>
            <w:pPr>
              <w:ind w:left="1140"/>
              <w:spacing w:after="0"/>
              <w:rPr>
                <w:sz w:val="20"/>
                <w:szCs w:val="20"/>
                <w:color w:val="auto"/>
              </w:rPr>
            </w:pPr>
            <w:r>
              <w:rPr>
                <w:rFonts w:ascii="Arial" w:cs="Arial" w:eastAsia="Arial" w:hAnsi="Arial"/>
                <w:sz w:val="14"/>
                <w:szCs w:val="14"/>
                <w:color w:val="auto"/>
              </w:rPr>
              <w:t>(1)</w:t>
            </w:r>
          </w:p>
        </w:tc>
        <w:tc>
          <w:tcPr>
            <w:tcW w:w="6000" w:type="dxa"/>
            <w:vAlign w:val="bottom"/>
            <w:gridSpan w:val="2"/>
          </w:tcPr>
          <w:p>
            <w:pPr>
              <w:jc w:val="right"/>
              <w:ind w:right="3960"/>
              <w:spacing w:after="0"/>
              <w:rPr>
                <w:sz w:val="20"/>
                <w:szCs w:val="20"/>
                <w:color w:val="auto"/>
              </w:rPr>
            </w:pPr>
            <w:r>
              <w:rPr>
                <w:rFonts w:ascii="Arial" w:cs="Arial" w:eastAsia="Arial" w:hAnsi="Arial"/>
                <w:sz w:val="14"/>
                <w:szCs w:val="14"/>
                <w:color w:val="auto"/>
                <w:w w:val="95"/>
              </w:rPr>
              <w:t>Retainers prorated for six months.</w:t>
            </w:r>
          </w:p>
        </w:tc>
        <w:tc>
          <w:tcPr>
            <w:tcW w:w="26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40" w:type="dxa"/>
            <w:vAlign w:val="bottom"/>
          </w:tcPr>
          <w:p>
            <w:pPr>
              <w:spacing w:after="0"/>
              <w:rPr>
                <w:sz w:val="24"/>
                <w:szCs w:val="24"/>
                <w:color w:val="auto"/>
              </w:rPr>
            </w:pPr>
          </w:p>
        </w:tc>
      </w:tr>
      <w:tr>
        <w:trPr>
          <w:trHeight w:val="404"/>
        </w:trPr>
        <w:tc>
          <w:tcPr>
            <w:tcW w:w="11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6000" w:type="dxa"/>
            <w:vAlign w:val="bottom"/>
            <w:gridSpan w:val="2"/>
          </w:tcPr>
          <w:p>
            <w:pPr>
              <w:jc w:val="right"/>
              <w:ind w:right="1660"/>
              <w:spacing w:after="0"/>
              <w:rPr>
                <w:sz w:val="20"/>
                <w:szCs w:val="20"/>
                <w:color w:val="auto"/>
              </w:rPr>
            </w:pPr>
            <w:r>
              <w:rPr>
                <w:rFonts w:ascii="Arial" w:cs="Arial" w:eastAsia="Arial" w:hAnsi="Arial"/>
                <w:sz w:val="18"/>
                <w:szCs w:val="18"/>
                <w:color w:val="auto"/>
              </w:rPr>
              <w:t>109</w:t>
            </w:r>
          </w:p>
        </w:tc>
        <w:tc>
          <w:tcPr>
            <w:tcW w:w="26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40" w:type="dxa"/>
            <w:vAlign w:val="bottom"/>
          </w:tcPr>
          <w:p>
            <w:pPr>
              <w:spacing w:after="0"/>
              <w:rPr>
                <w:sz w:val="24"/>
                <w:szCs w:val="24"/>
                <w:color w:val="auto"/>
              </w:rPr>
            </w:pPr>
          </w:p>
        </w:tc>
      </w:tr>
      <w:tr>
        <w:trPr>
          <w:trHeight w:val="228"/>
        </w:trPr>
        <w:tc>
          <w:tcPr>
            <w:tcW w:w="1140" w:type="dxa"/>
            <w:vAlign w:val="bottom"/>
            <w:tcBorders>
              <w:bottom w:val="single" w:sz="8" w:color="808080"/>
            </w:tcBorders>
          </w:tcPr>
          <w:p>
            <w:pPr>
              <w:spacing w:after="0"/>
              <w:rPr>
                <w:sz w:val="19"/>
                <w:szCs w:val="19"/>
                <w:color w:val="auto"/>
              </w:rPr>
            </w:pPr>
          </w:p>
        </w:tc>
        <w:tc>
          <w:tcPr>
            <w:tcW w:w="20" w:type="dxa"/>
            <w:vAlign w:val="bottom"/>
            <w:tcBorders>
              <w:bottom w:val="single" w:sz="8" w:color="808080"/>
            </w:tcBorders>
          </w:tcPr>
          <w:p>
            <w:pPr>
              <w:spacing w:after="0"/>
              <w:rPr>
                <w:sz w:val="19"/>
                <w:szCs w:val="19"/>
                <w:color w:val="auto"/>
              </w:rPr>
            </w:pPr>
          </w:p>
        </w:tc>
        <w:tc>
          <w:tcPr>
            <w:tcW w:w="340" w:type="dxa"/>
            <w:vAlign w:val="bottom"/>
            <w:tcBorders>
              <w:bottom w:val="single" w:sz="8" w:color="808080"/>
            </w:tcBorders>
          </w:tcPr>
          <w:p>
            <w:pPr>
              <w:spacing w:after="0"/>
              <w:rPr>
                <w:sz w:val="19"/>
                <w:szCs w:val="19"/>
                <w:color w:val="auto"/>
              </w:rPr>
            </w:pPr>
          </w:p>
        </w:tc>
        <w:tc>
          <w:tcPr>
            <w:tcW w:w="920" w:type="dxa"/>
            <w:vAlign w:val="bottom"/>
            <w:tcBorders>
              <w:bottom w:val="single" w:sz="8" w:color="808080"/>
            </w:tcBorders>
          </w:tcPr>
          <w:p>
            <w:pPr>
              <w:spacing w:after="0"/>
              <w:rPr>
                <w:sz w:val="19"/>
                <w:szCs w:val="19"/>
                <w:color w:val="auto"/>
              </w:rPr>
            </w:pPr>
          </w:p>
        </w:tc>
        <w:tc>
          <w:tcPr>
            <w:tcW w:w="5080" w:type="dxa"/>
            <w:vAlign w:val="bottom"/>
            <w:tcBorders>
              <w:bottom w:val="single" w:sz="8" w:color="808080"/>
            </w:tcBorders>
          </w:tcPr>
          <w:p>
            <w:pPr>
              <w:spacing w:after="0"/>
              <w:rPr>
                <w:sz w:val="19"/>
                <w:szCs w:val="19"/>
                <w:color w:val="auto"/>
              </w:rPr>
            </w:pPr>
          </w:p>
        </w:tc>
        <w:tc>
          <w:tcPr>
            <w:tcW w:w="262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14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2" w:name="page153"/>
    <w:bookmarkEnd w:id="152"/>
    <w:p>
      <w:pPr>
        <w:ind w:left="360"/>
        <w:spacing w:after="0"/>
        <w:rPr>
          <w:sz w:val="20"/>
          <w:szCs w:val="20"/>
          <w:color w:val="auto"/>
        </w:rPr>
      </w:pPr>
      <w:r>
        <w:rPr>
          <w:rFonts w:ascii="Arial" w:cs="Arial" w:eastAsia="Arial" w:hAnsi="Arial"/>
          <w:sz w:val="18"/>
          <w:szCs w:val="18"/>
          <w:color w:val="auto"/>
        </w:rPr>
        <w:t>Director compensation was reviewed and adjusted in July 2009 as set out in the table below.</w:t>
      </w:r>
    </w:p>
    <w:p>
      <w:pPr>
        <w:spacing w:after="0" w:line="203"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260" w:type="dxa"/>
            <w:vAlign w:val="bottom"/>
          </w:tcPr>
          <w:p>
            <w:pPr>
              <w:spacing w:after="0"/>
              <w:rPr>
                <w:sz w:val="14"/>
                <w:szCs w:val="14"/>
                <w:color w:val="auto"/>
              </w:rPr>
            </w:pPr>
          </w:p>
        </w:tc>
        <w:tc>
          <w:tcPr>
            <w:tcW w:w="5080" w:type="dxa"/>
            <w:vAlign w:val="bottom"/>
          </w:tcPr>
          <w:p>
            <w:pPr>
              <w:spacing w:after="0"/>
              <w:rPr>
                <w:sz w:val="14"/>
                <w:szCs w:val="14"/>
                <w:color w:val="auto"/>
              </w:rPr>
            </w:pPr>
          </w:p>
        </w:tc>
        <w:tc>
          <w:tcPr>
            <w:tcW w:w="2780" w:type="dxa"/>
            <w:vAlign w:val="bottom"/>
            <w:gridSpan w:val="2"/>
          </w:tcPr>
          <w:p>
            <w:pPr>
              <w:ind w:left="120"/>
              <w:spacing w:after="0"/>
              <w:rPr>
                <w:sz w:val="20"/>
                <w:szCs w:val="20"/>
                <w:color w:val="auto"/>
              </w:rPr>
            </w:pPr>
            <w:r>
              <w:rPr>
                <w:rFonts w:ascii="Arial" w:cs="Arial" w:eastAsia="Arial" w:hAnsi="Arial"/>
                <w:sz w:val="14"/>
                <w:szCs w:val="14"/>
                <w:b w:val="1"/>
                <w:bCs w:val="1"/>
                <w:color w:val="auto"/>
                <w:w w:val="95"/>
              </w:rPr>
              <w:t>Compensation during the period between</w:t>
            </w:r>
          </w:p>
        </w:tc>
      </w:tr>
      <w:tr>
        <w:trPr>
          <w:trHeight w:val="193"/>
        </w:trPr>
        <w:tc>
          <w:tcPr>
            <w:tcW w:w="20" w:type="dxa"/>
            <w:vAlign w:val="bottom"/>
          </w:tcPr>
          <w:p>
            <w:pPr>
              <w:spacing w:after="0"/>
              <w:rPr>
                <w:sz w:val="16"/>
                <w:szCs w:val="16"/>
                <w:color w:val="auto"/>
              </w:rPr>
            </w:pPr>
          </w:p>
        </w:tc>
        <w:tc>
          <w:tcPr>
            <w:tcW w:w="1260" w:type="dxa"/>
            <w:vAlign w:val="bottom"/>
          </w:tcPr>
          <w:p>
            <w:pPr>
              <w:spacing w:after="0"/>
              <w:rPr>
                <w:sz w:val="16"/>
                <w:szCs w:val="16"/>
                <w:color w:val="auto"/>
              </w:rPr>
            </w:pPr>
          </w:p>
        </w:tc>
        <w:tc>
          <w:tcPr>
            <w:tcW w:w="5080" w:type="dxa"/>
            <w:vAlign w:val="bottom"/>
          </w:tcPr>
          <w:p>
            <w:pPr>
              <w:spacing w:after="0"/>
              <w:rPr>
                <w:sz w:val="16"/>
                <w:szCs w:val="16"/>
                <w:color w:val="auto"/>
              </w:rPr>
            </w:pPr>
          </w:p>
        </w:tc>
        <w:tc>
          <w:tcPr>
            <w:tcW w:w="2620" w:type="dxa"/>
            <w:vAlign w:val="bottom"/>
            <w:tcBorders>
              <w:bottom w:val="single" w:sz="8" w:color="auto"/>
            </w:tcBorders>
          </w:tcPr>
          <w:p>
            <w:pPr>
              <w:jc w:val="right"/>
              <w:ind w:right="139"/>
              <w:spacing w:after="0" w:line="193" w:lineRule="exact"/>
              <w:rPr>
                <w:sz w:val="20"/>
                <w:szCs w:val="20"/>
                <w:color w:val="auto"/>
              </w:rPr>
            </w:pPr>
            <w:r>
              <w:rPr>
                <w:rFonts w:ascii="Arial" w:cs="Arial" w:eastAsia="Arial" w:hAnsi="Arial"/>
                <w:sz w:val="14"/>
                <w:szCs w:val="14"/>
                <w:b w:val="1"/>
                <w:bCs w:val="1"/>
                <w:color w:val="auto"/>
                <w:w w:val="93"/>
              </w:rPr>
              <w:t>July 1, 2009 and December 31, 2009</w:t>
            </w:r>
            <w:r>
              <w:rPr>
                <w:rFonts w:ascii="Arial" w:cs="Arial" w:eastAsia="Arial" w:hAnsi="Arial"/>
                <w:sz w:val="22"/>
                <w:szCs w:val="22"/>
                <w:b w:val="1"/>
                <w:bCs w:val="1"/>
                <w:color w:val="auto"/>
                <w:w w:val="93"/>
                <w:vertAlign w:val="superscript"/>
              </w:rPr>
              <w:t>(1)</w:t>
            </w:r>
          </w:p>
        </w:tc>
        <w:tc>
          <w:tcPr>
            <w:tcW w:w="160" w:type="dxa"/>
            <w:vAlign w:val="bottom"/>
          </w:tcPr>
          <w:p>
            <w:pPr>
              <w:spacing w:after="0"/>
              <w:rPr>
                <w:sz w:val="16"/>
                <w:szCs w:val="16"/>
                <w:color w:val="auto"/>
              </w:rPr>
            </w:pPr>
          </w:p>
        </w:tc>
      </w:tr>
      <w:tr>
        <w:trPr>
          <w:trHeight w:val="210"/>
        </w:trPr>
        <w:tc>
          <w:tcPr>
            <w:tcW w:w="20" w:type="dxa"/>
            <w:vAlign w:val="bottom"/>
          </w:tcPr>
          <w:p>
            <w:pPr>
              <w:spacing w:after="0"/>
              <w:rPr>
                <w:sz w:val="18"/>
                <w:szCs w:val="18"/>
                <w:color w:val="auto"/>
              </w:rPr>
            </w:pPr>
          </w:p>
        </w:tc>
        <w:tc>
          <w:tcPr>
            <w:tcW w:w="63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Annual Board retainer (base)</w:t>
            </w:r>
          </w:p>
        </w:tc>
        <w:tc>
          <w:tcPr>
            <w:tcW w:w="2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C$115,000</w:t>
            </w:r>
          </w:p>
        </w:tc>
      </w:tr>
      <w:tr>
        <w:trPr>
          <w:trHeight w:val="216"/>
        </w:trPr>
        <w:tc>
          <w:tcPr>
            <w:tcW w:w="20" w:type="dxa"/>
            <w:vAlign w:val="bottom"/>
          </w:tcPr>
          <w:p>
            <w:pPr>
              <w:spacing w:after="0"/>
              <w:rPr>
                <w:sz w:val="18"/>
                <w:szCs w:val="18"/>
                <w:color w:val="auto"/>
              </w:rPr>
            </w:pPr>
          </w:p>
        </w:tc>
        <w:tc>
          <w:tcPr>
            <w:tcW w:w="6340" w:type="dxa"/>
            <w:vAlign w:val="bottom"/>
            <w:gridSpan w:val="2"/>
          </w:tcPr>
          <w:p>
            <w:pPr>
              <w:spacing w:after="0"/>
              <w:rPr>
                <w:sz w:val="20"/>
                <w:szCs w:val="20"/>
                <w:color w:val="auto"/>
              </w:rPr>
            </w:pPr>
            <w:r>
              <w:rPr>
                <w:rFonts w:ascii="Arial" w:cs="Arial" w:eastAsia="Arial" w:hAnsi="Arial"/>
                <w:sz w:val="18"/>
                <w:szCs w:val="18"/>
                <w:color w:val="auto"/>
              </w:rPr>
              <w:t>Additional Annual retainer for Chairman of the Board</w:t>
            </w:r>
          </w:p>
        </w:tc>
        <w:tc>
          <w:tcPr>
            <w:tcW w:w="2780" w:type="dxa"/>
            <w:vAlign w:val="bottom"/>
            <w:gridSpan w:val="2"/>
          </w:tcPr>
          <w:p>
            <w:pPr>
              <w:jc w:val="right"/>
              <w:ind w:right="160"/>
              <w:spacing w:after="0"/>
              <w:rPr>
                <w:sz w:val="20"/>
                <w:szCs w:val="20"/>
                <w:color w:val="auto"/>
              </w:rPr>
            </w:pPr>
            <w:r>
              <w:rPr>
                <w:rFonts w:ascii="Arial" w:cs="Arial" w:eastAsia="Arial" w:hAnsi="Arial"/>
                <w:sz w:val="18"/>
                <w:szCs w:val="18"/>
                <w:color w:val="auto"/>
              </w:rPr>
              <w:t>C$125,000</w:t>
            </w:r>
          </w:p>
        </w:tc>
      </w:tr>
      <w:tr>
        <w:trPr>
          <w:trHeight w:val="216"/>
        </w:trPr>
        <w:tc>
          <w:tcPr>
            <w:tcW w:w="20" w:type="dxa"/>
            <w:vAlign w:val="bottom"/>
          </w:tcPr>
          <w:p>
            <w:pPr>
              <w:spacing w:after="0"/>
              <w:rPr>
                <w:sz w:val="18"/>
                <w:szCs w:val="18"/>
                <w:color w:val="auto"/>
              </w:rPr>
            </w:pPr>
          </w:p>
        </w:tc>
        <w:tc>
          <w:tcPr>
            <w:tcW w:w="63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Additional Annual retainer for Chairman of the Audit Committee</w:t>
            </w:r>
          </w:p>
        </w:tc>
        <w:tc>
          <w:tcPr>
            <w:tcW w:w="27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C$25,000</w:t>
            </w:r>
          </w:p>
        </w:tc>
      </w:tr>
      <w:tr>
        <w:trPr>
          <w:trHeight w:val="216"/>
        </w:trPr>
        <w:tc>
          <w:tcPr>
            <w:tcW w:w="20" w:type="dxa"/>
            <w:vAlign w:val="bottom"/>
          </w:tcPr>
          <w:p>
            <w:pPr>
              <w:spacing w:after="0"/>
              <w:rPr>
                <w:sz w:val="18"/>
                <w:szCs w:val="18"/>
                <w:color w:val="auto"/>
              </w:rPr>
            </w:pPr>
          </w:p>
        </w:tc>
        <w:tc>
          <w:tcPr>
            <w:tcW w:w="6340" w:type="dxa"/>
            <w:vAlign w:val="bottom"/>
            <w:gridSpan w:val="2"/>
          </w:tcPr>
          <w:p>
            <w:pPr>
              <w:spacing w:after="0"/>
              <w:rPr>
                <w:sz w:val="20"/>
                <w:szCs w:val="20"/>
                <w:color w:val="auto"/>
              </w:rPr>
            </w:pPr>
            <w:r>
              <w:rPr>
                <w:rFonts w:ascii="Arial" w:cs="Arial" w:eastAsia="Arial" w:hAnsi="Arial"/>
                <w:sz w:val="18"/>
                <w:szCs w:val="18"/>
                <w:color w:val="auto"/>
              </w:rPr>
              <w:t>Additional Annual retainer for Chairpersons of other Board Committees</w:t>
            </w:r>
          </w:p>
        </w:tc>
        <w:tc>
          <w:tcPr>
            <w:tcW w:w="2780" w:type="dxa"/>
            <w:vAlign w:val="bottom"/>
            <w:gridSpan w:val="2"/>
          </w:tcPr>
          <w:p>
            <w:pPr>
              <w:jc w:val="right"/>
              <w:ind w:right="160"/>
              <w:spacing w:after="0"/>
              <w:rPr>
                <w:sz w:val="20"/>
                <w:szCs w:val="20"/>
                <w:color w:val="auto"/>
              </w:rPr>
            </w:pPr>
            <w:r>
              <w:rPr>
                <w:rFonts w:ascii="Arial" w:cs="Arial" w:eastAsia="Arial" w:hAnsi="Arial"/>
                <w:sz w:val="18"/>
                <w:szCs w:val="18"/>
                <w:color w:val="auto"/>
              </w:rPr>
              <w:t>C$10,000</w:t>
            </w:r>
          </w:p>
        </w:tc>
      </w:tr>
      <w:tr>
        <w:trPr>
          <w:trHeight w:val="216"/>
        </w:trPr>
        <w:tc>
          <w:tcPr>
            <w:tcW w:w="20" w:type="dxa"/>
            <w:vAlign w:val="bottom"/>
          </w:tcPr>
          <w:p>
            <w:pPr>
              <w:spacing w:after="0"/>
              <w:rPr>
                <w:sz w:val="18"/>
                <w:szCs w:val="18"/>
                <w:color w:val="auto"/>
              </w:rPr>
            </w:pPr>
          </w:p>
        </w:tc>
        <w:tc>
          <w:tcPr>
            <w:tcW w:w="63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Meeting attendance fees were eliminated</w:t>
            </w:r>
          </w:p>
        </w:tc>
        <w:tc>
          <w:tcPr>
            <w:tcW w:w="2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108"/>
        </w:trPr>
        <w:tc>
          <w:tcPr>
            <w:tcW w:w="20" w:type="dxa"/>
            <w:vAlign w:val="bottom"/>
          </w:tcPr>
          <w:p>
            <w:pPr>
              <w:spacing w:after="0"/>
              <w:rPr>
                <w:sz w:val="9"/>
                <w:szCs w:val="9"/>
                <w:color w:val="auto"/>
              </w:rPr>
            </w:pPr>
          </w:p>
        </w:tc>
        <w:tc>
          <w:tcPr>
            <w:tcW w:w="1260" w:type="dxa"/>
            <w:vAlign w:val="bottom"/>
            <w:tcBorders>
              <w:bottom w:val="single" w:sz="8" w:color="auto"/>
            </w:tcBorders>
          </w:tcPr>
          <w:p>
            <w:pPr>
              <w:spacing w:after="0"/>
              <w:rPr>
                <w:sz w:val="9"/>
                <w:szCs w:val="9"/>
                <w:color w:val="auto"/>
              </w:rPr>
            </w:pPr>
          </w:p>
        </w:tc>
        <w:tc>
          <w:tcPr>
            <w:tcW w:w="5080" w:type="dxa"/>
            <w:vAlign w:val="bottom"/>
          </w:tcPr>
          <w:p>
            <w:pPr>
              <w:spacing w:after="0"/>
              <w:rPr>
                <w:sz w:val="9"/>
                <w:szCs w:val="9"/>
                <w:color w:val="auto"/>
              </w:rPr>
            </w:pPr>
          </w:p>
        </w:tc>
        <w:tc>
          <w:tcPr>
            <w:tcW w:w="2620" w:type="dxa"/>
            <w:vAlign w:val="bottom"/>
          </w:tcPr>
          <w:p>
            <w:pPr>
              <w:spacing w:after="0"/>
              <w:rPr>
                <w:sz w:val="9"/>
                <w:szCs w:val="9"/>
                <w:color w:val="auto"/>
              </w:rPr>
            </w:pPr>
          </w:p>
        </w:tc>
        <w:tc>
          <w:tcPr>
            <w:tcW w:w="160" w:type="dxa"/>
            <w:vAlign w:val="bottom"/>
          </w:tcPr>
          <w:p>
            <w:pPr>
              <w:spacing w:after="0"/>
              <w:rPr>
                <w:sz w:val="9"/>
                <w:szCs w:val="9"/>
                <w:color w:val="auto"/>
              </w:rPr>
            </w:pPr>
          </w:p>
        </w:tc>
      </w:tr>
    </w:tbl>
    <w:p>
      <w:pPr>
        <w:spacing w:after="0" w:line="192" w:lineRule="exact"/>
        <w:rPr>
          <w:sz w:val="20"/>
          <w:szCs w:val="20"/>
          <w:color w:val="auto"/>
        </w:rPr>
      </w:pPr>
    </w:p>
    <w:p>
      <w:pPr>
        <w:ind w:left="1680" w:hanging="531"/>
        <w:spacing w:after="0"/>
        <w:tabs>
          <w:tab w:leader="none" w:pos="1680" w:val="left"/>
        </w:tabs>
        <w:numPr>
          <w:ilvl w:val="0"/>
          <w:numId w:val="51"/>
        </w:numPr>
        <w:rPr>
          <w:rFonts w:ascii="Arial" w:cs="Arial" w:eastAsia="Arial" w:hAnsi="Arial"/>
          <w:sz w:val="14"/>
          <w:szCs w:val="14"/>
          <w:color w:val="auto"/>
        </w:rPr>
      </w:pPr>
      <w:r>
        <w:rPr>
          <w:rFonts w:ascii="Arial" w:cs="Arial" w:eastAsia="Arial" w:hAnsi="Arial"/>
          <w:sz w:val="14"/>
          <w:szCs w:val="14"/>
          <w:color w:val="auto"/>
        </w:rPr>
        <w:t>Retainers prorated for six months.</w:t>
      </w:r>
    </w:p>
    <w:p>
      <w:pPr>
        <w:spacing w:after="0" w:line="206" w:lineRule="exact"/>
        <w:rPr>
          <w:sz w:val="20"/>
          <w:szCs w:val="20"/>
          <w:color w:val="auto"/>
        </w:rPr>
      </w:pPr>
    </w:p>
    <w:p>
      <w:pPr>
        <w:jc w:val="both"/>
        <w:ind w:firstLine="507"/>
        <w:spacing w:after="0" w:line="294" w:lineRule="auto"/>
        <w:rPr>
          <w:sz w:val="20"/>
          <w:szCs w:val="20"/>
          <w:color w:val="auto"/>
        </w:rPr>
      </w:pPr>
      <w:r>
        <w:rPr>
          <w:rFonts w:ascii="Arial" w:cs="Arial" w:eastAsia="Arial" w:hAnsi="Arial"/>
          <w:sz w:val="16"/>
          <w:szCs w:val="16"/>
          <w:color w:val="auto"/>
        </w:rPr>
        <w:t>To align the interests of directors with those of shareholders, directors, other than Mr. Boyd, Mr. Scherkus and Mr. Garofalo, are required to own the equivalent of at least three years of their annual retainer fee in common shares of Agnico-Eagle. Directors have a period of three years to achieve this ownership level through open market purchases. In addition, each director is eligible to be granted options under Agnico-Eagle's Stock Option Plan. Individual grants are determined annually by the Compensation Committee based on performance evaluations for each director and are subject to an annual limit of the lesser of: (a) 1% of the common shares outstanding at any point in time; and (b) an annual equity award value per director of C$100,000.</w:t>
      </w:r>
    </w:p>
    <w:p>
      <w:pPr>
        <w:spacing w:after="0" w:line="170" w:lineRule="exact"/>
        <w:rPr>
          <w:sz w:val="20"/>
          <w:szCs w:val="20"/>
          <w:color w:val="auto"/>
        </w:rPr>
      </w:pPr>
    </w:p>
    <w:p>
      <w:pPr>
        <w:jc w:val="both"/>
        <w:ind w:firstLine="368"/>
        <w:spacing w:after="0" w:line="268" w:lineRule="auto"/>
        <w:rPr>
          <w:sz w:val="20"/>
          <w:szCs w:val="20"/>
          <w:color w:val="auto"/>
        </w:rPr>
      </w:pPr>
      <w:r>
        <w:rPr>
          <w:rFonts w:ascii="Arial" w:cs="Arial" w:eastAsia="Arial" w:hAnsi="Arial"/>
          <w:sz w:val="18"/>
          <w:szCs w:val="18"/>
          <w:color w:val="auto"/>
        </w:rPr>
        <w:t>The table below sets out the number and the value of common shares held by each director of the Company as of March 22, 2010 based on the closing price of the common shares of C$58.50 on the TSX on such day.</w:t>
      </w:r>
    </w:p>
    <w:p>
      <w:pPr>
        <w:spacing w:after="0" w:line="169"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30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2060" w:type="dxa"/>
            <w:vAlign w:val="bottom"/>
          </w:tcPr>
          <w:p>
            <w:pPr>
              <w:spacing w:after="0"/>
              <w:rPr>
                <w:sz w:val="14"/>
                <w:szCs w:val="14"/>
                <w:color w:val="auto"/>
              </w:rPr>
            </w:pPr>
          </w:p>
        </w:tc>
        <w:tc>
          <w:tcPr>
            <w:tcW w:w="1680" w:type="dxa"/>
            <w:vAlign w:val="bottom"/>
          </w:tcPr>
          <w:p>
            <w:pPr>
              <w:spacing w:after="0"/>
              <w:rPr>
                <w:sz w:val="14"/>
                <w:szCs w:val="14"/>
                <w:color w:val="auto"/>
              </w:rPr>
            </w:pPr>
          </w:p>
        </w:tc>
        <w:tc>
          <w:tcPr>
            <w:tcW w:w="5020" w:type="dxa"/>
            <w:vAlign w:val="bottom"/>
            <w:gridSpan w:val="5"/>
          </w:tcPr>
          <w:p>
            <w:pPr>
              <w:jc w:val="center"/>
              <w:ind w:right="2440"/>
              <w:spacing w:after="0"/>
              <w:rPr>
                <w:sz w:val="20"/>
                <w:szCs w:val="20"/>
                <w:color w:val="auto"/>
              </w:rPr>
            </w:pPr>
            <w:r>
              <w:rPr>
                <w:rFonts w:ascii="Arial" w:cs="Arial" w:eastAsia="Arial" w:hAnsi="Arial"/>
                <w:sz w:val="14"/>
                <w:szCs w:val="14"/>
                <w:b w:val="1"/>
                <w:bCs w:val="1"/>
                <w:color w:val="auto"/>
                <w:w w:val="84"/>
              </w:rPr>
              <w:t>Aggregate common shares owned by</w:t>
            </w:r>
          </w:p>
        </w:tc>
        <w:tc>
          <w:tcPr>
            <w:tcW w:w="0" w:type="dxa"/>
            <w:vAlign w:val="bottom"/>
          </w:tcPr>
          <w:p>
            <w:pPr>
              <w:spacing w:after="0"/>
              <w:rPr>
                <w:sz w:val="1"/>
                <w:szCs w:val="1"/>
                <w:color w:val="auto"/>
              </w:rPr>
            </w:pPr>
          </w:p>
        </w:tc>
      </w:tr>
      <w:tr>
        <w:trPr>
          <w:trHeight w:val="149"/>
        </w:trPr>
        <w:tc>
          <w:tcPr>
            <w:tcW w:w="230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2060" w:type="dxa"/>
            <w:vAlign w:val="bottom"/>
          </w:tcPr>
          <w:p>
            <w:pPr>
              <w:spacing w:after="0"/>
              <w:rPr>
                <w:sz w:val="12"/>
                <w:szCs w:val="12"/>
                <w:color w:val="auto"/>
              </w:rPr>
            </w:pPr>
          </w:p>
        </w:tc>
        <w:tc>
          <w:tcPr>
            <w:tcW w:w="1680" w:type="dxa"/>
            <w:vAlign w:val="bottom"/>
          </w:tcPr>
          <w:p>
            <w:pPr>
              <w:spacing w:after="0"/>
              <w:rPr>
                <w:sz w:val="12"/>
                <w:szCs w:val="12"/>
                <w:color w:val="auto"/>
              </w:rPr>
            </w:pPr>
          </w:p>
        </w:tc>
        <w:tc>
          <w:tcPr>
            <w:tcW w:w="5020" w:type="dxa"/>
            <w:vAlign w:val="bottom"/>
            <w:gridSpan w:val="5"/>
          </w:tcPr>
          <w:p>
            <w:pPr>
              <w:jc w:val="center"/>
              <w:ind w:right="2440"/>
              <w:spacing w:after="0" w:line="149" w:lineRule="exact"/>
              <w:rPr>
                <w:sz w:val="20"/>
                <w:szCs w:val="20"/>
                <w:color w:val="auto"/>
              </w:rPr>
            </w:pPr>
            <w:r>
              <w:rPr>
                <w:rFonts w:ascii="Arial" w:cs="Arial" w:eastAsia="Arial" w:hAnsi="Arial"/>
                <w:sz w:val="14"/>
                <w:szCs w:val="14"/>
                <w:b w:val="1"/>
                <w:bCs w:val="1"/>
                <w:color w:val="auto"/>
                <w:w w:val="85"/>
              </w:rPr>
              <w:t>directors and aggregate value thereof</w:t>
            </w:r>
          </w:p>
        </w:tc>
        <w:tc>
          <w:tcPr>
            <w:tcW w:w="0" w:type="dxa"/>
            <w:vAlign w:val="bottom"/>
          </w:tcPr>
          <w:p>
            <w:pPr>
              <w:spacing w:after="0"/>
              <w:rPr>
                <w:sz w:val="1"/>
                <w:szCs w:val="1"/>
                <w:color w:val="auto"/>
              </w:rPr>
            </w:pPr>
          </w:p>
        </w:tc>
      </w:tr>
      <w:tr>
        <w:trPr>
          <w:trHeight w:val="161"/>
        </w:trPr>
        <w:tc>
          <w:tcPr>
            <w:tcW w:w="230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2060" w:type="dxa"/>
            <w:vAlign w:val="bottom"/>
          </w:tcPr>
          <w:p>
            <w:pPr>
              <w:spacing w:after="0"/>
              <w:rPr>
                <w:sz w:val="14"/>
                <w:szCs w:val="14"/>
                <w:color w:val="auto"/>
              </w:rPr>
            </w:pPr>
          </w:p>
        </w:tc>
        <w:tc>
          <w:tcPr>
            <w:tcW w:w="1680" w:type="dxa"/>
            <w:vAlign w:val="bottom"/>
          </w:tcPr>
          <w:p>
            <w:pPr>
              <w:spacing w:after="0"/>
              <w:rPr>
                <w:sz w:val="14"/>
                <w:szCs w:val="14"/>
                <w:color w:val="auto"/>
              </w:rPr>
            </w:pPr>
          </w:p>
        </w:tc>
        <w:tc>
          <w:tcPr>
            <w:tcW w:w="5020" w:type="dxa"/>
            <w:vAlign w:val="bottom"/>
            <w:gridSpan w:val="5"/>
          </w:tcPr>
          <w:p>
            <w:pPr>
              <w:jc w:val="center"/>
              <w:ind w:right="2440"/>
              <w:spacing w:after="0"/>
              <w:rPr>
                <w:sz w:val="20"/>
                <w:szCs w:val="20"/>
                <w:color w:val="auto"/>
              </w:rPr>
            </w:pPr>
            <w:r>
              <w:rPr>
                <w:rFonts w:ascii="Arial" w:cs="Arial" w:eastAsia="Arial" w:hAnsi="Arial"/>
                <w:sz w:val="14"/>
                <w:szCs w:val="14"/>
                <w:b w:val="1"/>
                <w:bCs w:val="1"/>
                <w:color w:val="auto"/>
                <w:w w:val="86"/>
              </w:rPr>
              <w:t>as of March 22, 2010</w:t>
            </w:r>
          </w:p>
        </w:tc>
        <w:tc>
          <w:tcPr>
            <w:tcW w:w="0" w:type="dxa"/>
            <w:vAlign w:val="bottom"/>
          </w:tcPr>
          <w:p>
            <w:pPr>
              <w:spacing w:after="0"/>
              <w:rPr>
                <w:sz w:val="1"/>
                <w:szCs w:val="1"/>
                <w:color w:val="auto"/>
              </w:rPr>
            </w:pPr>
          </w:p>
        </w:tc>
      </w:tr>
      <w:tr>
        <w:trPr>
          <w:trHeight w:val="129"/>
        </w:trPr>
        <w:tc>
          <w:tcPr>
            <w:tcW w:w="230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2060" w:type="dxa"/>
            <w:vAlign w:val="bottom"/>
          </w:tcPr>
          <w:p>
            <w:pPr>
              <w:spacing w:after="0"/>
              <w:rPr>
                <w:sz w:val="11"/>
                <w:szCs w:val="11"/>
                <w:color w:val="auto"/>
              </w:rPr>
            </w:pPr>
          </w:p>
        </w:tc>
        <w:tc>
          <w:tcPr>
            <w:tcW w:w="1680" w:type="dxa"/>
            <w:vAlign w:val="bottom"/>
          </w:tcPr>
          <w:p>
            <w:pPr>
              <w:spacing w:after="0"/>
              <w:rPr>
                <w:sz w:val="11"/>
                <w:szCs w:val="11"/>
                <w:color w:val="auto"/>
              </w:rPr>
            </w:pPr>
          </w:p>
        </w:tc>
        <w:tc>
          <w:tcPr>
            <w:tcW w:w="1140" w:type="dxa"/>
            <w:vAlign w:val="bottom"/>
            <w:tcBorders>
              <w:top w:val="single" w:sz="8" w:color="auto"/>
            </w:tcBorders>
          </w:tcPr>
          <w:p>
            <w:pPr>
              <w:spacing w:after="0"/>
              <w:rPr>
                <w:sz w:val="11"/>
                <w:szCs w:val="11"/>
                <w:color w:val="auto"/>
              </w:rPr>
            </w:pPr>
          </w:p>
        </w:tc>
        <w:tc>
          <w:tcPr>
            <w:tcW w:w="160" w:type="dxa"/>
            <w:vAlign w:val="bottom"/>
            <w:tcBorders>
              <w:top w:val="single" w:sz="8" w:color="auto"/>
            </w:tcBorders>
          </w:tcPr>
          <w:p>
            <w:pPr>
              <w:spacing w:after="0"/>
              <w:rPr>
                <w:sz w:val="11"/>
                <w:szCs w:val="11"/>
                <w:color w:val="auto"/>
              </w:rPr>
            </w:pPr>
          </w:p>
        </w:tc>
        <w:tc>
          <w:tcPr>
            <w:tcW w:w="1280" w:type="dxa"/>
            <w:vAlign w:val="bottom"/>
            <w:tcBorders>
              <w:top w:val="single" w:sz="8" w:color="auto"/>
            </w:tcBorders>
          </w:tcPr>
          <w:p>
            <w:pPr>
              <w:jc w:val="center"/>
              <w:spacing w:after="0" w:line="129" w:lineRule="exact"/>
              <w:rPr>
                <w:sz w:val="20"/>
                <w:szCs w:val="20"/>
                <w:color w:val="auto"/>
              </w:rPr>
            </w:pPr>
            <w:r>
              <w:rPr>
                <w:rFonts w:ascii="Arial" w:cs="Arial" w:eastAsia="Arial" w:hAnsi="Arial"/>
                <w:sz w:val="14"/>
                <w:szCs w:val="14"/>
                <w:b w:val="1"/>
                <w:bCs w:val="1"/>
                <w:color w:val="auto"/>
                <w:w w:val="84"/>
              </w:rPr>
              <w:t>Aggregate Value of</w:t>
            </w:r>
          </w:p>
        </w:tc>
        <w:tc>
          <w:tcPr>
            <w:tcW w:w="2440" w:type="dxa"/>
            <w:vAlign w:val="bottom"/>
            <w:gridSpan w:val="2"/>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30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2060" w:type="dxa"/>
            <w:vAlign w:val="bottom"/>
          </w:tcPr>
          <w:p>
            <w:pPr>
              <w:spacing w:after="0"/>
              <w:rPr>
                <w:sz w:val="12"/>
                <w:szCs w:val="12"/>
                <w:color w:val="auto"/>
              </w:rPr>
            </w:pPr>
          </w:p>
        </w:tc>
        <w:tc>
          <w:tcPr>
            <w:tcW w:w="1680" w:type="dxa"/>
            <w:vAlign w:val="bottom"/>
          </w:tcPr>
          <w:p>
            <w:pPr>
              <w:spacing w:after="0"/>
              <w:rPr>
                <w:sz w:val="12"/>
                <w:szCs w:val="12"/>
                <w:color w:val="auto"/>
              </w:rPr>
            </w:pPr>
          </w:p>
        </w:tc>
        <w:tc>
          <w:tcPr>
            <w:tcW w:w="1300" w:type="dxa"/>
            <w:vAlign w:val="bottom"/>
            <w:gridSpan w:val="2"/>
          </w:tcPr>
          <w:p>
            <w:pPr>
              <w:jc w:val="right"/>
              <w:ind w:right="420"/>
              <w:spacing w:after="0" w:line="149" w:lineRule="exact"/>
              <w:rPr>
                <w:sz w:val="20"/>
                <w:szCs w:val="20"/>
                <w:color w:val="auto"/>
              </w:rPr>
            </w:pPr>
            <w:r>
              <w:rPr>
                <w:rFonts w:ascii="Arial" w:cs="Arial" w:eastAsia="Arial" w:hAnsi="Arial"/>
                <w:sz w:val="14"/>
                <w:szCs w:val="14"/>
                <w:b w:val="1"/>
                <w:bCs w:val="1"/>
                <w:color w:val="auto"/>
              </w:rPr>
              <w:t>Aggregate</w:t>
            </w:r>
          </w:p>
        </w:tc>
        <w:tc>
          <w:tcPr>
            <w:tcW w:w="3720" w:type="dxa"/>
            <w:vAlign w:val="bottom"/>
            <w:gridSpan w:val="3"/>
          </w:tcPr>
          <w:p>
            <w:pPr>
              <w:jc w:val="center"/>
              <w:ind w:right="2440"/>
              <w:spacing w:after="0" w:line="149" w:lineRule="exact"/>
              <w:rPr>
                <w:sz w:val="20"/>
                <w:szCs w:val="20"/>
                <w:color w:val="auto"/>
              </w:rPr>
            </w:pPr>
            <w:r>
              <w:rPr>
                <w:rFonts w:ascii="Arial" w:cs="Arial" w:eastAsia="Arial" w:hAnsi="Arial"/>
                <w:sz w:val="14"/>
                <w:szCs w:val="14"/>
                <w:b w:val="1"/>
                <w:bCs w:val="1"/>
                <w:color w:val="auto"/>
                <w:w w:val="86"/>
              </w:rPr>
              <w:t>Common Shares</w:t>
            </w:r>
          </w:p>
        </w:tc>
        <w:tc>
          <w:tcPr>
            <w:tcW w:w="0" w:type="dxa"/>
            <w:vAlign w:val="bottom"/>
          </w:tcPr>
          <w:p>
            <w:pPr>
              <w:spacing w:after="0"/>
              <w:rPr>
                <w:sz w:val="1"/>
                <w:szCs w:val="1"/>
                <w:color w:val="auto"/>
              </w:rPr>
            </w:pPr>
          </w:p>
        </w:tc>
      </w:tr>
      <w:tr>
        <w:trPr>
          <w:trHeight w:val="161"/>
        </w:trPr>
        <w:tc>
          <w:tcPr>
            <w:tcW w:w="4720" w:type="dxa"/>
            <w:vAlign w:val="bottom"/>
            <w:gridSpan w:val="3"/>
          </w:tcPr>
          <w:p>
            <w:pPr>
              <w:ind w:left="2300"/>
              <w:spacing w:after="0"/>
              <w:rPr>
                <w:sz w:val="20"/>
                <w:szCs w:val="20"/>
                <w:color w:val="auto"/>
              </w:rPr>
            </w:pPr>
            <w:r>
              <w:rPr>
                <w:rFonts w:ascii="Arial" w:cs="Arial" w:eastAsia="Arial" w:hAnsi="Arial"/>
                <w:sz w:val="14"/>
                <w:szCs w:val="14"/>
                <w:b w:val="1"/>
                <w:bCs w:val="1"/>
                <w:color w:val="auto"/>
              </w:rPr>
              <w:t>Name</w:t>
            </w:r>
          </w:p>
        </w:tc>
        <w:tc>
          <w:tcPr>
            <w:tcW w:w="1680" w:type="dxa"/>
            <w:vAlign w:val="bottom"/>
          </w:tcPr>
          <w:p>
            <w:pPr>
              <w:spacing w:after="0"/>
              <w:rPr>
                <w:sz w:val="14"/>
                <w:szCs w:val="14"/>
                <w:color w:val="auto"/>
              </w:rPr>
            </w:pPr>
          </w:p>
        </w:tc>
        <w:tc>
          <w:tcPr>
            <w:tcW w:w="1300" w:type="dxa"/>
            <w:vAlign w:val="bottom"/>
            <w:gridSpan w:val="2"/>
          </w:tcPr>
          <w:p>
            <w:pPr>
              <w:jc w:val="right"/>
              <w:ind w:right="240"/>
              <w:spacing w:after="0"/>
              <w:rPr>
                <w:sz w:val="20"/>
                <w:szCs w:val="20"/>
                <w:color w:val="auto"/>
              </w:rPr>
            </w:pPr>
            <w:r>
              <w:rPr>
                <w:rFonts w:ascii="Arial" w:cs="Arial" w:eastAsia="Arial" w:hAnsi="Arial"/>
                <w:sz w:val="14"/>
                <w:szCs w:val="14"/>
                <w:b w:val="1"/>
                <w:bCs w:val="1"/>
                <w:color w:val="auto"/>
                <w:w w:val="93"/>
              </w:rPr>
              <w:t>Common Shares</w:t>
            </w:r>
          </w:p>
        </w:tc>
        <w:tc>
          <w:tcPr>
            <w:tcW w:w="3720" w:type="dxa"/>
            <w:vAlign w:val="bottom"/>
            <w:gridSpan w:val="3"/>
          </w:tcPr>
          <w:p>
            <w:pPr>
              <w:jc w:val="center"/>
              <w:ind w:right="2440"/>
              <w:spacing w:after="0"/>
              <w:rPr>
                <w:sz w:val="20"/>
                <w:szCs w:val="20"/>
                <w:color w:val="auto"/>
              </w:rPr>
            </w:pPr>
            <w:r>
              <w:rPr>
                <w:rFonts w:ascii="Arial" w:cs="Arial" w:eastAsia="Arial" w:hAnsi="Arial"/>
                <w:sz w:val="14"/>
                <w:szCs w:val="14"/>
                <w:b w:val="1"/>
                <w:bCs w:val="1"/>
                <w:color w:val="auto"/>
                <w:w w:val="88"/>
              </w:rPr>
              <w:t>(C$)</w:t>
            </w:r>
          </w:p>
        </w:tc>
        <w:tc>
          <w:tcPr>
            <w:tcW w:w="0" w:type="dxa"/>
            <w:vAlign w:val="bottom"/>
          </w:tcPr>
          <w:p>
            <w:pPr>
              <w:spacing w:after="0"/>
              <w:rPr>
                <w:sz w:val="1"/>
                <w:szCs w:val="1"/>
                <w:color w:val="auto"/>
              </w:rPr>
            </w:pPr>
          </w:p>
        </w:tc>
      </w:tr>
      <w:tr>
        <w:trPr>
          <w:trHeight w:val="20"/>
        </w:trPr>
        <w:tc>
          <w:tcPr>
            <w:tcW w:w="2300" w:type="dxa"/>
            <w:vAlign w:val="bottom"/>
            <w:vMerge w:val="restart"/>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2060" w:type="dxa"/>
            <w:vAlign w:val="bottom"/>
          </w:tcPr>
          <w:p>
            <w:pPr>
              <w:spacing w:after="0" w:line="20" w:lineRule="exact"/>
              <w:rPr>
                <w:sz w:val="1"/>
                <w:szCs w:val="1"/>
                <w:color w:val="auto"/>
              </w:rPr>
            </w:pPr>
          </w:p>
        </w:tc>
        <w:tc>
          <w:tcPr>
            <w:tcW w:w="1680" w:type="dxa"/>
            <w:vAlign w:val="bottom"/>
          </w:tcPr>
          <w:p>
            <w:pPr>
              <w:spacing w:after="0" w:line="20" w:lineRule="exact"/>
              <w:rPr>
                <w:sz w:val="1"/>
                <w:szCs w:val="1"/>
                <w:color w:val="auto"/>
              </w:rPr>
            </w:pPr>
          </w:p>
        </w:tc>
        <w:tc>
          <w:tcPr>
            <w:tcW w:w="11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2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300" w:type="dxa"/>
            <w:vAlign w:val="bottom"/>
            <w:vMerge w:val="continue"/>
          </w:tcPr>
          <w:p>
            <w:pPr>
              <w:spacing w:after="0"/>
              <w:rPr>
                <w:sz w:val="18"/>
                <w:szCs w:val="18"/>
                <w:color w:val="auto"/>
              </w:rPr>
            </w:pPr>
          </w:p>
        </w:tc>
        <w:tc>
          <w:tcPr>
            <w:tcW w:w="24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Leanne M. Baker</w:t>
            </w:r>
          </w:p>
        </w:tc>
        <w:tc>
          <w:tcPr>
            <w:tcW w:w="298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4,000</w:t>
            </w:r>
          </w:p>
        </w:tc>
        <w:tc>
          <w:tcPr>
            <w:tcW w:w="14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234,000</w:t>
            </w:r>
          </w:p>
        </w:tc>
        <w:tc>
          <w:tcPr>
            <w:tcW w:w="2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300" w:type="dxa"/>
            <w:vAlign w:val="bottom"/>
          </w:tcPr>
          <w:p>
            <w:pPr>
              <w:spacing w:after="0"/>
              <w:rPr>
                <w:sz w:val="18"/>
                <w:szCs w:val="18"/>
                <w:color w:val="auto"/>
              </w:rPr>
            </w:pPr>
          </w:p>
        </w:tc>
        <w:tc>
          <w:tcPr>
            <w:tcW w:w="2420" w:type="dxa"/>
            <w:vAlign w:val="bottom"/>
            <w:gridSpan w:val="2"/>
          </w:tcPr>
          <w:p>
            <w:pPr>
              <w:spacing w:after="0"/>
              <w:rPr>
                <w:sz w:val="20"/>
                <w:szCs w:val="20"/>
                <w:color w:val="auto"/>
              </w:rPr>
            </w:pPr>
            <w:r>
              <w:rPr>
                <w:rFonts w:ascii="Arial" w:cs="Arial" w:eastAsia="Arial" w:hAnsi="Arial"/>
                <w:sz w:val="18"/>
                <w:szCs w:val="18"/>
                <w:color w:val="auto"/>
              </w:rPr>
              <w:t>Douglas R. Beaumont</w:t>
            </w:r>
          </w:p>
        </w:tc>
        <w:tc>
          <w:tcPr>
            <w:tcW w:w="2980" w:type="dxa"/>
            <w:vAlign w:val="bottom"/>
            <w:gridSpan w:val="3"/>
          </w:tcPr>
          <w:p>
            <w:pPr>
              <w:jc w:val="right"/>
              <w:ind w:right="160"/>
              <w:spacing w:after="0"/>
              <w:rPr>
                <w:sz w:val="20"/>
                <w:szCs w:val="20"/>
                <w:color w:val="auto"/>
              </w:rPr>
            </w:pPr>
            <w:r>
              <w:rPr>
                <w:rFonts w:ascii="Arial" w:cs="Arial" w:eastAsia="Arial" w:hAnsi="Arial"/>
                <w:sz w:val="18"/>
                <w:szCs w:val="18"/>
                <w:color w:val="auto"/>
              </w:rPr>
              <w:t>14,167</w:t>
            </w:r>
          </w:p>
        </w:tc>
        <w:tc>
          <w:tcPr>
            <w:tcW w:w="1440" w:type="dxa"/>
            <w:vAlign w:val="bottom"/>
            <w:gridSpan w:val="2"/>
          </w:tcPr>
          <w:p>
            <w:pPr>
              <w:jc w:val="right"/>
              <w:ind w:right="160"/>
              <w:spacing w:after="0"/>
              <w:rPr>
                <w:sz w:val="20"/>
                <w:szCs w:val="20"/>
                <w:color w:val="auto"/>
              </w:rPr>
            </w:pPr>
            <w:r>
              <w:rPr>
                <w:rFonts w:ascii="Arial" w:cs="Arial" w:eastAsia="Arial" w:hAnsi="Arial"/>
                <w:sz w:val="18"/>
                <w:szCs w:val="18"/>
                <w:color w:val="auto"/>
              </w:rPr>
              <w:t>828,770</w:t>
            </w:r>
          </w:p>
        </w:tc>
        <w:tc>
          <w:tcPr>
            <w:tcW w:w="2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300" w:type="dxa"/>
            <w:vAlign w:val="bottom"/>
          </w:tcPr>
          <w:p>
            <w:pPr>
              <w:spacing w:after="0"/>
              <w:rPr>
                <w:sz w:val="18"/>
                <w:szCs w:val="18"/>
                <w:color w:val="auto"/>
              </w:rPr>
            </w:pPr>
          </w:p>
        </w:tc>
        <w:tc>
          <w:tcPr>
            <w:tcW w:w="24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Sean Boyd</w:t>
            </w:r>
          </w:p>
        </w:tc>
        <w:tc>
          <w:tcPr>
            <w:tcW w:w="298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100,820</w:t>
            </w:r>
          </w:p>
        </w:tc>
        <w:tc>
          <w:tcPr>
            <w:tcW w:w="14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5,897,970</w:t>
            </w:r>
          </w:p>
        </w:tc>
        <w:tc>
          <w:tcPr>
            <w:tcW w:w="2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300" w:type="dxa"/>
            <w:vAlign w:val="bottom"/>
          </w:tcPr>
          <w:p>
            <w:pPr>
              <w:spacing w:after="0"/>
              <w:rPr>
                <w:sz w:val="18"/>
                <w:szCs w:val="18"/>
                <w:color w:val="auto"/>
              </w:rPr>
            </w:pPr>
          </w:p>
        </w:tc>
        <w:tc>
          <w:tcPr>
            <w:tcW w:w="2420" w:type="dxa"/>
            <w:vAlign w:val="bottom"/>
            <w:gridSpan w:val="2"/>
          </w:tcPr>
          <w:p>
            <w:pPr>
              <w:spacing w:after="0"/>
              <w:rPr>
                <w:sz w:val="20"/>
                <w:szCs w:val="20"/>
                <w:color w:val="auto"/>
              </w:rPr>
            </w:pPr>
            <w:r>
              <w:rPr>
                <w:rFonts w:ascii="Arial" w:cs="Arial" w:eastAsia="Arial" w:hAnsi="Arial"/>
                <w:sz w:val="18"/>
                <w:szCs w:val="18"/>
                <w:color w:val="auto"/>
              </w:rPr>
              <w:t>Clifford J. Davis</w:t>
            </w:r>
          </w:p>
        </w:tc>
        <w:tc>
          <w:tcPr>
            <w:tcW w:w="2980" w:type="dxa"/>
            <w:vAlign w:val="bottom"/>
            <w:gridSpan w:val="3"/>
          </w:tcPr>
          <w:p>
            <w:pPr>
              <w:jc w:val="right"/>
              <w:ind w:right="160"/>
              <w:spacing w:after="0"/>
              <w:rPr>
                <w:sz w:val="20"/>
                <w:szCs w:val="20"/>
                <w:color w:val="auto"/>
              </w:rPr>
            </w:pPr>
            <w:r>
              <w:rPr>
                <w:rFonts w:ascii="Arial" w:cs="Arial" w:eastAsia="Arial" w:hAnsi="Arial"/>
                <w:sz w:val="18"/>
                <w:szCs w:val="18"/>
                <w:color w:val="auto"/>
              </w:rPr>
              <w:t>2,900</w:t>
            </w:r>
          </w:p>
        </w:tc>
        <w:tc>
          <w:tcPr>
            <w:tcW w:w="1440" w:type="dxa"/>
            <w:vAlign w:val="bottom"/>
            <w:gridSpan w:val="2"/>
          </w:tcPr>
          <w:p>
            <w:pPr>
              <w:jc w:val="right"/>
              <w:ind w:right="160"/>
              <w:spacing w:after="0"/>
              <w:rPr>
                <w:sz w:val="20"/>
                <w:szCs w:val="20"/>
                <w:color w:val="auto"/>
              </w:rPr>
            </w:pPr>
            <w:r>
              <w:rPr>
                <w:rFonts w:ascii="Arial" w:cs="Arial" w:eastAsia="Arial" w:hAnsi="Arial"/>
                <w:sz w:val="18"/>
                <w:szCs w:val="18"/>
                <w:color w:val="auto"/>
              </w:rPr>
              <w:t>169,650</w:t>
            </w:r>
          </w:p>
        </w:tc>
        <w:tc>
          <w:tcPr>
            <w:tcW w:w="2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300" w:type="dxa"/>
            <w:vAlign w:val="bottom"/>
          </w:tcPr>
          <w:p>
            <w:pPr>
              <w:spacing w:after="0"/>
              <w:rPr>
                <w:sz w:val="18"/>
                <w:szCs w:val="18"/>
                <w:color w:val="auto"/>
              </w:rPr>
            </w:pPr>
          </w:p>
        </w:tc>
        <w:tc>
          <w:tcPr>
            <w:tcW w:w="24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David Garofalo</w:t>
            </w:r>
          </w:p>
        </w:tc>
        <w:tc>
          <w:tcPr>
            <w:tcW w:w="298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26,191</w:t>
            </w:r>
          </w:p>
        </w:tc>
        <w:tc>
          <w:tcPr>
            <w:tcW w:w="14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1,532,174</w:t>
            </w:r>
          </w:p>
        </w:tc>
        <w:tc>
          <w:tcPr>
            <w:tcW w:w="2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300" w:type="dxa"/>
            <w:vAlign w:val="bottom"/>
          </w:tcPr>
          <w:p>
            <w:pPr>
              <w:spacing w:after="0"/>
              <w:rPr>
                <w:sz w:val="18"/>
                <w:szCs w:val="18"/>
                <w:color w:val="auto"/>
              </w:rPr>
            </w:pPr>
          </w:p>
        </w:tc>
        <w:tc>
          <w:tcPr>
            <w:tcW w:w="2420" w:type="dxa"/>
            <w:vAlign w:val="bottom"/>
            <w:gridSpan w:val="2"/>
          </w:tcPr>
          <w:p>
            <w:pPr>
              <w:spacing w:after="0"/>
              <w:rPr>
                <w:sz w:val="20"/>
                <w:szCs w:val="20"/>
                <w:color w:val="auto"/>
              </w:rPr>
            </w:pPr>
            <w:r>
              <w:rPr>
                <w:rFonts w:ascii="Arial" w:cs="Arial" w:eastAsia="Arial" w:hAnsi="Arial"/>
                <w:sz w:val="18"/>
                <w:szCs w:val="18"/>
                <w:color w:val="auto"/>
              </w:rPr>
              <w:t>Bernard Kraft</w:t>
            </w:r>
          </w:p>
        </w:tc>
        <w:tc>
          <w:tcPr>
            <w:tcW w:w="2980" w:type="dxa"/>
            <w:vAlign w:val="bottom"/>
            <w:gridSpan w:val="3"/>
          </w:tcPr>
          <w:p>
            <w:pPr>
              <w:jc w:val="right"/>
              <w:ind w:right="160"/>
              <w:spacing w:after="0"/>
              <w:rPr>
                <w:sz w:val="20"/>
                <w:szCs w:val="20"/>
                <w:color w:val="auto"/>
              </w:rPr>
            </w:pPr>
            <w:r>
              <w:rPr>
                <w:rFonts w:ascii="Arial" w:cs="Arial" w:eastAsia="Arial" w:hAnsi="Arial"/>
                <w:sz w:val="18"/>
                <w:szCs w:val="18"/>
                <w:color w:val="auto"/>
              </w:rPr>
              <w:t>12,656</w:t>
            </w:r>
          </w:p>
        </w:tc>
        <w:tc>
          <w:tcPr>
            <w:tcW w:w="1440" w:type="dxa"/>
            <w:vAlign w:val="bottom"/>
            <w:gridSpan w:val="2"/>
          </w:tcPr>
          <w:p>
            <w:pPr>
              <w:jc w:val="right"/>
              <w:ind w:right="160"/>
              <w:spacing w:after="0"/>
              <w:rPr>
                <w:sz w:val="20"/>
                <w:szCs w:val="20"/>
                <w:color w:val="auto"/>
              </w:rPr>
            </w:pPr>
            <w:r>
              <w:rPr>
                <w:rFonts w:ascii="Arial" w:cs="Arial" w:eastAsia="Arial" w:hAnsi="Arial"/>
                <w:sz w:val="18"/>
                <w:szCs w:val="18"/>
                <w:color w:val="auto"/>
              </w:rPr>
              <w:t>740,376</w:t>
            </w:r>
          </w:p>
        </w:tc>
        <w:tc>
          <w:tcPr>
            <w:tcW w:w="2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300" w:type="dxa"/>
            <w:vAlign w:val="bottom"/>
          </w:tcPr>
          <w:p>
            <w:pPr>
              <w:spacing w:after="0"/>
              <w:rPr>
                <w:sz w:val="18"/>
                <w:szCs w:val="18"/>
                <w:color w:val="auto"/>
              </w:rPr>
            </w:pPr>
          </w:p>
        </w:tc>
        <w:tc>
          <w:tcPr>
            <w:tcW w:w="24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Mel Leiderman</w:t>
            </w:r>
          </w:p>
        </w:tc>
        <w:tc>
          <w:tcPr>
            <w:tcW w:w="298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4,000</w:t>
            </w:r>
          </w:p>
        </w:tc>
        <w:tc>
          <w:tcPr>
            <w:tcW w:w="14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234,000</w:t>
            </w:r>
          </w:p>
        </w:tc>
        <w:tc>
          <w:tcPr>
            <w:tcW w:w="2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300" w:type="dxa"/>
            <w:vAlign w:val="bottom"/>
          </w:tcPr>
          <w:p>
            <w:pPr>
              <w:spacing w:after="0"/>
              <w:rPr>
                <w:sz w:val="18"/>
                <w:szCs w:val="18"/>
                <w:color w:val="auto"/>
              </w:rPr>
            </w:pPr>
          </w:p>
        </w:tc>
        <w:tc>
          <w:tcPr>
            <w:tcW w:w="2420" w:type="dxa"/>
            <w:vAlign w:val="bottom"/>
            <w:gridSpan w:val="2"/>
          </w:tcPr>
          <w:p>
            <w:pPr>
              <w:spacing w:after="0"/>
              <w:rPr>
                <w:sz w:val="20"/>
                <w:szCs w:val="20"/>
                <w:color w:val="auto"/>
              </w:rPr>
            </w:pPr>
            <w:r>
              <w:rPr>
                <w:rFonts w:ascii="Arial" w:cs="Arial" w:eastAsia="Arial" w:hAnsi="Arial"/>
                <w:sz w:val="18"/>
                <w:szCs w:val="18"/>
                <w:color w:val="auto"/>
              </w:rPr>
              <w:t>James D. Nasso</w:t>
            </w:r>
          </w:p>
        </w:tc>
        <w:tc>
          <w:tcPr>
            <w:tcW w:w="2980" w:type="dxa"/>
            <w:vAlign w:val="bottom"/>
            <w:gridSpan w:val="3"/>
          </w:tcPr>
          <w:p>
            <w:pPr>
              <w:jc w:val="right"/>
              <w:ind w:right="160"/>
              <w:spacing w:after="0"/>
              <w:rPr>
                <w:sz w:val="20"/>
                <w:szCs w:val="20"/>
                <w:color w:val="auto"/>
              </w:rPr>
            </w:pPr>
            <w:r>
              <w:rPr>
                <w:rFonts w:ascii="Arial" w:cs="Arial" w:eastAsia="Arial" w:hAnsi="Arial"/>
                <w:sz w:val="18"/>
                <w:szCs w:val="18"/>
                <w:color w:val="auto"/>
              </w:rPr>
              <w:t>18,189</w:t>
            </w:r>
          </w:p>
        </w:tc>
        <w:tc>
          <w:tcPr>
            <w:tcW w:w="1440" w:type="dxa"/>
            <w:vAlign w:val="bottom"/>
            <w:gridSpan w:val="2"/>
          </w:tcPr>
          <w:p>
            <w:pPr>
              <w:jc w:val="right"/>
              <w:ind w:right="160"/>
              <w:spacing w:after="0"/>
              <w:rPr>
                <w:sz w:val="20"/>
                <w:szCs w:val="20"/>
                <w:color w:val="auto"/>
              </w:rPr>
            </w:pPr>
            <w:r>
              <w:rPr>
                <w:rFonts w:ascii="Arial" w:cs="Arial" w:eastAsia="Arial" w:hAnsi="Arial"/>
                <w:sz w:val="18"/>
                <w:szCs w:val="18"/>
                <w:color w:val="auto"/>
              </w:rPr>
              <w:t>1,064,057</w:t>
            </w:r>
          </w:p>
        </w:tc>
        <w:tc>
          <w:tcPr>
            <w:tcW w:w="2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300" w:type="dxa"/>
            <w:vAlign w:val="bottom"/>
          </w:tcPr>
          <w:p>
            <w:pPr>
              <w:spacing w:after="0"/>
              <w:rPr>
                <w:sz w:val="18"/>
                <w:szCs w:val="18"/>
                <w:color w:val="auto"/>
              </w:rPr>
            </w:pPr>
          </w:p>
        </w:tc>
        <w:tc>
          <w:tcPr>
            <w:tcW w:w="24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John Merfyn Roberts</w:t>
            </w:r>
          </w:p>
        </w:tc>
        <w:tc>
          <w:tcPr>
            <w:tcW w:w="298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5,500</w:t>
            </w:r>
          </w:p>
        </w:tc>
        <w:tc>
          <w:tcPr>
            <w:tcW w:w="14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321,750</w:t>
            </w:r>
          </w:p>
        </w:tc>
        <w:tc>
          <w:tcPr>
            <w:tcW w:w="2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300" w:type="dxa"/>
            <w:vAlign w:val="bottom"/>
          </w:tcPr>
          <w:p>
            <w:pPr>
              <w:spacing w:after="0"/>
              <w:rPr>
                <w:sz w:val="18"/>
                <w:szCs w:val="18"/>
                <w:color w:val="auto"/>
              </w:rPr>
            </w:pPr>
          </w:p>
        </w:tc>
        <w:tc>
          <w:tcPr>
            <w:tcW w:w="2420" w:type="dxa"/>
            <w:vAlign w:val="bottom"/>
            <w:gridSpan w:val="2"/>
          </w:tcPr>
          <w:p>
            <w:pPr>
              <w:spacing w:after="0"/>
              <w:rPr>
                <w:sz w:val="20"/>
                <w:szCs w:val="20"/>
                <w:color w:val="auto"/>
              </w:rPr>
            </w:pPr>
            <w:r>
              <w:rPr>
                <w:rFonts w:ascii="Arial" w:cs="Arial" w:eastAsia="Arial" w:hAnsi="Arial"/>
                <w:sz w:val="18"/>
                <w:szCs w:val="18"/>
                <w:color w:val="auto"/>
              </w:rPr>
              <w:t>Eberhard Scherkus</w:t>
            </w:r>
          </w:p>
        </w:tc>
        <w:tc>
          <w:tcPr>
            <w:tcW w:w="2980" w:type="dxa"/>
            <w:vAlign w:val="bottom"/>
            <w:gridSpan w:val="3"/>
          </w:tcPr>
          <w:p>
            <w:pPr>
              <w:jc w:val="right"/>
              <w:ind w:right="160"/>
              <w:spacing w:after="0"/>
              <w:rPr>
                <w:sz w:val="20"/>
                <w:szCs w:val="20"/>
                <w:color w:val="auto"/>
              </w:rPr>
            </w:pPr>
            <w:r>
              <w:rPr>
                <w:rFonts w:ascii="Arial" w:cs="Arial" w:eastAsia="Arial" w:hAnsi="Arial"/>
                <w:sz w:val="18"/>
                <w:szCs w:val="18"/>
                <w:color w:val="auto"/>
              </w:rPr>
              <w:t>59,743</w:t>
            </w:r>
          </w:p>
        </w:tc>
        <w:tc>
          <w:tcPr>
            <w:tcW w:w="1440" w:type="dxa"/>
            <w:vAlign w:val="bottom"/>
            <w:gridSpan w:val="2"/>
          </w:tcPr>
          <w:p>
            <w:pPr>
              <w:jc w:val="right"/>
              <w:ind w:right="160"/>
              <w:spacing w:after="0"/>
              <w:rPr>
                <w:sz w:val="20"/>
                <w:szCs w:val="20"/>
                <w:color w:val="auto"/>
              </w:rPr>
            </w:pPr>
            <w:r>
              <w:rPr>
                <w:rFonts w:ascii="Arial" w:cs="Arial" w:eastAsia="Arial" w:hAnsi="Arial"/>
                <w:sz w:val="18"/>
                <w:szCs w:val="18"/>
                <w:color w:val="auto"/>
              </w:rPr>
              <w:t>3,494,966</w:t>
            </w:r>
          </w:p>
        </w:tc>
        <w:tc>
          <w:tcPr>
            <w:tcW w:w="2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300" w:type="dxa"/>
            <w:vAlign w:val="bottom"/>
          </w:tcPr>
          <w:p>
            <w:pPr>
              <w:spacing w:after="0"/>
              <w:rPr>
                <w:sz w:val="18"/>
                <w:szCs w:val="18"/>
                <w:color w:val="auto"/>
              </w:rPr>
            </w:pPr>
          </w:p>
        </w:tc>
        <w:tc>
          <w:tcPr>
            <w:tcW w:w="24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Howard Stockford</w:t>
            </w:r>
          </w:p>
        </w:tc>
        <w:tc>
          <w:tcPr>
            <w:tcW w:w="298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5,568</w:t>
            </w:r>
          </w:p>
        </w:tc>
        <w:tc>
          <w:tcPr>
            <w:tcW w:w="14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325,728</w:t>
            </w:r>
          </w:p>
        </w:tc>
        <w:tc>
          <w:tcPr>
            <w:tcW w:w="2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300" w:type="dxa"/>
            <w:vAlign w:val="bottom"/>
          </w:tcPr>
          <w:p>
            <w:pPr>
              <w:spacing w:after="0"/>
              <w:rPr>
                <w:sz w:val="19"/>
                <w:szCs w:val="19"/>
                <w:color w:val="auto"/>
              </w:rPr>
            </w:pPr>
          </w:p>
        </w:tc>
        <w:tc>
          <w:tcPr>
            <w:tcW w:w="2420" w:type="dxa"/>
            <w:vAlign w:val="bottom"/>
            <w:gridSpan w:val="2"/>
          </w:tcPr>
          <w:p>
            <w:pPr>
              <w:spacing w:after="0"/>
              <w:rPr>
                <w:sz w:val="20"/>
                <w:szCs w:val="20"/>
                <w:color w:val="auto"/>
              </w:rPr>
            </w:pPr>
            <w:r>
              <w:rPr>
                <w:rFonts w:ascii="Arial" w:cs="Arial" w:eastAsia="Arial" w:hAnsi="Arial"/>
                <w:sz w:val="18"/>
                <w:szCs w:val="18"/>
                <w:color w:val="auto"/>
              </w:rPr>
              <w:t>Pertti Voutilainen</w:t>
            </w:r>
          </w:p>
        </w:tc>
        <w:tc>
          <w:tcPr>
            <w:tcW w:w="2980" w:type="dxa"/>
            <w:vAlign w:val="bottom"/>
            <w:gridSpan w:val="3"/>
          </w:tcPr>
          <w:p>
            <w:pPr>
              <w:jc w:val="right"/>
              <w:ind w:right="160"/>
              <w:spacing w:after="0"/>
              <w:rPr>
                <w:sz w:val="20"/>
                <w:szCs w:val="20"/>
                <w:color w:val="auto"/>
              </w:rPr>
            </w:pPr>
            <w:r>
              <w:rPr>
                <w:rFonts w:ascii="Arial" w:cs="Arial" w:eastAsia="Arial" w:hAnsi="Arial"/>
                <w:sz w:val="18"/>
                <w:szCs w:val="18"/>
                <w:color w:val="auto"/>
              </w:rPr>
              <w:t>11,500</w:t>
            </w:r>
          </w:p>
        </w:tc>
        <w:tc>
          <w:tcPr>
            <w:tcW w:w="1440" w:type="dxa"/>
            <w:vAlign w:val="bottom"/>
            <w:gridSpan w:val="2"/>
          </w:tcPr>
          <w:p>
            <w:pPr>
              <w:jc w:val="right"/>
              <w:ind w:right="160"/>
              <w:spacing w:after="0"/>
              <w:rPr>
                <w:sz w:val="20"/>
                <w:szCs w:val="20"/>
                <w:color w:val="auto"/>
              </w:rPr>
            </w:pPr>
            <w:r>
              <w:rPr>
                <w:rFonts w:ascii="Arial" w:cs="Arial" w:eastAsia="Arial" w:hAnsi="Arial"/>
                <w:sz w:val="18"/>
                <w:szCs w:val="18"/>
                <w:color w:val="auto"/>
              </w:rPr>
              <w:t>672,750</w:t>
            </w:r>
          </w:p>
        </w:tc>
        <w:tc>
          <w:tcPr>
            <w:tcW w:w="22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24"/>
        </w:trPr>
        <w:tc>
          <w:tcPr>
            <w:tcW w:w="230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60" w:type="dxa"/>
            <w:vAlign w:val="bottom"/>
          </w:tcPr>
          <w:p>
            <w:pPr>
              <w:spacing w:after="0"/>
              <w:rPr>
                <w:sz w:val="24"/>
                <w:szCs w:val="24"/>
                <w:color w:val="auto"/>
              </w:rPr>
            </w:pPr>
          </w:p>
        </w:tc>
        <w:tc>
          <w:tcPr>
            <w:tcW w:w="1680" w:type="dxa"/>
            <w:vAlign w:val="bottom"/>
          </w:tcPr>
          <w:p>
            <w:pPr>
              <w:jc w:val="right"/>
              <w:ind w:right="472"/>
              <w:spacing w:after="0"/>
              <w:rPr>
                <w:sz w:val="20"/>
                <w:szCs w:val="20"/>
                <w:color w:val="auto"/>
              </w:rPr>
            </w:pPr>
            <w:r>
              <w:rPr>
                <w:rFonts w:ascii="Arial" w:cs="Arial" w:eastAsia="Arial" w:hAnsi="Arial"/>
                <w:sz w:val="18"/>
                <w:szCs w:val="18"/>
                <w:color w:val="auto"/>
              </w:rPr>
              <w:t>110</w:t>
            </w:r>
          </w:p>
        </w:tc>
        <w:tc>
          <w:tcPr>
            <w:tcW w:w="11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2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2300" w:type="dxa"/>
            <w:vAlign w:val="bottom"/>
            <w:tcBorders>
              <w:bottom w:val="single" w:sz="8" w:color="808080"/>
            </w:tcBorders>
          </w:tcPr>
          <w:p>
            <w:pPr>
              <w:spacing w:after="0"/>
              <w:rPr>
                <w:sz w:val="19"/>
                <w:szCs w:val="19"/>
                <w:color w:val="auto"/>
              </w:rPr>
            </w:pPr>
          </w:p>
        </w:tc>
        <w:tc>
          <w:tcPr>
            <w:tcW w:w="360" w:type="dxa"/>
            <w:vAlign w:val="bottom"/>
            <w:tcBorders>
              <w:bottom w:val="single" w:sz="8" w:color="808080"/>
            </w:tcBorders>
          </w:tcPr>
          <w:p>
            <w:pPr>
              <w:spacing w:after="0"/>
              <w:rPr>
                <w:sz w:val="19"/>
                <w:szCs w:val="19"/>
                <w:color w:val="auto"/>
              </w:rPr>
            </w:pPr>
          </w:p>
        </w:tc>
        <w:tc>
          <w:tcPr>
            <w:tcW w:w="2060" w:type="dxa"/>
            <w:vAlign w:val="bottom"/>
            <w:tcBorders>
              <w:bottom w:val="single" w:sz="8" w:color="808080"/>
            </w:tcBorders>
          </w:tcPr>
          <w:p>
            <w:pPr>
              <w:spacing w:after="0"/>
              <w:rPr>
                <w:sz w:val="19"/>
                <w:szCs w:val="19"/>
                <w:color w:val="auto"/>
              </w:rPr>
            </w:pPr>
          </w:p>
        </w:tc>
        <w:tc>
          <w:tcPr>
            <w:tcW w:w="1680" w:type="dxa"/>
            <w:vAlign w:val="bottom"/>
            <w:tcBorders>
              <w:bottom w:val="single" w:sz="8" w:color="808080"/>
            </w:tcBorders>
          </w:tcPr>
          <w:p>
            <w:pPr>
              <w:spacing w:after="0"/>
              <w:rPr>
                <w:sz w:val="19"/>
                <w:szCs w:val="19"/>
                <w:color w:val="auto"/>
              </w:rPr>
            </w:pPr>
          </w:p>
        </w:tc>
        <w:tc>
          <w:tcPr>
            <w:tcW w:w="114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28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228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3" w:name="page154"/>
    <w:bookmarkEnd w:id="153"/>
    <w:p>
      <w:pPr>
        <w:ind w:firstLine="381"/>
        <w:spacing w:after="0" w:line="268" w:lineRule="auto"/>
        <w:rPr>
          <w:sz w:val="20"/>
          <w:szCs w:val="20"/>
          <w:color w:val="auto"/>
        </w:rPr>
      </w:pPr>
      <w:r>
        <w:rPr>
          <w:rFonts w:ascii="Arial" w:cs="Arial" w:eastAsia="Arial" w:hAnsi="Arial"/>
          <w:sz w:val="18"/>
          <w:szCs w:val="18"/>
          <w:color w:val="auto"/>
        </w:rPr>
        <w:t>The following table sets out the compensation provided to the members of the Board of Directors, other than Mr. Boyd, Mr. Scherkus and Mr. Garofalo, for the Company's most recently completed financial year.</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 Compensation and Table</w:t>
      </w:r>
    </w:p>
    <w:p>
      <w:pPr>
        <w:spacing w:after="0" w:line="214"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132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60" w:type="dxa"/>
            <w:vAlign w:val="bottom"/>
            <w:vMerge w:val="restart"/>
          </w:tcPr>
          <w:p>
            <w:pPr>
              <w:jc w:val="center"/>
              <w:spacing w:after="0"/>
              <w:rPr>
                <w:sz w:val="20"/>
                <w:szCs w:val="20"/>
                <w:color w:val="auto"/>
              </w:rPr>
            </w:pPr>
            <w:r>
              <w:rPr>
                <w:rFonts w:ascii="Arial" w:cs="Arial" w:eastAsia="Arial" w:hAnsi="Arial"/>
                <w:sz w:val="14"/>
                <w:szCs w:val="14"/>
                <w:b w:val="1"/>
                <w:bCs w:val="1"/>
                <w:color w:val="auto"/>
                <w:w w:val="87"/>
              </w:rPr>
              <w:t>Option-Based</w:t>
            </w:r>
          </w:p>
        </w:tc>
        <w:tc>
          <w:tcPr>
            <w:tcW w:w="160" w:type="dxa"/>
            <w:vAlign w:val="bottom"/>
          </w:tcPr>
          <w:p>
            <w:pPr>
              <w:spacing w:after="0"/>
              <w:rPr>
                <w:sz w:val="14"/>
                <w:szCs w:val="14"/>
                <w:color w:val="auto"/>
              </w:rPr>
            </w:pPr>
          </w:p>
        </w:tc>
        <w:tc>
          <w:tcPr>
            <w:tcW w:w="920" w:type="dxa"/>
            <w:vAlign w:val="bottom"/>
          </w:tcPr>
          <w:p>
            <w:pPr>
              <w:jc w:val="center"/>
              <w:spacing w:after="0"/>
              <w:rPr>
                <w:sz w:val="20"/>
                <w:szCs w:val="20"/>
                <w:color w:val="auto"/>
              </w:rPr>
            </w:pPr>
            <w:r>
              <w:rPr>
                <w:rFonts w:ascii="Arial" w:cs="Arial" w:eastAsia="Arial" w:hAnsi="Arial"/>
                <w:sz w:val="14"/>
                <w:szCs w:val="14"/>
                <w:b w:val="1"/>
                <w:bCs w:val="1"/>
                <w:color w:val="auto"/>
                <w:w w:val="91"/>
              </w:rPr>
              <w:t>Non-Equity</w:t>
            </w:r>
          </w:p>
        </w:tc>
        <w:tc>
          <w:tcPr>
            <w:tcW w:w="16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34"/>
        </w:trPr>
        <w:tc>
          <w:tcPr>
            <w:tcW w:w="2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1320" w:type="dxa"/>
            <w:vAlign w:val="bottom"/>
          </w:tcPr>
          <w:p>
            <w:pPr>
              <w:spacing w:after="0"/>
              <w:rPr>
                <w:sz w:val="11"/>
                <w:szCs w:val="11"/>
                <w:color w:val="auto"/>
              </w:rPr>
            </w:pPr>
          </w:p>
        </w:tc>
        <w:tc>
          <w:tcPr>
            <w:tcW w:w="720" w:type="dxa"/>
            <w:vAlign w:val="bottom"/>
          </w:tcPr>
          <w:p>
            <w:pPr>
              <w:ind w:left="220"/>
              <w:spacing w:after="0" w:line="135" w:lineRule="exact"/>
              <w:rPr>
                <w:sz w:val="20"/>
                <w:szCs w:val="20"/>
                <w:color w:val="auto"/>
              </w:rPr>
            </w:pPr>
            <w:r>
              <w:rPr>
                <w:rFonts w:ascii="Arial" w:cs="Arial" w:eastAsia="Arial" w:hAnsi="Arial"/>
                <w:sz w:val="14"/>
                <w:szCs w:val="14"/>
                <w:b w:val="1"/>
                <w:bCs w:val="1"/>
                <w:color w:val="auto"/>
              </w:rPr>
              <w:t>Fees</w:t>
            </w:r>
          </w:p>
        </w:tc>
        <w:tc>
          <w:tcPr>
            <w:tcW w:w="160" w:type="dxa"/>
            <w:vAlign w:val="bottom"/>
          </w:tcPr>
          <w:p>
            <w:pPr>
              <w:spacing w:after="0"/>
              <w:rPr>
                <w:sz w:val="11"/>
                <w:szCs w:val="11"/>
                <w:color w:val="auto"/>
              </w:rPr>
            </w:pPr>
          </w:p>
        </w:tc>
        <w:tc>
          <w:tcPr>
            <w:tcW w:w="800" w:type="dxa"/>
            <w:vAlign w:val="bottom"/>
          </w:tcPr>
          <w:p>
            <w:pPr>
              <w:jc w:val="center"/>
              <w:spacing w:after="0" w:line="135" w:lineRule="exact"/>
              <w:rPr>
                <w:sz w:val="20"/>
                <w:szCs w:val="20"/>
                <w:color w:val="auto"/>
              </w:rPr>
            </w:pPr>
            <w:r>
              <w:rPr>
                <w:rFonts w:ascii="Arial" w:cs="Arial" w:eastAsia="Arial" w:hAnsi="Arial"/>
                <w:sz w:val="14"/>
                <w:szCs w:val="14"/>
                <w:b w:val="1"/>
                <w:bCs w:val="1"/>
                <w:color w:val="auto"/>
                <w:w w:val="84"/>
              </w:rPr>
              <w:t>Share-Based</w:t>
            </w:r>
          </w:p>
        </w:tc>
        <w:tc>
          <w:tcPr>
            <w:tcW w:w="160" w:type="dxa"/>
            <w:vAlign w:val="bottom"/>
          </w:tcPr>
          <w:p>
            <w:pPr>
              <w:spacing w:after="0"/>
              <w:rPr>
                <w:sz w:val="11"/>
                <w:szCs w:val="11"/>
                <w:color w:val="auto"/>
              </w:rPr>
            </w:pPr>
          </w:p>
        </w:tc>
        <w:tc>
          <w:tcPr>
            <w:tcW w:w="960" w:type="dxa"/>
            <w:vAlign w:val="bottom"/>
            <w:vMerge w:val="continue"/>
          </w:tcPr>
          <w:p>
            <w:pPr>
              <w:spacing w:after="0"/>
              <w:rPr>
                <w:sz w:val="11"/>
                <w:szCs w:val="11"/>
                <w:color w:val="auto"/>
              </w:rPr>
            </w:pPr>
          </w:p>
        </w:tc>
        <w:tc>
          <w:tcPr>
            <w:tcW w:w="160" w:type="dxa"/>
            <w:vAlign w:val="bottom"/>
          </w:tcPr>
          <w:p>
            <w:pPr>
              <w:spacing w:after="0"/>
              <w:rPr>
                <w:sz w:val="11"/>
                <w:szCs w:val="11"/>
                <w:color w:val="auto"/>
              </w:rPr>
            </w:pPr>
          </w:p>
        </w:tc>
        <w:tc>
          <w:tcPr>
            <w:tcW w:w="920" w:type="dxa"/>
            <w:vAlign w:val="bottom"/>
          </w:tcPr>
          <w:p>
            <w:pPr>
              <w:jc w:val="center"/>
              <w:spacing w:after="0" w:line="135" w:lineRule="exact"/>
              <w:rPr>
                <w:sz w:val="20"/>
                <w:szCs w:val="20"/>
                <w:color w:val="auto"/>
              </w:rPr>
            </w:pPr>
            <w:r>
              <w:rPr>
                <w:rFonts w:ascii="Arial" w:cs="Arial" w:eastAsia="Arial" w:hAnsi="Arial"/>
                <w:sz w:val="14"/>
                <w:szCs w:val="14"/>
                <w:b w:val="1"/>
                <w:bCs w:val="1"/>
                <w:color w:val="auto"/>
                <w:w w:val="87"/>
              </w:rPr>
              <w:t>Incentive Plan</w:t>
            </w:r>
          </w:p>
        </w:tc>
        <w:tc>
          <w:tcPr>
            <w:tcW w:w="160" w:type="dxa"/>
            <w:vAlign w:val="bottom"/>
          </w:tcPr>
          <w:p>
            <w:pPr>
              <w:spacing w:after="0"/>
              <w:rPr>
                <w:sz w:val="11"/>
                <w:szCs w:val="11"/>
                <w:color w:val="auto"/>
              </w:rPr>
            </w:pPr>
          </w:p>
        </w:tc>
        <w:tc>
          <w:tcPr>
            <w:tcW w:w="520" w:type="dxa"/>
            <w:vAlign w:val="bottom"/>
          </w:tcPr>
          <w:p>
            <w:pPr>
              <w:jc w:val="center"/>
              <w:spacing w:after="0" w:line="135" w:lineRule="exact"/>
              <w:rPr>
                <w:sz w:val="20"/>
                <w:szCs w:val="20"/>
                <w:color w:val="auto"/>
              </w:rPr>
            </w:pPr>
            <w:r>
              <w:rPr>
                <w:rFonts w:ascii="Arial" w:cs="Arial" w:eastAsia="Arial" w:hAnsi="Arial"/>
                <w:sz w:val="14"/>
                <w:szCs w:val="14"/>
                <w:b w:val="1"/>
                <w:bCs w:val="1"/>
                <w:color w:val="auto"/>
                <w:w w:val="84"/>
              </w:rPr>
              <w:t>Pension</w:t>
            </w:r>
          </w:p>
        </w:tc>
        <w:tc>
          <w:tcPr>
            <w:tcW w:w="160" w:type="dxa"/>
            <w:vAlign w:val="bottom"/>
          </w:tcPr>
          <w:p>
            <w:pPr>
              <w:spacing w:after="0"/>
              <w:rPr>
                <w:sz w:val="11"/>
                <w:szCs w:val="11"/>
                <w:color w:val="auto"/>
              </w:rPr>
            </w:pPr>
          </w:p>
        </w:tc>
        <w:tc>
          <w:tcPr>
            <w:tcW w:w="900" w:type="dxa"/>
            <w:vAlign w:val="bottom"/>
          </w:tcPr>
          <w:p>
            <w:pPr>
              <w:jc w:val="center"/>
              <w:spacing w:after="0" w:line="135" w:lineRule="exact"/>
              <w:rPr>
                <w:sz w:val="20"/>
                <w:szCs w:val="20"/>
                <w:color w:val="auto"/>
              </w:rPr>
            </w:pPr>
            <w:r>
              <w:rPr>
                <w:rFonts w:ascii="Arial" w:cs="Arial" w:eastAsia="Arial" w:hAnsi="Arial"/>
                <w:sz w:val="14"/>
                <w:szCs w:val="14"/>
                <w:b w:val="1"/>
                <w:bCs w:val="1"/>
                <w:color w:val="auto"/>
                <w:w w:val="91"/>
              </w:rPr>
              <w:t>All Other</w:t>
            </w:r>
          </w:p>
        </w:tc>
        <w:tc>
          <w:tcPr>
            <w:tcW w:w="160" w:type="dxa"/>
            <w:vAlign w:val="bottom"/>
          </w:tcPr>
          <w:p>
            <w:pPr>
              <w:spacing w:after="0"/>
              <w:rPr>
                <w:sz w:val="11"/>
                <w:szCs w:val="11"/>
                <w:color w:val="auto"/>
              </w:rPr>
            </w:pPr>
          </w:p>
        </w:tc>
        <w:tc>
          <w:tcPr>
            <w:tcW w:w="880" w:type="dxa"/>
            <w:vAlign w:val="bottom"/>
            <w:gridSpan w:val="2"/>
            <w:vMerge w:val="restart"/>
          </w:tcPr>
          <w:p>
            <w:pPr>
              <w:ind w:left="140"/>
              <w:spacing w:after="0"/>
              <w:rPr>
                <w:sz w:val="20"/>
                <w:szCs w:val="20"/>
                <w:color w:val="auto"/>
              </w:rPr>
            </w:pPr>
            <w:r>
              <w:rPr>
                <w:rFonts w:ascii="Arial" w:cs="Arial" w:eastAsia="Arial" w:hAnsi="Arial"/>
                <w:sz w:val="14"/>
                <w:szCs w:val="14"/>
                <w:b w:val="1"/>
                <w:bCs w:val="1"/>
                <w:color w:val="auto"/>
              </w:rPr>
              <w:t>Total</w:t>
            </w:r>
            <w:r>
              <w:rPr>
                <w:rFonts w:ascii="Arial" w:cs="Arial" w:eastAsia="Arial" w:hAnsi="Arial"/>
                <w:sz w:val="22"/>
                <w:szCs w:val="22"/>
                <w:b w:val="1"/>
                <w:bCs w:val="1"/>
                <w:color w:val="auto"/>
                <w:vertAlign w:val="superscript"/>
              </w:rPr>
              <w:t>(3)</w:t>
            </w:r>
          </w:p>
        </w:tc>
        <w:tc>
          <w:tcPr>
            <w:tcW w:w="0" w:type="dxa"/>
            <w:vAlign w:val="bottom"/>
          </w:tcPr>
          <w:p>
            <w:pPr>
              <w:spacing w:after="0"/>
              <w:rPr>
                <w:sz w:val="1"/>
                <w:szCs w:val="1"/>
                <w:color w:val="auto"/>
              </w:rPr>
            </w:pPr>
          </w:p>
        </w:tc>
      </w:tr>
      <w:tr>
        <w:trPr>
          <w:trHeight w:val="176"/>
        </w:trPr>
        <w:tc>
          <w:tcPr>
            <w:tcW w:w="2600" w:type="dxa"/>
            <w:vAlign w:val="bottom"/>
            <w:gridSpan w:val="4"/>
          </w:tcPr>
          <w:p>
            <w:pPr>
              <w:spacing w:after="0"/>
              <w:rPr>
                <w:sz w:val="20"/>
                <w:szCs w:val="20"/>
                <w:color w:val="auto"/>
              </w:rPr>
            </w:pPr>
            <w:r>
              <w:rPr>
                <w:rFonts w:ascii="Arial" w:cs="Arial" w:eastAsia="Arial" w:hAnsi="Arial"/>
                <w:sz w:val="14"/>
                <w:szCs w:val="14"/>
                <w:b w:val="1"/>
                <w:bCs w:val="1"/>
                <w:color w:val="auto"/>
              </w:rPr>
              <w:t>Name</w:t>
            </w:r>
          </w:p>
        </w:tc>
        <w:tc>
          <w:tcPr>
            <w:tcW w:w="720" w:type="dxa"/>
            <w:vAlign w:val="bottom"/>
          </w:tcPr>
          <w:p>
            <w:pPr>
              <w:ind w:left="140"/>
              <w:spacing w:after="0"/>
              <w:rPr>
                <w:sz w:val="20"/>
                <w:szCs w:val="20"/>
                <w:color w:val="auto"/>
              </w:rPr>
            </w:pPr>
            <w:r>
              <w:rPr>
                <w:rFonts w:ascii="Arial" w:cs="Arial" w:eastAsia="Arial" w:hAnsi="Arial"/>
                <w:sz w:val="14"/>
                <w:szCs w:val="14"/>
                <w:b w:val="1"/>
                <w:bCs w:val="1"/>
                <w:color w:val="auto"/>
              </w:rPr>
              <w:t>Earned</w:t>
            </w:r>
          </w:p>
        </w:tc>
        <w:tc>
          <w:tcPr>
            <w:tcW w:w="160" w:type="dxa"/>
            <w:vAlign w:val="bottom"/>
          </w:tcPr>
          <w:p>
            <w:pPr>
              <w:spacing w:after="0"/>
              <w:rPr>
                <w:sz w:val="15"/>
                <w:szCs w:val="15"/>
                <w:color w:val="auto"/>
              </w:rPr>
            </w:pPr>
          </w:p>
        </w:tc>
        <w:tc>
          <w:tcPr>
            <w:tcW w:w="800" w:type="dxa"/>
            <w:vAlign w:val="bottom"/>
          </w:tcPr>
          <w:p>
            <w:pPr>
              <w:jc w:val="center"/>
              <w:spacing w:after="0"/>
              <w:rPr>
                <w:sz w:val="20"/>
                <w:szCs w:val="20"/>
                <w:color w:val="auto"/>
              </w:rPr>
            </w:pPr>
            <w:r>
              <w:rPr>
                <w:rFonts w:ascii="Arial" w:cs="Arial" w:eastAsia="Arial" w:hAnsi="Arial"/>
                <w:sz w:val="14"/>
                <w:szCs w:val="14"/>
                <w:b w:val="1"/>
                <w:bCs w:val="1"/>
                <w:color w:val="auto"/>
                <w:w w:val="86"/>
              </w:rPr>
              <w:t>Awards</w:t>
            </w:r>
          </w:p>
        </w:tc>
        <w:tc>
          <w:tcPr>
            <w:tcW w:w="160" w:type="dxa"/>
            <w:vAlign w:val="bottom"/>
          </w:tcPr>
          <w:p>
            <w:pPr>
              <w:spacing w:after="0"/>
              <w:rPr>
                <w:sz w:val="15"/>
                <w:szCs w:val="15"/>
                <w:color w:val="auto"/>
              </w:rPr>
            </w:pPr>
          </w:p>
        </w:tc>
        <w:tc>
          <w:tcPr>
            <w:tcW w:w="960" w:type="dxa"/>
            <w:vAlign w:val="bottom"/>
          </w:tcPr>
          <w:p>
            <w:pPr>
              <w:jc w:val="center"/>
              <w:spacing w:after="0" w:line="176" w:lineRule="exact"/>
              <w:rPr>
                <w:sz w:val="20"/>
                <w:szCs w:val="20"/>
                <w:color w:val="auto"/>
              </w:rPr>
            </w:pPr>
            <w:r>
              <w:rPr>
                <w:rFonts w:ascii="Arial" w:cs="Arial" w:eastAsia="Arial" w:hAnsi="Arial"/>
                <w:sz w:val="20"/>
                <w:szCs w:val="20"/>
                <w:b w:val="1"/>
                <w:bCs w:val="1"/>
                <w:color w:val="auto"/>
                <w:w w:val="99"/>
                <w:vertAlign w:val="subscript"/>
              </w:rPr>
              <w:t>Awards</w:t>
            </w:r>
            <w:r>
              <w:rPr>
                <w:rFonts w:ascii="Arial" w:cs="Arial" w:eastAsia="Arial" w:hAnsi="Arial"/>
                <w:sz w:val="9"/>
                <w:szCs w:val="9"/>
                <w:b w:val="1"/>
                <w:bCs w:val="1"/>
                <w:color w:val="auto"/>
                <w:w w:val="99"/>
              </w:rPr>
              <w:t>(1)(2)</w:t>
            </w:r>
          </w:p>
        </w:tc>
        <w:tc>
          <w:tcPr>
            <w:tcW w:w="160" w:type="dxa"/>
            <w:vAlign w:val="bottom"/>
          </w:tcPr>
          <w:p>
            <w:pPr>
              <w:spacing w:after="0"/>
              <w:rPr>
                <w:sz w:val="15"/>
                <w:szCs w:val="15"/>
                <w:color w:val="auto"/>
              </w:rPr>
            </w:pPr>
          </w:p>
        </w:tc>
        <w:tc>
          <w:tcPr>
            <w:tcW w:w="920" w:type="dxa"/>
            <w:vAlign w:val="bottom"/>
          </w:tcPr>
          <w:p>
            <w:pPr>
              <w:jc w:val="center"/>
              <w:spacing w:after="0"/>
              <w:rPr>
                <w:sz w:val="20"/>
                <w:szCs w:val="20"/>
                <w:color w:val="auto"/>
              </w:rPr>
            </w:pPr>
            <w:r>
              <w:rPr>
                <w:rFonts w:ascii="Arial" w:cs="Arial" w:eastAsia="Arial" w:hAnsi="Arial"/>
                <w:sz w:val="14"/>
                <w:szCs w:val="14"/>
                <w:b w:val="1"/>
                <w:bCs w:val="1"/>
                <w:color w:val="auto"/>
                <w:w w:val="86"/>
              </w:rPr>
              <w:t>Compensation</w:t>
            </w:r>
          </w:p>
        </w:tc>
        <w:tc>
          <w:tcPr>
            <w:tcW w:w="160" w:type="dxa"/>
            <w:vAlign w:val="bottom"/>
          </w:tcPr>
          <w:p>
            <w:pPr>
              <w:spacing w:after="0"/>
              <w:rPr>
                <w:sz w:val="15"/>
                <w:szCs w:val="15"/>
                <w:color w:val="auto"/>
              </w:rPr>
            </w:pPr>
          </w:p>
        </w:tc>
        <w:tc>
          <w:tcPr>
            <w:tcW w:w="520" w:type="dxa"/>
            <w:vAlign w:val="bottom"/>
          </w:tcPr>
          <w:p>
            <w:pPr>
              <w:jc w:val="center"/>
              <w:spacing w:after="0"/>
              <w:rPr>
                <w:sz w:val="20"/>
                <w:szCs w:val="20"/>
                <w:color w:val="auto"/>
              </w:rPr>
            </w:pPr>
            <w:r>
              <w:rPr>
                <w:rFonts w:ascii="Arial" w:cs="Arial" w:eastAsia="Arial" w:hAnsi="Arial"/>
                <w:sz w:val="14"/>
                <w:szCs w:val="14"/>
                <w:b w:val="1"/>
                <w:bCs w:val="1"/>
                <w:color w:val="auto"/>
                <w:w w:val="90"/>
              </w:rPr>
              <w:t>Value</w:t>
            </w:r>
          </w:p>
        </w:tc>
        <w:tc>
          <w:tcPr>
            <w:tcW w:w="160" w:type="dxa"/>
            <w:vAlign w:val="bottom"/>
          </w:tcPr>
          <w:p>
            <w:pPr>
              <w:spacing w:after="0"/>
              <w:rPr>
                <w:sz w:val="15"/>
                <w:szCs w:val="15"/>
                <w:color w:val="auto"/>
              </w:rPr>
            </w:pPr>
          </w:p>
        </w:tc>
        <w:tc>
          <w:tcPr>
            <w:tcW w:w="900" w:type="dxa"/>
            <w:vAlign w:val="bottom"/>
          </w:tcPr>
          <w:p>
            <w:pPr>
              <w:jc w:val="center"/>
              <w:spacing w:after="0"/>
              <w:rPr>
                <w:sz w:val="20"/>
                <w:szCs w:val="20"/>
                <w:color w:val="auto"/>
              </w:rPr>
            </w:pPr>
            <w:r>
              <w:rPr>
                <w:rFonts w:ascii="Arial" w:cs="Arial" w:eastAsia="Arial" w:hAnsi="Arial"/>
                <w:sz w:val="14"/>
                <w:szCs w:val="14"/>
                <w:b w:val="1"/>
                <w:bCs w:val="1"/>
                <w:color w:val="auto"/>
                <w:w w:val="84"/>
              </w:rPr>
              <w:t>Compensation</w:t>
            </w:r>
          </w:p>
        </w:tc>
        <w:tc>
          <w:tcPr>
            <w:tcW w:w="160" w:type="dxa"/>
            <w:vAlign w:val="bottom"/>
          </w:tcPr>
          <w:p>
            <w:pPr>
              <w:spacing w:after="0"/>
              <w:rPr>
                <w:sz w:val="15"/>
                <w:szCs w:val="15"/>
                <w:color w:val="auto"/>
              </w:rPr>
            </w:pPr>
          </w:p>
        </w:tc>
        <w:tc>
          <w:tcPr>
            <w:tcW w:w="880" w:type="dxa"/>
            <w:vAlign w:val="bottom"/>
            <w:gridSpan w:val="2"/>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380" w:type="dxa"/>
            <w:vAlign w:val="bottom"/>
            <w:tcBorders>
              <w:top w:val="single" w:sz="8" w:color="auto"/>
            </w:tcBorders>
          </w:tcPr>
          <w:p>
            <w:pPr>
              <w:spacing w:after="0"/>
              <w:rPr>
                <w:sz w:val="12"/>
                <w:szCs w:val="12"/>
                <w:color w:val="auto"/>
              </w:rPr>
            </w:pPr>
          </w:p>
        </w:tc>
        <w:tc>
          <w:tcPr>
            <w:tcW w:w="880" w:type="dxa"/>
            <w:vAlign w:val="bottom"/>
          </w:tcPr>
          <w:p>
            <w:pPr>
              <w:spacing w:after="0"/>
              <w:rPr>
                <w:sz w:val="12"/>
                <w:szCs w:val="12"/>
                <w:color w:val="auto"/>
              </w:rPr>
            </w:pPr>
          </w:p>
        </w:tc>
        <w:tc>
          <w:tcPr>
            <w:tcW w:w="1320" w:type="dxa"/>
            <w:vAlign w:val="bottom"/>
          </w:tcPr>
          <w:p>
            <w:pPr>
              <w:spacing w:after="0"/>
              <w:rPr>
                <w:sz w:val="12"/>
                <w:szCs w:val="12"/>
                <w:color w:val="auto"/>
              </w:rPr>
            </w:pPr>
          </w:p>
        </w:tc>
        <w:tc>
          <w:tcPr>
            <w:tcW w:w="720" w:type="dxa"/>
            <w:vAlign w:val="bottom"/>
            <w:tcBorders>
              <w:top w:val="single" w:sz="8" w:color="auto"/>
            </w:tcBorders>
          </w:tcPr>
          <w:p>
            <w:pPr>
              <w:ind w:left="220"/>
              <w:spacing w:after="0" w:line="142" w:lineRule="exact"/>
              <w:rPr>
                <w:sz w:val="20"/>
                <w:szCs w:val="20"/>
                <w:color w:val="auto"/>
              </w:rPr>
            </w:pPr>
            <w:r>
              <w:rPr>
                <w:rFonts w:ascii="Arial" w:cs="Arial" w:eastAsia="Arial" w:hAnsi="Arial"/>
                <w:sz w:val="14"/>
                <w:szCs w:val="14"/>
                <w:b w:val="1"/>
                <w:bCs w:val="1"/>
                <w:color w:val="auto"/>
              </w:rPr>
              <w:t>(C$)</w:t>
            </w:r>
          </w:p>
        </w:tc>
        <w:tc>
          <w:tcPr>
            <w:tcW w:w="160" w:type="dxa"/>
            <w:vAlign w:val="bottom"/>
          </w:tcPr>
          <w:p>
            <w:pPr>
              <w:spacing w:after="0"/>
              <w:rPr>
                <w:sz w:val="12"/>
                <w:szCs w:val="12"/>
                <w:color w:val="auto"/>
              </w:rPr>
            </w:pPr>
          </w:p>
        </w:tc>
        <w:tc>
          <w:tcPr>
            <w:tcW w:w="80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95"/>
              </w:rPr>
              <w:t>(C$)</w:t>
            </w:r>
          </w:p>
        </w:tc>
        <w:tc>
          <w:tcPr>
            <w:tcW w:w="160" w:type="dxa"/>
            <w:vAlign w:val="bottom"/>
          </w:tcPr>
          <w:p>
            <w:pPr>
              <w:spacing w:after="0"/>
              <w:rPr>
                <w:sz w:val="12"/>
                <w:szCs w:val="12"/>
                <w:color w:val="auto"/>
              </w:rPr>
            </w:pPr>
          </w:p>
        </w:tc>
        <w:tc>
          <w:tcPr>
            <w:tcW w:w="96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95"/>
              </w:rPr>
              <w:t>(C$)</w:t>
            </w:r>
          </w:p>
        </w:tc>
        <w:tc>
          <w:tcPr>
            <w:tcW w:w="160" w:type="dxa"/>
            <w:vAlign w:val="bottom"/>
          </w:tcPr>
          <w:p>
            <w:pPr>
              <w:spacing w:after="0"/>
              <w:rPr>
                <w:sz w:val="12"/>
                <w:szCs w:val="12"/>
                <w:color w:val="auto"/>
              </w:rPr>
            </w:pPr>
          </w:p>
        </w:tc>
        <w:tc>
          <w:tcPr>
            <w:tcW w:w="92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95"/>
              </w:rPr>
              <w:t>(C$)</w:t>
            </w:r>
          </w:p>
        </w:tc>
        <w:tc>
          <w:tcPr>
            <w:tcW w:w="160" w:type="dxa"/>
            <w:vAlign w:val="bottom"/>
          </w:tcPr>
          <w:p>
            <w:pPr>
              <w:spacing w:after="0"/>
              <w:rPr>
                <w:sz w:val="12"/>
                <w:szCs w:val="12"/>
                <w:color w:val="auto"/>
              </w:rPr>
            </w:pPr>
          </w:p>
        </w:tc>
        <w:tc>
          <w:tcPr>
            <w:tcW w:w="52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95"/>
              </w:rPr>
              <w:t>(C$)</w:t>
            </w:r>
          </w:p>
        </w:tc>
        <w:tc>
          <w:tcPr>
            <w:tcW w:w="160" w:type="dxa"/>
            <w:vAlign w:val="bottom"/>
          </w:tcPr>
          <w:p>
            <w:pPr>
              <w:spacing w:after="0"/>
              <w:rPr>
                <w:sz w:val="12"/>
                <w:szCs w:val="12"/>
                <w:color w:val="auto"/>
              </w:rPr>
            </w:pPr>
          </w:p>
        </w:tc>
        <w:tc>
          <w:tcPr>
            <w:tcW w:w="90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95"/>
              </w:rPr>
              <w:t>(C$)</w:t>
            </w:r>
          </w:p>
        </w:tc>
        <w:tc>
          <w:tcPr>
            <w:tcW w:w="160" w:type="dxa"/>
            <w:vAlign w:val="bottom"/>
          </w:tcPr>
          <w:p>
            <w:pPr>
              <w:spacing w:after="0"/>
              <w:rPr>
                <w:sz w:val="12"/>
                <w:szCs w:val="12"/>
                <w:color w:val="auto"/>
              </w:rPr>
            </w:pPr>
          </w:p>
        </w:tc>
        <w:tc>
          <w:tcPr>
            <w:tcW w:w="720" w:type="dxa"/>
            <w:vAlign w:val="bottom"/>
            <w:tcBorders>
              <w:top w:val="single" w:sz="8" w:color="auto"/>
            </w:tcBorders>
          </w:tcPr>
          <w:p>
            <w:pPr>
              <w:ind w:left="220"/>
              <w:spacing w:after="0" w:line="142" w:lineRule="exact"/>
              <w:rPr>
                <w:sz w:val="20"/>
                <w:szCs w:val="20"/>
                <w:color w:val="auto"/>
              </w:rPr>
            </w:pPr>
            <w:r>
              <w:rPr>
                <w:rFonts w:ascii="Arial" w:cs="Arial" w:eastAsia="Arial" w:hAnsi="Arial"/>
                <w:sz w:val="14"/>
                <w:szCs w:val="14"/>
                <w:b w:val="1"/>
                <w:bCs w:val="1"/>
                <w:color w:val="auto"/>
              </w:rPr>
              <w:t>(C$)</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5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Leanne M. Baker</w:t>
            </w:r>
          </w:p>
        </w:tc>
        <w:tc>
          <w:tcPr>
            <w:tcW w:w="720" w:type="dxa"/>
            <w:vAlign w:val="bottom"/>
            <w:shd w:val="clear" w:color="auto" w:fill="CCEEFF"/>
          </w:tcPr>
          <w:p>
            <w:pPr>
              <w:ind w:left="140"/>
              <w:spacing w:after="0"/>
              <w:rPr>
                <w:sz w:val="20"/>
                <w:szCs w:val="20"/>
                <w:color w:val="auto"/>
              </w:rPr>
            </w:pPr>
            <w:r>
              <w:rPr>
                <w:rFonts w:ascii="Arial" w:cs="Arial" w:eastAsia="Arial" w:hAnsi="Arial"/>
                <w:sz w:val="18"/>
                <w:szCs w:val="18"/>
                <w:color w:val="auto"/>
                <w:w w:val="86"/>
              </w:rPr>
              <w:t>113,500</w:t>
            </w:r>
          </w:p>
        </w:tc>
        <w:tc>
          <w:tcPr>
            <w:tcW w:w="160" w:type="dxa"/>
            <w:vAlign w:val="bottom"/>
            <w:shd w:val="clear" w:color="auto" w:fill="CCEEFF"/>
          </w:tcPr>
          <w:p>
            <w:pPr>
              <w:spacing w:after="0"/>
              <w:rPr>
                <w:sz w:val="18"/>
                <w:szCs w:val="18"/>
                <w:color w:val="auto"/>
              </w:rPr>
            </w:pPr>
          </w:p>
        </w:tc>
        <w:tc>
          <w:tcPr>
            <w:tcW w:w="8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n/a</w:t>
            </w:r>
          </w:p>
        </w:tc>
        <w:tc>
          <w:tcPr>
            <w:tcW w:w="11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98,360</w:t>
            </w:r>
          </w:p>
        </w:tc>
        <w:tc>
          <w:tcPr>
            <w:tcW w:w="160" w:type="dxa"/>
            <w:vAlign w:val="bottom"/>
            <w:shd w:val="clear" w:color="auto" w:fill="CCEEFF"/>
          </w:tcPr>
          <w:p>
            <w:pPr>
              <w:spacing w:after="0"/>
              <w:rPr>
                <w:sz w:val="18"/>
                <w:szCs w:val="18"/>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n/a</w:t>
            </w:r>
          </w:p>
        </w:tc>
        <w:tc>
          <w:tcPr>
            <w:tcW w:w="160" w:type="dxa"/>
            <w:vAlign w:val="bottom"/>
            <w:shd w:val="clear" w:color="auto" w:fill="CCEEFF"/>
          </w:tcPr>
          <w:p>
            <w:pPr>
              <w:spacing w:after="0"/>
              <w:rPr>
                <w:sz w:val="18"/>
                <w:szCs w:val="18"/>
                <w:color w:val="auto"/>
              </w:rPr>
            </w:pPr>
          </w:p>
        </w:tc>
        <w:tc>
          <w:tcPr>
            <w:tcW w:w="5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n/a</w:t>
            </w:r>
          </w:p>
        </w:tc>
        <w:tc>
          <w:tcPr>
            <w:tcW w:w="160" w:type="dxa"/>
            <w:vAlign w:val="bottom"/>
            <w:shd w:val="clear" w:color="auto" w:fill="CCEEFF"/>
          </w:tcPr>
          <w:p>
            <w:pPr>
              <w:spacing w:after="0"/>
              <w:rPr>
                <w:sz w:val="18"/>
                <w:szCs w:val="18"/>
                <w:color w:val="auto"/>
              </w:rPr>
            </w:pPr>
          </w:p>
        </w:tc>
        <w:tc>
          <w:tcPr>
            <w:tcW w:w="9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n/a</w:t>
            </w:r>
          </w:p>
        </w:tc>
        <w:tc>
          <w:tcPr>
            <w:tcW w:w="88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86"/>
              </w:rPr>
              <w:t>211,860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580" w:type="dxa"/>
            <w:vAlign w:val="bottom"/>
            <w:gridSpan w:val="3"/>
          </w:tcPr>
          <w:p>
            <w:pPr>
              <w:spacing w:after="0"/>
              <w:rPr>
                <w:sz w:val="20"/>
                <w:szCs w:val="20"/>
                <w:color w:val="auto"/>
              </w:rPr>
            </w:pPr>
            <w:r>
              <w:rPr>
                <w:rFonts w:ascii="Arial" w:cs="Arial" w:eastAsia="Arial" w:hAnsi="Arial"/>
                <w:sz w:val="18"/>
                <w:szCs w:val="18"/>
                <w:color w:val="auto"/>
              </w:rPr>
              <w:t>Douglas R. Beaumont</w:t>
            </w:r>
          </w:p>
        </w:tc>
        <w:tc>
          <w:tcPr>
            <w:tcW w:w="720" w:type="dxa"/>
            <w:vAlign w:val="bottom"/>
          </w:tcPr>
          <w:p>
            <w:pPr>
              <w:ind w:left="140"/>
              <w:spacing w:after="0"/>
              <w:rPr>
                <w:sz w:val="20"/>
                <w:szCs w:val="20"/>
                <w:color w:val="auto"/>
              </w:rPr>
            </w:pPr>
            <w:r>
              <w:rPr>
                <w:rFonts w:ascii="Arial" w:cs="Arial" w:eastAsia="Arial" w:hAnsi="Arial"/>
                <w:sz w:val="18"/>
                <w:szCs w:val="18"/>
                <w:color w:val="auto"/>
                <w:w w:val="86"/>
              </w:rPr>
              <w:t>114,500</w:t>
            </w:r>
          </w:p>
        </w:tc>
        <w:tc>
          <w:tcPr>
            <w:tcW w:w="160" w:type="dxa"/>
            <w:vAlign w:val="bottom"/>
          </w:tcPr>
          <w:p>
            <w:pPr>
              <w:spacing w:after="0"/>
              <w:rPr>
                <w:sz w:val="18"/>
                <w:szCs w:val="18"/>
                <w:color w:val="auto"/>
              </w:rPr>
            </w:pPr>
          </w:p>
        </w:tc>
        <w:tc>
          <w:tcPr>
            <w:tcW w:w="800" w:type="dxa"/>
            <w:vAlign w:val="bottom"/>
          </w:tcPr>
          <w:p>
            <w:pPr>
              <w:jc w:val="center"/>
              <w:spacing w:after="0"/>
              <w:rPr>
                <w:sz w:val="20"/>
                <w:szCs w:val="20"/>
                <w:color w:val="auto"/>
              </w:rPr>
            </w:pPr>
            <w:r>
              <w:rPr>
                <w:rFonts w:ascii="Arial" w:cs="Arial" w:eastAsia="Arial" w:hAnsi="Arial"/>
                <w:sz w:val="18"/>
                <w:szCs w:val="18"/>
                <w:color w:val="auto"/>
                <w:w w:val="87"/>
              </w:rPr>
              <w:t>n/a</w:t>
            </w:r>
          </w:p>
        </w:tc>
        <w:tc>
          <w:tcPr>
            <w:tcW w:w="1120" w:type="dxa"/>
            <w:vAlign w:val="bottom"/>
            <w:gridSpan w:val="2"/>
          </w:tcPr>
          <w:p>
            <w:pPr>
              <w:jc w:val="right"/>
              <w:spacing w:after="0"/>
              <w:rPr>
                <w:sz w:val="20"/>
                <w:szCs w:val="20"/>
                <w:color w:val="auto"/>
              </w:rPr>
            </w:pPr>
            <w:r>
              <w:rPr>
                <w:rFonts w:ascii="Arial" w:cs="Arial" w:eastAsia="Arial" w:hAnsi="Arial"/>
                <w:sz w:val="18"/>
                <w:szCs w:val="18"/>
                <w:color w:val="auto"/>
              </w:rPr>
              <w:t>98,360</w:t>
            </w:r>
          </w:p>
        </w:tc>
        <w:tc>
          <w:tcPr>
            <w:tcW w:w="160" w:type="dxa"/>
            <w:vAlign w:val="bottom"/>
          </w:tcPr>
          <w:p>
            <w:pPr>
              <w:spacing w:after="0"/>
              <w:rPr>
                <w:sz w:val="18"/>
                <w:szCs w:val="18"/>
                <w:color w:val="auto"/>
              </w:rPr>
            </w:pPr>
          </w:p>
        </w:tc>
        <w:tc>
          <w:tcPr>
            <w:tcW w:w="920" w:type="dxa"/>
            <w:vAlign w:val="bottom"/>
          </w:tcPr>
          <w:p>
            <w:pPr>
              <w:jc w:val="center"/>
              <w:spacing w:after="0"/>
              <w:rPr>
                <w:sz w:val="20"/>
                <w:szCs w:val="20"/>
                <w:color w:val="auto"/>
              </w:rPr>
            </w:pPr>
            <w:r>
              <w:rPr>
                <w:rFonts w:ascii="Arial" w:cs="Arial" w:eastAsia="Arial" w:hAnsi="Arial"/>
                <w:sz w:val="18"/>
                <w:szCs w:val="18"/>
                <w:color w:val="auto"/>
                <w:w w:val="87"/>
              </w:rPr>
              <w:t>n/a</w:t>
            </w:r>
          </w:p>
        </w:tc>
        <w:tc>
          <w:tcPr>
            <w:tcW w:w="160" w:type="dxa"/>
            <w:vAlign w:val="bottom"/>
          </w:tcPr>
          <w:p>
            <w:pPr>
              <w:spacing w:after="0"/>
              <w:rPr>
                <w:sz w:val="18"/>
                <w:szCs w:val="18"/>
                <w:color w:val="auto"/>
              </w:rPr>
            </w:pPr>
          </w:p>
        </w:tc>
        <w:tc>
          <w:tcPr>
            <w:tcW w:w="520" w:type="dxa"/>
            <w:vAlign w:val="bottom"/>
          </w:tcPr>
          <w:p>
            <w:pPr>
              <w:jc w:val="center"/>
              <w:spacing w:after="0"/>
              <w:rPr>
                <w:sz w:val="20"/>
                <w:szCs w:val="20"/>
                <w:color w:val="auto"/>
              </w:rPr>
            </w:pPr>
            <w:r>
              <w:rPr>
                <w:rFonts w:ascii="Arial" w:cs="Arial" w:eastAsia="Arial" w:hAnsi="Arial"/>
                <w:sz w:val="18"/>
                <w:szCs w:val="18"/>
                <w:color w:val="auto"/>
                <w:w w:val="87"/>
              </w:rPr>
              <w:t>n/a</w:t>
            </w:r>
          </w:p>
        </w:tc>
        <w:tc>
          <w:tcPr>
            <w:tcW w:w="160" w:type="dxa"/>
            <w:vAlign w:val="bottom"/>
          </w:tcPr>
          <w:p>
            <w:pPr>
              <w:spacing w:after="0"/>
              <w:rPr>
                <w:sz w:val="18"/>
                <w:szCs w:val="18"/>
                <w:color w:val="auto"/>
              </w:rPr>
            </w:pPr>
          </w:p>
        </w:tc>
        <w:tc>
          <w:tcPr>
            <w:tcW w:w="900" w:type="dxa"/>
            <w:vAlign w:val="bottom"/>
          </w:tcPr>
          <w:p>
            <w:pPr>
              <w:jc w:val="center"/>
              <w:spacing w:after="0"/>
              <w:rPr>
                <w:sz w:val="20"/>
                <w:szCs w:val="20"/>
                <w:color w:val="auto"/>
              </w:rPr>
            </w:pPr>
            <w:r>
              <w:rPr>
                <w:rFonts w:ascii="Arial" w:cs="Arial" w:eastAsia="Arial" w:hAnsi="Arial"/>
                <w:sz w:val="18"/>
                <w:szCs w:val="18"/>
                <w:color w:val="auto"/>
                <w:w w:val="87"/>
              </w:rPr>
              <w:t>n/a</w:t>
            </w:r>
          </w:p>
        </w:tc>
        <w:tc>
          <w:tcPr>
            <w:tcW w:w="880" w:type="dxa"/>
            <w:vAlign w:val="bottom"/>
            <w:gridSpan w:val="2"/>
          </w:tcPr>
          <w:p>
            <w:pPr>
              <w:ind w:left="300"/>
              <w:spacing w:after="0"/>
              <w:rPr>
                <w:sz w:val="20"/>
                <w:szCs w:val="20"/>
                <w:color w:val="auto"/>
              </w:rPr>
            </w:pPr>
            <w:r>
              <w:rPr>
                <w:rFonts w:ascii="Arial" w:cs="Arial" w:eastAsia="Arial" w:hAnsi="Arial"/>
                <w:sz w:val="18"/>
                <w:szCs w:val="18"/>
                <w:color w:val="auto"/>
                <w:w w:val="86"/>
              </w:rPr>
              <w:t>212,860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5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Clifford J. Davis</w:t>
            </w:r>
          </w:p>
        </w:tc>
        <w:tc>
          <w:tcPr>
            <w:tcW w:w="720" w:type="dxa"/>
            <w:vAlign w:val="bottom"/>
            <w:shd w:val="clear" w:color="auto" w:fill="CCEEFF"/>
          </w:tcPr>
          <w:p>
            <w:pPr>
              <w:ind w:left="140"/>
              <w:spacing w:after="0"/>
              <w:rPr>
                <w:sz w:val="20"/>
                <w:szCs w:val="20"/>
                <w:color w:val="auto"/>
              </w:rPr>
            </w:pPr>
            <w:r>
              <w:rPr>
                <w:rFonts w:ascii="Arial" w:cs="Arial" w:eastAsia="Arial" w:hAnsi="Arial"/>
                <w:sz w:val="18"/>
                <w:szCs w:val="18"/>
                <w:color w:val="auto"/>
                <w:w w:val="86"/>
              </w:rPr>
              <w:t>104,500</w:t>
            </w:r>
          </w:p>
        </w:tc>
        <w:tc>
          <w:tcPr>
            <w:tcW w:w="160" w:type="dxa"/>
            <w:vAlign w:val="bottom"/>
            <w:shd w:val="clear" w:color="auto" w:fill="CCEEFF"/>
          </w:tcPr>
          <w:p>
            <w:pPr>
              <w:spacing w:after="0"/>
              <w:rPr>
                <w:sz w:val="18"/>
                <w:szCs w:val="18"/>
                <w:color w:val="auto"/>
              </w:rPr>
            </w:pPr>
          </w:p>
        </w:tc>
        <w:tc>
          <w:tcPr>
            <w:tcW w:w="8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n/a</w:t>
            </w:r>
          </w:p>
        </w:tc>
        <w:tc>
          <w:tcPr>
            <w:tcW w:w="11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98,360</w:t>
            </w:r>
          </w:p>
        </w:tc>
        <w:tc>
          <w:tcPr>
            <w:tcW w:w="160" w:type="dxa"/>
            <w:vAlign w:val="bottom"/>
            <w:shd w:val="clear" w:color="auto" w:fill="CCEEFF"/>
          </w:tcPr>
          <w:p>
            <w:pPr>
              <w:spacing w:after="0"/>
              <w:rPr>
                <w:sz w:val="18"/>
                <w:szCs w:val="18"/>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n/a</w:t>
            </w:r>
          </w:p>
        </w:tc>
        <w:tc>
          <w:tcPr>
            <w:tcW w:w="160" w:type="dxa"/>
            <w:vAlign w:val="bottom"/>
            <w:shd w:val="clear" w:color="auto" w:fill="CCEEFF"/>
          </w:tcPr>
          <w:p>
            <w:pPr>
              <w:spacing w:after="0"/>
              <w:rPr>
                <w:sz w:val="18"/>
                <w:szCs w:val="18"/>
                <w:color w:val="auto"/>
              </w:rPr>
            </w:pPr>
          </w:p>
        </w:tc>
        <w:tc>
          <w:tcPr>
            <w:tcW w:w="5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n/a</w:t>
            </w:r>
          </w:p>
        </w:tc>
        <w:tc>
          <w:tcPr>
            <w:tcW w:w="160" w:type="dxa"/>
            <w:vAlign w:val="bottom"/>
            <w:shd w:val="clear" w:color="auto" w:fill="CCEEFF"/>
          </w:tcPr>
          <w:p>
            <w:pPr>
              <w:spacing w:after="0"/>
              <w:rPr>
                <w:sz w:val="18"/>
                <w:szCs w:val="18"/>
                <w:color w:val="auto"/>
              </w:rPr>
            </w:pPr>
          </w:p>
        </w:tc>
        <w:tc>
          <w:tcPr>
            <w:tcW w:w="9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n/a</w:t>
            </w:r>
          </w:p>
        </w:tc>
        <w:tc>
          <w:tcPr>
            <w:tcW w:w="88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86"/>
              </w:rPr>
              <w:t>202,860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580" w:type="dxa"/>
            <w:vAlign w:val="bottom"/>
            <w:gridSpan w:val="3"/>
          </w:tcPr>
          <w:p>
            <w:pPr>
              <w:spacing w:after="0"/>
              <w:rPr>
                <w:sz w:val="20"/>
                <w:szCs w:val="20"/>
                <w:color w:val="auto"/>
              </w:rPr>
            </w:pPr>
            <w:r>
              <w:rPr>
                <w:rFonts w:ascii="Arial" w:cs="Arial" w:eastAsia="Arial" w:hAnsi="Arial"/>
                <w:sz w:val="18"/>
                <w:szCs w:val="18"/>
                <w:color w:val="auto"/>
              </w:rPr>
              <w:t>Bernard Kraft</w:t>
            </w:r>
          </w:p>
        </w:tc>
        <w:tc>
          <w:tcPr>
            <w:tcW w:w="720" w:type="dxa"/>
            <w:vAlign w:val="bottom"/>
          </w:tcPr>
          <w:p>
            <w:pPr>
              <w:ind w:left="140"/>
              <w:spacing w:after="0"/>
              <w:rPr>
                <w:sz w:val="20"/>
                <w:szCs w:val="20"/>
                <w:color w:val="auto"/>
              </w:rPr>
            </w:pPr>
            <w:r>
              <w:rPr>
                <w:rFonts w:ascii="Arial" w:cs="Arial" w:eastAsia="Arial" w:hAnsi="Arial"/>
                <w:sz w:val="18"/>
                <w:szCs w:val="18"/>
                <w:color w:val="auto"/>
                <w:w w:val="86"/>
              </w:rPr>
              <w:t>103,500</w:t>
            </w:r>
          </w:p>
        </w:tc>
        <w:tc>
          <w:tcPr>
            <w:tcW w:w="160" w:type="dxa"/>
            <w:vAlign w:val="bottom"/>
          </w:tcPr>
          <w:p>
            <w:pPr>
              <w:spacing w:after="0"/>
              <w:rPr>
                <w:sz w:val="18"/>
                <w:szCs w:val="18"/>
                <w:color w:val="auto"/>
              </w:rPr>
            </w:pPr>
          </w:p>
        </w:tc>
        <w:tc>
          <w:tcPr>
            <w:tcW w:w="800" w:type="dxa"/>
            <w:vAlign w:val="bottom"/>
          </w:tcPr>
          <w:p>
            <w:pPr>
              <w:jc w:val="center"/>
              <w:spacing w:after="0"/>
              <w:rPr>
                <w:sz w:val="20"/>
                <w:szCs w:val="20"/>
                <w:color w:val="auto"/>
              </w:rPr>
            </w:pPr>
            <w:r>
              <w:rPr>
                <w:rFonts w:ascii="Arial" w:cs="Arial" w:eastAsia="Arial" w:hAnsi="Arial"/>
                <w:sz w:val="18"/>
                <w:szCs w:val="18"/>
                <w:color w:val="auto"/>
                <w:w w:val="87"/>
              </w:rPr>
              <w:t>n/a</w:t>
            </w:r>
          </w:p>
        </w:tc>
        <w:tc>
          <w:tcPr>
            <w:tcW w:w="1120" w:type="dxa"/>
            <w:vAlign w:val="bottom"/>
            <w:gridSpan w:val="2"/>
          </w:tcPr>
          <w:p>
            <w:pPr>
              <w:jc w:val="right"/>
              <w:spacing w:after="0"/>
              <w:rPr>
                <w:sz w:val="20"/>
                <w:szCs w:val="20"/>
                <w:color w:val="auto"/>
              </w:rPr>
            </w:pPr>
            <w:r>
              <w:rPr>
                <w:rFonts w:ascii="Arial" w:cs="Arial" w:eastAsia="Arial" w:hAnsi="Arial"/>
                <w:sz w:val="18"/>
                <w:szCs w:val="18"/>
                <w:color w:val="auto"/>
              </w:rPr>
              <w:t>98,360</w:t>
            </w:r>
          </w:p>
        </w:tc>
        <w:tc>
          <w:tcPr>
            <w:tcW w:w="160" w:type="dxa"/>
            <w:vAlign w:val="bottom"/>
          </w:tcPr>
          <w:p>
            <w:pPr>
              <w:spacing w:after="0"/>
              <w:rPr>
                <w:sz w:val="18"/>
                <w:szCs w:val="18"/>
                <w:color w:val="auto"/>
              </w:rPr>
            </w:pPr>
          </w:p>
        </w:tc>
        <w:tc>
          <w:tcPr>
            <w:tcW w:w="920" w:type="dxa"/>
            <w:vAlign w:val="bottom"/>
          </w:tcPr>
          <w:p>
            <w:pPr>
              <w:jc w:val="center"/>
              <w:spacing w:after="0"/>
              <w:rPr>
                <w:sz w:val="20"/>
                <w:szCs w:val="20"/>
                <w:color w:val="auto"/>
              </w:rPr>
            </w:pPr>
            <w:r>
              <w:rPr>
                <w:rFonts w:ascii="Arial" w:cs="Arial" w:eastAsia="Arial" w:hAnsi="Arial"/>
                <w:sz w:val="18"/>
                <w:szCs w:val="18"/>
                <w:color w:val="auto"/>
                <w:w w:val="87"/>
              </w:rPr>
              <w:t>n/a</w:t>
            </w:r>
          </w:p>
        </w:tc>
        <w:tc>
          <w:tcPr>
            <w:tcW w:w="160" w:type="dxa"/>
            <w:vAlign w:val="bottom"/>
          </w:tcPr>
          <w:p>
            <w:pPr>
              <w:spacing w:after="0"/>
              <w:rPr>
                <w:sz w:val="18"/>
                <w:szCs w:val="18"/>
                <w:color w:val="auto"/>
              </w:rPr>
            </w:pPr>
          </w:p>
        </w:tc>
        <w:tc>
          <w:tcPr>
            <w:tcW w:w="520" w:type="dxa"/>
            <w:vAlign w:val="bottom"/>
          </w:tcPr>
          <w:p>
            <w:pPr>
              <w:jc w:val="center"/>
              <w:spacing w:after="0"/>
              <w:rPr>
                <w:sz w:val="20"/>
                <w:szCs w:val="20"/>
                <w:color w:val="auto"/>
              </w:rPr>
            </w:pPr>
            <w:r>
              <w:rPr>
                <w:rFonts w:ascii="Arial" w:cs="Arial" w:eastAsia="Arial" w:hAnsi="Arial"/>
                <w:sz w:val="18"/>
                <w:szCs w:val="18"/>
                <w:color w:val="auto"/>
                <w:w w:val="87"/>
              </w:rPr>
              <w:t>n/a</w:t>
            </w:r>
          </w:p>
        </w:tc>
        <w:tc>
          <w:tcPr>
            <w:tcW w:w="160" w:type="dxa"/>
            <w:vAlign w:val="bottom"/>
          </w:tcPr>
          <w:p>
            <w:pPr>
              <w:spacing w:after="0"/>
              <w:rPr>
                <w:sz w:val="18"/>
                <w:szCs w:val="18"/>
                <w:color w:val="auto"/>
              </w:rPr>
            </w:pPr>
          </w:p>
        </w:tc>
        <w:tc>
          <w:tcPr>
            <w:tcW w:w="900" w:type="dxa"/>
            <w:vAlign w:val="bottom"/>
          </w:tcPr>
          <w:p>
            <w:pPr>
              <w:jc w:val="center"/>
              <w:spacing w:after="0"/>
              <w:rPr>
                <w:sz w:val="20"/>
                <w:szCs w:val="20"/>
                <w:color w:val="auto"/>
              </w:rPr>
            </w:pPr>
            <w:r>
              <w:rPr>
                <w:rFonts w:ascii="Arial" w:cs="Arial" w:eastAsia="Arial" w:hAnsi="Arial"/>
                <w:sz w:val="18"/>
                <w:szCs w:val="18"/>
                <w:color w:val="auto"/>
                <w:w w:val="87"/>
              </w:rPr>
              <w:t>n/a</w:t>
            </w:r>
          </w:p>
        </w:tc>
        <w:tc>
          <w:tcPr>
            <w:tcW w:w="880" w:type="dxa"/>
            <w:vAlign w:val="bottom"/>
            <w:gridSpan w:val="2"/>
          </w:tcPr>
          <w:p>
            <w:pPr>
              <w:ind w:left="300"/>
              <w:spacing w:after="0"/>
              <w:rPr>
                <w:sz w:val="20"/>
                <w:szCs w:val="20"/>
                <w:color w:val="auto"/>
              </w:rPr>
            </w:pPr>
            <w:r>
              <w:rPr>
                <w:rFonts w:ascii="Arial" w:cs="Arial" w:eastAsia="Arial" w:hAnsi="Arial"/>
                <w:sz w:val="18"/>
                <w:szCs w:val="18"/>
                <w:color w:val="auto"/>
                <w:w w:val="86"/>
              </w:rPr>
              <w:t>201,860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5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Mel Leiderman</w:t>
            </w:r>
          </w:p>
        </w:tc>
        <w:tc>
          <w:tcPr>
            <w:tcW w:w="720" w:type="dxa"/>
            <w:vAlign w:val="bottom"/>
            <w:shd w:val="clear" w:color="auto" w:fill="CCEEFF"/>
          </w:tcPr>
          <w:p>
            <w:pPr>
              <w:ind w:left="140"/>
              <w:spacing w:after="0"/>
              <w:rPr>
                <w:sz w:val="20"/>
                <w:szCs w:val="20"/>
                <w:color w:val="auto"/>
              </w:rPr>
            </w:pPr>
            <w:r>
              <w:rPr>
                <w:rFonts w:ascii="Arial" w:cs="Arial" w:eastAsia="Arial" w:hAnsi="Arial"/>
                <w:sz w:val="18"/>
                <w:szCs w:val="18"/>
                <w:color w:val="auto"/>
                <w:w w:val="86"/>
              </w:rPr>
              <w:t>125,000</w:t>
            </w:r>
          </w:p>
        </w:tc>
        <w:tc>
          <w:tcPr>
            <w:tcW w:w="160" w:type="dxa"/>
            <w:vAlign w:val="bottom"/>
            <w:shd w:val="clear" w:color="auto" w:fill="CCEEFF"/>
          </w:tcPr>
          <w:p>
            <w:pPr>
              <w:spacing w:after="0"/>
              <w:rPr>
                <w:sz w:val="18"/>
                <w:szCs w:val="18"/>
                <w:color w:val="auto"/>
              </w:rPr>
            </w:pPr>
          </w:p>
        </w:tc>
        <w:tc>
          <w:tcPr>
            <w:tcW w:w="8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n/a</w:t>
            </w:r>
          </w:p>
        </w:tc>
        <w:tc>
          <w:tcPr>
            <w:tcW w:w="11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98,360</w:t>
            </w:r>
          </w:p>
        </w:tc>
        <w:tc>
          <w:tcPr>
            <w:tcW w:w="160" w:type="dxa"/>
            <w:vAlign w:val="bottom"/>
            <w:shd w:val="clear" w:color="auto" w:fill="CCEEFF"/>
          </w:tcPr>
          <w:p>
            <w:pPr>
              <w:spacing w:after="0"/>
              <w:rPr>
                <w:sz w:val="18"/>
                <w:szCs w:val="18"/>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n/a</w:t>
            </w:r>
          </w:p>
        </w:tc>
        <w:tc>
          <w:tcPr>
            <w:tcW w:w="160" w:type="dxa"/>
            <w:vAlign w:val="bottom"/>
            <w:shd w:val="clear" w:color="auto" w:fill="CCEEFF"/>
          </w:tcPr>
          <w:p>
            <w:pPr>
              <w:spacing w:after="0"/>
              <w:rPr>
                <w:sz w:val="18"/>
                <w:szCs w:val="18"/>
                <w:color w:val="auto"/>
              </w:rPr>
            </w:pPr>
          </w:p>
        </w:tc>
        <w:tc>
          <w:tcPr>
            <w:tcW w:w="5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n/a</w:t>
            </w:r>
          </w:p>
        </w:tc>
        <w:tc>
          <w:tcPr>
            <w:tcW w:w="160" w:type="dxa"/>
            <w:vAlign w:val="bottom"/>
            <w:shd w:val="clear" w:color="auto" w:fill="CCEEFF"/>
          </w:tcPr>
          <w:p>
            <w:pPr>
              <w:spacing w:after="0"/>
              <w:rPr>
                <w:sz w:val="18"/>
                <w:szCs w:val="18"/>
                <w:color w:val="auto"/>
              </w:rPr>
            </w:pPr>
          </w:p>
        </w:tc>
        <w:tc>
          <w:tcPr>
            <w:tcW w:w="9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n/a</w:t>
            </w:r>
          </w:p>
        </w:tc>
        <w:tc>
          <w:tcPr>
            <w:tcW w:w="88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86"/>
              </w:rPr>
              <w:t>223,360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580" w:type="dxa"/>
            <w:vAlign w:val="bottom"/>
            <w:gridSpan w:val="3"/>
          </w:tcPr>
          <w:p>
            <w:pPr>
              <w:spacing w:after="0"/>
              <w:rPr>
                <w:sz w:val="20"/>
                <w:szCs w:val="20"/>
                <w:color w:val="auto"/>
              </w:rPr>
            </w:pPr>
            <w:r>
              <w:rPr>
                <w:rFonts w:ascii="Arial" w:cs="Arial" w:eastAsia="Arial" w:hAnsi="Arial"/>
                <w:sz w:val="18"/>
                <w:szCs w:val="18"/>
                <w:color w:val="auto"/>
              </w:rPr>
              <w:t>James D. Nasso</w:t>
            </w:r>
          </w:p>
        </w:tc>
        <w:tc>
          <w:tcPr>
            <w:tcW w:w="720" w:type="dxa"/>
            <w:vAlign w:val="bottom"/>
          </w:tcPr>
          <w:p>
            <w:pPr>
              <w:ind w:left="140"/>
              <w:spacing w:after="0"/>
              <w:rPr>
                <w:sz w:val="20"/>
                <w:szCs w:val="20"/>
                <w:color w:val="auto"/>
              </w:rPr>
            </w:pPr>
            <w:r>
              <w:rPr>
                <w:rFonts w:ascii="Arial" w:cs="Arial" w:eastAsia="Arial" w:hAnsi="Arial"/>
                <w:sz w:val="18"/>
                <w:szCs w:val="18"/>
                <w:color w:val="auto"/>
                <w:w w:val="86"/>
              </w:rPr>
              <w:t>202,000</w:t>
            </w:r>
          </w:p>
        </w:tc>
        <w:tc>
          <w:tcPr>
            <w:tcW w:w="160" w:type="dxa"/>
            <w:vAlign w:val="bottom"/>
          </w:tcPr>
          <w:p>
            <w:pPr>
              <w:spacing w:after="0"/>
              <w:rPr>
                <w:sz w:val="18"/>
                <w:szCs w:val="18"/>
                <w:color w:val="auto"/>
              </w:rPr>
            </w:pPr>
          </w:p>
        </w:tc>
        <w:tc>
          <w:tcPr>
            <w:tcW w:w="800" w:type="dxa"/>
            <w:vAlign w:val="bottom"/>
          </w:tcPr>
          <w:p>
            <w:pPr>
              <w:jc w:val="center"/>
              <w:spacing w:after="0"/>
              <w:rPr>
                <w:sz w:val="20"/>
                <w:szCs w:val="20"/>
                <w:color w:val="auto"/>
              </w:rPr>
            </w:pPr>
            <w:r>
              <w:rPr>
                <w:rFonts w:ascii="Arial" w:cs="Arial" w:eastAsia="Arial" w:hAnsi="Arial"/>
                <w:sz w:val="18"/>
                <w:szCs w:val="18"/>
                <w:color w:val="auto"/>
                <w:w w:val="87"/>
              </w:rPr>
              <w:t>n/a</w:t>
            </w:r>
          </w:p>
        </w:tc>
        <w:tc>
          <w:tcPr>
            <w:tcW w:w="1120" w:type="dxa"/>
            <w:vAlign w:val="bottom"/>
            <w:gridSpan w:val="2"/>
          </w:tcPr>
          <w:p>
            <w:pPr>
              <w:jc w:val="right"/>
              <w:spacing w:after="0"/>
              <w:rPr>
                <w:sz w:val="20"/>
                <w:szCs w:val="20"/>
                <w:color w:val="auto"/>
              </w:rPr>
            </w:pPr>
            <w:r>
              <w:rPr>
                <w:rFonts w:ascii="Arial" w:cs="Arial" w:eastAsia="Arial" w:hAnsi="Arial"/>
                <w:sz w:val="18"/>
                <w:szCs w:val="18"/>
                <w:color w:val="auto"/>
              </w:rPr>
              <w:t>98,360</w:t>
            </w:r>
          </w:p>
        </w:tc>
        <w:tc>
          <w:tcPr>
            <w:tcW w:w="160" w:type="dxa"/>
            <w:vAlign w:val="bottom"/>
          </w:tcPr>
          <w:p>
            <w:pPr>
              <w:spacing w:after="0"/>
              <w:rPr>
                <w:sz w:val="18"/>
                <w:szCs w:val="18"/>
                <w:color w:val="auto"/>
              </w:rPr>
            </w:pPr>
          </w:p>
        </w:tc>
        <w:tc>
          <w:tcPr>
            <w:tcW w:w="920" w:type="dxa"/>
            <w:vAlign w:val="bottom"/>
          </w:tcPr>
          <w:p>
            <w:pPr>
              <w:jc w:val="center"/>
              <w:spacing w:after="0"/>
              <w:rPr>
                <w:sz w:val="20"/>
                <w:szCs w:val="20"/>
                <w:color w:val="auto"/>
              </w:rPr>
            </w:pPr>
            <w:r>
              <w:rPr>
                <w:rFonts w:ascii="Arial" w:cs="Arial" w:eastAsia="Arial" w:hAnsi="Arial"/>
                <w:sz w:val="18"/>
                <w:szCs w:val="18"/>
                <w:color w:val="auto"/>
                <w:w w:val="87"/>
              </w:rPr>
              <w:t>n/a</w:t>
            </w:r>
          </w:p>
        </w:tc>
        <w:tc>
          <w:tcPr>
            <w:tcW w:w="160" w:type="dxa"/>
            <w:vAlign w:val="bottom"/>
          </w:tcPr>
          <w:p>
            <w:pPr>
              <w:spacing w:after="0"/>
              <w:rPr>
                <w:sz w:val="18"/>
                <w:szCs w:val="18"/>
                <w:color w:val="auto"/>
              </w:rPr>
            </w:pPr>
          </w:p>
        </w:tc>
        <w:tc>
          <w:tcPr>
            <w:tcW w:w="520" w:type="dxa"/>
            <w:vAlign w:val="bottom"/>
          </w:tcPr>
          <w:p>
            <w:pPr>
              <w:jc w:val="center"/>
              <w:spacing w:after="0"/>
              <w:rPr>
                <w:sz w:val="20"/>
                <w:szCs w:val="20"/>
                <w:color w:val="auto"/>
              </w:rPr>
            </w:pPr>
            <w:r>
              <w:rPr>
                <w:rFonts w:ascii="Arial" w:cs="Arial" w:eastAsia="Arial" w:hAnsi="Arial"/>
                <w:sz w:val="18"/>
                <w:szCs w:val="18"/>
                <w:color w:val="auto"/>
                <w:w w:val="87"/>
              </w:rPr>
              <w:t>n/a</w:t>
            </w:r>
          </w:p>
        </w:tc>
        <w:tc>
          <w:tcPr>
            <w:tcW w:w="160" w:type="dxa"/>
            <w:vAlign w:val="bottom"/>
          </w:tcPr>
          <w:p>
            <w:pPr>
              <w:spacing w:after="0"/>
              <w:rPr>
                <w:sz w:val="18"/>
                <w:szCs w:val="18"/>
                <w:color w:val="auto"/>
              </w:rPr>
            </w:pPr>
          </w:p>
        </w:tc>
        <w:tc>
          <w:tcPr>
            <w:tcW w:w="900" w:type="dxa"/>
            <w:vAlign w:val="bottom"/>
          </w:tcPr>
          <w:p>
            <w:pPr>
              <w:jc w:val="center"/>
              <w:spacing w:after="0"/>
              <w:rPr>
                <w:sz w:val="20"/>
                <w:szCs w:val="20"/>
                <w:color w:val="auto"/>
              </w:rPr>
            </w:pPr>
            <w:r>
              <w:rPr>
                <w:rFonts w:ascii="Arial" w:cs="Arial" w:eastAsia="Arial" w:hAnsi="Arial"/>
                <w:sz w:val="18"/>
                <w:szCs w:val="18"/>
                <w:color w:val="auto"/>
                <w:w w:val="87"/>
              </w:rPr>
              <w:t>n/a</w:t>
            </w:r>
          </w:p>
        </w:tc>
        <w:tc>
          <w:tcPr>
            <w:tcW w:w="880" w:type="dxa"/>
            <w:vAlign w:val="bottom"/>
            <w:gridSpan w:val="2"/>
          </w:tcPr>
          <w:p>
            <w:pPr>
              <w:ind w:left="300"/>
              <w:spacing w:after="0"/>
              <w:rPr>
                <w:sz w:val="20"/>
                <w:szCs w:val="20"/>
                <w:color w:val="auto"/>
              </w:rPr>
            </w:pPr>
            <w:r>
              <w:rPr>
                <w:rFonts w:ascii="Arial" w:cs="Arial" w:eastAsia="Arial" w:hAnsi="Arial"/>
                <w:sz w:val="18"/>
                <w:szCs w:val="18"/>
                <w:color w:val="auto"/>
                <w:w w:val="86"/>
              </w:rPr>
              <w:t>300,360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5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John Merfyn Roberts</w:t>
            </w:r>
          </w:p>
        </w:tc>
        <w:tc>
          <w:tcPr>
            <w:tcW w:w="720" w:type="dxa"/>
            <w:vAlign w:val="bottom"/>
            <w:shd w:val="clear" w:color="auto" w:fill="CCEEFF"/>
          </w:tcPr>
          <w:p>
            <w:pPr>
              <w:ind w:left="140"/>
              <w:spacing w:after="0"/>
              <w:rPr>
                <w:sz w:val="20"/>
                <w:szCs w:val="20"/>
                <w:color w:val="auto"/>
              </w:rPr>
            </w:pPr>
            <w:r>
              <w:rPr>
                <w:rFonts w:ascii="Arial" w:cs="Arial" w:eastAsia="Arial" w:hAnsi="Arial"/>
                <w:sz w:val="18"/>
                <w:szCs w:val="18"/>
                <w:color w:val="auto"/>
                <w:w w:val="86"/>
              </w:rPr>
              <w:t>103,500</w:t>
            </w:r>
          </w:p>
        </w:tc>
        <w:tc>
          <w:tcPr>
            <w:tcW w:w="160" w:type="dxa"/>
            <w:vAlign w:val="bottom"/>
            <w:shd w:val="clear" w:color="auto" w:fill="CCEEFF"/>
          </w:tcPr>
          <w:p>
            <w:pPr>
              <w:spacing w:after="0"/>
              <w:rPr>
                <w:sz w:val="18"/>
                <w:szCs w:val="18"/>
                <w:color w:val="auto"/>
              </w:rPr>
            </w:pPr>
          </w:p>
        </w:tc>
        <w:tc>
          <w:tcPr>
            <w:tcW w:w="8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n/a</w:t>
            </w:r>
          </w:p>
        </w:tc>
        <w:tc>
          <w:tcPr>
            <w:tcW w:w="11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98,360</w:t>
            </w:r>
          </w:p>
        </w:tc>
        <w:tc>
          <w:tcPr>
            <w:tcW w:w="160" w:type="dxa"/>
            <w:vAlign w:val="bottom"/>
            <w:shd w:val="clear" w:color="auto" w:fill="CCEEFF"/>
          </w:tcPr>
          <w:p>
            <w:pPr>
              <w:spacing w:after="0"/>
              <w:rPr>
                <w:sz w:val="18"/>
                <w:szCs w:val="18"/>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n/a</w:t>
            </w:r>
          </w:p>
        </w:tc>
        <w:tc>
          <w:tcPr>
            <w:tcW w:w="160" w:type="dxa"/>
            <w:vAlign w:val="bottom"/>
            <w:shd w:val="clear" w:color="auto" w:fill="CCEEFF"/>
          </w:tcPr>
          <w:p>
            <w:pPr>
              <w:spacing w:after="0"/>
              <w:rPr>
                <w:sz w:val="18"/>
                <w:szCs w:val="18"/>
                <w:color w:val="auto"/>
              </w:rPr>
            </w:pPr>
          </w:p>
        </w:tc>
        <w:tc>
          <w:tcPr>
            <w:tcW w:w="5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n/a</w:t>
            </w:r>
          </w:p>
        </w:tc>
        <w:tc>
          <w:tcPr>
            <w:tcW w:w="160" w:type="dxa"/>
            <w:vAlign w:val="bottom"/>
            <w:shd w:val="clear" w:color="auto" w:fill="CCEEFF"/>
          </w:tcPr>
          <w:p>
            <w:pPr>
              <w:spacing w:after="0"/>
              <w:rPr>
                <w:sz w:val="18"/>
                <w:szCs w:val="18"/>
                <w:color w:val="auto"/>
              </w:rPr>
            </w:pPr>
          </w:p>
        </w:tc>
        <w:tc>
          <w:tcPr>
            <w:tcW w:w="9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n/a</w:t>
            </w:r>
          </w:p>
        </w:tc>
        <w:tc>
          <w:tcPr>
            <w:tcW w:w="88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86"/>
              </w:rPr>
              <w:t>201,860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580" w:type="dxa"/>
            <w:vAlign w:val="bottom"/>
            <w:gridSpan w:val="3"/>
          </w:tcPr>
          <w:p>
            <w:pPr>
              <w:spacing w:after="0"/>
              <w:rPr>
                <w:sz w:val="20"/>
                <w:szCs w:val="20"/>
                <w:color w:val="auto"/>
              </w:rPr>
            </w:pPr>
            <w:r>
              <w:rPr>
                <w:rFonts w:ascii="Arial" w:cs="Arial" w:eastAsia="Arial" w:hAnsi="Arial"/>
                <w:sz w:val="18"/>
                <w:szCs w:val="18"/>
                <w:color w:val="auto"/>
              </w:rPr>
              <w:t>Howard Stockford</w:t>
            </w:r>
          </w:p>
        </w:tc>
        <w:tc>
          <w:tcPr>
            <w:tcW w:w="720" w:type="dxa"/>
            <w:vAlign w:val="bottom"/>
          </w:tcPr>
          <w:p>
            <w:pPr>
              <w:ind w:left="140"/>
              <w:spacing w:after="0"/>
              <w:rPr>
                <w:sz w:val="20"/>
                <w:szCs w:val="20"/>
                <w:color w:val="auto"/>
              </w:rPr>
            </w:pPr>
            <w:r>
              <w:rPr>
                <w:rFonts w:ascii="Arial" w:cs="Arial" w:eastAsia="Arial" w:hAnsi="Arial"/>
                <w:sz w:val="18"/>
                <w:szCs w:val="18"/>
                <w:color w:val="auto"/>
                <w:w w:val="86"/>
              </w:rPr>
              <w:t>114,500</w:t>
            </w:r>
          </w:p>
        </w:tc>
        <w:tc>
          <w:tcPr>
            <w:tcW w:w="160" w:type="dxa"/>
            <w:vAlign w:val="bottom"/>
          </w:tcPr>
          <w:p>
            <w:pPr>
              <w:spacing w:after="0"/>
              <w:rPr>
                <w:sz w:val="18"/>
                <w:szCs w:val="18"/>
                <w:color w:val="auto"/>
              </w:rPr>
            </w:pPr>
          </w:p>
        </w:tc>
        <w:tc>
          <w:tcPr>
            <w:tcW w:w="800" w:type="dxa"/>
            <w:vAlign w:val="bottom"/>
          </w:tcPr>
          <w:p>
            <w:pPr>
              <w:jc w:val="center"/>
              <w:spacing w:after="0"/>
              <w:rPr>
                <w:sz w:val="20"/>
                <w:szCs w:val="20"/>
                <w:color w:val="auto"/>
              </w:rPr>
            </w:pPr>
            <w:r>
              <w:rPr>
                <w:rFonts w:ascii="Arial" w:cs="Arial" w:eastAsia="Arial" w:hAnsi="Arial"/>
                <w:sz w:val="18"/>
                <w:szCs w:val="18"/>
                <w:color w:val="auto"/>
                <w:w w:val="87"/>
              </w:rPr>
              <w:t>n/a</w:t>
            </w:r>
          </w:p>
        </w:tc>
        <w:tc>
          <w:tcPr>
            <w:tcW w:w="1120" w:type="dxa"/>
            <w:vAlign w:val="bottom"/>
            <w:gridSpan w:val="2"/>
          </w:tcPr>
          <w:p>
            <w:pPr>
              <w:jc w:val="right"/>
              <w:spacing w:after="0"/>
              <w:rPr>
                <w:sz w:val="20"/>
                <w:szCs w:val="20"/>
                <w:color w:val="auto"/>
              </w:rPr>
            </w:pPr>
            <w:r>
              <w:rPr>
                <w:rFonts w:ascii="Arial" w:cs="Arial" w:eastAsia="Arial" w:hAnsi="Arial"/>
                <w:sz w:val="18"/>
                <w:szCs w:val="18"/>
                <w:color w:val="auto"/>
              </w:rPr>
              <w:t>98,360</w:t>
            </w:r>
          </w:p>
        </w:tc>
        <w:tc>
          <w:tcPr>
            <w:tcW w:w="160" w:type="dxa"/>
            <w:vAlign w:val="bottom"/>
          </w:tcPr>
          <w:p>
            <w:pPr>
              <w:spacing w:after="0"/>
              <w:rPr>
                <w:sz w:val="18"/>
                <w:szCs w:val="18"/>
                <w:color w:val="auto"/>
              </w:rPr>
            </w:pPr>
          </w:p>
        </w:tc>
        <w:tc>
          <w:tcPr>
            <w:tcW w:w="920" w:type="dxa"/>
            <w:vAlign w:val="bottom"/>
          </w:tcPr>
          <w:p>
            <w:pPr>
              <w:jc w:val="center"/>
              <w:spacing w:after="0"/>
              <w:rPr>
                <w:sz w:val="20"/>
                <w:szCs w:val="20"/>
                <w:color w:val="auto"/>
              </w:rPr>
            </w:pPr>
            <w:r>
              <w:rPr>
                <w:rFonts w:ascii="Arial" w:cs="Arial" w:eastAsia="Arial" w:hAnsi="Arial"/>
                <w:sz w:val="18"/>
                <w:szCs w:val="18"/>
                <w:color w:val="auto"/>
                <w:w w:val="87"/>
              </w:rPr>
              <w:t>n/a</w:t>
            </w:r>
          </w:p>
        </w:tc>
        <w:tc>
          <w:tcPr>
            <w:tcW w:w="160" w:type="dxa"/>
            <w:vAlign w:val="bottom"/>
          </w:tcPr>
          <w:p>
            <w:pPr>
              <w:spacing w:after="0"/>
              <w:rPr>
                <w:sz w:val="18"/>
                <w:szCs w:val="18"/>
                <w:color w:val="auto"/>
              </w:rPr>
            </w:pPr>
          </w:p>
        </w:tc>
        <w:tc>
          <w:tcPr>
            <w:tcW w:w="520" w:type="dxa"/>
            <w:vAlign w:val="bottom"/>
          </w:tcPr>
          <w:p>
            <w:pPr>
              <w:jc w:val="center"/>
              <w:spacing w:after="0"/>
              <w:rPr>
                <w:sz w:val="20"/>
                <w:szCs w:val="20"/>
                <w:color w:val="auto"/>
              </w:rPr>
            </w:pPr>
            <w:r>
              <w:rPr>
                <w:rFonts w:ascii="Arial" w:cs="Arial" w:eastAsia="Arial" w:hAnsi="Arial"/>
                <w:sz w:val="18"/>
                <w:szCs w:val="18"/>
                <w:color w:val="auto"/>
                <w:w w:val="87"/>
              </w:rPr>
              <w:t>n/a</w:t>
            </w:r>
          </w:p>
        </w:tc>
        <w:tc>
          <w:tcPr>
            <w:tcW w:w="160" w:type="dxa"/>
            <w:vAlign w:val="bottom"/>
          </w:tcPr>
          <w:p>
            <w:pPr>
              <w:spacing w:after="0"/>
              <w:rPr>
                <w:sz w:val="18"/>
                <w:szCs w:val="18"/>
                <w:color w:val="auto"/>
              </w:rPr>
            </w:pPr>
          </w:p>
        </w:tc>
        <w:tc>
          <w:tcPr>
            <w:tcW w:w="900" w:type="dxa"/>
            <w:vAlign w:val="bottom"/>
          </w:tcPr>
          <w:p>
            <w:pPr>
              <w:jc w:val="center"/>
              <w:spacing w:after="0"/>
              <w:rPr>
                <w:sz w:val="20"/>
                <w:szCs w:val="20"/>
                <w:color w:val="auto"/>
              </w:rPr>
            </w:pPr>
            <w:r>
              <w:rPr>
                <w:rFonts w:ascii="Arial" w:cs="Arial" w:eastAsia="Arial" w:hAnsi="Arial"/>
                <w:sz w:val="18"/>
                <w:szCs w:val="18"/>
                <w:color w:val="auto"/>
                <w:w w:val="87"/>
              </w:rPr>
              <w:t>n/a</w:t>
            </w:r>
          </w:p>
        </w:tc>
        <w:tc>
          <w:tcPr>
            <w:tcW w:w="880" w:type="dxa"/>
            <w:vAlign w:val="bottom"/>
            <w:gridSpan w:val="2"/>
          </w:tcPr>
          <w:p>
            <w:pPr>
              <w:ind w:left="300"/>
              <w:spacing w:after="0"/>
              <w:rPr>
                <w:sz w:val="20"/>
                <w:szCs w:val="20"/>
                <w:color w:val="auto"/>
              </w:rPr>
            </w:pPr>
            <w:r>
              <w:rPr>
                <w:rFonts w:ascii="Arial" w:cs="Arial" w:eastAsia="Arial" w:hAnsi="Arial"/>
                <w:sz w:val="18"/>
                <w:szCs w:val="18"/>
                <w:color w:val="auto"/>
                <w:w w:val="86"/>
              </w:rPr>
              <w:t>212,860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5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Pertti Voutilainen</w:t>
            </w:r>
          </w:p>
        </w:tc>
        <w:tc>
          <w:tcPr>
            <w:tcW w:w="720" w:type="dxa"/>
            <w:vAlign w:val="bottom"/>
            <w:shd w:val="clear" w:color="auto" w:fill="CCEEFF"/>
          </w:tcPr>
          <w:p>
            <w:pPr>
              <w:ind w:left="140"/>
              <w:spacing w:after="0"/>
              <w:rPr>
                <w:sz w:val="20"/>
                <w:szCs w:val="20"/>
                <w:color w:val="auto"/>
              </w:rPr>
            </w:pPr>
            <w:r>
              <w:rPr>
                <w:rFonts w:ascii="Arial" w:cs="Arial" w:eastAsia="Arial" w:hAnsi="Arial"/>
                <w:sz w:val="18"/>
                <w:szCs w:val="18"/>
                <w:color w:val="auto"/>
                <w:w w:val="86"/>
              </w:rPr>
              <w:t>103,500</w:t>
            </w:r>
          </w:p>
        </w:tc>
        <w:tc>
          <w:tcPr>
            <w:tcW w:w="160" w:type="dxa"/>
            <w:vAlign w:val="bottom"/>
            <w:shd w:val="clear" w:color="auto" w:fill="CCEEFF"/>
          </w:tcPr>
          <w:p>
            <w:pPr>
              <w:spacing w:after="0"/>
              <w:rPr>
                <w:sz w:val="18"/>
                <w:szCs w:val="18"/>
                <w:color w:val="auto"/>
              </w:rPr>
            </w:pPr>
          </w:p>
        </w:tc>
        <w:tc>
          <w:tcPr>
            <w:tcW w:w="8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n/a</w:t>
            </w:r>
          </w:p>
        </w:tc>
        <w:tc>
          <w:tcPr>
            <w:tcW w:w="11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98,360</w:t>
            </w:r>
          </w:p>
        </w:tc>
        <w:tc>
          <w:tcPr>
            <w:tcW w:w="160" w:type="dxa"/>
            <w:vAlign w:val="bottom"/>
            <w:shd w:val="clear" w:color="auto" w:fill="CCEEFF"/>
          </w:tcPr>
          <w:p>
            <w:pPr>
              <w:spacing w:after="0"/>
              <w:rPr>
                <w:sz w:val="18"/>
                <w:szCs w:val="18"/>
                <w:color w:val="auto"/>
              </w:rPr>
            </w:pPr>
          </w:p>
        </w:tc>
        <w:tc>
          <w:tcPr>
            <w:tcW w:w="9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n/a</w:t>
            </w:r>
          </w:p>
        </w:tc>
        <w:tc>
          <w:tcPr>
            <w:tcW w:w="160" w:type="dxa"/>
            <w:vAlign w:val="bottom"/>
            <w:shd w:val="clear" w:color="auto" w:fill="CCEEFF"/>
          </w:tcPr>
          <w:p>
            <w:pPr>
              <w:spacing w:after="0"/>
              <w:rPr>
                <w:sz w:val="18"/>
                <w:szCs w:val="18"/>
                <w:color w:val="auto"/>
              </w:rPr>
            </w:pPr>
          </w:p>
        </w:tc>
        <w:tc>
          <w:tcPr>
            <w:tcW w:w="5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n/a</w:t>
            </w:r>
          </w:p>
        </w:tc>
        <w:tc>
          <w:tcPr>
            <w:tcW w:w="160" w:type="dxa"/>
            <w:vAlign w:val="bottom"/>
            <w:shd w:val="clear" w:color="auto" w:fill="CCEEFF"/>
          </w:tcPr>
          <w:p>
            <w:pPr>
              <w:spacing w:after="0"/>
              <w:rPr>
                <w:sz w:val="18"/>
                <w:szCs w:val="18"/>
                <w:color w:val="auto"/>
              </w:rPr>
            </w:pPr>
          </w:p>
        </w:tc>
        <w:tc>
          <w:tcPr>
            <w:tcW w:w="9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n/a</w:t>
            </w:r>
          </w:p>
        </w:tc>
        <w:tc>
          <w:tcPr>
            <w:tcW w:w="88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86"/>
              </w:rPr>
              <w:t>201,860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08"/>
        </w:trPr>
        <w:tc>
          <w:tcPr>
            <w:tcW w:w="20" w:type="dxa"/>
            <w:vAlign w:val="bottom"/>
          </w:tcPr>
          <w:p>
            <w:pPr>
              <w:spacing w:after="0"/>
              <w:rPr>
                <w:sz w:val="9"/>
                <w:szCs w:val="9"/>
                <w:color w:val="auto"/>
              </w:rPr>
            </w:pPr>
          </w:p>
        </w:tc>
        <w:tc>
          <w:tcPr>
            <w:tcW w:w="380" w:type="dxa"/>
            <w:vAlign w:val="bottom"/>
            <w:tcBorders>
              <w:bottom w:val="single" w:sz="8" w:color="auto"/>
            </w:tcBorders>
          </w:tcPr>
          <w:p>
            <w:pPr>
              <w:spacing w:after="0"/>
              <w:rPr>
                <w:sz w:val="9"/>
                <w:szCs w:val="9"/>
                <w:color w:val="auto"/>
              </w:rPr>
            </w:pPr>
          </w:p>
        </w:tc>
        <w:tc>
          <w:tcPr>
            <w:tcW w:w="880" w:type="dxa"/>
            <w:vAlign w:val="bottom"/>
            <w:tcBorders>
              <w:bottom w:val="single" w:sz="8" w:color="auto"/>
            </w:tcBorders>
          </w:tcPr>
          <w:p>
            <w:pPr>
              <w:spacing w:after="0"/>
              <w:rPr>
                <w:sz w:val="9"/>
                <w:szCs w:val="9"/>
                <w:color w:val="auto"/>
              </w:rPr>
            </w:pPr>
          </w:p>
        </w:tc>
        <w:tc>
          <w:tcPr>
            <w:tcW w:w="1320" w:type="dxa"/>
            <w:vAlign w:val="bottom"/>
          </w:tcPr>
          <w:p>
            <w:pPr>
              <w:spacing w:after="0"/>
              <w:rPr>
                <w:sz w:val="9"/>
                <w:szCs w:val="9"/>
                <w:color w:val="auto"/>
              </w:rPr>
            </w:pPr>
          </w:p>
        </w:tc>
        <w:tc>
          <w:tcPr>
            <w:tcW w:w="720" w:type="dxa"/>
            <w:vAlign w:val="bottom"/>
          </w:tcPr>
          <w:p>
            <w:pPr>
              <w:spacing w:after="0"/>
              <w:rPr>
                <w:sz w:val="9"/>
                <w:szCs w:val="9"/>
                <w:color w:val="auto"/>
              </w:rPr>
            </w:pPr>
          </w:p>
        </w:tc>
        <w:tc>
          <w:tcPr>
            <w:tcW w:w="160" w:type="dxa"/>
            <w:vAlign w:val="bottom"/>
          </w:tcPr>
          <w:p>
            <w:pPr>
              <w:spacing w:after="0"/>
              <w:rPr>
                <w:sz w:val="9"/>
                <w:szCs w:val="9"/>
                <w:color w:val="auto"/>
              </w:rPr>
            </w:pPr>
          </w:p>
        </w:tc>
        <w:tc>
          <w:tcPr>
            <w:tcW w:w="800" w:type="dxa"/>
            <w:vAlign w:val="bottom"/>
          </w:tcPr>
          <w:p>
            <w:pPr>
              <w:spacing w:after="0"/>
              <w:rPr>
                <w:sz w:val="9"/>
                <w:szCs w:val="9"/>
                <w:color w:val="auto"/>
              </w:rPr>
            </w:pPr>
          </w:p>
        </w:tc>
        <w:tc>
          <w:tcPr>
            <w:tcW w:w="160" w:type="dxa"/>
            <w:vAlign w:val="bottom"/>
          </w:tcPr>
          <w:p>
            <w:pPr>
              <w:spacing w:after="0"/>
              <w:rPr>
                <w:sz w:val="9"/>
                <w:szCs w:val="9"/>
                <w:color w:val="auto"/>
              </w:rPr>
            </w:pPr>
          </w:p>
        </w:tc>
        <w:tc>
          <w:tcPr>
            <w:tcW w:w="960" w:type="dxa"/>
            <w:vAlign w:val="bottom"/>
          </w:tcPr>
          <w:p>
            <w:pPr>
              <w:spacing w:after="0"/>
              <w:rPr>
                <w:sz w:val="9"/>
                <w:szCs w:val="9"/>
                <w:color w:val="auto"/>
              </w:rPr>
            </w:pPr>
          </w:p>
        </w:tc>
        <w:tc>
          <w:tcPr>
            <w:tcW w:w="160" w:type="dxa"/>
            <w:vAlign w:val="bottom"/>
          </w:tcPr>
          <w:p>
            <w:pPr>
              <w:spacing w:after="0"/>
              <w:rPr>
                <w:sz w:val="9"/>
                <w:szCs w:val="9"/>
                <w:color w:val="auto"/>
              </w:rPr>
            </w:pPr>
          </w:p>
        </w:tc>
        <w:tc>
          <w:tcPr>
            <w:tcW w:w="920" w:type="dxa"/>
            <w:vAlign w:val="bottom"/>
          </w:tcPr>
          <w:p>
            <w:pPr>
              <w:spacing w:after="0"/>
              <w:rPr>
                <w:sz w:val="9"/>
                <w:szCs w:val="9"/>
                <w:color w:val="auto"/>
              </w:rPr>
            </w:pPr>
          </w:p>
        </w:tc>
        <w:tc>
          <w:tcPr>
            <w:tcW w:w="160" w:type="dxa"/>
            <w:vAlign w:val="bottom"/>
          </w:tcPr>
          <w:p>
            <w:pPr>
              <w:spacing w:after="0"/>
              <w:rPr>
                <w:sz w:val="9"/>
                <w:szCs w:val="9"/>
                <w:color w:val="auto"/>
              </w:rPr>
            </w:pPr>
          </w:p>
        </w:tc>
        <w:tc>
          <w:tcPr>
            <w:tcW w:w="520" w:type="dxa"/>
            <w:vAlign w:val="bottom"/>
          </w:tcPr>
          <w:p>
            <w:pPr>
              <w:spacing w:after="0"/>
              <w:rPr>
                <w:sz w:val="9"/>
                <w:szCs w:val="9"/>
                <w:color w:val="auto"/>
              </w:rPr>
            </w:pPr>
          </w:p>
        </w:tc>
        <w:tc>
          <w:tcPr>
            <w:tcW w:w="160" w:type="dxa"/>
            <w:vAlign w:val="bottom"/>
          </w:tcPr>
          <w:p>
            <w:pPr>
              <w:spacing w:after="0"/>
              <w:rPr>
                <w:sz w:val="9"/>
                <w:szCs w:val="9"/>
                <w:color w:val="auto"/>
              </w:rPr>
            </w:pPr>
          </w:p>
        </w:tc>
        <w:tc>
          <w:tcPr>
            <w:tcW w:w="900" w:type="dxa"/>
            <w:vAlign w:val="bottom"/>
          </w:tcPr>
          <w:p>
            <w:pPr>
              <w:spacing w:after="0"/>
              <w:rPr>
                <w:sz w:val="9"/>
                <w:szCs w:val="9"/>
                <w:color w:val="auto"/>
              </w:rPr>
            </w:pPr>
          </w:p>
        </w:tc>
        <w:tc>
          <w:tcPr>
            <w:tcW w:w="160" w:type="dxa"/>
            <w:vAlign w:val="bottom"/>
          </w:tcPr>
          <w:p>
            <w:pPr>
              <w:spacing w:after="0"/>
              <w:rPr>
                <w:sz w:val="9"/>
                <w:szCs w:val="9"/>
                <w:color w:val="auto"/>
              </w:rPr>
            </w:pPr>
          </w:p>
        </w:tc>
        <w:tc>
          <w:tcPr>
            <w:tcW w:w="720" w:type="dxa"/>
            <w:vAlign w:val="bottom"/>
          </w:tcPr>
          <w:p>
            <w:pPr>
              <w:spacing w:after="0"/>
              <w:rPr>
                <w:sz w:val="9"/>
                <w:szCs w:val="9"/>
                <w:color w:val="auto"/>
              </w:rPr>
            </w:pPr>
          </w:p>
        </w:tc>
        <w:tc>
          <w:tcPr>
            <w:tcW w:w="16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p>
    <w:p>
      <w:pPr>
        <w:ind w:left="1680" w:hanging="531"/>
        <w:spacing w:after="0"/>
        <w:tabs>
          <w:tab w:leader="none" w:pos="1680" w:val="left"/>
        </w:tabs>
        <w:numPr>
          <w:ilvl w:val="0"/>
          <w:numId w:val="52"/>
        </w:numPr>
        <w:rPr>
          <w:rFonts w:ascii="Arial" w:cs="Arial" w:eastAsia="Arial" w:hAnsi="Arial"/>
          <w:sz w:val="14"/>
          <w:szCs w:val="14"/>
          <w:color w:val="auto"/>
        </w:rPr>
      </w:pPr>
      <w:r>
        <w:rPr>
          <w:rFonts w:ascii="Arial" w:cs="Arial" w:eastAsia="Arial" w:hAnsi="Arial"/>
          <w:sz w:val="14"/>
          <w:szCs w:val="14"/>
          <w:color w:val="auto"/>
        </w:rPr>
        <w:t>For a discussion of the key assumptions underlying the value of the option-based awards see Note 1 to the "Summary Compensation Table".</w:t>
      </w:r>
    </w:p>
    <w:p>
      <w:pPr>
        <w:spacing w:after="0" w:line="122" w:lineRule="exact"/>
        <w:rPr>
          <w:rFonts w:ascii="Arial" w:cs="Arial" w:eastAsia="Arial" w:hAnsi="Arial"/>
          <w:sz w:val="14"/>
          <w:szCs w:val="14"/>
          <w:color w:val="auto"/>
        </w:rPr>
      </w:pPr>
    </w:p>
    <w:p>
      <w:pPr>
        <w:ind w:left="1680" w:hanging="531"/>
        <w:spacing w:after="0" w:line="239" w:lineRule="auto"/>
        <w:tabs>
          <w:tab w:leader="none" w:pos="1680" w:val="left"/>
        </w:tabs>
        <w:numPr>
          <w:ilvl w:val="0"/>
          <w:numId w:val="52"/>
        </w:numPr>
        <w:rPr>
          <w:rFonts w:ascii="Arial" w:cs="Arial" w:eastAsia="Arial" w:hAnsi="Arial"/>
          <w:sz w:val="14"/>
          <w:szCs w:val="14"/>
          <w:color w:val="auto"/>
        </w:rPr>
      </w:pPr>
      <w:r>
        <w:rPr>
          <w:rFonts w:ascii="Arial" w:cs="Arial" w:eastAsia="Arial" w:hAnsi="Arial"/>
          <w:sz w:val="14"/>
          <w:szCs w:val="14"/>
          <w:color w:val="auto"/>
        </w:rPr>
        <w:t>Option-based awards given to non-executive directors will be limited to the lesser of: (a) 1% of the outstanding shares at any given point in time; and (b) an annual equity award value of C$100,000.</w:t>
      </w:r>
    </w:p>
    <w:p>
      <w:pPr>
        <w:spacing w:after="0" w:line="111" w:lineRule="exact"/>
        <w:rPr>
          <w:rFonts w:ascii="Arial" w:cs="Arial" w:eastAsia="Arial" w:hAnsi="Arial"/>
          <w:sz w:val="14"/>
          <w:szCs w:val="14"/>
          <w:color w:val="auto"/>
        </w:rPr>
      </w:pPr>
    </w:p>
    <w:p>
      <w:pPr>
        <w:ind w:left="1680" w:hanging="531"/>
        <w:spacing w:after="0"/>
        <w:tabs>
          <w:tab w:leader="none" w:pos="1680" w:val="left"/>
        </w:tabs>
        <w:numPr>
          <w:ilvl w:val="0"/>
          <w:numId w:val="52"/>
        </w:numPr>
        <w:rPr>
          <w:rFonts w:ascii="Arial" w:cs="Arial" w:eastAsia="Arial" w:hAnsi="Arial"/>
          <w:sz w:val="14"/>
          <w:szCs w:val="14"/>
          <w:color w:val="auto"/>
        </w:rPr>
      </w:pPr>
      <w:r>
        <w:rPr>
          <w:rFonts w:ascii="Arial" w:cs="Arial" w:eastAsia="Arial" w:hAnsi="Arial"/>
          <w:sz w:val="14"/>
          <w:szCs w:val="14"/>
          <w:color w:val="auto"/>
        </w:rPr>
        <w:t>Presented in Canadian dollars. On December 31, 2009 the Noon Buying Rate was C$1.00 equals US$0.9555.</w:t>
      </w:r>
    </w:p>
    <w:p>
      <w:pPr>
        <w:spacing w:after="0" w:line="206" w:lineRule="exact"/>
        <w:rPr>
          <w:sz w:val="20"/>
          <w:szCs w:val="20"/>
          <w:color w:val="auto"/>
        </w:rPr>
      </w:pPr>
    </w:p>
    <w:p>
      <w:pPr>
        <w:ind w:right="20" w:firstLine="456"/>
        <w:spacing w:after="0" w:line="268" w:lineRule="auto"/>
        <w:rPr>
          <w:sz w:val="20"/>
          <w:szCs w:val="20"/>
          <w:color w:val="auto"/>
        </w:rPr>
      </w:pPr>
      <w:r>
        <w:rPr>
          <w:rFonts w:ascii="Arial" w:cs="Arial" w:eastAsia="Arial" w:hAnsi="Arial"/>
          <w:sz w:val="18"/>
          <w:szCs w:val="18"/>
          <w:color w:val="auto"/>
        </w:rPr>
        <w:t>The following table sets out the value vested during the most recently completed financial year of the Company of incentive plan awards granted to the directors of the Company, other than Mr. Boyd, Mr. Scherkus and Mr. Garofalo.</w:t>
      </w:r>
    </w:p>
    <w:p>
      <w:pPr>
        <w:spacing w:after="0" w:line="18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Incentive Plan Awards Table — Value Vested During Fiscal Year 2009</w:t>
      </w:r>
    </w:p>
    <w:p>
      <w:pPr>
        <w:spacing w:after="0" w:line="214"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2160" w:type="dxa"/>
            <w:vAlign w:val="bottom"/>
          </w:tcPr>
          <w:p>
            <w:pPr>
              <w:spacing w:after="0"/>
              <w:rPr>
                <w:sz w:val="14"/>
                <w:szCs w:val="14"/>
                <w:color w:val="auto"/>
              </w:rPr>
            </w:pPr>
          </w:p>
        </w:tc>
        <w:tc>
          <w:tcPr>
            <w:tcW w:w="17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14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040" w:type="dxa"/>
            <w:vAlign w:val="bottom"/>
          </w:tcPr>
          <w:p>
            <w:pPr>
              <w:jc w:val="center"/>
              <w:spacing w:after="0"/>
              <w:rPr>
                <w:sz w:val="20"/>
                <w:szCs w:val="20"/>
                <w:color w:val="auto"/>
              </w:rPr>
            </w:pPr>
            <w:r>
              <w:rPr>
                <w:rFonts w:ascii="Arial" w:cs="Arial" w:eastAsia="Arial" w:hAnsi="Arial"/>
                <w:sz w:val="14"/>
                <w:szCs w:val="14"/>
                <w:b w:val="1"/>
                <w:bCs w:val="1"/>
                <w:color w:val="auto"/>
                <w:w w:val="91"/>
              </w:rPr>
              <w:t>Non-Equity</w:t>
            </w:r>
          </w:p>
        </w:tc>
      </w:tr>
      <w:tr>
        <w:trPr>
          <w:trHeight w:val="149"/>
        </w:trPr>
        <w:tc>
          <w:tcPr>
            <w:tcW w:w="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2160" w:type="dxa"/>
            <w:vAlign w:val="bottom"/>
          </w:tcPr>
          <w:p>
            <w:pPr>
              <w:spacing w:after="0"/>
              <w:rPr>
                <w:sz w:val="12"/>
                <w:szCs w:val="12"/>
                <w:color w:val="auto"/>
              </w:rPr>
            </w:pPr>
          </w:p>
        </w:tc>
        <w:tc>
          <w:tcPr>
            <w:tcW w:w="2100" w:type="dxa"/>
            <w:vAlign w:val="bottom"/>
            <w:gridSpan w:val="2"/>
          </w:tcPr>
          <w:p>
            <w:pPr>
              <w:jc w:val="center"/>
              <w:ind w:right="380"/>
              <w:spacing w:after="0" w:line="149" w:lineRule="exact"/>
              <w:rPr>
                <w:sz w:val="20"/>
                <w:szCs w:val="20"/>
                <w:color w:val="auto"/>
              </w:rPr>
            </w:pPr>
            <w:r>
              <w:rPr>
                <w:rFonts w:ascii="Arial" w:cs="Arial" w:eastAsia="Arial" w:hAnsi="Arial"/>
                <w:sz w:val="14"/>
                <w:szCs w:val="14"/>
                <w:b w:val="1"/>
                <w:bCs w:val="1"/>
                <w:color w:val="auto"/>
                <w:w w:val="86"/>
              </w:rPr>
              <w:t>Options-Based Awards —</w:t>
            </w:r>
          </w:p>
        </w:tc>
        <w:tc>
          <w:tcPr>
            <w:tcW w:w="14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6"/>
              </w:rPr>
              <w:t>Share-Based Awards —</w:t>
            </w:r>
          </w:p>
        </w:tc>
        <w:tc>
          <w:tcPr>
            <w:tcW w:w="160" w:type="dxa"/>
            <w:vAlign w:val="bottom"/>
          </w:tcPr>
          <w:p>
            <w:pPr>
              <w:spacing w:after="0"/>
              <w:rPr>
                <w:sz w:val="12"/>
                <w:szCs w:val="12"/>
                <w:color w:val="auto"/>
              </w:rPr>
            </w:pPr>
          </w:p>
        </w:tc>
        <w:tc>
          <w:tcPr>
            <w:tcW w:w="204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7"/>
              </w:rPr>
              <w:t>Incentive Plan Compensation —</w:t>
            </w:r>
          </w:p>
        </w:tc>
      </w:tr>
      <w:tr>
        <w:trPr>
          <w:trHeight w:val="149"/>
        </w:trPr>
        <w:tc>
          <w:tcPr>
            <w:tcW w:w="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2160" w:type="dxa"/>
            <w:vAlign w:val="bottom"/>
          </w:tcPr>
          <w:p>
            <w:pPr>
              <w:spacing w:after="0"/>
              <w:rPr>
                <w:sz w:val="12"/>
                <w:szCs w:val="12"/>
                <w:color w:val="auto"/>
              </w:rPr>
            </w:pPr>
          </w:p>
        </w:tc>
        <w:tc>
          <w:tcPr>
            <w:tcW w:w="2100" w:type="dxa"/>
            <w:vAlign w:val="bottom"/>
            <w:gridSpan w:val="2"/>
          </w:tcPr>
          <w:p>
            <w:pPr>
              <w:jc w:val="center"/>
              <w:ind w:right="400"/>
              <w:spacing w:after="0" w:line="149" w:lineRule="exact"/>
              <w:rPr>
                <w:sz w:val="20"/>
                <w:szCs w:val="20"/>
                <w:color w:val="auto"/>
              </w:rPr>
            </w:pPr>
            <w:r>
              <w:rPr>
                <w:rFonts w:ascii="Arial" w:cs="Arial" w:eastAsia="Arial" w:hAnsi="Arial"/>
                <w:sz w:val="14"/>
                <w:szCs w:val="14"/>
                <w:b w:val="1"/>
                <w:bCs w:val="1"/>
                <w:color w:val="auto"/>
                <w:w w:val="84"/>
              </w:rPr>
              <w:t>Value Vested</w:t>
            </w:r>
          </w:p>
        </w:tc>
        <w:tc>
          <w:tcPr>
            <w:tcW w:w="14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4"/>
              </w:rPr>
              <w:t>Value Vested</w:t>
            </w:r>
          </w:p>
        </w:tc>
        <w:tc>
          <w:tcPr>
            <w:tcW w:w="160" w:type="dxa"/>
            <w:vAlign w:val="bottom"/>
          </w:tcPr>
          <w:p>
            <w:pPr>
              <w:spacing w:after="0"/>
              <w:rPr>
                <w:sz w:val="12"/>
                <w:szCs w:val="12"/>
                <w:color w:val="auto"/>
              </w:rPr>
            </w:pPr>
          </w:p>
        </w:tc>
        <w:tc>
          <w:tcPr>
            <w:tcW w:w="204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7"/>
              </w:rPr>
              <w:t>Value Earned</w:t>
            </w:r>
          </w:p>
        </w:tc>
      </w:tr>
      <w:tr>
        <w:trPr>
          <w:trHeight w:val="161"/>
        </w:trPr>
        <w:tc>
          <w:tcPr>
            <w:tcW w:w="3440" w:type="dxa"/>
            <w:vAlign w:val="bottom"/>
            <w:gridSpan w:val="4"/>
          </w:tcPr>
          <w:p>
            <w:pPr>
              <w:spacing w:after="0"/>
              <w:rPr>
                <w:sz w:val="20"/>
                <w:szCs w:val="20"/>
                <w:color w:val="auto"/>
              </w:rPr>
            </w:pPr>
            <w:r>
              <w:rPr>
                <w:rFonts w:ascii="Arial" w:cs="Arial" w:eastAsia="Arial" w:hAnsi="Arial"/>
                <w:sz w:val="14"/>
                <w:szCs w:val="14"/>
                <w:b w:val="1"/>
                <w:bCs w:val="1"/>
                <w:color w:val="auto"/>
              </w:rPr>
              <w:t>Name</w:t>
            </w:r>
          </w:p>
        </w:tc>
        <w:tc>
          <w:tcPr>
            <w:tcW w:w="2100" w:type="dxa"/>
            <w:vAlign w:val="bottom"/>
            <w:gridSpan w:val="2"/>
          </w:tcPr>
          <w:p>
            <w:pPr>
              <w:jc w:val="center"/>
              <w:ind w:right="380"/>
              <w:spacing w:after="0"/>
              <w:rPr>
                <w:sz w:val="20"/>
                <w:szCs w:val="20"/>
                <w:color w:val="auto"/>
              </w:rPr>
            </w:pPr>
            <w:r>
              <w:rPr>
                <w:rFonts w:ascii="Arial" w:cs="Arial" w:eastAsia="Arial" w:hAnsi="Arial"/>
                <w:sz w:val="14"/>
                <w:szCs w:val="14"/>
                <w:b w:val="1"/>
                <w:bCs w:val="1"/>
                <w:color w:val="auto"/>
                <w:w w:val="88"/>
              </w:rPr>
              <w:t>During the Year</w:t>
            </w:r>
          </w:p>
        </w:tc>
        <w:tc>
          <w:tcPr>
            <w:tcW w:w="1480" w:type="dxa"/>
            <w:vAlign w:val="bottom"/>
          </w:tcPr>
          <w:p>
            <w:pPr>
              <w:jc w:val="center"/>
              <w:spacing w:after="0"/>
              <w:rPr>
                <w:sz w:val="20"/>
                <w:szCs w:val="20"/>
                <w:color w:val="auto"/>
              </w:rPr>
            </w:pPr>
            <w:r>
              <w:rPr>
                <w:rFonts w:ascii="Arial" w:cs="Arial" w:eastAsia="Arial" w:hAnsi="Arial"/>
                <w:sz w:val="14"/>
                <w:szCs w:val="14"/>
                <w:b w:val="1"/>
                <w:bCs w:val="1"/>
                <w:color w:val="auto"/>
                <w:w w:val="88"/>
              </w:rPr>
              <w:t>During the Year</w:t>
            </w:r>
          </w:p>
        </w:tc>
        <w:tc>
          <w:tcPr>
            <w:tcW w:w="160" w:type="dxa"/>
            <w:vAlign w:val="bottom"/>
          </w:tcPr>
          <w:p>
            <w:pPr>
              <w:spacing w:after="0"/>
              <w:rPr>
                <w:sz w:val="14"/>
                <w:szCs w:val="14"/>
                <w:color w:val="auto"/>
              </w:rPr>
            </w:pPr>
          </w:p>
        </w:tc>
        <w:tc>
          <w:tcPr>
            <w:tcW w:w="2040" w:type="dxa"/>
            <w:vAlign w:val="bottom"/>
          </w:tcPr>
          <w:p>
            <w:pPr>
              <w:jc w:val="center"/>
              <w:spacing w:after="0"/>
              <w:rPr>
                <w:sz w:val="20"/>
                <w:szCs w:val="20"/>
                <w:color w:val="auto"/>
              </w:rPr>
            </w:pPr>
            <w:r>
              <w:rPr>
                <w:rFonts w:ascii="Arial" w:cs="Arial" w:eastAsia="Arial" w:hAnsi="Arial"/>
                <w:sz w:val="14"/>
                <w:szCs w:val="14"/>
                <w:b w:val="1"/>
                <w:bCs w:val="1"/>
                <w:color w:val="auto"/>
                <w:w w:val="90"/>
              </w:rPr>
              <w:t>During the Year</w:t>
            </w:r>
          </w:p>
        </w:tc>
      </w:tr>
      <w:tr>
        <w:trPr>
          <w:trHeight w:val="142"/>
        </w:trPr>
        <w:tc>
          <w:tcPr>
            <w:tcW w:w="20" w:type="dxa"/>
            <w:vAlign w:val="bottom"/>
          </w:tcPr>
          <w:p>
            <w:pPr>
              <w:spacing w:after="0"/>
              <w:rPr>
                <w:sz w:val="12"/>
                <w:szCs w:val="12"/>
                <w:color w:val="auto"/>
              </w:rPr>
            </w:pPr>
          </w:p>
        </w:tc>
        <w:tc>
          <w:tcPr>
            <w:tcW w:w="380" w:type="dxa"/>
            <w:vAlign w:val="bottom"/>
            <w:tcBorders>
              <w:top w:val="single" w:sz="8" w:color="auto"/>
            </w:tcBorders>
          </w:tcPr>
          <w:p>
            <w:pPr>
              <w:spacing w:after="0"/>
              <w:rPr>
                <w:sz w:val="12"/>
                <w:szCs w:val="12"/>
                <w:color w:val="auto"/>
              </w:rPr>
            </w:pPr>
          </w:p>
        </w:tc>
        <w:tc>
          <w:tcPr>
            <w:tcW w:w="880" w:type="dxa"/>
            <w:vAlign w:val="bottom"/>
          </w:tcPr>
          <w:p>
            <w:pPr>
              <w:spacing w:after="0"/>
              <w:rPr>
                <w:sz w:val="12"/>
                <w:szCs w:val="12"/>
                <w:color w:val="auto"/>
              </w:rPr>
            </w:pPr>
          </w:p>
        </w:tc>
        <w:tc>
          <w:tcPr>
            <w:tcW w:w="2160" w:type="dxa"/>
            <w:vAlign w:val="bottom"/>
          </w:tcPr>
          <w:p>
            <w:pPr>
              <w:spacing w:after="0"/>
              <w:rPr>
                <w:sz w:val="12"/>
                <w:szCs w:val="12"/>
                <w:color w:val="auto"/>
              </w:rPr>
            </w:pPr>
          </w:p>
        </w:tc>
        <w:tc>
          <w:tcPr>
            <w:tcW w:w="172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95"/>
              </w:rPr>
              <w:t>(C$)</w:t>
            </w:r>
          </w:p>
        </w:tc>
        <w:tc>
          <w:tcPr>
            <w:tcW w:w="380" w:type="dxa"/>
            <w:vAlign w:val="bottom"/>
          </w:tcPr>
          <w:p>
            <w:pPr>
              <w:spacing w:after="0"/>
              <w:rPr>
                <w:sz w:val="12"/>
                <w:szCs w:val="12"/>
                <w:color w:val="auto"/>
              </w:rPr>
            </w:pPr>
          </w:p>
        </w:tc>
        <w:tc>
          <w:tcPr>
            <w:tcW w:w="148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95"/>
              </w:rPr>
              <w:t>(C$)</w:t>
            </w:r>
          </w:p>
        </w:tc>
        <w:tc>
          <w:tcPr>
            <w:tcW w:w="160" w:type="dxa"/>
            <w:vAlign w:val="bottom"/>
          </w:tcPr>
          <w:p>
            <w:pPr>
              <w:spacing w:after="0"/>
              <w:rPr>
                <w:sz w:val="12"/>
                <w:szCs w:val="12"/>
                <w:color w:val="auto"/>
              </w:rPr>
            </w:pPr>
          </w:p>
        </w:tc>
        <w:tc>
          <w:tcPr>
            <w:tcW w:w="204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95"/>
              </w:rPr>
              <w:t>(C$)</w:t>
            </w:r>
          </w:p>
        </w:tc>
      </w:tr>
      <w:tr>
        <w:trPr>
          <w:trHeight w:val="216"/>
        </w:trPr>
        <w:tc>
          <w:tcPr>
            <w:tcW w:w="20" w:type="dxa"/>
            <w:vAlign w:val="bottom"/>
          </w:tcPr>
          <w:p>
            <w:pPr>
              <w:spacing w:after="0"/>
              <w:rPr>
                <w:sz w:val="18"/>
                <w:szCs w:val="18"/>
                <w:color w:val="auto"/>
              </w:rPr>
            </w:pPr>
          </w:p>
        </w:tc>
        <w:tc>
          <w:tcPr>
            <w:tcW w:w="34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Leanne M. Baker</w:t>
            </w:r>
          </w:p>
        </w:tc>
        <w:tc>
          <w:tcPr>
            <w:tcW w:w="21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60,688</w:t>
            </w:r>
            <w:r>
              <w:rPr>
                <w:rFonts w:ascii="Arial" w:cs="Arial" w:eastAsia="Arial" w:hAnsi="Arial"/>
                <w:sz w:val="14"/>
                <w:szCs w:val="14"/>
                <w:color w:val="auto"/>
              </w:rPr>
              <w:t>(1)</w:t>
            </w:r>
          </w:p>
        </w:tc>
        <w:tc>
          <w:tcPr>
            <w:tcW w:w="14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n/a</w:t>
            </w:r>
          </w:p>
        </w:tc>
        <w:tc>
          <w:tcPr>
            <w:tcW w:w="160" w:type="dxa"/>
            <w:vAlign w:val="bottom"/>
            <w:shd w:val="clear" w:color="auto" w:fill="CCEEFF"/>
          </w:tcPr>
          <w:p>
            <w:pPr>
              <w:spacing w:after="0"/>
              <w:rPr>
                <w:sz w:val="18"/>
                <w:szCs w:val="18"/>
                <w:color w:val="auto"/>
              </w:rPr>
            </w:pPr>
          </w:p>
        </w:tc>
        <w:tc>
          <w:tcPr>
            <w:tcW w:w="20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n/a</w:t>
            </w:r>
          </w:p>
        </w:tc>
      </w:tr>
      <w:tr>
        <w:trPr>
          <w:trHeight w:val="216"/>
        </w:trPr>
        <w:tc>
          <w:tcPr>
            <w:tcW w:w="20" w:type="dxa"/>
            <w:vAlign w:val="bottom"/>
          </w:tcPr>
          <w:p>
            <w:pPr>
              <w:spacing w:after="0"/>
              <w:rPr>
                <w:sz w:val="18"/>
                <w:szCs w:val="18"/>
                <w:color w:val="auto"/>
              </w:rPr>
            </w:pPr>
          </w:p>
        </w:tc>
        <w:tc>
          <w:tcPr>
            <w:tcW w:w="3420" w:type="dxa"/>
            <w:vAlign w:val="bottom"/>
            <w:gridSpan w:val="3"/>
          </w:tcPr>
          <w:p>
            <w:pPr>
              <w:spacing w:after="0"/>
              <w:rPr>
                <w:sz w:val="20"/>
                <w:szCs w:val="20"/>
                <w:color w:val="auto"/>
              </w:rPr>
            </w:pPr>
            <w:r>
              <w:rPr>
                <w:rFonts w:ascii="Arial" w:cs="Arial" w:eastAsia="Arial" w:hAnsi="Arial"/>
                <w:sz w:val="18"/>
                <w:szCs w:val="18"/>
                <w:color w:val="auto"/>
              </w:rPr>
              <w:t>Douglas R. Beaumont</w:t>
            </w:r>
          </w:p>
        </w:tc>
        <w:tc>
          <w:tcPr>
            <w:tcW w:w="1720" w:type="dxa"/>
            <w:vAlign w:val="bottom"/>
          </w:tcPr>
          <w:p>
            <w:pPr>
              <w:jc w:val="right"/>
              <w:spacing w:after="0"/>
              <w:rPr>
                <w:sz w:val="20"/>
                <w:szCs w:val="20"/>
                <w:color w:val="auto"/>
              </w:rPr>
            </w:pPr>
            <w:r>
              <w:rPr>
                <w:rFonts w:ascii="Arial" w:cs="Arial" w:eastAsia="Arial" w:hAnsi="Arial"/>
                <w:sz w:val="18"/>
                <w:szCs w:val="18"/>
                <w:color w:val="auto"/>
              </w:rPr>
              <w:t>378,988</w:t>
            </w:r>
          </w:p>
        </w:tc>
        <w:tc>
          <w:tcPr>
            <w:tcW w:w="380" w:type="dxa"/>
            <w:vAlign w:val="bottom"/>
          </w:tcPr>
          <w:p>
            <w:pPr>
              <w:spacing w:after="0"/>
              <w:rPr>
                <w:sz w:val="18"/>
                <w:szCs w:val="18"/>
                <w:color w:val="auto"/>
              </w:rPr>
            </w:pPr>
          </w:p>
        </w:tc>
        <w:tc>
          <w:tcPr>
            <w:tcW w:w="1480" w:type="dxa"/>
            <w:vAlign w:val="bottom"/>
          </w:tcPr>
          <w:p>
            <w:pPr>
              <w:jc w:val="center"/>
              <w:spacing w:after="0"/>
              <w:rPr>
                <w:sz w:val="20"/>
                <w:szCs w:val="20"/>
                <w:color w:val="auto"/>
              </w:rPr>
            </w:pPr>
            <w:r>
              <w:rPr>
                <w:rFonts w:ascii="Arial" w:cs="Arial" w:eastAsia="Arial" w:hAnsi="Arial"/>
                <w:sz w:val="18"/>
                <w:szCs w:val="18"/>
                <w:color w:val="auto"/>
                <w:w w:val="87"/>
              </w:rPr>
              <w:t>n/a</w:t>
            </w:r>
          </w:p>
        </w:tc>
        <w:tc>
          <w:tcPr>
            <w:tcW w:w="160" w:type="dxa"/>
            <w:vAlign w:val="bottom"/>
          </w:tcPr>
          <w:p>
            <w:pPr>
              <w:spacing w:after="0"/>
              <w:rPr>
                <w:sz w:val="18"/>
                <w:szCs w:val="18"/>
                <w:color w:val="auto"/>
              </w:rPr>
            </w:pPr>
          </w:p>
        </w:tc>
        <w:tc>
          <w:tcPr>
            <w:tcW w:w="2040" w:type="dxa"/>
            <w:vAlign w:val="bottom"/>
          </w:tcPr>
          <w:p>
            <w:pPr>
              <w:jc w:val="center"/>
              <w:spacing w:after="0"/>
              <w:rPr>
                <w:sz w:val="20"/>
                <w:szCs w:val="20"/>
                <w:color w:val="auto"/>
              </w:rPr>
            </w:pPr>
            <w:r>
              <w:rPr>
                <w:rFonts w:ascii="Arial" w:cs="Arial" w:eastAsia="Arial" w:hAnsi="Arial"/>
                <w:sz w:val="18"/>
                <w:szCs w:val="18"/>
                <w:color w:val="auto"/>
                <w:w w:val="87"/>
              </w:rPr>
              <w:t>n/a</w:t>
            </w:r>
          </w:p>
        </w:tc>
      </w:tr>
      <w:tr>
        <w:trPr>
          <w:trHeight w:val="216"/>
        </w:trPr>
        <w:tc>
          <w:tcPr>
            <w:tcW w:w="20" w:type="dxa"/>
            <w:vAlign w:val="bottom"/>
          </w:tcPr>
          <w:p>
            <w:pPr>
              <w:spacing w:after="0"/>
              <w:rPr>
                <w:sz w:val="18"/>
                <w:szCs w:val="18"/>
                <w:color w:val="auto"/>
              </w:rPr>
            </w:pPr>
          </w:p>
        </w:tc>
        <w:tc>
          <w:tcPr>
            <w:tcW w:w="34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Clifford J. Davis</w:t>
            </w:r>
          </w:p>
        </w:tc>
        <w:tc>
          <w:tcPr>
            <w:tcW w:w="1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53,208</w:t>
            </w:r>
          </w:p>
        </w:tc>
        <w:tc>
          <w:tcPr>
            <w:tcW w:w="380" w:type="dxa"/>
            <w:vAlign w:val="bottom"/>
            <w:shd w:val="clear" w:color="auto" w:fill="CCEEFF"/>
          </w:tcPr>
          <w:p>
            <w:pPr>
              <w:spacing w:after="0"/>
              <w:rPr>
                <w:sz w:val="18"/>
                <w:szCs w:val="18"/>
                <w:color w:val="auto"/>
              </w:rPr>
            </w:pPr>
          </w:p>
        </w:tc>
        <w:tc>
          <w:tcPr>
            <w:tcW w:w="14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n/a</w:t>
            </w:r>
          </w:p>
        </w:tc>
        <w:tc>
          <w:tcPr>
            <w:tcW w:w="160" w:type="dxa"/>
            <w:vAlign w:val="bottom"/>
            <w:shd w:val="clear" w:color="auto" w:fill="CCEEFF"/>
          </w:tcPr>
          <w:p>
            <w:pPr>
              <w:spacing w:after="0"/>
              <w:rPr>
                <w:sz w:val="18"/>
                <w:szCs w:val="18"/>
                <w:color w:val="auto"/>
              </w:rPr>
            </w:pPr>
          </w:p>
        </w:tc>
        <w:tc>
          <w:tcPr>
            <w:tcW w:w="20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n/a</w:t>
            </w:r>
          </w:p>
        </w:tc>
      </w:tr>
      <w:tr>
        <w:trPr>
          <w:trHeight w:val="216"/>
        </w:trPr>
        <w:tc>
          <w:tcPr>
            <w:tcW w:w="20" w:type="dxa"/>
            <w:vAlign w:val="bottom"/>
          </w:tcPr>
          <w:p>
            <w:pPr>
              <w:spacing w:after="0"/>
              <w:rPr>
                <w:sz w:val="18"/>
                <w:szCs w:val="18"/>
                <w:color w:val="auto"/>
              </w:rPr>
            </w:pPr>
          </w:p>
        </w:tc>
        <w:tc>
          <w:tcPr>
            <w:tcW w:w="3420" w:type="dxa"/>
            <w:vAlign w:val="bottom"/>
            <w:gridSpan w:val="3"/>
          </w:tcPr>
          <w:p>
            <w:pPr>
              <w:spacing w:after="0"/>
              <w:rPr>
                <w:sz w:val="20"/>
                <w:szCs w:val="20"/>
                <w:color w:val="auto"/>
              </w:rPr>
            </w:pPr>
            <w:r>
              <w:rPr>
                <w:rFonts w:ascii="Arial" w:cs="Arial" w:eastAsia="Arial" w:hAnsi="Arial"/>
                <w:sz w:val="18"/>
                <w:szCs w:val="18"/>
                <w:color w:val="auto"/>
              </w:rPr>
              <w:t>Bernard Kraft</w:t>
            </w:r>
          </w:p>
        </w:tc>
        <w:tc>
          <w:tcPr>
            <w:tcW w:w="1720" w:type="dxa"/>
            <w:vAlign w:val="bottom"/>
          </w:tcPr>
          <w:p>
            <w:pPr>
              <w:jc w:val="right"/>
              <w:spacing w:after="0"/>
              <w:rPr>
                <w:sz w:val="20"/>
                <w:szCs w:val="20"/>
                <w:color w:val="auto"/>
              </w:rPr>
            </w:pPr>
            <w:r>
              <w:rPr>
                <w:rFonts w:ascii="Arial" w:cs="Arial" w:eastAsia="Arial" w:hAnsi="Arial"/>
                <w:sz w:val="18"/>
                <w:szCs w:val="18"/>
                <w:color w:val="auto"/>
              </w:rPr>
              <w:t>378,988</w:t>
            </w:r>
          </w:p>
        </w:tc>
        <w:tc>
          <w:tcPr>
            <w:tcW w:w="380" w:type="dxa"/>
            <w:vAlign w:val="bottom"/>
          </w:tcPr>
          <w:p>
            <w:pPr>
              <w:spacing w:after="0"/>
              <w:rPr>
                <w:sz w:val="18"/>
                <w:szCs w:val="18"/>
                <w:color w:val="auto"/>
              </w:rPr>
            </w:pPr>
          </w:p>
        </w:tc>
        <w:tc>
          <w:tcPr>
            <w:tcW w:w="1480" w:type="dxa"/>
            <w:vAlign w:val="bottom"/>
          </w:tcPr>
          <w:p>
            <w:pPr>
              <w:jc w:val="center"/>
              <w:spacing w:after="0"/>
              <w:rPr>
                <w:sz w:val="20"/>
                <w:szCs w:val="20"/>
                <w:color w:val="auto"/>
              </w:rPr>
            </w:pPr>
            <w:r>
              <w:rPr>
                <w:rFonts w:ascii="Arial" w:cs="Arial" w:eastAsia="Arial" w:hAnsi="Arial"/>
                <w:sz w:val="18"/>
                <w:szCs w:val="18"/>
                <w:color w:val="auto"/>
                <w:w w:val="87"/>
              </w:rPr>
              <w:t>n/a</w:t>
            </w:r>
          </w:p>
        </w:tc>
        <w:tc>
          <w:tcPr>
            <w:tcW w:w="160" w:type="dxa"/>
            <w:vAlign w:val="bottom"/>
          </w:tcPr>
          <w:p>
            <w:pPr>
              <w:spacing w:after="0"/>
              <w:rPr>
                <w:sz w:val="18"/>
                <w:szCs w:val="18"/>
                <w:color w:val="auto"/>
              </w:rPr>
            </w:pPr>
          </w:p>
        </w:tc>
        <w:tc>
          <w:tcPr>
            <w:tcW w:w="2040" w:type="dxa"/>
            <w:vAlign w:val="bottom"/>
          </w:tcPr>
          <w:p>
            <w:pPr>
              <w:jc w:val="center"/>
              <w:spacing w:after="0"/>
              <w:rPr>
                <w:sz w:val="20"/>
                <w:szCs w:val="20"/>
                <w:color w:val="auto"/>
              </w:rPr>
            </w:pPr>
            <w:r>
              <w:rPr>
                <w:rFonts w:ascii="Arial" w:cs="Arial" w:eastAsia="Arial" w:hAnsi="Arial"/>
                <w:sz w:val="18"/>
                <w:szCs w:val="18"/>
                <w:color w:val="auto"/>
                <w:w w:val="87"/>
              </w:rPr>
              <w:t>n/a</w:t>
            </w:r>
          </w:p>
        </w:tc>
      </w:tr>
      <w:tr>
        <w:trPr>
          <w:trHeight w:val="216"/>
        </w:trPr>
        <w:tc>
          <w:tcPr>
            <w:tcW w:w="20" w:type="dxa"/>
            <w:vAlign w:val="bottom"/>
          </w:tcPr>
          <w:p>
            <w:pPr>
              <w:spacing w:after="0"/>
              <w:rPr>
                <w:sz w:val="18"/>
                <w:szCs w:val="18"/>
                <w:color w:val="auto"/>
              </w:rPr>
            </w:pPr>
          </w:p>
        </w:tc>
        <w:tc>
          <w:tcPr>
            <w:tcW w:w="34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Mel Leiderman</w:t>
            </w:r>
          </w:p>
        </w:tc>
        <w:tc>
          <w:tcPr>
            <w:tcW w:w="1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157,013</w:t>
            </w:r>
          </w:p>
        </w:tc>
        <w:tc>
          <w:tcPr>
            <w:tcW w:w="380" w:type="dxa"/>
            <w:vAlign w:val="bottom"/>
            <w:shd w:val="clear" w:color="auto" w:fill="CCEEFF"/>
          </w:tcPr>
          <w:p>
            <w:pPr>
              <w:spacing w:after="0"/>
              <w:rPr>
                <w:sz w:val="18"/>
                <w:szCs w:val="18"/>
                <w:color w:val="auto"/>
              </w:rPr>
            </w:pPr>
          </w:p>
        </w:tc>
        <w:tc>
          <w:tcPr>
            <w:tcW w:w="14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n/a</w:t>
            </w:r>
          </w:p>
        </w:tc>
        <w:tc>
          <w:tcPr>
            <w:tcW w:w="160" w:type="dxa"/>
            <w:vAlign w:val="bottom"/>
            <w:shd w:val="clear" w:color="auto" w:fill="CCEEFF"/>
          </w:tcPr>
          <w:p>
            <w:pPr>
              <w:spacing w:after="0"/>
              <w:rPr>
                <w:sz w:val="18"/>
                <w:szCs w:val="18"/>
                <w:color w:val="auto"/>
              </w:rPr>
            </w:pPr>
          </w:p>
        </w:tc>
        <w:tc>
          <w:tcPr>
            <w:tcW w:w="20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n/a</w:t>
            </w:r>
          </w:p>
        </w:tc>
      </w:tr>
      <w:tr>
        <w:trPr>
          <w:trHeight w:val="216"/>
        </w:trPr>
        <w:tc>
          <w:tcPr>
            <w:tcW w:w="20" w:type="dxa"/>
            <w:vAlign w:val="bottom"/>
          </w:tcPr>
          <w:p>
            <w:pPr>
              <w:spacing w:after="0"/>
              <w:rPr>
                <w:sz w:val="18"/>
                <w:szCs w:val="18"/>
                <w:color w:val="auto"/>
              </w:rPr>
            </w:pPr>
          </w:p>
        </w:tc>
        <w:tc>
          <w:tcPr>
            <w:tcW w:w="3420" w:type="dxa"/>
            <w:vAlign w:val="bottom"/>
            <w:gridSpan w:val="3"/>
          </w:tcPr>
          <w:p>
            <w:pPr>
              <w:spacing w:after="0"/>
              <w:rPr>
                <w:sz w:val="20"/>
                <w:szCs w:val="20"/>
                <w:color w:val="auto"/>
              </w:rPr>
            </w:pPr>
            <w:r>
              <w:rPr>
                <w:rFonts w:ascii="Arial" w:cs="Arial" w:eastAsia="Arial" w:hAnsi="Arial"/>
                <w:sz w:val="18"/>
                <w:szCs w:val="18"/>
                <w:color w:val="auto"/>
              </w:rPr>
              <w:t>James D. Nasso</w:t>
            </w:r>
          </w:p>
        </w:tc>
        <w:tc>
          <w:tcPr>
            <w:tcW w:w="1720" w:type="dxa"/>
            <w:vAlign w:val="bottom"/>
          </w:tcPr>
          <w:p>
            <w:pPr>
              <w:jc w:val="right"/>
              <w:spacing w:after="0"/>
              <w:rPr>
                <w:sz w:val="20"/>
                <w:szCs w:val="20"/>
                <w:color w:val="auto"/>
              </w:rPr>
            </w:pPr>
            <w:r>
              <w:rPr>
                <w:rFonts w:ascii="Arial" w:cs="Arial" w:eastAsia="Arial" w:hAnsi="Arial"/>
                <w:sz w:val="18"/>
                <w:szCs w:val="18"/>
                <w:color w:val="auto"/>
              </w:rPr>
              <w:t>377,794</w:t>
            </w:r>
          </w:p>
        </w:tc>
        <w:tc>
          <w:tcPr>
            <w:tcW w:w="380" w:type="dxa"/>
            <w:vAlign w:val="bottom"/>
          </w:tcPr>
          <w:p>
            <w:pPr>
              <w:spacing w:after="0"/>
              <w:rPr>
                <w:sz w:val="18"/>
                <w:szCs w:val="18"/>
                <w:color w:val="auto"/>
              </w:rPr>
            </w:pPr>
          </w:p>
        </w:tc>
        <w:tc>
          <w:tcPr>
            <w:tcW w:w="1480" w:type="dxa"/>
            <w:vAlign w:val="bottom"/>
          </w:tcPr>
          <w:p>
            <w:pPr>
              <w:jc w:val="center"/>
              <w:spacing w:after="0"/>
              <w:rPr>
                <w:sz w:val="20"/>
                <w:szCs w:val="20"/>
                <w:color w:val="auto"/>
              </w:rPr>
            </w:pPr>
            <w:r>
              <w:rPr>
                <w:rFonts w:ascii="Arial" w:cs="Arial" w:eastAsia="Arial" w:hAnsi="Arial"/>
                <w:sz w:val="18"/>
                <w:szCs w:val="18"/>
                <w:color w:val="auto"/>
                <w:w w:val="87"/>
              </w:rPr>
              <w:t>n/a</w:t>
            </w:r>
          </w:p>
        </w:tc>
        <w:tc>
          <w:tcPr>
            <w:tcW w:w="160" w:type="dxa"/>
            <w:vAlign w:val="bottom"/>
          </w:tcPr>
          <w:p>
            <w:pPr>
              <w:spacing w:after="0"/>
              <w:rPr>
                <w:sz w:val="18"/>
                <w:szCs w:val="18"/>
                <w:color w:val="auto"/>
              </w:rPr>
            </w:pPr>
          </w:p>
        </w:tc>
        <w:tc>
          <w:tcPr>
            <w:tcW w:w="2040" w:type="dxa"/>
            <w:vAlign w:val="bottom"/>
          </w:tcPr>
          <w:p>
            <w:pPr>
              <w:jc w:val="center"/>
              <w:spacing w:after="0"/>
              <w:rPr>
                <w:sz w:val="20"/>
                <w:szCs w:val="20"/>
                <w:color w:val="auto"/>
              </w:rPr>
            </w:pPr>
            <w:r>
              <w:rPr>
                <w:rFonts w:ascii="Arial" w:cs="Arial" w:eastAsia="Arial" w:hAnsi="Arial"/>
                <w:sz w:val="18"/>
                <w:szCs w:val="18"/>
                <w:color w:val="auto"/>
                <w:w w:val="87"/>
              </w:rPr>
              <w:t>n/a</w:t>
            </w:r>
          </w:p>
        </w:tc>
      </w:tr>
      <w:tr>
        <w:trPr>
          <w:trHeight w:val="216"/>
        </w:trPr>
        <w:tc>
          <w:tcPr>
            <w:tcW w:w="20" w:type="dxa"/>
            <w:vAlign w:val="bottom"/>
          </w:tcPr>
          <w:p>
            <w:pPr>
              <w:spacing w:after="0"/>
              <w:rPr>
                <w:sz w:val="18"/>
                <w:szCs w:val="18"/>
                <w:color w:val="auto"/>
              </w:rPr>
            </w:pPr>
          </w:p>
        </w:tc>
        <w:tc>
          <w:tcPr>
            <w:tcW w:w="34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John Merfyn Roberts</w:t>
            </w:r>
          </w:p>
        </w:tc>
        <w:tc>
          <w:tcPr>
            <w:tcW w:w="1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53,208</w:t>
            </w:r>
          </w:p>
        </w:tc>
        <w:tc>
          <w:tcPr>
            <w:tcW w:w="380" w:type="dxa"/>
            <w:vAlign w:val="bottom"/>
            <w:shd w:val="clear" w:color="auto" w:fill="CCEEFF"/>
          </w:tcPr>
          <w:p>
            <w:pPr>
              <w:spacing w:after="0"/>
              <w:rPr>
                <w:sz w:val="18"/>
                <w:szCs w:val="18"/>
                <w:color w:val="auto"/>
              </w:rPr>
            </w:pPr>
          </w:p>
        </w:tc>
        <w:tc>
          <w:tcPr>
            <w:tcW w:w="14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n/a</w:t>
            </w:r>
          </w:p>
        </w:tc>
        <w:tc>
          <w:tcPr>
            <w:tcW w:w="160" w:type="dxa"/>
            <w:vAlign w:val="bottom"/>
            <w:shd w:val="clear" w:color="auto" w:fill="CCEEFF"/>
          </w:tcPr>
          <w:p>
            <w:pPr>
              <w:spacing w:after="0"/>
              <w:rPr>
                <w:sz w:val="18"/>
                <w:szCs w:val="18"/>
                <w:color w:val="auto"/>
              </w:rPr>
            </w:pPr>
          </w:p>
        </w:tc>
        <w:tc>
          <w:tcPr>
            <w:tcW w:w="20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n/a</w:t>
            </w:r>
          </w:p>
        </w:tc>
      </w:tr>
      <w:tr>
        <w:trPr>
          <w:trHeight w:val="216"/>
        </w:trPr>
        <w:tc>
          <w:tcPr>
            <w:tcW w:w="20" w:type="dxa"/>
            <w:vAlign w:val="bottom"/>
          </w:tcPr>
          <w:p>
            <w:pPr>
              <w:spacing w:after="0"/>
              <w:rPr>
                <w:sz w:val="18"/>
                <w:szCs w:val="18"/>
                <w:color w:val="auto"/>
              </w:rPr>
            </w:pPr>
          </w:p>
        </w:tc>
        <w:tc>
          <w:tcPr>
            <w:tcW w:w="3420" w:type="dxa"/>
            <w:vAlign w:val="bottom"/>
            <w:gridSpan w:val="3"/>
          </w:tcPr>
          <w:p>
            <w:pPr>
              <w:spacing w:after="0"/>
              <w:rPr>
                <w:sz w:val="20"/>
                <w:szCs w:val="20"/>
                <w:color w:val="auto"/>
              </w:rPr>
            </w:pPr>
            <w:r>
              <w:rPr>
                <w:rFonts w:ascii="Arial" w:cs="Arial" w:eastAsia="Arial" w:hAnsi="Arial"/>
                <w:sz w:val="18"/>
                <w:szCs w:val="18"/>
                <w:color w:val="auto"/>
              </w:rPr>
              <w:t>Howard Stockford</w:t>
            </w:r>
          </w:p>
        </w:tc>
        <w:tc>
          <w:tcPr>
            <w:tcW w:w="1720" w:type="dxa"/>
            <w:vAlign w:val="bottom"/>
          </w:tcPr>
          <w:p>
            <w:pPr>
              <w:jc w:val="right"/>
              <w:spacing w:after="0"/>
              <w:rPr>
                <w:sz w:val="20"/>
                <w:szCs w:val="20"/>
                <w:color w:val="auto"/>
              </w:rPr>
            </w:pPr>
            <w:r>
              <w:rPr>
                <w:rFonts w:ascii="Arial" w:cs="Arial" w:eastAsia="Arial" w:hAnsi="Arial"/>
                <w:sz w:val="18"/>
                <w:szCs w:val="18"/>
                <w:color w:val="auto"/>
              </w:rPr>
              <w:t>157,013</w:t>
            </w:r>
          </w:p>
        </w:tc>
        <w:tc>
          <w:tcPr>
            <w:tcW w:w="380" w:type="dxa"/>
            <w:vAlign w:val="bottom"/>
          </w:tcPr>
          <w:p>
            <w:pPr>
              <w:spacing w:after="0"/>
              <w:rPr>
                <w:sz w:val="18"/>
                <w:szCs w:val="18"/>
                <w:color w:val="auto"/>
              </w:rPr>
            </w:pPr>
          </w:p>
        </w:tc>
        <w:tc>
          <w:tcPr>
            <w:tcW w:w="1480" w:type="dxa"/>
            <w:vAlign w:val="bottom"/>
          </w:tcPr>
          <w:p>
            <w:pPr>
              <w:jc w:val="center"/>
              <w:spacing w:after="0"/>
              <w:rPr>
                <w:sz w:val="20"/>
                <w:szCs w:val="20"/>
                <w:color w:val="auto"/>
              </w:rPr>
            </w:pPr>
            <w:r>
              <w:rPr>
                <w:rFonts w:ascii="Arial" w:cs="Arial" w:eastAsia="Arial" w:hAnsi="Arial"/>
                <w:sz w:val="18"/>
                <w:szCs w:val="18"/>
                <w:color w:val="auto"/>
                <w:w w:val="87"/>
              </w:rPr>
              <w:t>n/a</w:t>
            </w:r>
          </w:p>
        </w:tc>
        <w:tc>
          <w:tcPr>
            <w:tcW w:w="160" w:type="dxa"/>
            <w:vAlign w:val="bottom"/>
          </w:tcPr>
          <w:p>
            <w:pPr>
              <w:spacing w:after="0"/>
              <w:rPr>
                <w:sz w:val="18"/>
                <w:szCs w:val="18"/>
                <w:color w:val="auto"/>
              </w:rPr>
            </w:pPr>
          </w:p>
        </w:tc>
        <w:tc>
          <w:tcPr>
            <w:tcW w:w="2040" w:type="dxa"/>
            <w:vAlign w:val="bottom"/>
          </w:tcPr>
          <w:p>
            <w:pPr>
              <w:jc w:val="center"/>
              <w:spacing w:after="0"/>
              <w:rPr>
                <w:sz w:val="20"/>
                <w:szCs w:val="20"/>
                <w:color w:val="auto"/>
              </w:rPr>
            </w:pPr>
            <w:r>
              <w:rPr>
                <w:rFonts w:ascii="Arial" w:cs="Arial" w:eastAsia="Arial" w:hAnsi="Arial"/>
                <w:sz w:val="18"/>
                <w:szCs w:val="18"/>
                <w:color w:val="auto"/>
                <w:w w:val="87"/>
              </w:rPr>
              <w:t>n/a</w:t>
            </w:r>
          </w:p>
        </w:tc>
      </w:tr>
      <w:tr>
        <w:trPr>
          <w:trHeight w:val="216"/>
        </w:trPr>
        <w:tc>
          <w:tcPr>
            <w:tcW w:w="20" w:type="dxa"/>
            <w:vAlign w:val="bottom"/>
          </w:tcPr>
          <w:p>
            <w:pPr>
              <w:spacing w:after="0"/>
              <w:rPr>
                <w:sz w:val="18"/>
                <w:szCs w:val="18"/>
                <w:color w:val="auto"/>
              </w:rPr>
            </w:pPr>
          </w:p>
        </w:tc>
        <w:tc>
          <w:tcPr>
            <w:tcW w:w="34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Pertti Voutilainen</w:t>
            </w:r>
          </w:p>
        </w:tc>
        <w:tc>
          <w:tcPr>
            <w:tcW w:w="1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157,013</w:t>
            </w:r>
          </w:p>
        </w:tc>
        <w:tc>
          <w:tcPr>
            <w:tcW w:w="380" w:type="dxa"/>
            <w:vAlign w:val="bottom"/>
            <w:shd w:val="clear" w:color="auto" w:fill="CCEEFF"/>
          </w:tcPr>
          <w:p>
            <w:pPr>
              <w:spacing w:after="0"/>
              <w:rPr>
                <w:sz w:val="18"/>
                <w:szCs w:val="18"/>
                <w:color w:val="auto"/>
              </w:rPr>
            </w:pPr>
          </w:p>
        </w:tc>
        <w:tc>
          <w:tcPr>
            <w:tcW w:w="14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n/a</w:t>
            </w:r>
          </w:p>
        </w:tc>
        <w:tc>
          <w:tcPr>
            <w:tcW w:w="160" w:type="dxa"/>
            <w:vAlign w:val="bottom"/>
            <w:shd w:val="clear" w:color="auto" w:fill="CCEEFF"/>
          </w:tcPr>
          <w:p>
            <w:pPr>
              <w:spacing w:after="0"/>
              <w:rPr>
                <w:sz w:val="18"/>
                <w:szCs w:val="18"/>
                <w:color w:val="auto"/>
              </w:rPr>
            </w:pPr>
          </w:p>
        </w:tc>
        <w:tc>
          <w:tcPr>
            <w:tcW w:w="20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n/a</w:t>
            </w:r>
          </w:p>
        </w:tc>
      </w:tr>
      <w:tr>
        <w:trPr>
          <w:trHeight w:val="108"/>
        </w:trPr>
        <w:tc>
          <w:tcPr>
            <w:tcW w:w="20" w:type="dxa"/>
            <w:vAlign w:val="bottom"/>
          </w:tcPr>
          <w:p>
            <w:pPr>
              <w:spacing w:after="0"/>
              <w:rPr>
                <w:sz w:val="9"/>
                <w:szCs w:val="9"/>
                <w:color w:val="auto"/>
              </w:rPr>
            </w:pPr>
          </w:p>
        </w:tc>
        <w:tc>
          <w:tcPr>
            <w:tcW w:w="380" w:type="dxa"/>
            <w:vAlign w:val="bottom"/>
            <w:tcBorders>
              <w:bottom w:val="single" w:sz="8" w:color="auto"/>
            </w:tcBorders>
          </w:tcPr>
          <w:p>
            <w:pPr>
              <w:spacing w:after="0"/>
              <w:rPr>
                <w:sz w:val="9"/>
                <w:szCs w:val="9"/>
                <w:color w:val="auto"/>
              </w:rPr>
            </w:pPr>
          </w:p>
        </w:tc>
        <w:tc>
          <w:tcPr>
            <w:tcW w:w="880" w:type="dxa"/>
            <w:vAlign w:val="bottom"/>
            <w:tcBorders>
              <w:bottom w:val="single" w:sz="8" w:color="auto"/>
            </w:tcBorders>
          </w:tcPr>
          <w:p>
            <w:pPr>
              <w:spacing w:after="0"/>
              <w:rPr>
                <w:sz w:val="9"/>
                <w:szCs w:val="9"/>
                <w:color w:val="auto"/>
              </w:rPr>
            </w:pPr>
          </w:p>
        </w:tc>
        <w:tc>
          <w:tcPr>
            <w:tcW w:w="2160" w:type="dxa"/>
            <w:vAlign w:val="bottom"/>
          </w:tcPr>
          <w:p>
            <w:pPr>
              <w:spacing w:after="0"/>
              <w:rPr>
                <w:sz w:val="9"/>
                <w:szCs w:val="9"/>
                <w:color w:val="auto"/>
              </w:rPr>
            </w:pPr>
          </w:p>
        </w:tc>
        <w:tc>
          <w:tcPr>
            <w:tcW w:w="1720" w:type="dxa"/>
            <w:vAlign w:val="bottom"/>
          </w:tcPr>
          <w:p>
            <w:pPr>
              <w:spacing w:after="0"/>
              <w:rPr>
                <w:sz w:val="9"/>
                <w:szCs w:val="9"/>
                <w:color w:val="auto"/>
              </w:rPr>
            </w:pPr>
          </w:p>
        </w:tc>
        <w:tc>
          <w:tcPr>
            <w:tcW w:w="380" w:type="dxa"/>
            <w:vAlign w:val="bottom"/>
          </w:tcPr>
          <w:p>
            <w:pPr>
              <w:spacing w:after="0"/>
              <w:rPr>
                <w:sz w:val="9"/>
                <w:szCs w:val="9"/>
                <w:color w:val="auto"/>
              </w:rPr>
            </w:pPr>
          </w:p>
        </w:tc>
        <w:tc>
          <w:tcPr>
            <w:tcW w:w="1480" w:type="dxa"/>
            <w:vAlign w:val="bottom"/>
          </w:tcPr>
          <w:p>
            <w:pPr>
              <w:spacing w:after="0"/>
              <w:rPr>
                <w:sz w:val="9"/>
                <w:szCs w:val="9"/>
                <w:color w:val="auto"/>
              </w:rPr>
            </w:pPr>
          </w:p>
        </w:tc>
        <w:tc>
          <w:tcPr>
            <w:tcW w:w="160" w:type="dxa"/>
            <w:vAlign w:val="bottom"/>
          </w:tcPr>
          <w:p>
            <w:pPr>
              <w:spacing w:after="0"/>
              <w:rPr>
                <w:sz w:val="9"/>
                <w:szCs w:val="9"/>
                <w:color w:val="auto"/>
              </w:rPr>
            </w:pPr>
          </w:p>
        </w:tc>
        <w:tc>
          <w:tcPr>
            <w:tcW w:w="2040" w:type="dxa"/>
            <w:vAlign w:val="bottom"/>
          </w:tcPr>
          <w:p>
            <w:pPr>
              <w:spacing w:after="0"/>
              <w:rPr>
                <w:sz w:val="9"/>
                <w:szCs w:val="9"/>
                <w:color w:val="auto"/>
              </w:rPr>
            </w:pPr>
          </w:p>
        </w:tc>
      </w:tr>
    </w:tbl>
    <w:p>
      <w:pPr>
        <w:spacing w:after="0" w:line="192" w:lineRule="exact"/>
        <w:rPr>
          <w:sz w:val="20"/>
          <w:szCs w:val="20"/>
          <w:color w:val="auto"/>
        </w:rPr>
      </w:pPr>
    </w:p>
    <w:p>
      <w:pPr>
        <w:ind w:left="1680" w:hanging="531"/>
        <w:spacing w:after="0"/>
        <w:tabs>
          <w:tab w:leader="none" w:pos="1680" w:val="left"/>
        </w:tabs>
        <w:numPr>
          <w:ilvl w:val="0"/>
          <w:numId w:val="53"/>
        </w:numPr>
        <w:rPr>
          <w:rFonts w:ascii="Arial" w:cs="Arial" w:eastAsia="Arial" w:hAnsi="Arial"/>
          <w:sz w:val="14"/>
          <w:szCs w:val="14"/>
          <w:color w:val="auto"/>
        </w:rPr>
      </w:pPr>
      <w:r>
        <w:rPr>
          <w:rFonts w:ascii="Arial" w:cs="Arial" w:eastAsia="Arial" w:hAnsi="Arial"/>
          <w:sz w:val="14"/>
          <w:szCs w:val="14"/>
          <w:color w:val="auto"/>
        </w:rPr>
        <w:t>Value of Dr. Baker's awards are in United States dollars.</w:t>
      </w:r>
    </w:p>
    <w:p>
      <w:pPr>
        <w:spacing w:after="0" w:line="20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4" w:name="page155"/>
    <w:bookmarkEnd w:id="154"/>
    <w:p>
      <w:pPr>
        <w:ind w:firstLine="463"/>
        <w:spacing w:after="0" w:line="268" w:lineRule="auto"/>
        <w:rPr>
          <w:sz w:val="20"/>
          <w:szCs w:val="20"/>
          <w:color w:val="auto"/>
        </w:rPr>
      </w:pPr>
      <w:r>
        <w:rPr>
          <w:rFonts w:ascii="Arial" w:cs="Arial" w:eastAsia="Arial" w:hAnsi="Arial"/>
          <w:sz w:val="18"/>
          <w:szCs w:val="18"/>
          <w:color w:val="auto"/>
        </w:rPr>
        <w:t>The following table sets out the outstanding option awards of the directors of the Company, other than Mr. Boyd, Mr. Scherkus and Mr. Garofalo, as at December 31, 2009.</w:t>
      </w:r>
    </w:p>
    <w:p>
      <w:pPr>
        <w:spacing w:after="0" w:line="18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Outstanding Incentive Plan Awards Table</w:t>
      </w:r>
    </w:p>
    <w:p>
      <w:pPr>
        <w:spacing w:after="0" w:line="281"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14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3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2320" w:type="dxa"/>
            <w:vAlign w:val="bottom"/>
            <w:tcBorders>
              <w:bottom w:val="single" w:sz="8" w:color="auto"/>
            </w:tcBorders>
            <w:gridSpan w:val="3"/>
          </w:tcPr>
          <w:p>
            <w:pPr>
              <w:ind w:left="560"/>
              <w:spacing w:after="0"/>
              <w:rPr>
                <w:sz w:val="20"/>
                <w:szCs w:val="20"/>
                <w:color w:val="auto"/>
              </w:rPr>
            </w:pPr>
            <w:r>
              <w:rPr>
                <w:rFonts w:ascii="Arial" w:cs="Arial" w:eastAsia="Arial" w:hAnsi="Arial"/>
                <w:sz w:val="14"/>
                <w:szCs w:val="14"/>
                <w:b w:val="1"/>
                <w:bCs w:val="1"/>
                <w:color w:val="auto"/>
              </w:rPr>
              <w:t>Share-Based Awards</w:t>
            </w:r>
          </w:p>
        </w:tc>
        <w:tc>
          <w:tcPr>
            <w:tcW w:w="0" w:type="dxa"/>
            <w:vAlign w:val="bottom"/>
          </w:tcPr>
          <w:p>
            <w:pPr>
              <w:spacing w:after="0"/>
              <w:rPr>
                <w:sz w:val="1"/>
                <w:szCs w:val="1"/>
                <w:color w:val="auto"/>
              </w:rPr>
            </w:pPr>
          </w:p>
        </w:tc>
      </w:tr>
      <w:tr>
        <w:trPr>
          <w:trHeight w:val="156"/>
        </w:trPr>
        <w:tc>
          <w:tcPr>
            <w:tcW w:w="2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88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140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8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3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18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980" w:type="dxa"/>
            <w:vAlign w:val="bottom"/>
          </w:tcPr>
          <w:p>
            <w:pPr>
              <w:jc w:val="center"/>
              <w:spacing w:after="0" w:line="156" w:lineRule="exact"/>
              <w:rPr>
                <w:sz w:val="20"/>
                <w:szCs w:val="20"/>
                <w:color w:val="auto"/>
              </w:rPr>
            </w:pPr>
            <w:r>
              <w:rPr>
                <w:rFonts w:ascii="Arial" w:cs="Arial" w:eastAsia="Arial" w:hAnsi="Arial"/>
                <w:sz w:val="14"/>
                <w:szCs w:val="14"/>
                <w:b w:val="1"/>
                <w:bCs w:val="1"/>
                <w:color w:val="auto"/>
                <w:w w:val="95"/>
              </w:rPr>
              <w:t>Market or</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4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640" w:type="dxa"/>
            <w:vAlign w:val="bottom"/>
            <w:gridSpan w:val="3"/>
            <w:vMerge w:val="restart"/>
          </w:tcPr>
          <w:p>
            <w:pPr>
              <w:jc w:val="right"/>
              <w:ind w:right="114"/>
              <w:spacing w:after="0"/>
              <w:rPr>
                <w:sz w:val="20"/>
                <w:szCs w:val="20"/>
                <w:color w:val="auto"/>
              </w:rPr>
            </w:pPr>
            <w:r>
              <w:rPr>
                <w:rFonts w:ascii="Arial" w:cs="Arial" w:eastAsia="Arial" w:hAnsi="Arial"/>
                <w:sz w:val="14"/>
                <w:szCs w:val="14"/>
                <w:b w:val="1"/>
                <w:bCs w:val="1"/>
                <w:color w:val="auto"/>
                <w:w w:val="97"/>
              </w:rPr>
              <w:t>Option-Based Awards</w:t>
            </w:r>
          </w:p>
        </w:tc>
        <w:tc>
          <w:tcPr>
            <w:tcW w:w="180" w:type="dxa"/>
            <w:vAlign w:val="bottom"/>
          </w:tcPr>
          <w:p>
            <w:pPr>
              <w:spacing w:after="0"/>
              <w:rPr>
                <w:sz w:val="12"/>
                <w:szCs w:val="12"/>
                <w:color w:val="auto"/>
              </w:rPr>
            </w:pPr>
          </w:p>
        </w:tc>
        <w:tc>
          <w:tcPr>
            <w:tcW w:w="13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1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6"/>
              </w:rPr>
              <w:t>Payout Value</w:t>
            </w:r>
          </w:p>
        </w:tc>
        <w:tc>
          <w:tcPr>
            <w:tcW w:w="0" w:type="dxa"/>
            <w:vAlign w:val="bottom"/>
          </w:tcPr>
          <w:p>
            <w:pPr>
              <w:spacing w:after="0"/>
              <w:rPr>
                <w:sz w:val="1"/>
                <w:szCs w:val="1"/>
                <w:color w:val="auto"/>
              </w:rPr>
            </w:pPr>
          </w:p>
        </w:tc>
      </w:tr>
      <w:tr>
        <w:trPr>
          <w:trHeight w:val="121"/>
        </w:trPr>
        <w:tc>
          <w:tcPr>
            <w:tcW w:w="2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88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400" w:type="dxa"/>
            <w:vAlign w:val="bottom"/>
            <w:tcBorders>
              <w:bottom w:val="single" w:sz="8" w:color="auto"/>
            </w:tcBorders>
          </w:tcPr>
          <w:p>
            <w:pPr>
              <w:spacing w:after="0"/>
              <w:rPr>
                <w:sz w:val="10"/>
                <w:szCs w:val="10"/>
                <w:color w:val="auto"/>
              </w:rPr>
            </w:pPr>
          </w:p>
        </w:tc>
        <w:tc>
          <w:tcPr>
            <w:tcW w:w="160" w:type="dxa"/>
            <w:vAlign w:val="bottom"/>
            <w:tcBorders>
              <w:bottom w:val="single" w:sz="8" w:color="auto"/>
            </w:tcBorders>
          </w:tcPr>
          <w:p>
            <w:pPr>
              <w:spacing w:after="0"/>
              <w:rPr>
                <w:sz w:val="10"/>
                <w:szCs w:val="10"/>
                <w:color w:val="auto"/>
              </w:rPr>
            </w:pPr>
          </w:p>
        </w:tc>
        <w:tc>
          <w:tcPr>
            <w:tcW w:w="1640" w:type="dxa"/>
            <w:vAlign w:val="bottom"/>
            <w:tcBorders>
              <w:bottom w:val="single" w:sz="8" w:color="auto"/>
            </w:tcBorders>
            <w:gridSpan w:val="3"/>
            <w:vMerge w:val="continue"/>
          </w:tcPr>
          <w:p>
            <w:pPr>
              <w:spacing w:after="0"/>
              <w:rPr>
                <w:sz w:val="10"/>
                <w:szCs w:val="10"/>
                <w:color w:val="auto"/>
              </w:rPr>
            </w:pPr>
          </w:p>
        </w:tc>
        <w:tc>
          <w:tcPr>
            <w:tcW w:w="180" w:type="dxa"/>
            <w:vAlign w:val="bottom"/>
            <w:tcBorders>
              <w:bottom w:val="single" w:sz="8" w:color="auto"/>
            </w:tcBorders>
          </w:tcPr>
          <w:p>
            <w:pPr>
              <w:spacing w:after="0"/>
              <w:rPr>
                <w:sz w:val="10"/>
                <w:szCs w:val="10"/>
                <w:color w:val="auto"/>
              </w:rPr>
            </w:pPr>
          </w:p>
        </w:tc>
        <w:tc>
          <w:tcPr>
            <w:tcW w:w="1380" w:type="dxa"/>
            <w:vAlign w:val="bottom"/>
            <w:tcBorders>
              <w:bottom w:val="single" w:sz="8" w:color="auto"/>
            </w:tcBorders>
          </w:tcPr>
          <w:p>
            <w:pPr>
              <w:spacing w:after="0"/>
              <w:rPr>
                <w:sz w:val="10"/>
                <w:szCs w:val="10"/>
                <w:color w:val="auto"/>
              </w:rPr>
            </w:pPr>
          </w:p>
        </w:tc>
        <w:tc>
          <w:tcPr>
            <w:tcW w:w="200" w:type="dxa"/>
            <w:vAlign w:val="bottom"/>
          </w:tcPr>
          <w:p>
            <w:pPr>
              <w:spacing w:after="0"/>
              <w:rPr>
                <w:sz w:val="10"/>
                <w:szCs w:val="10"/>
                <w:color w:val="auto"/>
              </w:rPr>
            </w:pPr>
          </w:p>
        </w:tc>
        <w:tc>
          <w:tcPr>
            <w:tcW w:w="1340" w:type="dxa"/>
            <w:vAlign w:val="bottom"/>
            <w:gridSpan w:val="2"/>
          </w:tcPr>
          <w:p>
            <w:pPr>
              <w:jc w:val="center"/>
              <w:ind w:right="180"/>
              <w:spacing w:after="0" w:line="114" w:lineRule="exact"/>
              <w:rPr>
                <w:sz w:val="20"/>
                <w:szCs w:val="20"/>
                <w:color w:val="auto"/>
              </w:rPr>
            </w:pPr>
            <w:r>
              <w:rPr>
                <w:rFonts w:ascii="Arial" w:cs="Arial" w:eastAsia="Arial" w:hAnsi="Arial"/>
                <w:sz w:val="12"/>
                <w:szCs w:val="12"/>
                <w:b w:val="1"/>
                <w:bCs w:val="1"/>
                <w:color w:val="auto"/>
              </w:rPr>
              <w:t>Number of Shares</w:t>
            </w:r>
          </w:p>
        </w:tc>
        <w:tc>
          <w:tcPr>
            <w:tcW w:w="980" w:type="dxa"/>
            <w:vAlign w:val="bottom"/>
          </w:tcPr>
          <w:p>
            <w:pPr>
              <w:jc w:val="center"/>
              <w:spacing w:after="0" w:line="114" w:lineRule="exact"/>
              <w:rPr>
                <w:sz w:val="20"/>
                <w:szCs w:val="20"/>
                <w:color w:val="auto"/>
              </w:rPr>
            </w:pPr>
            <w:r>
              <w:rPr>
                <w:rFonts w:ascii="Arial" w:cs="Arial" w:eastAsia="Arial" w:hAnsi="Arial"/>
                <w:sz w:val="12"/>
                <w:szCs w:val="12"/>
                <w:b w:val="1"/>
                <w:bCs w:val="1"/>
                <w:color w:val="auto"/>
                <w:w w:val="99"/>
              </w:rPr>
              <w:t>of Share-Based</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400" w:type="dxa"/>
            <w:vAlign w:val="bottom"/>
          </w:tcPr>
          <w:p>
            <w:pPr>
              <w:jc w:val="center"/>
              <w:spacing w:after="0" w:line="142" w:lineRule="exact"/>
              <w:rPr>
                <w:sz w:val="20"/>
                <w:szCs w:val="20"/>
                <w:color w:val="auto"/>
              </w:rPr>
            </w:pPr>
            <w:r>
              <w:rPr>
                <w:rFonts w:ascii="Arial" w:cs="Arial" w:eastAsia="Arial" w:hAnsi="Arial"/>
                <w:sz w:val="14"/>
                <w:szCs w:val="14"/>
                <w:b w:val="1"/>
                <w:bCs w:val="1"/>
                <w:color w:val="auto"/>
                <w:w w:val="86"/>
              </w:rPr>
              <w:t>Number of Securities</w:t>
            </w:r>
          </w:p>
        </w:tc>
        <w:tc>
          <w:tcPr>
            <w:tcW w:w="160" w:type="dxa"/>
            <w:vAlign w:val="bottom"/>
          </w:tcPr>
          <w:p>
            <w:pPr>
              <w:spacing w:after="0"/>
              <w:rPr>
                <w:sz w:val="12"/>
                <w:szCs w:val="12"/>
                <w:color w:val="auto"/>
              </w:rPr>
            </w:pPr>
          </w:p>
        </w:tc>
        <w:tc>
          <w:tcPr>
            <w:tcW w:w="820" w:type="dxa"/>
            <w:vAlign w:val="bottom"/>
            <w:gridSpan w:val="2"/>
          </w:tcPr>
          <w:p>
            <w:pPr>
              <w:jc w:val="center"/>
              <w:ind w:right="220"/>
              <w:spacing w:after="0" w:line="142" w:lineRule="exact"/>
              <w:rPr>
                <w:sz w:val="20"/>
                <w:szCs w:val="20"/>
                <w:color w:val="auto"/>
              </w:rPr>
            </w:pPr>
            <w:r>
              <w:rPr>
                <w:rFonts w:ascii="Arial" w:cs="Arial" w:eastAsia="Arial" w:hAnsi="Arial"/>
                <w:sz w:val="14"/>
                <w:szCs w:val="14"/>
                <w:b w:val="1"/>
                <w:bCs w:val="1"/>
                <w:color w:val="auto"/>
                <w:w w:val="88"/>
              </w:rPr>
              <w:t>Option</w:t>
            </w:r>
          </w:p>
        </w:tc>
        <w:tc>
          <w:tcPr>
            <w:tcW w:w="820" w:type="dxa"/>
            <w:vAlign w:val="bottom"/>
          </w:tcPr>
          <w:p>
            <w:pPr>
              <w:jc w:val="center"/>
              <w:spacing w:after="0" w:line="142" w:lineRule="exact"/>
              <w:rPr>
                <w:sz w:val="20"/>
                <w:szCs w:val="20"/>
                <w:color w:val="auto"/>
              </w:rPr>
            </w:pPr>
            <w:r>
              <w:rPr>
                <w:rFonts w:ascii="Arial" w:cs="Arial" w:eastAsia="Arial" w:hAnsi="Arial"/>
                <w:sz w:val="14"/>
                <w:szCs w:val="14"/>
                <w:b w:val="1"/>
                <w:bCs w:val="1"/>
                <w:color w:val="auto"/>
                <w:w w:val="93"/>
              </w:rPr>
              <w:t>Option</w:t>
            </w:r>
          </w:p>
        </w:tc>
        <w:tc>
          <w:tcPr>
            <w:tcW w:w="180" w:type="dxa"/>
            <w:vAlign w:val="bottom"/>
          </w:tcPr>
          <w:p>
            <w:pPr>
              <w:spacing w:after="0"/>
              <w:rPr>
                <w:sz w:val="12"/>
                <w:szCs w:val="12"/>
                <w:color w:val="auto"/>
              </w:rPr>
            </w:pPr>
          </w:p>
        </w:tc>
        <w:tc>
          <w:tcPr>
            <w:tcW w:w="1580" w:type="dxa"/>
            <w:vAlign w:val="bottom"/>
            <w:gridSpan w:val="2"/>
          </w:tcPr>
          <w:p>
            <w:pPr>
              <w:jc w:val="center"/>
              <w:ind w:right="220"/>
              <w:spacing w:after="0" w:line="142" w:lineRule="exact"/>
              <w:rPr>
                <w:sz w:val="20"/>
                <w:szCs w:val="20"/>
                <w:color w:val="auto"/>
              </w:rPr>
            </w:pPr>
            <w:r>
              <w:rPr>
                <w:rFonts w:ascii="Arial" w:cs="Arial" w:eastAsia="Arial" w:hAnsi="Arial"/>
                <w:sz w:val="14"/>
                <w:szCs w:val="14"/>
                <w:b w:val="1"/>
                <w:bCs w:val="1"/>
                <w:color w:val="auto"/>
                <w:w w:val="84"/>
              </w:rPr>
              <w:t>Value of Unexercised</w:t>
            </w:r>
          </w:p>
        </w:tc>
        <w:tc>
          <w:tcPr>
            <w:tcW w:w="1340" w:type="dxa"/>
            <w:vAlign w:val="bottom"/>
            <w:gridSpan w:val="2"/>
          </w:tcPr>
          <w:p>
            <w:pPr>
              <w:jc w:val="center"/>
              <w:ind w:right="180"/>
              <w:spacing w:after="0" w:line="142" w:lineRule="exact"/>
              <w:rPr>
                <w:sz w:val="20"/>
                <w:szCs w:val="20"/>
                <w:color w:val="auto"/>
              </w:rPr>
            </w:pPr>
            <w:r>
              <w:rPr>
                <w:rFonts w:ascii="Arial" w:cs="Arial" w:eastAsia="Arial" w:hAnsi="Arial"/>
                <w:sz w:val="14"/>
                <w:szCs w:val="14"/>
                <w:b w:val="1"/>
                <w:bCs w:val="1"/>
                <w:color w:val="auto"/>
                <w:w w:val="86"/>
              </w:rPr>
              <w:t>or Units of Shares</w:t>
            </w:r>
          </w:p>
        </w:tc>
        <w:tc>
          <w:tcPr>
            <w:tcW w:w="980" w:type="dxa"/>
            <w:vAlign w:val="bottom"/>
          </w:tcPr>
          <w:p>
            <w:pPr>
              <w:jc w:val="center"/>
              <w:spacing w:after="0" w:line="142" w:lineRule="exact"/>
              <w:rPr>
                <w:sz w:val="20"/>
                <w:szCs w:val="20"/>
                <w:color w:val="auto"/>
              </w:rPr>
            </w:pPr>
            <w:r>
              <w:rPr>
                <w:rFonts w:ascii="Arial" w:cs="Arial" w:eastAsia="Arial" w:hAnsi="Arial"/>
                <w:sz w:val="14"/>
                <w:szCs w:val="14"/>
                <w:b w:val="1"/>
                <w:bCs w:val="1"/>
                <w:color w:val="auto"/>
                <w:w w:val="86"/>
              </w:rPr>
              <w:t>Awards</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4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0"/>
              </w:rPr>
              <w:t>Underlying</w:t>
            </w:r>
          </w:p>
        </w:tc>
        <w:tc>
          <w:tcPr>
            <w:tcW w:w="160" w:type="dxa"/>
            <w:vAlign w:val="bottom"/>
          </w:tcPr>
          <w:p>
            <w:pPr>
              <w:spacing w:after="0"/>
              <w:rPr>
                <w:sz w:val="12"/>
                <w:szCs w:val="12"/>
                <w:color w:val="auto"/>
              </w:rPr>
            </w:pPr>
          </w:p>
        </w:tc>
        <w:tc>
          <w:tcPr>
            <w:tcW w:w="820" w:type="dxa"/>
            <w:vAlign w:val="bottom"/>
            <w:gridSpan w:val="2"/>
          </w:tcPr>
          <w:p>
            <w:pPr>
              <w:jc w:val="center"/>
              <w:ind w:right="220"/>
              <w:spacing w:after="0" w:line="149" w:lineRule="exact"/>
              <w:rPr>
                <w:sz w:val="20"/>
                <w:szCs w:val="20"/>
                <w:color w:val="auto"/>
              </w:rPr>
            </w:pPr>
            <w:r>
              <w:rPr>
                <w:rFonts w:ascii="Arial" w:cs="Arial" w:eastAsia="Arial" w:hAnsi="Arial"/>
                <w:sz w:val="14"/>
                <w:szCs w:val="14"/>
                <w:b w:val="1"/>
                <w:bCs w:val="1"/>
                <w:color w:val="auto"/>
                <w:w w:val="83"/>
              </w:rPr>
              <w:t>Exercise</w:t>
            </w:r>
          </w:p>
        </w:tc>
        <w:tc>
          <w:tcPr>
            <w:tcW w:w="8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0"/>
              </w:rPr>
              <w:t>Expiration</w:t>
            </w:r>
          </w:p>
        </w:tc>
        <w:tc>
          <w:tcPr>
            <w:tcW w:w="180" w:type="dxa"/>
            <w:vAlign w:val="bottom"/>
          </w:tcPr>
          <w:p>
            <w:pPr>
              <w:spacing w:after="0"/>
              <w:rPr>
                <w:sz w:val="12"/>
                <w:szCs w:val="12"/>
                <w:color w:val="auto"/>
              </w:rPr>
            </w:pPr>
          </w:p>
        </w:tc>
        <w:tc>
          <w:tcPr>
            <w:tcW w:w="1580" w:type="dxa"/>
            <w:vAlign w:val="bottom"/>
            <w:gridSpan w:val="2"/>
          </w:tcPr>
          <w:p>
            <w:pPr>
              <w:jc w:val="center"/>
              <w:ind w:right="220"/>
              <w:spacing w:after="0" w:line="149" w:lineRule="exact"/>
              <w:rPr>
                <w:sz w:val="20"/>
                <w:szCs w:val="20"/>
                <w:color w:val="auto"/>
              </w:rPr>
            </w:pPr>
            <w:r>
              <w:rPr>
                <w:rFonts w:ascii="Arial" w:cs="Arial" w:eastAsia="Arial" w:hAnsi="Arial"/>
                <w:sz w:val="14"/>
                <w:szCs w:val="14"/>
                <w:b w:val="1"/>
                <w:bCs w:val="1"/>
                <w:color w:val="auto"/>
                <w:w w:val="92"/>
              </w:rPr>
              <w:t>In-The-Money</w:t>
            </w:r>
          </w:p>
        </w:tc>
        <w:tc>
          <w:tcPr>
            <w:tcW w:w="134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7"/>
              </w:rPr>
              <w:t>that have not</w:t>
            </w:r>
          </w:p>
        </w:tc>
        <w:tc>
          <w:tcPr>
            <w:tcW w:w="9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7"/>
              </w:rPr>
              <w:t>that have not</w:t>
            </w:r>
          </w:p>
        </w:tc>
        <w:tc>
          <w:tcPr>
            <w:tcW w:w="0" w:type="dxa"/>
            <w:vAlign w:val="bottom"/>
          </w:tcPr>
          <w:p>
            <w:pPr>
              <w:spacing w:after="0"/>
              <w:rPr>
                <w:sz w:val="1"/>
                <w:szCs w:val="1"/>
                <w:color w:val="auto"/>
              </w:rPr>
            </w:pPr>
          </w:p>
        </w:tc>
      </w:tr>
      <w:tr>
        <w:trPr>
          <w:trHeight w:val="176"/>
        </w:trPr>
        <w:tc>
          <w:tcPr>
            <w:tcW w:w="1980" w:type="dxa"/>
            <w:vAlign w:val="bottom"/>
            <w:gridSpan w:val="4"/>
          </w:tcPr>
          <w:p>
            <w:pPr>
              <w:spacing w:after="0"/>
              <w:rPr>
                <w:sz w:val="20"/>
                <w:szCs w:val="20"/>
                <w:color w:val="auto"/>
              </w:rPr>
            </w:pPr>
            <w:r>
              <w:rPr>
                <w:rFonts w:ascii="Arial" w:cs="Arial" w:eastAsia="Arial" w:hAnsi="Arial"/>
                <w:sz w:val="14"/>
                <w:szCs w:val="14"/>
                <w:b w:val="1"/>
                <w:bCs w:val="1"/>
                <w:color w:val="auto"/>
              </w:rPr>
              <w:t>Name</w:t>
            </w:r>
          </w:p>
        </w:tc>
        <w:tc>
          <w:tcPr>
            <w:tcW w:w="1400" w:type="dxa"/>
            <w:vAlign w:val="bottom"/>
          </w:tcPr>
          <w:p>
            <w:pPr>
              <w:jc w:val="center"/>
              <w:spacing w:after="0"/>
              <w:rPr>
                <w:sz w:val="20"/>
                <w:szCs w:val="20"/>
                <w:color w:val="auto"/>
              </w:rPr>
            </w:pPr>
            <w:r>
              <w:rPr>
                <w:rFonts w:ascii="Arial" w:cs="Arial" w:eastAsia="Arial" w:hAnsi="Arial"/>
                <w:sz w:val="14"/>
                <w:szCs w:val="14"/>
                <w:b w:val="1"/>
                <w:bCs w:val="1"/>
                <w:color w:val="auto"/>
                <w:w w:val="84"/>
              </w:rPr>
              <w:t>Unexercised Options</w:t>
            </w:r>
          </w:p>
        </w:tc>
        <w:tc>
          <w:tcPr>
            <w:tcW w:w="160" w:type="dxa"/>
            <w:vAlign w:val="bottom"/>
          </w:tcPr>
          <w:p>
            <w:pPr>
              <w:spacing w:after="0"/>
              <w:rPr>
                <w:sz w:val="15"/>
                <w:szCs w:val="15"/>
                <w:color w:val="auto"/>
              </w:rPr>
            </w:pPr>
          </w:p>
        </w:tc>
        <w:tc>
          <w:tcPr>
            <w:tcW w:w="82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7"/>
              </w:rPr>
              <w:t>Price</w:t>
            </w:r>
          </w:p>
        </w:tc>
        <w:tc>
          <w:tcPr>
            <w:tcW w:w="820" w:type="dxa"/>
            <w:vAlign w:val="bottom"/>
          </w:tcPr>
          <w:p>
            <w:pPr>
              <w:jc w:val="center"/>
              <w:spacing w:after="0"/>
              <w:rPr>
                <w:sz w:val="20"/>
                <w:szCs w:val="20"/>
                <w:color w:val="auto"/>
              </w:rPr>
            </w:pPr>
            <w:r>
              <w:rPr>
                <w:rFonts w:ascii="Arial" w:cs="Arial" w:eastAsia="Arial" w:hAnsi="Arial"/>
                <w:sz w:val="14"/>
                <w:szCs w:val="14"/>
                <w:b w:val="1"/>
                <w:bCs w:val="1"/>
                <w:color w:val="auto"/>
                <w:w w:val="85"/>
              </w:rPr>
              <w:t>Date</w:t>
            </w:r>
          </w:p>
        </w:tc>
        <w:tc>
          <w:tcPr>
            <w:tcW w:w="180" w:type="dxa"/>
            <w:vAlign w:val="bottom"/>
          </w:tcPr>
          <w:p>
            <w:pPr>
              <w:spacing w:after="0"/>
              <w:rPr>
                <w:sz w:val="15"/>
                <w:szCs w:val="15"/>
                <w:color w:val="auto"/>
              </w:rPr>
            </w:pPr>
          </w:p>
        </w:tc>
        <w:tc>
          <w:tcPr>
            <w:tcW w:w="1580" w:type="dxa"/>
            <w:vAlign w:val="bottom"/>
            <w:gridSpan w:val="2"/>
          </w:tcPr>
          <w:p>
            <w:pPr>
              <w:jc w:val="center"/>
              <w:ind w:right="220"/>
              <w:spacing w:after="0" w:line="176" w:lineRule="exact"/>
              <w:rPr>
                <w:sz w:val="20"/>
                <w:szCs w:val="20"/>
                <w:color w:val="auto"/>
              </w:rPr>
            </w:pPr>
            <w:r>
              <w:rPr>
                <w:rFonts w:ascii="Arial" w:cs="Arial" w:eastAsia="Arial" w:hAnsi="Arial"/>
                <w:sz w:val="13"/>
                <w:szCs w:val="13"/>
                <w:b w:val="1"/>
                <w:bCs w:val="1"/>
                <w:color w:val="auto"/>
                <w:w w:val="91"/>
              </w:rPr>
              <w:t>Options</w:t>
            </w:r>
            <w:r>
              <w:rPr>
                <w:rFonts w:ascii="Arial" w:cs="Arial" w:eastAsia="Arial" w:hAnsi="Arial"/>
                <w:sz w:val="20"/>
                <w:szCs w:val="20"/>
                <w:b w:val="1"/>
                <w:bCs w:val="1"/>
                <w:color w:val="auto"/>
                <w:w w:val="91"/>
                <w:vertAlign w:val="superscript"/>
              </w:rPr>
              <w:t>(1)</w:t>
            </w:r>
          </w:p>
        </w:tc>
        <w:tc>
          <w:tcPr>
            <w:tcW w:w="134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2"/>
              </w:rPr>
              <w:t>Vested</w:t>
            </w:r>
          </w:p>
        </w:tc>
        <w:tc>
          <w:tcPr>
            <w:tcW w:w="980" w:type="dxa"/>
            <w:vAlign w:val="bottom"/>
          </w:tcPr>
          <w:p>
            <w:pPr>
              <w:jc w:val="center"/>
              <w:spacing w:after="0"/>
              <w:rPr>
                <w:sz w:val="20"/>
                <w:szCs w:val="20"/>
                <w:color w:val="auto"/>
              </w:rPr>
            </w:pPr>
            <w:r>
              <w:rPr>
                <w:rFonts w:ascii="Arial" w:cs="Arial" w:eastAsia="Arial" w:hAnsi="Arial"/>
                <w:sz w:val="14"/>
                <w:szCs w:val="14"/>
                <w:b w:val="1"/>
                <w:bCs w:val="1"/>
                <w:color w:val="auto"/>
                <w:w w:val="78"/>
              </w:rPr>
              <w:t>Vested</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380" w:type="dxa"/>
            <w:vAlign w:val="bottom"/>
            <w:tcBorders>
              <w:top w:val="single" w:sz="8" w:color="auto"/>
            </w:tcBorders>
          </w:tcPr>
          <w:p>
            <w:pPr>
              <w:spacing w:after="0"/>
              <w:rPr>
                <w:sz w:val="12"/>
                <w:szCs w:val="12"/>
                <w:color w:val="auto"/>
              </w:rPr>
            </w:pPr>
          </w:p>
        </w:tc>
        <w:tc>
          <w:tcPr>
            <w:tcW w:w="8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40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1"/>
              </w:rPr>
              <w:t>(#)</w:t>
            </w:r>
          </w:p>
        </w:tc>
        <w:tc>
          <w:tcPr>
            <w:tcW w:w="160" w:type="dxa"/>
            <w:vAlign w:val="bottom"/>
          </w:tcPr>
          <w:p>
            <w:pPr>
              <w:spacing w:after="0"/>
              <w:rPr>
                <w:sz w:val="12"/>
                <w:szCs w:val="12"/>
                <w:color w:val="auto"/>
              </w:rPr>
            </w:pPr>
          </w:p>
        </w:tc>
        <w:tc>
          <w:tcPr>
            <w:tcW w:w="62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95"/>
              </w:rPr>
              <w:t>(C$)</w:t>
            </w:r>
          </w:p>
        </w:tc>
        <w:tc>
          <w:tcPr>
            <w:tcW w:w="200" w:type="dxa"/>
            <w:vAlign w:val="bottom"/>
          </w:tcPr>
          <w:p>
            <w:pPr>
              <w:spacing w:after="0"/>
              <w:rPr>
                <w:sz w:val="12"/>
                <w:szCs w:val="12"/>
                <w:color w:val="auto"/>
              </w:rPr>
            </w:pPr>
          </w:p>
        </w:tc>
        <w:tc>
          <w:tcPr>
            <w:tcW w:w="820" w:type="dxa"/>
            <w:vAlign w:val="bottom"/>
            <w:tcBorders>
              <w:top w:val="single" w:sz="8" w:color="auto"/>
            </w:tcBorders>
          </w:tcPr>
          <w:p>
            <w:pPr>
              <w:spacing w:after="0"/>
              <w:rPr>
                <w:sz w:val="12"/>
                <w:szCs w:val="12"/>
                <w:color w:val="auto"/>
              </w:rPr>
            </w:pPr>
          </w:p>
        </w:tc>
        <w:tc>
          <w:tcPr>
            <w:tcW w:w="180" w:type="dxa"/>
            <w:vAlign w:val="bottom"/>
          </w:tcPr>
          <w:p>
            <w:pPr>
              <w:spacing w:after="0"/>
              <w:rPr>
                <w:sz w:val="12"/>
                <w:szCs w:val="12"/>
                <w:color w:val="auto"/>
              </w:rPr>
            </w:pPr>
          </w:p>
        </w:tc>
        <w:tc>
          <w:tcPr>
            <w:tcW w:w="138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8"/>
              </w:rPr>
              <w:t>(C$)</w:t>
            </w:r>
          </w:p>
        </w:tc>
        <w:tc>
          <w:tcPr>
            <w:tcW w:w="200" w:type="dxa"/>
            <w:vAlign w:val="bottom"/>
          </w:tcPr>
          <w:p>
            <w:pPr>
              <w:spacing w:after="0"/>
              <w:rPr>
                <w:sz w:val="12"/>
                <w:szCs w:val="12"/>
                <w:color w:val="auto"/>
              </w:rPr>
            </w:pPr>
          </w:p>
        </w:tc>
        <w:tc>
          <w:tcPr>
            <w:tcW w:w="118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2"/>
                <w:szCs w:val="12"/>
                <w:color w:val="auto"/>
              </w:rPr>
            </w:pPr>
          </w:p>
        </w:tc>
        <w:tc>
          <w:tcPr>
            <w:tcW w:w="98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8"/>
              </w:rPr>
              <w:t>(C$)</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9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Leanne M. Baker</w:t>
            </w: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25,000</w:t>
            </w:r>
          </w:p>
        </w:tc>
        <w:tc>
          <w:tcPr>
            <w:tcW w:w="980" w:type="dxa"/>
            <w:vAlign w:val="bottom"/>
            <w:gridSpan w:val="3"/>
            <w:shd w:val="clear" w:color="auto" w:fill="CCEEFF"/>
          </w:tcPr>
          <w:p>
            <w:pPr>
              <w:ind w:left="380"/>
              <w:spacing w:after="0"/>
              <w:rPr>
                <w:sz w:val="20"/>
                <w:szCs w:val="20"/>
                <w:color w:val="auto"/>
              </w:rPr>
            </w:pPr>
            <w:r>
              <w:rPr>
                <w:rFonts w:ascii="Arial" w:cs="Arial" w:eastAsia="Arial" w:hAnsi="Arial"/>
                <w:sz w:val="18"/>
                <w:szCs w:val="18"/>
                <w:color w:val="auto"/>
                <w:w w:val="93"/>
              </w:rPr>
              <w:t>41.24</w:t>
            </w:r>
            <w:r>
              <w:rPr>
                <w:rFonts w:ascii="Arial" w:cs="Arial" w:eastAsia="Arial" w:hAnsi="Arial"/>
                <w:sz w:val="14"/>
                <w:szCs w:val="14"/>
                <w:color w:val="auto"/>
                <w:w w:val="93"/>
              </w:rPr>
              <w:t>(2)</w:t>
            </w: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1/2/2012</w:t>
            </w:r>
          </w:p>
        </w:tc>
        <w:tc>
          <w:tcPr>
            <w:tcW w:w="176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319,000</w:t>
            </w:r>
            <w:r>
              <w:rPr>
                <w:rFonts w:ascii="Arial" w:cs="Arial" w:eastAsia="Arial" w:hAnsi="Arial"/>
                <w:sz w:val="14"/>
                <w:szCs w:val="14"/>
                <w:color w:val="auto"/>
              </w:rPr>
              <w:t>(2)</w:t>
            </w:r>
          </w:p>
        </w:tc>
        <w:tc>
          <w:tcPr>
            <w:tcW w:w="1340" w:type="dxa"/>
            <w:vAlign w:val="bottom"/>
            <w:gridSpan w:val="2"/>
            <w:shd w:val="clear" w:color="auto" w:fill="CCEEFF"/>
          </w:tcPr>
          <w:p>
            <w:pPr>
              <w:jc w:val="center"/>
              <w:ind w:right="160"/>
              <w:spacing w:after="0"/>
              <w:rPr>
                <w:sz w:val="20"/>
                <w:szCs w:val="20"/>
                <w:color w:val="auto"/>
              </w:rPr>
            </w:pPr>
            <w:r>
              <w:rPr>
                <w:rFonts w:ascii="Arial" w:cs="Arial" w:eastAsia="Arial" w:hAnsi="Arial"/>
                <w:sz w:val="18"/>
                <w:szCs w:val="18"/>
                <w:color w:val="auto"/>
                <w:w w:val="99"/>
              </w:rPr>
              <w:t>nil</w:t>
            </w:r>
          </w:p>
        </w:tc>
        <w:tc>
          <w:tcPr>
            <w:tcW w:w="98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nil</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35,000</w:t>
            </w:r>
          </w:p>
        </w:tc>
        <w:tc>
          <w:tcPr>
            <w:tcW w:w="980" w:type="dxa"/>
            <w:vAlign w:val="bottom"/>
            <w:gridSpan w:val="3"/>
          </w:tcPr>
          <w:p>
            <w:pPr>
              <w:ind w:left="380"/>
              <w:spacing w:after="0"/>
              <w:rPr>
                <w:sz w:val="20"/>
                <w:szCs w:val="20"/>
                <w:color w:val="auto"/>
              </w:rPr>
            </w:pPr>
            <w:r>
              <w:rPr>
                <w:rFonts w:ascii="Arial" w:cs="Arial" w:eastAsia="Arial" w:hAnsi="Arial"/>
                <w:sz w:val="18"/>
                <w:szCs w:val="18"/>
                <w:color w:val="auto"/>
                <w:w w:val="93"/>
              </w:rPr>
              <w:t>54.63</w:t>
            </w:r>
            <w:r>
              <w:rPr>
                <w:rFonts w:ascii="Arial" w:cs="Arial" w:eastAsia="Arial" w:hAnsi="Arial"/>
                <w:sz w:val="14"/>
                <w:szCs w:val="14"/>
                <w:color w:val="auto"/>
                <w:w w:val="93"/>
              </w:rPr>
              <w:t>(2)</w:t>
            </w:r>
          </w:p>
        </w:tc>
        <w:tc>
          <w:tcPr>
            <w:tcW w:w="820" w:type="dxa"/>
            <w:vAlign w:val="bottom"/>
          </w:tcPr>
          <w:p>
            <w:pPr>
              <w:jc w:val="right"/>
              <w:spacing w:after="0"/>
              <w:rPr>
                <w:sz w:val="20"/>
                <w:szCs w:val="20"/>
                <w:color w:val="auto"/>
              </w:rPr>
            </w:pPr>
            <w:r>
              <w:rPr>
                <w:rFonts w:ascii="Arial" w:cs="Arial" w:eastAsia="Arial" w:hAnsi="Arial"/>
                <w:sz w:val="18"/>
                <w:szCs w:val="18"/>
                <w:color w:val="auto"/>
              </w:rPr>
              <w:t>1/2/2013</w:t>
            </w:r>
          </w:p>
        </w:tc>
        <w:tc>
          <w:tcPr>
            <w:tcW w:w="180" w:type="dxa"/>
            <w:vAlign w:val="bottom"/>
          </w:tcPr>
          <w:p>
            <w:pPr>
              <w:spacing w:after="0"/>
              <w:rPr>
                <w:sz w:val="18"/>
                <w:szCs w:val="18"/>
                <w:color w:val="auto"/>
              </w:rPr>
            </w:pPr>
          </w:p>
        </w:tc>
        <w:tc>
          <w:tcPr>
            <w:tcW w:w="1580" w:type="dxa"/>
            <w:vAlign w:val="bottom"/>
            <w:gridSpan w:val="2"/>
          </w:tcPr>
          <w:p>
            <w:pPr>
              <w:jc w:val="right"/>
              <w:ind w:right="200"/>
              <w:spacing w:after="0"/>
              <w:rPr>
                <w:sz w:val="20"/>
                <w:szCs w:val="20"/>
                <w:color w:val="auto"/>
              </w:rPr>
            </w:pPr>
            <w:r>
              <w:rPr>
                <w:rFonts w:ascii="Arial" w:cs="Arial" w:eastAsia="Arial" w:hAnsi="Arial"/>
                <w:sz w:val="18"/>
                <w:szCs w:val="18"/>
                <w:color w:val="auto"/>
              </w:rPr>
              <w:t>nil</w:t>
            </w:r>
          </w:p>
        </w:tc>
        <w:tc>
          <w:tcPr>
            <w:tcW w:w="11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4,000</w:t>
            </w:r>
          </w:p>
        </w:tc>
        <w:tc>
          <w:tcPr>
            <w:tcW w:w="980" w:type="dxa"/>
            <w:vAlign w:val="bottom"/>
            <w:gridSpan w:val="3"/>
            <w:shd w:val="clear" w:color="auto" w:fill="CCEEFF"/>
          </w:tcPr>
          <w:p>
            <w:pPr>
              <w:ind w:left="380"/>
              <w:spacing w:after="0"/>
              <w:rPr>
                <w:sz w:val="20"/>
                <w:szCs w:val="20"/>
                <w:color w:val="auto"/>
              </w:rPr>
            </w:pPr>
            <w:r>
              <w:rPr>
                <w:rFonts w:ascii="Arial" w:cs="Arial" w:eastAsia="Arial" w:hAnsi="Arial"/>
                <w:sz w:val="18"/>
                <w:szCs w:val="18"/>
                <w:color w:val="auto"/>
                <w:w w:val="93"/>
              </w:rPr>
              <w:t>51.33</w:t>
            </w:r>
            <w:r>
              <w:rPr>
                <w:rFonts w:ascii="Arial" w:cs="Arial" w:eastAsia="Arial" w:hAnsi="Arial"/>
                <w:sz w:val="14"/>
                <w:szCs w:val="14"/>
                <w:color w:val="auto"/>
                <w:w w:val="93"/>
              </w:rPr>
              <w:t>(2)</w:t>
            </w: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1/2/2014</w:t>
            </w:r>
          </w:p>
        </w:tc>
        <w:tc>
          <w:tcPr>
            <w:tcW w:w="176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10,680</w:t>
            </w:r>
            <w:r>
              <w:rPr>
                <w:rFonts w:ascii="Arial" w:cs="Arial" w:eastAsia="Arial" w:hAnsi="Arial"/>
                <w:sz w:val="14"/>
                <w:szCs w:val="14"/>
                <w:color w:val="auto"/>
              </w:rPr>
              <w:t>(2)</w:t>
            </w:r>
          </w:p>
        </w:tc>
        <w:tc>
          <w:tcPr>
            <w:tcW w:w="1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960" w:type="dxa"/>
            <w:vAlign w:val="bottom"/>
            <w:gridSpan w:val="3"/>
          </w:tcPr>
          <w:p>
            <w:pPr>
              <w:spacing w:after="0"/>
              <w:rPr>
                <w:sz w:val="20"/>
                <w:szCs w:val="20"/>
                <w:color w:val="auto"/>
              </w:rPr>
            </w:pPr>
            <w:r>
              <w:rPr>
                <w:rFonts w:ascii="Arial" w:cs="Arial" w:eastAsia="Arial" w:hAnsi="Arial"/>
                <w:sz w:val="18"/>
                <w:szCs w:val="18"/>
                <w:color w:val="auto"/>
              </w:rPr>
              <w:t>Douglas R. Beaumont</w:t>
            </w:r>
          </w:p>
        </w:tc>
        <w:tc>
          <w:tcPr>
            <w:tcW w:w="1400" w:type="dxa"/>
            <w:vAlign w:val="bottom"/>
          </w:tcPr>
          <w:p>
            <w:pPr>
              <w:jc w:val="right"/>
              <w:spacing w:after="0"/>
              <w:rPr>
                <w:sz w:val="20"/>
                <w:szCs w:val="20"/>
                <w:color w:val="auto"/>
              </w:rPr>
            </w:pPr>
            <w:r>
              <w:rPr>
                <w:rFonts w:ascii="Arial" w:cs="Arial" w:eastAsia="Arial" w:hAnsi="Arial"/>
                <w:sz w:val="18"/>
                <w:szCs w:val="18"/>
                <w:color w:val="auto"/>
              </w:rPr>
              <w:t>7,000</w:t>
            </w:r>
          </w:p>
        </w:tc>
        <w:tc>
          <w:tcPr>
            <w:tcW w:w="780" w:type="dxa"/>
            <w:vAlign w:val="bottom"/>
            <w:gridSpan w:val="2"/>
          </w:tcPr>
          <w:p>
            <w:pPr>
              <w:ind w:left="380"/>
              <w:spacing w:after="0"/>
              <w:rPr>
                <w:sz w:val="20"/>
                <w:szCs w:val="20"/>
                <w:color w:val="auto"/>
              </w:rPr>
            </w:pPr>
            <w:r>
              <w:rPr>
                <w:rFonts w:ascii="Arial" w:cs="Arial" w:eastAsia="Arial" w:hAnsi="Arial"/>
                <w:sz w:val="18"/>
                <w:szCs w:val="18"/>
                <w:color w:val="auto"/>
                <w:w w:val="84"/>
              </w:rPr>
              <w:t>10.40</w:t>
            </w:r>
          </w:p>
        </w:tc>
        <w:tc>
          <w:tcPr>
            <w:tcW w:w="200" w:type="dxa"/>
            <w:vAlign w:val="bottom"/>
          </w:tcPr>
          <w:p>
            <w:pPr>
              <w:spacing w:after="0"/>
              <w:rPr>
                <w:sz w:val="18"/>
                <w:szCs w:val="18"/>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1/5/2010</w:t>
            </w:r>
          </w:p>
        </w:tc>
        <w:tc>
          <w:tcPr>
            <w:tcW w:w="1560" w:type="dxa"/>
            <w:vAlign w:val="bottom"/>
            <w:gridSpan w:val="2"/>
          </w:tcPr>
          <w:p>
            <w:pPr>
              <w:jc w:val="right"/>
              <w:spacing w:after="0"/>
              <w:rPr>
                <w:sz w:val="20"/>
                <w:szCs w:val="20"/>
                <w:color w:val="auto"/>
              </w:rPr>
            </w:pPr>
            <w:r>
              <w:rPr>
                <w:rFonts w:ascii="Arial" w:cs="Arial" w:eastAsia="Arial" w:hAnsi="Arial"/>
                <w:sz w:val="18"/>
                <w:szCs w:val="18"/>
                <w:color w:val="auto"/>
              </w:rPr>
              <w:t>325,640</w:t>
            </w:r>
          </w:p>
        </w:tc>
        <w:tc>
          <w:tcPr>
            <w:tcW w:w="200" w:type="dxa"/>
            <w:vAlign w:val="bottom"/>
          </w:tcPr>
          <w:p>
            <w:pPr>
              <w:spacing w:after="0"/>
              <w:rPr>
                <w:sz w:val="18"/>
                <w:szCs w:val="18"/>
                <w:color w:val="auto"/>
              </w:rPr>
            </w:pPr>
          </w:p>
        </w:tc>
        <w:tc>
          <w:tcPr>
            <w:tcW w:w="1340" w:type="dxa"/>
            <w:vAlign w:val="bottom"/>
            <w:gridSpan w:val="2"/>
          </w:tcPr>
          <w:p>
            <w:pPr>
              <w:jc w:val="center"/>
              <w:ind w:right="160"/>
              <w:spacing w:after="0"/>
              <w:rPr>
                <w:sz w:val="20"/>
                <w:szCs w:val="20"/>
                <w:color w:val="auto"/>
              </w:rPr>
            </w:pPr>
            <w:r>
              <w:rPr>
                <w:rFonts w:ascii="Arial" w:cs="Arial" w:eastAsia="Arial" w:hAnsi="Arial"/>
                <w:sz w:val="18"/>
                <w:szCs w:val="18"/>
                <w:color w:val="auto"/>
                <w:w w:val="99"/>
              </w:rPr>
              <w:t>nil</w:t>
            </w:r>
          </w:p>
        </w:tc>
        <w:tc>
          <w:tcPr>
            <w:tcW w:w="980" w:type="dxa"/>
            <w:vAlign w:val="bottom"/>
          </w:tcPr>
          <w:p>
            <w:pPr>
              <w:jc w:val="center"/>
              <w:spacing w:after="0"/>
              <w:rPr>
                <w:sz w:val="20"/>
                <w:szCs w:val="20"/>
                <w:color w:val="auto"/>
              </w:rPr>
            </w:pPr>
            <w:r>
              <w:rPr>
                <w:rFonts w:ascii="Arial" w:cs="Arial" w:eastAsia="Arial" w:hAnsi="Arial"/>
                <w:sz w:val="18"/>
                <w:szCs w:val="18"/>
                <w:color w:val="auto"/>
              </w:rPr>
              <w:t>nil</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7,500</w:t>
            </w:r>
          </w:p>
        </w:tc>
        <w:tc>
          <w:tcPr>
            <w:tcW w:w="780" w:type="dxa"/>
            <w:vAlign w:val="bottom"/>
            <w:gridSpan w:val="2"/>
            <w:shd w:val="clear" w:color="auto" w:fill="CCEEFF"/>
          </w:tcPr>
          <w:p>
            <w:pPr>
              <w:ind w:left="380"/>
              <w:spacing w:after="0"/>
              <w:rPr>
                <w:sz w:val="20"/>
                <w:szCs w:val="20"/>
                <w:color w:val="auto"/>
              </w:rPr>
            </w:pPr>
            <w:r>
              <w:rPr>
                <w:rFonts w:ascii="Arial" w:cs="Arial" w:eastAsia="Arial" w:hAnsi="Arial"/>
                <w:sz w:val="18"/>
                <w:szCs w:val="18"/>
                <w:color w:val="auto"/>
                <w:w w:val="84"/>
              </w:rPr>
              <w:t>23.02</w:t>
            </w:r>
          </w:p>
        </w:tc>
        <w:tc>
          <w:tcPr>
            <w:tcW w:w="200" w:type="dxa"/>
            <w:vAlign w:val="bottom"/>
            <w:shd w:val="clear" w:color="auto" w:fill="CCEEFF"/>
          </w:tcPr>
          <w:p>
            <w:pPr>
              <w:spacing w:after="0"/>
              <w:rPr>
                <w:sz w:val="18"/>
                <w:szCs w:val="18"/>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1/3/2011</w:t>
            </w:r>
          </w:p>
        </w:tc>
        <w:tc>
          <w:tcPr>
            <w:tcW w:w="1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254,250</w:t>
            </w:r>
          </w:p>
        </w:tc>
        <w:tc>
          <w:tcPr>
            <w:tcW w:w="200" w:type="dxa"/>
            <w:vAlign w:val="bottom"/>
            <w:shd w:val="clear" w:color="auto" w:fill="CCEEFF"/>
          </w:tcPr>
          <w:p>
            <w:pPr>
              <w:spacing w:after="0"/>
              <w:rPr>
                <w:sz w:val="18"/>
                <w:szCs w:val="18"/>
                <w:color w:val="auto"/>
              </w:rPr>
            </w:pPr>
          </w:p>
        </w:tc>
        <w:tc>
          <w:tcPr>
            <w:tcW w:w="1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25,000</w:t>
            </w:r>
          </w:p>
        </w:tc>
        <w:tc>
          <w:tcPr>
            <w:tcW w:w="780" w:type="dxa"/>
            <w:vAlign w:val="bottom"/>
            <w:gridSpan w:val="2"/>
          </w:tcPr>
          <w:p>
            <w:pPr>
              <w:ind w:left="380"/>
              <w:spacing w:after="0"/>
              <w:rPr>
                <w:sz w:val="20"/>
                <w:szCs w:val="20"/>
                <w:color w:val="auto"/>
              </w:rPr>
            </w:pPr>
            <w:r>
              <w:rPr>
                <w:rFonts w:ascii="Arial" w:cs="Arial" w:eastAsia="Arial" w:hAnsi="Arial"/>
                <w:sz w:val="18"/>
                <w:szCs w:val="18"/>
                <w:color w:val="auto"/>
                <w:w w:val="84"/>
              </w:rPr>
              <w:t>48.09</w:t>
            </w:r>
          </w:p>
        </w:tc>
        <w:tc>
          <w:tcPr>
            <w:tcW w:w="200" w:type="dxa"/>
            <w:vAlign w:val="bottom"/>
          </w:tcPr>
          <w:p>
            <w:pPr>
              <w:spacing w:after="0"/>
              <w:rPr>
                <w:sz w:val="18"/>
                <w:szCs w:val="18"/>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1/2/2012</w:t>
            </w:r>
          </w:p>
        </w:tc>
        <w:tc>
          <w:tcPr>
            <w:tcW w:w="1560" w:type="dxa"/>
            <w:vAlign w:val="bottom"/>
            <w:gridSpan w:val="2"/>
          </w:tcPr>
          <w:p>
            <w:pPr>
              <w:jc w:val="right"/>
              <w:spacing w:after="0"/>
              <w:rPr>
                <w:sz w:val="20"/>
                <w:szCs w:val="20"/>
                <w:color w:val="auto"/>
              </w:rPr>
            </w:pPr>
            <w:r>
              <w:rPr>
                <w:rFonts w:ascii="Arial" w:cs="Arial" w:eastAsia="Arial" w:hAnsi="Arial"/>
                <w:sz w:val="18"/>
                <w:szCs w:val="18"/>
                <w:color w:val="auto"/>
              </w:rPr>
              <w:t>220,750</w:t>
            </w:r>
          </w:p>
        </w:tc>
        <w:tc>
          <w:tcPr>
            <w:tcW w:w="200" w:type="dxa"/>
            <w:vAlign w:val="bottom"/>
          </w:tcPr>
          <w:p>
            <w:pPr>
              <w:spacing w:after="0"/>
              <w:rPr>
                <w:sz w:val="18"/>
                <w:szCs w:val="18"/>
                <w:color w:val="auto"/>
              </w:rPr>
            </w:pPr>
          </w:p>
        </w:tc>
        <w:tc>
          <w:tcPr>
            <w:tcW w:w="11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35,000</w:t>
            </w:r>
          </w:p>
        </w:tc>
        <w:tc>
          <w:tcPr>
            <w:tcW w:w="780" w:type="dxa"/>
            <w:vAlign w:val="bottom"/>
            <w:gridSpan w:val="2"/>
            <w:shd w:val="clear" w:color="auto" w:fill="CCEEFF"/>
          </w:tcPr>
          <w:p>
            <w:pPr>
              <w:ind w:left="380"/>
              <w:spacing w:after="0"/>
              <w:rPr>
                <w:sz w:val="20"/>
                <w:szCs w:val="20"/>
                <w:color w:val="auto"/>
              </w:rPr>
            </w:pPr>
            <w:r>
              <w:rPr>
                <w:rFonts w:ascii="Arial" w:cs="Arial" w:eastAsia="Arial" w:hAnsi="Arial"/>
                <w:sz w:val="18"/>
                <w:szCs w:val="18"/>
                <w:color w:val="auto"/>
                <w:w w:val="84"/>
              </w:rPr>
              <w:t>54.42</w:t>
            </w:r>
          </w:p>
        </w:tc>
        <w:tc>
          <w:tcPr>
            <w:tcW w:w="200" w:type="dxa"/>
            <w:vAlign w:val="bottom"/>
            <w:shd w:val="clear" w:color="auto" w:fill="CCEEFF"/>
          </w:tcPr>
          <w:p>
            <w:pPr>
              <w:spacing w:after="0"/>
              <w:rPr>
                <w:sz w:val="18"/>
                <w:szCs w:val="18"/>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1/2/2013</w:t>
            </w:r>
          </w:p>
        </w:tc>
        <w:tc>
          <w:tcPr>
            <w:tcW w:w="1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87,500</w:t>
            </w:r>
          </w:p>
        </w:tc>
        <w:tc>
          <w:tcPr>
            <w:tcW w:w="200" w:type="dxa"/>
            <w:vAlign w:val="bottom"/>
            <w:shd w:val="clear" w:color="auto" w:fill="CCEEFF"/>
          </w:tcPr>
          <w:p>
            <w:pPr>
              <w:spacing w:after="0"/>
              <w:rPr>
                <w:sz w:val="18"/>
                <w:szCs w:val="18"/>
                <w:color w:val="auto"/>
              </w:rPr>
            </w:pPr>
          </w:p>
        </w:tc>
        <w:tc>
          <w:tcPr>
            <w:tcW w:w="1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4,000</w:t>
            </w:r>
          </w:p>
        </w:tc>
        <w:tc>
          <w:tcPr>
            <w:tcW w:w="780" w:type="dxa"/>
            <w:vAlign w:val="bottom"/>
            <w:gridSpan w:val="2"/>
          </w:tcPr>
          <w:p>
            <w:pPr>
              <w:ind w:left="380"/>
              <w:spacing w:after="0"/>
              <w:rPr>
                <w:sz w:val="20"/>
                <w:szCs w:val="20"/>
                <w:color w:val="auto"/>
              </w:rPr>
            </w:pPr>
            <w:r>
              <w:rPr>
                <w:rFonts w:ascii="Arial" w:cs="Arial" w:eastAsia="Arial" w:hAnsi="Arial"/>
                <w:sz w:val="18"/>
                <w:szCs w:val="18"/>
                <w:color w:val="auto"/>
                <w:w w:val="84"/>
              </w:rPr>
              <w:t>62.77</w:t>
            </w:r>
          </w:p>
        </w:tc>
        <w:tc>
          <w:tcPr>
            <w:tcW w:w="200" w:type="dxa"/>
            <w:vAlign w:val="bottom"/>
          </w:tcPr>
          <w:p>
            <w:pPr>
              <w:spacing w:after="0"/>
              <w:rPr>
                <w:sz w:val="18"/>
                <w:szCs w:val="18"/>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1/2/2014</w:t>
            </w:r>
          </w:p>
        </w:tc>
        <w:tc>
          <w:tcPr>
            <w:tcW w:w="180" w:type="dxa"/>
            <w:vAlign w:val="bottom"/>
          </w:tcPr>
          <w:p>
            <w:pPr>
              <w:spacing w:after="0"/>
              <w:rPr>
                <w:sz w:val="18"/>
                <w:szCs w:val="18"/>
                <w:color w:val="auto"/>
              </w:rPr>
            </w:pPr>
          </w:p>
        </w:tc>
        <w:tc>
          <w:tcPr>
            <w:tcW w:w="1580" w:type="dxa"/>
            <w:vAlign w:val="bottom"/>
            <w:gridSpan w:val="2"/>
          </w:tcPr>
          <w:p>
            <w:pPr>
              <w:jc w:val="right"/>
              <w:ind w:right="200"/>
              <w:spacing w:after="0"/>
              <w:rPr>
                <w:sz w:val="20"/>
                <w:szCs w:val="20"/>
                <w:color w:val="auto"/>
              </w:rPr>
            </w:pPr>
            <w:r>
              <w:rPr>
                <w:rFonts w:ascii="Arial" w:cs="Arial" w:eastAsia="Arial" w:hAnsi="Arial"/>
                <w:sz w:val="18"/>
                <w:szCs w:val="18"/>
                <w:color w:val="auto"/>
              </w:rPr>
              <w:t>nil</w:t>
            </w:r>
          </w:p>
        </w:tc>
        <w:tc>
          <w:tcPr>
            <w:tcW w:w="11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9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Clifford J. Davis</w:t>
            </w: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7,200</w:t>
            </w:r>
          </w:p>
        </w:tc>
        <w:tc>
          <w:tcPr>
            <w:tcW w:w="780" w:type="dxa"/>
            <w:vAlign w:val="bottom"/>
            <w:gridSpan w:val="2"/>
            <w:shd w:val="clear" w:color="auto" w:fill="CCEEFF"/>
          </w:tcPr>
          <w:p>
            <w:pPr>
              <w:ind w:left="380"/>
              <w:spacing w:after="0"/>
              <w:rPr>
                <w:sz w:val="20"/>
                <w:szCs w:val="20"/>
                <w:color w:val="auto"/>
              </w:rPr>
            </w:pPr>
            <w:r>
              <w:rPr>
                <w:rFonts w:ascii="Arial" w:cs="Arial" w:eastAsia="Arial" w:hAnsi="Arial"/>
                <w:sz w:val="18"/>
                <w:szCs w:val="18"/>
                <w:color w:val="auto"/>
                <w:w w:val="84"/>
              </w:rPr>
              <w:t>33.26</w:t>
            </w:r>
          </w:p>
        </w:tc>
        <w:tc>
          <w:tcPr>
            <w:tcW w:w="200" w:type="dxa"/>
            <w:vAlign w:val="bottom"/>
            <w:shd w:val="clear" w:color="auto" w:fill="CCEEFF"/>
          </w:tcPr>
          <w:p>
            <w:pPr>
              <w:spacing w:after="0"/>
              <w:rPr>
                <w:sz w:val="18"/>
                <w:szCs w:val="18"/>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9"/>
              </w:rPr>
              <w:t>11/3/2013</w:t>
            </w:r>
          </w:p>
        </w:tc>
        <w:tc>
          <w:tcPr>
            <w:tcW w:w="1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170,352</w:t>
            </w:r>
          </w:p>
        </w:tc>
        <w:tc>
          <w:tcPr>
            <w:tcW w:w="2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center"/>
              <w:ind w:right="160"/>
              <w:spacing w:after="0"/>
              <w:rPr>
                <w:sz w:val="20"/>
                <w:szCs w:val="20"/>
                <w:color w:val="auto"/>
              </w:rPr>
            </w:pPr>
            <w:r>
              <w:rPr>
                <w:rFonts w:ascii="Arial" w:cs="Arial" w:eastAsia="Arial" w:hAnsi="Arial"/>
                <w:sz w:val="18"/>
                <w:szCs w:val="18"/>
                <w:color w:val="auto"/>
                <w:w w:val="99"/>
              </w:rPr>
              <w:t>nil</w:t>
            </w:r>
          </w:p>
        </w:tc>
        <w:tc>
          <w:tcPr>
            <w:tcW w:w="98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nil</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4,000</w:t>
            </w:r>
          </w:p>
        </w:tc>
        <w:tc>
          <w:tcPr>
            <w:tcW w:w="780" w:type="dxa"/>
            <w:vAlign w:val="bottom"/>
            <w:gridSpan w:val="2"/>
          </w:tcPr>
          <w:p>
            <w:pPr>
              <w:ind w:left="380"/>
              <w:spacing w:after="0"/>
              <w:rPr>
                <w:sz w:val="20"/>
                <w:szCs w:val="20"/>
                <w:color w:val="auto"/>
              </w:rPr>
            </w:pPr>
            <w:r>
              <w:rPr>
                <w:rFonts w:ascii="Arial" w:cs="Arial" w:eastAsia="Arial" w:hAnsi="Arial"/>
                <w:sz w:val="18"/>
                <w:szCs w:val="18"/>
                <w:color w:val="auto"/>
                <w:w w:val="84"/>
              </w:rPr>
              <w:t>62.77</w:t>
            </w:r>
          </w:p>
        </w:tc>
        <w:tc>
          <w:tcPr>
            <w:tcW w:w="200" w:type="dxa"/>
            <w:vAlign w:val="bottom"/>
          </w:tcPr>
          <w:p>
            <w:pPr>
              <w:spacing w:after="0"/>
              <w:rPr>
                <w:sz w:val="18"/>
                <w:szCs w:val="18"/>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1/2/2014</w:t>
            </w:r>
          </w:p>
        </w:tc>
        <w:tc>
          <w:tcPr>
            <w:tcW w:w="180" w:type="dxa"/>
            <w:vAlign w:val="bottom"/>
          </w:tcPr>
          <w:p>
            <w:pPr>
              <w:spacing w:after="0"/>
              <w:rPr>
                <w:sz w:val="18"/>
                <w:szCs w:val="18"/>
                <w:color w:val="auto"/>
              </w:rPr>
            </w:pPr>
          </w:p>
        </w:tc>
        <w:tc>
          <w:tcPr>
            <w:tcW w:w="1580" w:type="dxa"/>
            <w:vAlign w:val="bottom"/>
            <w:gridSpan w:val="2"/>
          </w:tcPr>
          <w:p>
            <w:pPr>
              <w:jc w:val="right"/>
              <w:ind w:right="200"/>
              <w:spacing w:after="0"/>
              <w:rPr>
                <w:sz w:val="20"/>
                <w:szCs w:val="20"/>
                <w:color w:val="auto"/>
              </w:rPr>
            </w:pPr>
            <w:r>
              <w:rPr>
                <w:rFonts w:ascii="Arial" w:cs="Arial" w:eastAsia="Arial" w:hAnsi="Arial"/>
                <w:sz w:val="18"/>
                <w:szCs w:val="18"/>
                <w:color w:val="auto"/>
              </w:rPr>
              <w:t>nil</w:t>
            </w:r>
          </w:p>
        </w:tc>
        <w:tc>
          <w:tcPr>
            <w:tcW w:w="11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9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Bernard Kraft</w:t>
            </w: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7,500</w:t>
            </w:r>
          </w:p>
        </w:tc>
        <w:tc>
          <w:tcPr>
            <w:tcW w:w="780" w:type="dxa"/>
            <w:vAlign w:val="bottom"/>
            <w:gridSpan w:val="2"/>
            <w:shd w:val="clear" w:color="auto" w:fill="CCEEFF"/>
          </w:tcPr>
          <w:p>
            <w:pPr>
              <w:ind w:left="380"/>
              <w:spacing w:after="0"/>
              <w:rPr>
                <w:sz w:val="20"/>
                <w:szCs w:val="20"/>
                <w:color w:val="auto"/>
              </w:rPr>
            </w:pPr>
            <w:r>
              <w:rPr>
                <w:rFonts w:ascii="Arial" w:cs="Arial" w:eastAsia="Arial" w:hAnsi="Arial"/>
                <w:sz w:val="18"/>
                <w:szCs w:val="18"/>
                <w:color w:val="auto"/>
                <w:w w:val="84"/>
              </w:rPr>
              <w:t>10.40</w:t>
            </w:r>
          </w:p>
        </w:tc>
        <w:tc>
          <w:tcPr>
            <w:tcW w:w="200" w:type="dxa"/>
            <w:vAlign w:val="bottom"/>
            <w:shd w:val="clear" w:color="auto" w:fill="CCEEFF"/>
          </w:tcPr>
          <w:p>
            <w:pPr>
              <w:spacing w:after="0"/>
              <w:rPr>
                <w:sz w:val="18"/>
                <w:szCs w:val="18"/>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1/5/2010</w:t>
            </w:r>
          </w:p>
        </w:tc>
        <w:tc>
          <w:tcPr>
            <w:tcW w:w="1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348,900</w:t>
            </w:r>
          </w:p>
        </w:tc>
        <w:tc>
          <w:tcPr>
            <w:tcW w:w="2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center"/>
              <w:ind w:right="160"/>
              <w:spacing w:after="0"/>
              <w:rPr>
                <w:sz w:val="20"/>
                <w:szCs w:val="20"/>
                <w:color w:val="auto"/>
              </w:rPr>
            </w:pPr>
            <w:r>
              <w:rPr>
                <w:rFonts w:ascii="Arial" w:cs="Arial" w:eastAsia="Arial" w:hAnsi="Arial"/>
                <w:sz w:val="18"/>
                <w:szCs w:val="18"/>
                <w:color w:val="auto"/>
                <w:w w:val="99"/>
              </w:rPr>
              <w:t>nil</w:t>
            </w:r>
          </w:p>
        </w:tc>
        <w:tc>
          <w:tcPr>
            <w:tcW w:w="98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nil</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6,250</w:t>
            </w:r>
          </w:p>
        </w:tc>
        <w:tc>
          <w:tcPr>
            <w:tcW w:w="780" w:type="dxa"/>
            <w:vAlign w:val="bottom"/>
            <w:gridSpan w:val="2"/>
          </w:tcPr>
          <w:p>
            <w:pPr>
              <w:ind w:left="380"/>
              <w:spacing w:after="0"/>
              <w:rPr>
                <w:sz w:val="20"/>
                <w:szCs w:val="20"/>
                <w:color w:val="auto"/>
              </w:rPr>
            </w:pPr>
            <w:r>
              <w:rPr>
                <w:rFonts w:ascii="Arial" w:cs="Arial" w:eastAsia="Arial" w:hAnsi="Arial"/>
                <w:sz w:val="18"/>
                <w:szCs w:val="18"/>
                <w:color w:val="auto"/>
                <w:w w:val="84"/>
              </w:rPr>
              <w:t>48.09</w:t>
            </w:r>
          </w:p>
        </w:tc>
        <w:tc>
          <w:tcPr>
            <w:tcW w:w="200" w:type="dxa"/>
            <w:vAlign w:val="bottom"/>
          </w:tcPr>
          <w:p>
            <w:pPr>
              <w:spacing w:after="0"/>
              <w:rPr>
                <w:sz w:val="18"/>
                <w:szCs w:val="18"/>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1/2/2012</w:t>
            </w:r>
          </w:p>
        </w:tc>
        <w:tc>
          <w:tcPr>
            <w:tcW w:w="1560" w:type="dxa"/>
            <w:vAlign w:val="bottom"/>
            <w:gridSpan w:val="2"/>
          </w:tcPr>
          <w:p>
            <w:pPr>
              <w:jc w:val="right"/>
              <w:spacing w:after="0"/>
              <w:rPr>
                <w:sz w:val="20"/>
                <w:szCs w:val="20"/>
                <w:color w:val="auto"/>
              </w:rPr>
            </w:pPr>
            <w:r>
              <w:rPr>
                <w:rFonts w:ascii="Arial" w:cs="Arial" w:eastAsia="Arial" w:hAnsi="Arial"/>
                <w:sz w:val="18"/>
                <w:szCs w:val="18"/>
                <w:color w:val="auto"/>
              </w:rPr>
              <w:t>55,188</w:t>
            </w:r>
          </w:p>
        </w:tc>
        <w:tc>
          <w:tcPr>
            <w:tcW w:w="200" w:type="dxa"/>
            <w:vAlign w:val="bottom"/>
          </w:tcPr>
          <w:p>
            <w:pPr>
              <w:spacing w:after="0"/>
              <w:rPr>
                <w:sz w:val="18"/>
                <w:szCs w:val="18"/>
                <w:color w:val="auto"/>
              </w:rPr>
            </w:pPr>
          </w:p>
        </w:tc>
        <w:tc>
          <w:tcPr>
            <w:tcW w:w="11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17,500</w:t>
            </w:r>
          </w:p>
        </w:tc>
        <w:tc>
          <w:tcPr>
            <w:tcW w:w="780" w:type="dxa"/>
            <w:vAlign w:val="bottom"/>
            <w:gridSpan w:val="2"/>
            <w:shd w:val="clear" w:color="auto" w:fill="CCEEFF"/>
          </w:tcPr>
          <w:p>
            <w:pPr>
              <w:ind w:left="380"/>
              <w:spacing w:after="0"/>
              <w:rPr>
                <w:sz w:val="20"/>
                <w:szCs w:val="20"/>
                <w:color w:val="auto"/>
              </w:rPr>
            </w:pPr>
            <w:r>
              <w:rPr>
                <w:rFonts w:ascii="Arial" w:cs="Arial" w:eastAsia="Arial" w:hAnsi="Arial"/>
                <w:sz w:val="18"/>
                <w:szCs w:val="18"/>
                <w:color w:val="auto"/>
                <w:w w:val="84"/>
              </w:rPr>
              <w:t>54.42</w:t>
            </w:r>
          </w:p>
        </w:tc>
        <w:tc>
          <w:tcPr>
            <w:tcW w:w="200" w:type="dxa"/>
            <w:vAlign w:val="bottom"/>
            <w:shd w:val="clear" w:color="auto" w:fill="CCEEFF"/>
          </w:tcPr>
          <w:p>
            <w:pPr>
              <w:spacing w:after="0"/>
              <w:rPr>
                <w:sz w:val="18"/>
                <w:szCs w:val="18"/>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1/2/2013</w:t>
            </w:r>
          </w:p>
        </w:tc>
        <w:tc>
          <w:tcPr>
            <w:tcW w:w="1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43,750</w:t>
            </w:r>
          </w:p>
        </w:tc>
        <w:tc>
          <w:tcPr>
            <w:tcW w:w="200" w:type="dxa"/>
            <w:vAlign w:val="bottom"/>
            <w:shd w:val="clear" w:color="auto" w:fill="CCEEFF"/>
          </w:tcPr>
          <w:p>
            <w:pPr>
              <w:spacing w:after="0"/>
              <w:rPr>
                <w:sz w:val="18"/>
                <w:szCs w:val="18"/>
                <w:color w:val="auto"/>
              </w:rPr>
            </w:pPr>
          </w:p>
        </w:tc>
        <w:tc>
          <w:tcPr>
            <w:tcW w:w="1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4,000</w:t>
            </w:r>
          </w:p>
        </w:tc>
        <w:tc>
          <w:tcPr>
            <w:tcW w:w="780" w:type="dxa"/>
            <w:vAlign w:val="bottom"/>
            <w:gridSpan w:val="2"/>
          </w:tcPr>
          <w:p>
            <w:pPr>
              <w:ind w:left="380"/>
              <w:spacing w:after="0"/>
              <w:rPr>
                <w:sz w:val="20"/>
                <w:szCs w:val="20"/>
                <w:color w:val="auto"/>
              </w:rPr>
            </w:pPr>
            <w:r>
              <w:rPr>
                <w:rFonts w:ascii="Arial" w:cs="Arial" w:eastAsia="Arial" w:hAnsi="Arial"/>
                <w:sz w:val="18"/>
                <w:szCs w:val="18"/>
                <w:color w:val="auto"/>
                <w:w w:val="84"/>
              </w:rPr>
              <w:t>62.77</w:t>
            </w:r>
          </w:p>
        </w:tc>
        <w:tc>
          <w:tcPr>
            <w:tcW w:w="200" w:type="dxa"/>
            <w:vAlign w:val="bottom"/>
          </w:tcPr>
          <w:p>
            <w:pPr>
              <w:spacing w:after="0"/>
              <w:rPr>
                <w:sz w:val="18"/>
                <w:szCs w:val="18"/>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1/2/2014</w:t>
            </w:r>
          </w:p>
        </w:tc>
        <w:tc>
          <w:tcPr>
            <w:tcW w:w="180" w:type="dxa"/>
            <w:vAlign w:val="bottom"/>
          </w:tcPr>
          <w:p>
            <w:pPr>
              <w:spacing w:after="0"/>
              <w:rPr>
                <w:sz w:val="18"/>
                <w:szCs w:val="18"/>
                <w:color w:val="auto"/>
              </w:rPr>
            </w:pPr>
          </w:p>
        </w:tc>
        <w:tc>
          <w:tcPr>
            <w:tcW w:w="1580" w:type="dxa"/>
            <w:vAlign w:val="bottom"/>
            <w:gridSpan w:val="2"/>
          </w:tcPr>
          <w:p>
            <w:pPr>
              <w:jc w:val="right"/>
              <w:ind w:right="200"/>
              <w:spacing w:after="0"/>
              <w:rPr>
                <w:sz w:val="20"/>
                <w:szCs w:val="20"/>
                <w:color w:val="auto"/>
              </w:rPr>
            </w:pPr>
            <w:r>
              <w:rPr>
                <w:rFonts w:ascii="Arial" w:cs="Arial" w:eastAsia="Arial" w:hAnsi="Arial"/>
                <w:sz w:val="18"/>
                <w:szCs w:val="18"/>
                <w:color w:val="auto"/>
              </w:rPr>
              <w:t>nil</w:t>
            </w:r>
          </w:p>
        </w:tc>
        <w:tc>
          <w:tcPr>
            <w:tcW w:w="11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9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Mel Leiderman</w:t>
            </w: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8,000</w:t>
            </w:r>
          </w:p>
        </w:tc>
        <w:tc>
          <w:tcPr>
            <w:tcW w:w="780" w:type="dxa"/>
            <w:vAlign w:val="bottom"/>
            <w:gridSpan w:val="2"/>
            <w:shd w:val="clear" w:color="auto" w:fill="CCEEFF"/>
          </w:tcPr>
          <w:p>
            <w:pPr>
              <w:ind w:left="380"/>
              <w:spacing w:after="0"/>
              <w:rPr>
                <w:sz w:val="20"/>
                <w:szCs w:val="20"/>
                <w:color w:val="auto"/>
              </w:rPr>
            </w:pPr>
            <w:r>
              <w:rPr>
                <w:rFonts w:ascii="Arial" w:cs="Arial" w:eastAsia="Arial" w:hAnsi="Arial"/>
                <w:sz w:val="18"/>
                <w:szCs w:val="18"/>
                <w:color w:val="auto"/>
                <w:w w:val="84"/>
              </w:rPr>
              <w:t>48.09</w:t>
            </w:r>
          </w:p>
        </w:tc>
        <w:tc>
          <w:tcPr>
            <w:tcW w:w="200" w:type="dxa"/>
            <w:vAlign w:val="bottom"/>
            <w:shd w:val="clear" w:color="auto" w:fill="CCEEFF"/>
          </w:tcPr>
          <w:p>
            <w:pPr>
              <w:spacing w:after="0"/>
              <w:rPr>
                <w:sz w:val="18"/>
                <w:szCs w:val="18"/>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1/2/2012</w:t>
            </w:r>
          </w:p>
        </w:tc>
        <w:tc>
          <w:tcPr>
            <w:tcW w:w="1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70,640</w:t>
            </w:r>
          </w:p>
        </w:tc>
        <w:tc>
          <w:tcPr>
            <w:tcW w:w="2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center"/>
              <w:ind w:right="160"/>
              <w:spacing w:after="0"/>
              <w:rPr>
                <w:sz w:val="20"/>
                <w:szCs w:val="20"/>
                <w:color w:val="auto"/>
              </w:rPr>
            </w:pPr>
            <w:r>
              <w:rPr>
                <w:rFonts w:ascii="Arial" w:cs="Arial" w:eastAsia="Arial" w:hAnsi="Arial"/>
                <w:sz w:val="18"/>
                <w:szCs w:val="18"/>
                <w:color w:val="auto"/>
                <w:w w:val="99"/>
              </w:rPr>
              <w:t>nil</w:t>
            </w:r>
          </w:p>
        </w:tc>
        <w:tc>
          <w:tcPr>
            <w:tcW w:w="98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nil</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35,000</w:t>
            </w:r>
          </w:p>
        </w:tc>
        <w:tc>
          <w:tcPr>
            <w:tcW w:w="780" w:type="dxa"/>
            <w:vAlign w:val="bottom"/>
            <w:gridSpan w:val="2"/>
          </w:tcPr>
          <w:p>
            <w:pPr>
              <w:ind w:left="380"/>
              <w:spacing w:after="0"/>
              <w:rPr>
                <w:sz w:val="20"/>
                <w:szCs w:val="20"/>
                <w:color w:val="auto"/>
              </w:rPr>
            </w:pPr>
            <w:r>
              <w:rPr>
                <w:rFonts w:ascii="Arial" w:cs="Arial" w:eastAsia="Arial" w:hAnsi="Arial"/>
                <w:sz w:val="18"/>
                <w:szCs w:val="18"/>
                <w:color w:val="auto"/>
                <w:w w:val="84"/>
              </w:rPr>
              <w:t>54.42</w:t>
            </w:r>
          </w:p>
        </w:tc>
        <w:tc>
          <w:tcPr>
            <w:tcW w:w="200" w:type="dxa"/>
            <w:vAlign w:val="bottom"/>
          </w:tcPr>
          <w:p>
            <w:pPr>
              <w:spacing w:after="0"/>
              <w:rPr>
                <w:sz w:val="18"/>
                <w:szCs w:val="18"/>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1/2/2013</w:t>
            </w:r>
          </w:p>
        </w:tc>
        <w:tc>
          <w:tcPr>
            <w:tcW w:w="1560" w:type="dxa"/>
            <w:vAlign w:val="bottom"/>
            <w:gridSpan w:val="2"/>
          </w:tcPr>
          <w:p>
            <w:pPr>
              <w:jc w:val="right"/>
              <w:spacing w:after="0"/>
              <w:rPr>
                <w:sz w:val="20"/>
                <w:szCs w:val="20"/>
                <w:color w:val="auto"/>
              </w:rPr>
            </w:pPr>
            <w:r>
              <w:rPr>
                <w:rFonts w:ascii="Arial" w:cs="Arial" w:eastAsia="Arial" w:hAnsi="Arial"/>
                <w:sz w:val="18"/>
                <w:szCs w:val="18"/>
                <w:color w:val="auto"/>
              </w:rPr>
              <w:t>87,500</w:t>
            </w:r>
          </w:p>
        </w:tc>
        <w:tc>
          <w:tcPr>
            <w:tcW w:w="200" w:type="dxa"/>
            <w:vAlign w:val="bottom"/>
          </w:tcPr>
          <w:p>
            <w:pPr>
              <w:spacing w:after="0"/>
              <w:rPr>
                <w:sz w:val="18"/>
                <w:szCs w:val="18"/>
                <w:color w:val="auto"/>
              </w:rPr>
            </w:pPr>
          </w:p>
        </w:tc>
        <w:tc>
          <w:tcPr>
            <w:tcW w:w="11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4,000</w:t>
            </w:r>
          </w:p>
        </w:tc>
        <w:tc>
          <w:tcPr>
            <w:tcW w:w="780" w:type="dxa"/>
            <w:vAlign w:val="bottom"/>
            <w:gridSpan w:val="2"/>
            <w:shd w:val="clear" w:color="auto" w:fill="CCEEFF"/>
          </w:tcPr>
          <w:p>
            <w:pPr>
              <w:ind w:left="380"/>
              <w:spacing w:after="0"/>
              <w:rPr>
                <w:sz w:val="20"/>
                <w:szCs w:val="20"/>
                <w:color w:val="auto"/>
              </w:rPr>
            </w:pPr>
            <w:r>
              <w:rPr>
                <w:rFonts w:ascii="Arial" w:cs="Arial" w:eastAsia="Arial" w:hAnsi="Arial"/>
                <w:sz w:val="18"/>
                <w:szCs w:val="18"/>
                <w:color w:val="auto"/>
                <w:w w:val="84"/>
              </w:rPr>
              <w:t>62.77</w:t>
            </w:r>
          </w:p>
        </w:tc>
        <w:tc>
          <w:tcPr>
            <w:tcW w:w="200" w:type="dxa"/>
            <w:vAlign w:val="bottom"/>
            <w:shd w:val="clear" w:color="auto" w:fill="CCEEFF"/>
          </w:tcPr>
          <w:p>
            <w:pPr>
              <w:spacing w:after="0"/>
              <w:rPr>
                <w:sz w:val="18"/>
                <w:szCs w:val="18"/>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1/2/2014</w:t>
            </w:r>
          </w:p>
        </w:tc>
        <w:tc>
          <w:tcPr>
            <w:tcW w:w="180" w:type="dxa"/>
            <w:vAlign w:val="bottom"/>
            <w:shd w:val="clear" w:color="auto" w:fill="CCEEFF"/>
          </w:tcPr>
          <w:p>
            <w:pPr>
              <w:spacing w:after="0"/>
              <w:rPr>
                <w:sz w:val="18"/>
                <w:szCs w:val="18"/>
                <w:color w:val="auto"/>
              </w:rPr>
            </w:pPr>
          </w:p>
        </w:tc>
        <w:tc>
          <w:tcPr>
            <w:tcW w:w="15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nil</w:t>
            </w:r>
          </w:p>
        </w:tc>
        <w:tc>
          <w:tcPr>
            <w:tcW w:w="1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960" w:type="dxa"/>
            <w:vAlign w:val="bottom"/>
            <w:gridSpan w:val="3"/>
          </w:tcPr>
          <w:p>
            <w:pPr>
              <w:spacing w:after="0"/>
              <w:rPr>
                <w:sz w:val="20"/>
                <w:szCs w:val="20"/>
                <w:color w:val="auto"/>
              </w:rPr>
            </w:pPr>
            <w:r>
              <w:rPr>
                <w:rFonts w:ascii="Arial" w:cs="Arial" w:eastAsia="Arial" w:hAnsi="Arial"/>
                <w:sz w:val="18"/>
                <w:szCs w:val="18"/>
                <w:color w:val="auto"/>
              </w:rPr>
              <w:t>James D. Nasso</w:t>
            </w:r>
          </w:p>
        </w:tc>
        <w:tc>
          <w:tcPr>
            <w:tcW w:w="1400" w:type="dxa"/>
            <w:vAlign w:val="bottom"/>
          </w:tcPr>
          <w:p>
            <w:pPr>
              <w:jc w:val="right"/>
              <w:spacing w:after="0"/>
              <w:rPr>
                <w:sz w:val="20"/>
                <w:szCs w:val="20"/>
                <w:color w:val="auto"/>
              </w:rPr>
            </w:pPr>
            <w:r>
              <w:rPr>
                <w:rFonts w:ascii="Arial" w:cs="Arial" w:eastAsia="Arial" w:hAnsi="Arial"/>
                <w:sz w:val="18"/>
                <w:szCs w:val="18"/>
                <w:color w:val="auto"/>
              </w:rPr>
              <w:t>1,875</w:t>
            </w:r>
          </w:p>
        </w:tc>
        <w:tc>
          <w:tcPr>
            <w:tcW w:w="780" w:type="dxa"/>
            <w:vAlign w:val="bottom"/>
            <w:gridSpan w:val="2"/>
          </w:tcPr>
          <w:p>
            <w:pPr>
              <w:ind w:left="380"/>
              <w:spacing w:after="0"/>
              <w:rPr>
                <w:sz w:val="20"/>
                <w:szCs w:val="20"/>
                <w:color w:val="auto"/>
              </w:rPr>
            </w:pPr>
            <w:r>
              <w:rPr>
                <w:rFonts w:ascii="Arial" w:cs="Arial" w:eastAsia="Arial" w:hAnsi="Arial"/>
                <w:sz w:val="18"/>
                <w:szCs w:val="18"/>
                <w:color w:val="auto"/>
                <w:w w:val="84"/>
              </w:rPr>
              <w:t>23.02</w:t>
            </w:r>
          </w:p>
        </w:tc>
        <w:tc>
          <w:tcPr>
            <w:tcW w:w="200" w:type="dxa"/>
            <w:vAlign w:val="bottom"/>
          </w:tcPr>
          <w:p>
            <w:pPr>
              <w:spacing w:after="0"/>
              <w:rPr>
                <w:sz w:val="18"/>
                <w:szCs w:val="18"/>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1/3/2011</w:t>
            </w:r>
          </w:p>
        </w:tc>
        <w:tc>
          <w:tcPr>
            <w:tcW w:w="1560" w:type="dxa"/>
            <w:vAlign w:val="bottom"/>
            <w:gridSpan w:val="2"/>
          </w:tcPr>
          <w:p>
            <w:pPr>
              <w:jc w:val="right"/>
              <w:spacing w:after="0"/>
              <w:rPr>
                <w:sz w:val="20"/>
                <w:szCs w:val="20"/>
                <w:color w:val="auto"/>
              </w:rPr>
            </w:pPr>
            <w:r>
              <w:rPr>
                <w:rFonts w:ascii="Arial" w:cs="Arial" w:eastAsia="Arial" w:hAnsi="Arial"/>
                <w:sz w:val="18"/>
                <w:szCs w:val="18"/>
                <w:color w:val="auto"/>
              </w:rPr>
              <w:t>63,563</w:t>
            </w:r>
          </w:p>
        </w:tc>
        <w:tc>
          <w:tcPr>
            <w:tcW w:w="200" w:type="dxa"/>
            <w:vAlign w:val="bottom"/>
          </w:tcPr>
          <w:p>
            <w:pPr>
              <w:spacing w:after="0"/>
              <w:rPr>
                <w:sz w:val="18"/>
                <w:szCs w:val="18"/>
                <w:color w:val="auto"/>
              </w:rPr>
            </w:pPr>
          </w:p>
        </w:tc>
        <w:tc>
          <w:tcPr>
            <w:tcW w:w="1340" w:type="dxa"/>
            <w:vAlign w:val="bottom"/>
            <w:gridSpan w:val="2"/>
          </w:tcPr>
          <w:p>
            <w:pPr>
              <w:jc w:val="center"/>
              <w:ind w:right="160"/>
              <w:spacing w:after="0"/>
              <w:rPr>
                <w:sz w:val="20"/>
                <w:szCs w:val="20"/>
                <w:color w:val="auto"/>
              </w:rPr>
            </w:pPr>
            <w:r>
              <w:rPr>
                <w:rFonts w:ascii="Arial" w:cs="Arial" w:eastAsia="Arial" w:hAnsi="Arial"/>
                <w:sz w:val="18"/>
                <w:szCs w:val="18"/>
                <w:color w:val="auto"/>
                <w:w w:val="99"/>
              </w:rPr>
              <w:t>nil</w:t>
            </w:r>
          </w:p>
        </w:tc>
        <w:tc>
          <w:tcPr>
            <w:tcW w:w="980" w:type="dxa"/>
            <w:vAlign w:val="bottom"/>
          </w:tcPr>
          <w:p>
            <w:pPr>
              <w:jc w:val="center"/>
              <w:spacing w:after="0"/>
              <w:rPr>
                <w:sz w:val="20"/>
                <w:szCs w:val="20"/>
                <w:color w:val="auto"/>
              </w:rPr>
            </w:pPr>
            <w:r>
              <w:rPr>
                <w:rFonts w:ascii="Arial" w:cs="Arial" w:eastAsia="Arial" w:hAnsi="Arial"/>
                <w:sz w:val="18"/>
                <w:szCs w:val="18"/>
                <w:color w:val="auto"/>
              </w:rPr>
              <w:t>nil</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25,000</w:t>
            </w:r>
          </w:p>
        </w:tc>
        <w:tc>
          <w:tcPr>
            <w:tcW w:w="780" w:type="dxa"/>
            <w:vAlign w:val="bottom"/>
            <w:gridSpan w:val="2"/>
            <w:shd w:val="clear" w:color="auto" w:fill="CCEEFF"/>
          </w:tcPr>
          <w:p>
            <w:pPr>
              <w:ind w:left="380"/>
              <w:spacing w:after="0"/>
              <w:rPr>
                <w:sz w:val="20"/>
                <w:szCs w:val="20"/>
                <w:color w:val="auto"/>
              </w:rPr>
            </w:pPr>
            <w:r>
              <w:rPr>
                <w:rFonts w:ascii="Arial" w:cs="Arial" w:eastAsia="Arial" w:hAnsi="Arial"/>
                <w:sz w:val="18"/>
                <w:szCs w:val="18"/>
                <w:color w:val="auto"/>
                <w:w w:val="84"/>
              </w:rPr>
              <w:t>48.09</w:t>
            </w:r>
          </w:p>
        </w:tc>
        <w:tc>
          <w:tcPr>
            <w:tcW w:w="200" w:type="dxa"/>
            <w:vAlign w:val="bottom"/>
            <w:shd w:val="clear" w:color="auto" w:fill="CCEEFF"/>
          </w:tcPr>
          <w:p>
            <w:pPr>
              <w:spacing w:after="0"/>
              <w:rPr>
                <w:sz w:val="18"/>
                <w:szCs w:val="18"/>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1/2/2012</w:t>
            </w:r>
          </w:p>
        </w:tc>
        <w:tc>
          <w:tcPr>
            <w:tcW w:w="1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220,750</w:t>
            </w:r>
          </w:p>
        </w:tc>
        <w:tc>
          <w:tcPr>
            <w:tcW w:w="200" w:type="dxa"/>
            <w:vAlign w:val="bottom"/>
            <w:shd w:val="clear" w:color="auto" w:fill="CCEEFF"/>
          </w:tcPr>
          <w:p>
            <w:pPr>
              <w:spacing w:after="0"/>
              <w:rPr>
                <w:sz w:val="18"/>
                <w:szCs w:val="18"/>
                <w:color w:val="auto"/>
              </w:rPr>
            </w:pPr>
          </w:p>
        </w:tc>
        <w:tc>
          <w:tcPr>
            <w:tcW w:w="1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65,000</w:t>
            </w:r>
          </w:p>
        </w:tc>
        <w:tc>
          <w:tcPr>
            <w:tcW w:w="780" w:type="dxa"/>
            <w:vAlign w:val="bottom"/>
            <w:gridSpan w:val="2"/>
          </w:tcPr>
          <w:p>
            <w:pPr>
              <w:ind w:left="380"/>
              <w:spacing w:after="0"/>
              <w:rPr>
                <w:sz w:val="20"/>
                <w:szCs w:val="20"/>
                <w:color w:val="auto"/>
              </w:rPr>
            </w:pPr>
            <w:r>
              <w:rPr>
                <w:rFonts w:ascii="Arial" w:cs="Arial" w:eastAsia="Arial" w:hAnsi="Arial"/>
                <w:sz w:val="18"/>
                <w:szCs w:val="18"/>
                <w:color w:val="auto"/>
                <w:w w:val="84"/>
              </w:rPr>
              <w:t>54.42</w:t>
            </w:r>
          </w:p>
        </w:tc>
        <w:tc>
          <w:tcPr>
            <w:tcW w:w="200" w:type="dxa"/>
            <w:vAlign w:val="bottom"/>
          </w:tcPr>
          <w:p>
            <w:pPr>
              <w:spacing w:after="0"/>
              <w:rPr>
                <w:sz w:val="18"/>
                <w:szCs w:val="18"/>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1/2/2013</w:t>
            </w:r>
          </w:p>
        </w:tc>
        <w:tc>
          <w:tcPr>
            <w:tcW w:w="1560" w:type="dxa"/>
            <w:vAlign w:val="bottom"/>
            <w:gridSpan w:val="2"/>
          </w:tcPr>
          <w:p>
            <w:pPr>
              <w:jc w:val="right"/>
              <w:spacing w:after="0"/>
              <w:rPr>
                <w:sz w:val="20"/>
                <w:szCs w:val="20"/>
                <w:color w:val="auto"/>
              </w:rPr>
            </w:pPr>
            <w:r>
              <w:rPr>
                <w:rFonts w:ascii="Arial" w:cs="Arial" w:eastAsia="Arial" w:hAnsi="Arial"/>
                <w:sz w:val="18"/>
                <w:szCs w:val="18"/>
                <w:color w:val="auto"/>
              </w:rPr>
              <w:t>162,500</w:t>
            </w:r>
          </w:p>
        </w:tc>
        <w:tc>
          <w:tcPr>
            <w:tcW w:w="200" w:type="dxa"/>
            <w:vAlign w:val="bottom"/>
          </w:tcPr>
          <w:p>
            <w:pPr>
              <w:spacing w:after="0"/>
              <w:rPr>
                <w:sz w:val="18"/>
                <w:szCs w:val="18"/>
                <w:color w:val="auto"/>
              </w:rPr>
            </w:pPr>
          </w:p>
        </w:tc>
        <w:tc>
          <w:tcPr>
            <w:tcW w:w="11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4,000</w:t>
            </w:r>
          </w:p>
        </w:tc>
        <w:tc>
          <w:tcPr>
            <w:tcW w:w="780" w:type="dxa"/>
            <w:vAlign w:val="bottom"/>
            <w:gridSpan w:val="2"/>
            <w:shd w:val="clear" w:color="auto" w:fill="CCEEFF"/>
          </w:tcPr>
          <w:p>
            <w:pPr>
              <w:ind w:left="380"/>
              <w:spacing w:after="0"/>
              <w:rPr>
                <w:sz w:val="20"/>
                <w:szCs w:val="20"/>
                <w:color w:val="auto"/>
              </w:rPr>
            </w:pPr>
            <w:r>
              <w:rPr>
                <w:rFonts w:ascii="Arial" w:cs="Arial" w:eastAsia="Arial" w:hAnsi="Arial"/>
                <w:sz w:val="18"/>
                <w:szCs w:val="18"/>
                <w:color w:val="auto"/>
                <w:w w:val="84"/>
              </w:rPr>
              <w:t>62.77</w:t>
            </w:r>
          </w:p>
        </w:tc>
        <w:tc>
          <w:tcPr>
            <w:tcW w:w="200" w:type="dxa"/>
            <w:vAlign w:val="bottom"/>
            <w:shd w:val="clear" w:color="auto" w:fill="CCEEFF"/>
          </w:tcPr>
          <w:p>
            <w:pPr>
              <w:spacing w:after="0"/>
              <w:rPr>
                <w:sz w:val="18"/>
                <w:szCs w:val="18"/>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1/2/2014</w:t>
            </w:r>
          </w:p>
        </w:tc>
        <w:tc>
          <w:tcPr>
            <w:tcW w:w="180" w:type="dxa"/>
            <w:vAlign w:val="bottom"/>
            <w:shd w:val="clear" w:color="auto" w:fill="CCEEFF"/>
          </w:tcPr>
          <w:p>
            <w:pPr>
              <w:spacing w:after="0"/>
              <w:rPr>
                <w:sz w:val="18"/>
                <w:szCs w:val="18"/>
                <w:color w:val="auto"/>
              </w:rPr>
            </w:pPr>
          </w:p>
        </w:tc>
        <w:tc>
          <w:tcPr>
            <w:tcW w:w="15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nil</w:t>
            </w:r>
          </w:p>
        </w:tc>
        <w:tc>
          <w:tcPr>
            <w:tcW w:w="1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960" w:type="dxa"/>
            <w:vAlign w:val="bottom"/>
            <w:gridSpan w:val="3"/>
          </w:tcPr>
          <w:p>
            <w:pPr>
              <w:spacing w:after="0"/>
              <w:rPr>
                <w:sz w:val="20"/>
                <w:szCs w:val="20"/>
                <w:color w:val="auto"/>
              </w:rPr>
            </w:pPr>
            <w:r>
              <w:rPr>
                <w:rFonts w:ascii="Arial" w:cs="Arial" w:eastAsia="Arial" w:hAnsi="Arial"/>
                <w:sz w:val="18"/>
                <w:szCs w:val="18"/>
                <w:color w:val="auto"/>
              </w:rPr>
              <w:t>John Merfyn Roberts</w:t>
            </w:r>
          </w:p>
        </w:tc>
        <w:tc>
          <w:tcPr>
            <w:tcW w:w="1400" w:type="dxa"/>
            <w:vAlign w:val="bottom"/>
          </w:tcPr>
          <w:p>
            <w:pPr>
              <w:jc w:val="right"/>
              <w:spacing w:after="0"/>
              <w:rPr>
                <w:sz w:val="20"/>
                <w:szCs w:val="20"/>
                <w:color w:val="auto"/>
              </w:rPr>
            </w:pPr>
            <w:r>
              <w:rPr>
                <w:rFonts w:ascii="Arial" w:cs="Arial" w:eastAsia="Arial" w:hAnsi="Arial"/>
                <w:sz w:val="18"/>
                <w:szCs w:val="18"/>
                <w:color w:val="auto"/>
              </w:rPr>
              <w:t>7,200</w:t>
            </w:r>
          </w:p>
        </w:tc>
        <w:tc>
          <w:tcPr>
            <w:tcW w:w="780" w:type="dxa"/>
            <w:vAlign w:val="bottom"/>
            <w:gridSpan w:val="2"/>
          </w:tcPr>
          <w:p>
            <w:pPr>
              <w:ind w:left="380"/>
              <w:spacing w:after="0"/>
              <w:rPr>
                <w:sz w:val="20"/>
                <w:szCs w:val="20"/>
                <w:color w:val="auto"/>
              </w:rPr>
            </w:pPr>
            <w:r>
              <w:rPr>
                <w:rFonts w:ascii="Arial" w:cs="Arial" w:eastAsia="Arial" w:hAnsi="Arial"/>
                <w:sz w:val="18"/>
                <w:szCs w:val="18"/>
                <w:color w:val="auto"/>
                <w:w w:val="84"/>
              </w:rPr>
              <w:t>33.26</w:t>
            </w:r>
          </w:p>
        </w:tc>
        <w:tc>
          <w:tcPr>
            <w:tcW w:w="200" w:type="dxa"/>
            <w:vAlign w:val="bottom"/>
          </w:tcPr>
          <w:p>
            <w:pPr>
              <w:spacing w:after="0"/>
              <w:rPr>
                <w:sz w:val="18"/>
                <w:szCs w:val="18"/>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w w:val="99"/>
              </w:rPr>
              <w:t>11/3/2013</w:t>
            </w:r>
          </w:p>
        </w:tc>
        <w:tc>
          <w:tcPr>
            <w:tcW w:w="1560" w:type="dxa"/>
            <w:vAlign w:val="bottom"/>
            <w:gridSpan w:val="2"/>
          </w:tcPr>
          <w:p>
            <w:pPr>
              <w:jc w:val="right"/>
              <w:spacing w:after="0"/>
              <w:rPr>
                <w:sz w:val="20"/>
                <w:szCs w:val="20"/>
                <w:color w:val="auto"/>
              </w:rPr>
            </w:pPr>
            <w:r>
              <w:rPr>
                <w:rFonts w:ascii="Arial" w:cs="Arial" w:eastAsia="Arial" w:hAnsi="Arial"/>
                <w:sz w:val="18"/>
                <w:szCs w:val="18"/>
                <w:color w:val="auto"/>
              </w:rPr>
              <w:t>170,352</w:t>
            </w:r>
          </w:p>
        </w:tc>
        <w:tc>
          <w:tcPr>
            <w:tcW w:w="200" w:type="dxa"/>
            <w:vAlign w:val="bottom"/>
          </w:tcPr>
          <w:p>
            <w:pPr>
              <w:spacing w:after="0"/>
              <w:rPr>
                <w:sz w:val="18"/>
                <w:szCs w:val="18"/>
                <w:color w:val="auto"/>
              </w:rPr>
            </w:pPr>
          </w:p>
        </w:tc>
        <w:tc>
          <w:tcPr>
            <w:tcW w:w="1340" w:type="dxa"/>
            <w:vAlign w:val="bottom"/>
            <w:gridSpan w:val="2"/>
          </w:tcPr>
          <w:p>
            <w:pPr>
              <w:jc w:val="center"/>
              <w:ind w:right="160"/>
              <w:spacing w:after="0"/>
              <w:rPr>
                <w:sz w:val="20"/>
                <w:szCs w:val="20"/>
                <w:color w:val="auto"/>
              </w:rPr>
            </w:pPr>
            <w:r>
              <w:rPr>
                <w:rFonts w:ascii="Arial" w:cs="Arial" w:eastAsia="Arial" w:hAnsi="Arial"/>
                <w:sz w:val="18"/>
                <w:szCs w:val="18"/>
                <w:color w:val="auto"/>
                <w:w w:val="99"/>
              </w:rPr>
              <w:t>nil</w:t>
            </w:r>
          </w:p>
        </w:tc>
        <w:tc>
          <w:tcPr>
            <w:tcW w:w="980" w:type="dxa"/>
            <w:vAlign w:val="bottom"/>
          </w:tcPr>
          <w:p>
            <w:pPr>
              <w:jc w:val="center"/>
              <w:spacing w:after="0"/>
              <w:rPr>
                <w:sz w:val="20"/>
                <w:szCs w:val="20"/>
                <w:color w:val="auto"/>
              </w:rPr>
            </w:pPr>
            <w:r>
              <w:rPr>
                <w:rFonts w:ascii="Arial" w:cs="Arial" w:eastAsia="Arial" w:hAnsi="Arial"/>
                <w:sz w:val="18"/>
                <w:szCs w:val="18"/>
                <w:color w:val="auto"/>
              </w:rPr>
              <w:t>nil</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4,000</w:t>
            </w:r>
          </w:p>
        </w:tc>
        <w:tc>
          <w:tcPr>
            <w:tcW w:w="780" w:type="dxa"/>
            <w:vAlign w:val="bottom"/>
            <w:gridSpan w:val="2"/>
            <w:shd w:val="clear" w:color="auto" w:fill="CCEEFF"/>
          </w:tcPr>
          <w:p>
            <w:pPr>
              <w:ind w:left="380"/>
              <w:spacing w:after="0"/>
              <w:rPr>
                <w:sz w:val="20"/>
                <w:szCs w:val="20"/>
                <w:color w:val="auto"/>
              </w:rPr>
            </w:pPr>
            <w:r>
              <w:rPr>
                <w:rFonts w:ascii="Arial" w:cs="Arial" w:eastAsia="Arial" w:hAnsi="Arial"/>
                <w:sz w:val="18"/>
                <w:szCs w:val="18"/>
                <w:color w:val="auto"/>
                <w:w w:val="84"/>
              </w:rPr>
              <w:t>62.77</w:t>
            </w:r>
          </w:p>
        </w:tc>
        <w:tc>
          <w:tcPr>
            <w:tcW w:w="200" w:type="dxa"/>
            <w:vAlign w:val="bottom"/>
            <w:shd w:val="clear" w:color="auto" w:fill="CCEEFF"/>
          </w:tcPr>
          <w:p>
            <w:pPr>
              <w:spacing w:after="0"/>
              <w:rPr>
                <w:sz w:val="18"/>
                <w:szCs w:val="18"/>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1/2/2014</w:t>
            </w:r>
          </w:p>
        </w:tc>
        <w:tc>
          <w:tcPr>
            <w:tcW w:w="180" w:type="dxa"/>
            <w:vAlign w:val="bottom"/>
            <w:shd w:val="clear" w:color="auto" w:fill="CCEEFF"/>
          </w:tcPr>
          <w:p>
            <w:pPr>
              <w:spacing w:after="0"/>
              <w:rPr>
                <w:sz w:val="18"/>
                <w:szCs w:val="18"/>
                <w:color w:val="auto"/>
              </w:rPr>
            </w:pPr>
          </w:p>
        </w:tc>
        <w:tc>
          <w:tcPr>
            <w:tcW w:w="15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nil</w:t>
            </w:r>
          </w:p>
        </w:tc>
        <w:tc>
          <w:tcPr>
            <w:tcW w:w="1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960" w:type="dxa"/>
            <w:vAlign w:val="bottom"/>
            <w:gridSpan w:val="3"/>
          </w:tcPr>
          <w:p>
            <w:pPr>
              <w:spacing w:after="0"/>
              <w:rPr>
                <w:sz w:val="20"/>
                <w:szCs w:val="20"/>
                <w:color w:val="auto"/>
              </w:rPr>
            </w:pPr>
            <w:r>
              <w:rPr>
                <w:rFonts w:ascii="Arial" w:cs="Arial" w:eastAsia="Arial" w:hAnsi="Arial"/>
                <w:sz w:val="18"/>
                <w:szCs w:val="18"/>
                <w:color w:val="auto"/>
              </w:rPr>
              <w:t>Howard Stockford</w:t>
            </w:r>
          </w:p>
        </w:tc>
        <w:tc>
          <w:tcPr>
            <w:tcW w:w="1400" w:type="dxa"/>
            <w:vAlign w:val="bottom"/>
          </w:tcPr>
          <w:p>
            <w:pPr>
              <w:jc w:val="right"/>
              <w:spacing w:after="0"/>
              <w:rPr>
                <w:sz w:val="20"/>
                <w:szCs w:val="20"/>
                <w:color w:val="auto"/>
              </w:rPr>
            </w:pPr>
            <w:r>
              <w:rPr>
                <w:rFonts w:ascii="Arial" w:cs="Arial" w:eastAsia="Arial" w:hAnsi="Arial"/>
                <w:sz w:val="18"/>
                <w:szCs w:val="18"/>
                <w:color w:val="auto"/>
              </w:rPr>
              <w:t>17,500</w:t>
            </w:r>
          </w:p>
        </w:tc>
        <w:tc>
          <w:tcPr>
            <w:tcW w:w="780" w:type="dxa"/>
            <w:vAlign w:val="bottom"/>
            <w:gridSpan w:val="2"/>
          </w:tcPr>
          <w:p>
            <w:pPr>
              <w:ind w:left="380"/>
              <w:spacing w:after="0"/>
              <w:rPr>
                <w:sz w:val="20"/>
                <w:szCs w:val="20"/>
                <w:color w:val="auto"/>
              </w:rPr>
            </w:pPr>
            <w:r>
              <w:rPr>
                <w:rFonts w:ascii="Arial" w:cs="Arial" w:eastAsia="Arial" w:hAnsi="Arial"/>
                <w:sz w:val="18"/>
                <w:szCs w:val="18"/>
                <w:color w:val="auto"/>
                <w:w w:val="84"/>
              </w:rPr>
              <w:t>48.09</w:t>
            </w:r>
          </w:p>
        </w:tc>
        <w:tc>
          <w:tcPr>
            <w:tcW w:w="200" w:type="dxa"/>
            <w:vAlign w:val="bottom"/>
          </w:tcPr>
          <w:p>
            <w:pPr>
              <w:spacing w:after="0"/>
              <w:rPr>
                <w:sz w:val="18"/>
                <w:szCs w:val="18"/>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1/2/2012</w:t>
            </w:r>
          </w:p>
        </w:tc>
        <w:tc>
          <w:tcPr>
            <w:tcW w:w="1560" w:type="dxa"/>
            <w:vAlign w:val="bottom"/>
            <w:gridSpan w:val="2"/>
          </w:tcPr>
          <w:p>
            <w:pPr>
              <w:jc w:val="right"/>
              <w:spacing w:after="0"/>
              <w:rPr>
                <w:sz w:val="20"/>
                <w:szCs w:val="20"/>
                <w:color w:val="auto"/>
              </w:rPr>
            </w:pPr>
            <w:r>
              <w:rPr>
                <w:rFonts w:ascii="Arial" w:cs="Arial" w:eastAsia="Arial" w:hAnsi="Arial"/>
                <w:sz w:val="18"/>
                <w:szCs w:val="18"/>
                <w:color w:val="auto"/>
              </w:rPr>
              <w:t>154,525</w:t>
            </w:r>
          </w:p>
        </w:tc>
        <w:tc>
          <w:tcPr>
            <w:tcW w:w="200" w:type="dxa"/>
            <w:vAlign w:val="bottom"/>
          </w:tcPr>
          <w:p>
            <w:pPr>
              <w:spacing w:after="0"/>
              <w:rPr>
                <w:sz w:val="18"/>
                <w:szCs w:val="18"/>
                <w:color w:val="auto"/>
              </w:rPr>
            </w:pPr>
          </w:p>
        </w:tc>
        <w:tc>
          <w:tcPr>
            <w:tcW w:w="1340" w:type="dxa"/>
            <w:vAlign w:val="bottom"/>
            <w:gridSpan w:val="2"/>
          </w:tcPr>
          <w:p>
            <w:pPr>
              <w:jc w:val="center"/>
              <w:ind w:right="160"/>
              <w:spacing w:after="0"/>
              <w:rPr>
                <w:sz w:val="20"/>
                <w:szCs w:val="20"/>
                <w:color w:val="auto"/>
              </w:rPr>
            </w:pPr>
            <w:r>
              <w:rPr>
                <w:rFonts w:ascii="Arial" w:cs="Arial" w:eastAsia="Arial" w:hAnsi="Arial"/>
                <w:sz w:val="18"/>
                <w:szCs w:val="18"/>
                <w:color w:val="auto"/>
                <w:w w:val="99"/>
              </w:rPr>
              <w:t>nil</w:t>
            </w:r>
          </w:p>
        </w:tc>
        <w:tc>
          <w:tcPr>
            <w:tcW w:w="980" w:type="dxa"/>
            <w:vAlign w:val="bottom"/>
          </w:tcPr>
          <w:p>
            <w:pPr>
              <w:jc w:val="center"/>
              <w:spacing w:after="0"/>
              <w:rPr>
                <w:sz w:val="20"/>
                <w:szCs w:val="20"/>
                <w:color w:val="auto"/>
              </w:rPr>
            </w:pPr>
            <w:r>
              <w:rPr>
                <w:rFonts w:ascii="Arial" w:cs="Arial" w:eastAsia="Arial" w:hAnsi="Arial"/>
                <w:sz w:val="18"/>
                <w:szCs w:val="18"/>
                <w:color w:val="auto"/>
              </w:rPr>
              <w:t>nil</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35,000</w:t>
            </w:r>
          </w:p>
        </w:tc>
        <w:tc>
          <w:tcPr>
            <w:tcW w:w="780" w:type="dxa"/>
            <w:vAlign w:val="bottom"/>
            <w:gridSpan w:val="2"/>
            <w:shd w:val="clear" w:color="auto" w:fill="CCEEFF"/>
          </w:tcPr>
          <w:p>
            <w:pPr>
              <w:ind w:left="380"/>
              <w:spacing w:after="0"/>
              <w:rPr>
                <w:sz w:val="20"/>
                <w:szCs w:val="20"/>
                <w:color w:val="auto"/>
              </w:rPr>
            </w:pPr>
            <w:r>
              <w:rPr>
                <w:rFonts w:ascii="Arial" w:cs="Arial" w:eastAsia="Arial" w:hAnsi="Arial"/>
                <w:sz w:val="18"/>
                <w:szCs w:val="18"/>
                <w:color w:val="auto"/>
                <w:w w:val="84"/>
              </w:rPr>
              <w:t>54.42</w:t>
            </w:r>
          </w:p>
        </w:tc>
        <w:tc>
          <w:tcPr>
            <w:tcW w:w="200" w:type="dxa"/>
            <w:vAlign w:val="bottom"/>
            <w:shd w:val="clear" w:color="auto" w:fill="CCEEFF"/>
          </w:tcPr>
          <w:p>
            <w:pPr>
              <w:spacing w:after="0"/>
              <w:rPr>
                <w:sz w:val="18"/>
                <w:szCs w:val="18"/>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1/2/2013</w:t>
            </w:r>
          </w:p>
        </w:tc>
        <w:tc>
          <w:tcPr>
            <w:tcW w:w="1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87,500</w:t>
            </w:r>
          </w:p>
        </w:tc>
        <w:tc>
          <w:tcPr>
            <w:tcW w:w="200" w:type="dxa"/>
            <w:vAlign w:val="bottom"/>
            <w:shd w:val="clear" w:color="auto" w:fill="CCEEFF"/>
          </w:tcPr>
          <w:p>
            <w:pPr>
              <w:spacing w:after="0"/>
              <w:rPr>
                <w:sz w:val="18"/>
                <w:szCs w:val="18"/>
                <w:color w:val="auto"/>
              </w:rPr>
            </w:pPr>
          </w:p>
        </w:tc>
        <w:tc>
          <w:tcPr>
            <w:tcW w:w="1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4,000</w:t>
            </w:r>
          </w:p>
        </w:tc>
        <w:tc>
          <w:tcPr>
            <w:tcW w:w="780" w:type="dxa"/>
            <w:vAlign w:val="bottom"/>
            <w:gridSpan w:val="2"/>
          </w:tcPr>
          <w:p>
            <w:pPr>
              <w:ind w:left="380"/>
              <w:spacing w:after="0"/>
              <w:rPr>
                <w:sz w:val="20"/>
                <w:szCs w:val="20"/>
                <w:color w:val="auto"/>
              </w:rPr>
            </w:pPr>
            <w:r>
              <w:rPr>
                <w:rFonts w:ascii="Arial" w:cs="Arial" w:eastAsia="Arial" w:hAnsi="Arial"/>
                <w:sz w:val="18"/>
                <w:szCs w:val="18"/>
                <w:color w:val="auto"/>
                <w:w w:val="84"/>
              </w:rPr>
              <w:t>62.77</w:t>
            </w:r>
          </w:p>
        </w:tc>
        <w:tc>
          <w:tcPr>
            <w:tcW w:w="200" w:type="dxa"/>
            <w:vAlign w:val="bottom"/>
          </w:tcPr>
          <w:p>
            <w:pPr>
              <w:spacing w:after="0"/>
              <w:rPr>
                <w:sz w:val="18"/>
                <w:szCs w:val="18"/>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1/2/2014</w:t>
            </w:r>
          </w:p>
        </w:tc>
        <w:tc>
          <w:tcPr>
            <w:tcW w:w="180" w:type="dxa"/>
            <w:vAlign w:val="bottom"/>
          </w:tcPr>
          <w:p>
            <w:pPr>
              <w:spacing w:after="0"/>
              <w:rPr>
                <w:sz w:val="18"/>
                <w:szCs w:val="18"/>
                <w:color w:val="auto"/>
              </w:rPr>
            </w:pPr>
          </w:p>
        </w:tc>
        <w:tc>
          <w:tcPr>
            <w:tcW w:w="1580" w:type="dxa"/>
            <w:vAlign w:val="bottom"/>
            <w:gridSpan w:val="2"/>
          </w:tcPr>
          <w:p>
            <w:pPr>
              <w:jc w:val="right"/>
              <w:ind w:right="200"/>
              <w:spacing w:after="0"/>
              <w:rPr>
                <w:sz w:val="20"/>
                <w:szCs w:val="20"/>
                <w:color w:val="auto"/>
              </w:rPr>
            </w:pPr>
            <w:r>
              <w:rPr>
                <w:rFonts w:ascii="Arial" w:cs="Arial" w:eastAsia="Arial" w:hAnsi="Arial"/>
                <w:sz w:val="18"/>
                <w:szCs w:val="18"/>
                <w:color w:val="auto"/>
              </w:rPr>
              <w:t>nil</w:t>
            </w:r>
          </w:p>
        </w:tc>
        <w:tc>
          <w:tcPr>
            <w:tcW w:w="11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9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Pertti Voutilainen</w:t>
            </w: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25,000</w:t>
            </w:r>
          </w:p>
        </w:tc>
        <w:tc>
          <w:tcPr>
            <w:tcW w:w="780" w:type="dxa"/>
            <w:vAlign w:val="bottom"/>
            <w:gridSpan w:val="2"/>
            <w:shd w:val="clear" w:color="auto" w:fill="CCEEFF"/>
          </w:tcPr>
          <w:p>
            <w:pPr>
              <w:ind w:left="380"/>
              <w:spacing w:after="0"/>
              <w:rPr>
                <w:sz w:val="20"/>
                <w:szCs w:val="20"/>
                <w:color w:val="auto"/>
              </w:rPr>
            </w:pPr>
            <w:r>
              <w:rPr>
                <w:rFonts w:ascii="Arial" w:cs="Arial" w:eastAsia="Arial" w:hAnsi="Arial"/>
                <w:sz w:val="18"/>
                <w:szCs w:val="18"/>
                <w:color w:val="auto"/>
                <w:w w:val="84"/>
              </w:rPr>
              <w:t>48.09</w:t>
            </w:r>
          </w:p>
        </w:tc>
        <w:tc>
          <w:tcPr>
            <w:tcW w:w="200" w:type="dxa"/>
            <w:vAlign w:val="bottom"/>
            <w:shd w:val="clear" w:color="auto" w:fill="CCEEFF"/>
          </w:tcPr>
          <w:p>
            <w:pPr>
              <w:spacing w:after="0"/>
              <w:rPr>
                <w:sz w:val="18"/>
                <w:szCs w:val="18"/>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1/2/2012</w:t>
            </w:r>
          </w:p>
        </w:tc>
        <w:tc>
          <w:tcPr>
            <w:tcW w:w="1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220,750</w:t>
            </w:r>
          </w:p>
        </w:tc>
        <w:tc>
          <w:tcPr>
            <w:tcW w:w="2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center"/>
              <w:ind w:right="160"/>
              <w:spacing w:after="0"/>
              <w:rPr>
                <w:sz w:val="20"/>
                <w:szCs w:val="20"/>
                <w:color w:val="auto"/>
              </w:rPr>
            </w:pPr>
            <w:r>
              <w:rPr>
                <w:rFonts w:ascii="Arial" w:cs="Arial" w:eastAsia="Arial" w:hAnsi="Arial"/>
                <w:sz w:val="18"/>
                <w:szCs w:val="18"/>
                <w:color w:val="auto"/>
                <w:w w:val="99"/>
              </w:rPr>
              <w:t>nil</w:t>
            </w:r>
          </w:p>
        </w:tc>
        <w:tc>
          <w:tcPr>
            <w:tcW w:w="98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nil</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35,000</w:t>
            </w:r>
          </w:p>
        </w:tc>
        <w:tc>
          <w:tcPr>
            <w:tcW w:w="780" w:type="dxa"/>
            <w:vAlign w:val="bottom"/>
            <w:gridSpan w:val="2"/>
          </w:tcPr>
          <w:p>
            <w:pPr>
              <w:ind w:left="380"/>
              <w:spacing w:after="0"/>
              <w:rPr>
                <w:sz w:val="20"/>
                <w:szCs w:val="20"/>
                <w:color w:val="auto"/>
              </w:rPr>
            </w:pPr>
            <w:r>
              <w:rPr>
                <w:rFonts w:ascii="Arial" w:cs="Arial" w:eastAsia="Arial" w:hAnsi="Arial"/>
                <w:sz w:val="18"/>
                <w:szCs w:val="18"/>
                <w:color w:val="auto"/>
                <w:w w:val="84"/>
              </w:rPr>
              <w:t>54.42</w:t>
            </w:r>
          </w:p>
        </w:tc>
        <w:tc>
          <w:tcPr>
            <w:tcW w:w="200" w:type="dxa"/>
            <w:vAlign w:val="bottom"/>
          </w:tcPr>
          <w:p>
            <w:pPr>
              <w:spacing w:after="0"/>
              <w:rPr>
                <w:sz w:val="18"/>
                <w:szCs w:val="18"/>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1/2/2013</w:t>
            </w:r>
          </w:p>
        </w:tc>
        <w:tc>
          <w:tcPr>
            <w:tcW w:w="1560" w:type="dxa"/>
            <w:vAlign w:val="bottom"/>
            <w:gridSpan w:val="2"/>
          </w:tcPr>
          <w:p>
            <w:pPr>
              <w:jc w:val="right"/>
              <w:spacing w:after="0"/>
              <w:rPr>
                <w:sz w:val="20"/>
                <w:szCs w:val="20"/>
                <w:color w:val="auto"/>
              </w:rPr>
            </w:pPr>
            <w:r>
              <w:rPr>
                <w:rFonts w:ascii="Arial" w:cs="Arial" w:eastAsia="Arial" w:hAnsi="Arial"/>
                <w:sz w:val="18"/>
                <w:szCs w:val="18"/>
                <w:color w:val="auto"/>
              </w:rPr>
              <w:t>87,500</w:t>
            </w:r>
          </w:p>
        </w:tc>
        <w:tc>
          <w:tcPr>
            <w:tcW w:w="200" w:type="dxa"/>
            <w:vAlign w:val="bottom"/>
          </w:tcPr>
          <w:p>
            <w:pPr>
              <w:spacing w:after="0"/>
              <w:rPr>
                <w:sz w:val="18"/>
                <w:szCs w:val="18"/>
                <w:color w:val="auto"/>
              </w:rPr>
            </w:pPr>
          </w:p>
        </w:tc>
        <w:tc>
          <w:tcPr>
            <w:tcW w:w="11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4,000</w:t>
            </w:r>
          </w:p>
        </w:tc>
        <w:tc>
          <w:tcPr>
            <w:tcW w:w="780" w:type="dxa"/>
            <w:vAlign w:val="bottom"/>
            <w:gridSpan w:val="2"/>
            <w:shd w:val="clear" w:color="auto" w:fill="CCEEFF"/>
          </w:tcPr>
          <w:p>
            <w:pPr>
              <w:ind w:left="380"/>
              <w:spacing w:after="0"/>
              <w:rPr>
                <w:sz w:val="20"/>
                <w:szCs w:val="20"/>
                <w:color w:val="auto"/>
              </w:rPr>
            </w:pPr>
            <w:r>
              <w:rPr>
                <w:rFonts w:ascii="Arial" w:cs="Arial" w:eastAsia="Arial" w:hAnsi="Arial"/>
                <w:sz w:val="18"/>
                <w:szCs w:val="18"/>
                <w:color w:val="auto"/>
                <w:w w:val="84"/>
              </w:rPr>
              <w:t>62.77</w:t>
            </w:r>
          </w:p>
        </w:tc>
        <w:tc>
          <w:tcPr>
            <w:tcW w:w="200" w:type="dxa"/>
            <w:vAlign w:val="bottom"/>
            <w:shd w:val="clear" w:color="auto" w:fill="CCEEFF"/>
          </w:tcPr>
          <w:p>
            <w:pPr>
              <w:spacing w:after="0"/>
              <w:rPr>
                <w:sz w:val="18"/>
                <w:szCs w:val="18"/>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1/2/2014</w:t>
            </w:r>
          </w:p>
        </w:tc>
        <w:tc>
          <w:tcPr>
            <w:tcW w:w="180" w:type="dxa"/>
            <w:vAlign w:val="bottom"/>
            <w:shd w:val="clear" w:color="auto" w:fill="CCEEFF"/>
          </w:tcPr>
          <w:p>
            <w:pPr>
              <w:spacing w:after="0"/>
              <w:rPr>
                <w:sz w:val="18"/>
                <w:szCs w:val="18"/>
                <w:color w:val="auto"/>
              </w:rPr>
            </w:pPr>
          </w:p>
        </w:tc>
        <w:tc>
          <w:tcPr>
            <w:tcW w:w="15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nil</w:t>
            </w:r>
          </w:p>
        </w:tc>
        <w:tc>
          <w:tcPr>
            <w:tcW w:w="11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08"/>
        </w:trPr>
        <w:tc>
          <w:tcPr>
            <w:tcW w:w="20" w:type="dxa"/>
            <w:vAlign w:val="bottom"/>
          </w:tcPr>
          <w:p>
            <w:pPr>
              <w:spacing w:after="0"/>
              <w:rPr>
                <w:sz w:val="9"/>
                <w:szCs w:val="9"/>
                <w:color w:val="auto"/>
              </w:rPr>
            </w:pPr>
          </w:p>
        </w:tc>
        <w:tc>
          <w:tcPr>
            <w:tcW w:w="380" w:type="dxa"/>
            <w:vAlign w:val="bottom"/>
            <w:tcBorders>
              <w:bottom w:val="single" w:sz="8" w:color="auto"/>
            </w:tcBorders>
          </w:tcPr>
          <w:p>
            <w:pPr>
              <w:spacing w:after="0"/>
              <w:rPr>
                <w:sz w:val="9"/>
                <w:szCs w:val="9"/>
                <w:color w:val="auto"/>
              </w:rPr>
            </w:pPr>
          </w:p>
        </w:tc>
        <w:tc>
          <w:tcPr>
            <w:tcW w:w="880" w:type="dxa"/>
            <w:vAlign w:val="bottom"/>
            <w:tcBorders>
              <w:bottom w:val="single" w:sz="8" w:color="auto"/>
            </w:tcBorders>
          </w:tcPr>
          <w:p>
            <w:pPr>
              <w:spacing w:after="0"/>
              <w:rPr>
                <w:sz w:val="9"/>
                <w:szCs w:val="9"/>
                <w:color w:val="auto"/>
              </w:rPr>
            </w:pPr>
          </w:p>
        </w:tc>
        <w:tc>
          <w:tcPr>
            <w:tcW w:w="700" w:type="dxa"/>
            <w:vAlign w:val="bottom"/>
          </w:tcPr>
          <w:p>
            <w:pPr>
              <w:spacing w:after="0"/>
              <w:rPr>
                <w:sz w:val="9"/>
                <w:szCs w:val="9"/>
                <w:color w:val="auto"/>
              </w:rPr>
            </w:pPr>
          </w:p>
        </w:tc>
        <w:tc>
          <w:tcPr>
            <w:tcW w:w="1400" w:type="dxa"/>
            <w:vAlign w:val="bottom"/>
          </w:tcPr>
          <w:p>
            <w:pPr>
              <w:spacing w:after="0"/>
              <w:rPr>
                <w:sz w:val="9"/>
                <w:szCs w:val="9"/>
                <w:color w:val="auto"/>
              </w:rPr>
            </w:pPr>
          </w:p>
        </w:tc>
        <w:tc>
          <w:tcPr>
            <w:tcW w:w="160" w:type="dxa"/>
            <w:vAlign w:val="bottom"/>
          </w:tcPr>
          <w:p>
            <w:pPr>
              <w:spacing w:after="0"/>
              <w:rPr>
                <w:sz w:val="9"/>
                <w:szCs w:val="9"/>
                <w:color w:val="auto"/>
              </w:rPr>
            </w:pPr>
          </w:p>
        </w:tc>
        <w:tc>
          <w:tcPr>
            <w:tcW w:w="620" w:type="dxa"/>
            <w:vAlign w:val="bottom"/>
          </w:tcPr>
          <w:p>
            <w:pPr>
              <w:spacing w:after="0"/>
              <w:rPr>
                <w:sz w:val="9"/>
                <w:szCs w:val="9"/>
                <w:color w:val="auto"/>
              </w:rPr>
            </w:pPr>
          </w:p>
        </w:tc>
        <w:tc>
          <w:tcPr>
            <w:tcW w:w="200" w:type="dxa"/>
            <w:vAlign w:val="bottom"/>
          </w:tcPr>
          <w:p>
            <w:pPr>
              <w:spacing w:after="0"/>
              <w:rPr>
                <w:sz w:val="9"/>
                <w:szCs w:val="9"/>
                <w:color w:val="auto"/>
              </w:rPr>
            </w:pPr>
          </w:p>
        </w:tc>
        <w:tc>
          <w:tcPr>
            <w:tcW w:w="820" w:type="dxa"/>
            <w:vAlign w:val="bottom"/>
          </w:tcPr>
          <w:p>
            <w:pPr>
              <w:spacing w:after="0"/>
              <w:rPr>
                <w:sz w:val="9"/>
                <w:szCs w:val="9"/>
                <w:color w:val="auto"/>
              </w:rPr>
            </w:pPr>
          </w:p>
        </w:tc>
        <w:tc>
          <w:tcPr>
            <w:tcW w:w="180" w:type="dxa"/>
            <w:vAlign w:val="bottom"/>
          </w:tcPr>
          <w:p>
            <w:pPr>
              <w:spacing w:after="0"/>
              <w:rPr>
                <w:sz w:val="9"/>
                <w:szCs w:val="9"/>
                <w:color w:val="auto"/>
              </w:rPr>
            </w:pPr>
          </w:p>
        </w:tc>
        <w:tc>
          <w:tcPr>
            <w:tcW w:w="1380" w:type="dxa"/>
            <w:vAlign w:val="bottom"/>
          </w:tcPr>
          <w:p>
            <w:pPr>
              <w:spacing w:after="0"/>
              <w:rPr>
                <w:sz w:val="9"/>
                <w:szCs w:val="9"/>
                <w:color w:val="auto"/>
              </w:rPr>
            </w:pPr>
          </w:p>
        </w:tc>
        <w:tc>
          <w:tcPr>
            <w:tcW w:w="200" w:type="dxa"/>
            <w:vAlign w:val="bottom"/>
          </w:tcPr>
          <w:p>
            <w:pPr>
              <w:spacing w:after="0"/>
              <w:rPr>
                <w:sz w:val="9"/>
                <w:szCs w:val="9"/>
                <w:color w:val="auto"/>
              </w:rPr>
            </w:pPr>
          </w:p>
        </w:tc>
        <w:tc>
          <w:tcPr>
            <w:tcW w:w="1180" w:type="dxa"/>
            <w:vAlign w:val="bottom"/>
          </w:tcPr>
          <w:p>
            <w:pPr>
              <w:spacing w:after="0"/>
              <w:rPr>
                <w:sz w:val="9"/>
                <w:szCs w:val="9"/>
                <w:color w:val="auto"/>
              </w:rPr>
            </w:pPr>
          </w:p>
        </w:tc>
        <w:tc>
          <w:tcPr>
            <w:tcW w:w="160" w:type="dxa"/>
            <w:vAlign w:val="bottom"/>
          </w:tcPr>
          <w:p>
            <w:pPr>
              <w:spacing w:after="0"/>
              <w:rPr>
                <w:sz w:val="9"/>
                <w:szCs w:val="9"/>
                <w:color w:val="auto"/>
              </w:rPr>
            </w:pPr>
          </w:p>
        </w:tc>
        <w:tc>
          <w:tcPr>
            <w:tcW w:w="98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p>
    <w:p>
      <w:pPr>
        <w:ind w:left="1680" w:hanging="531"/>
        <w:spacing w:after="0"/>
        <w:tabs>
          <w:tab w:leader="none" w:pos="1680" w:val="left"/>
        </w:tabs>
        <w:numPr>
          <w:ilvl w:val="0"/>
          <w:numId w:val="54"/>
        </w:numPr>
        <w:rPr>
          <w:rFonts w:ascii="Arial" w:cs="Arial" w:eastAsia="Arial" w:hAnsi="Arial"/>
          <w:sz w:val="14"/>
          <w:szCs w:val="14"/>
          <w:color w:val="auto"/>
        </w:rPr>
      </w:pPr>
      <w:r>
        <w:rPr>
          <w:rFonts w:ascii="Arial" w:cs="Arial" w:eastAsia="Arial" w:hAnsi="Arial"/>
          <w:sz w:val="14"/>
          <w:szCs w:val="14"/>
          <w:color w:val="auto"/>
        </w:rPr>
        <w:t>Based on a closing price of the Company's shares on the TSX of C$56.92 on December 31, 2009.</w:t>
      </w:r>
    </w:p>
    <w:p>
      <w:pPr>
        <w:spacing w:after="0" w:line="122" w:lineRule="exact"/>
        <w:rPr>
          <w:rFonts w:ascii="Arial" w:cs="Arial" w:eastAsia="Arial" w:hAnsi="Arial"/>
          <w:sz w:val="14"/>
          <w:szCs w:val="14"/>
          <w:color w:val="auto"/>
        </w:rPr>
      </w:pPr>
    </w:p>
    <w:p>
      <w:pPr>
        <w:ind w:left="1680" w:hanging="531"/>
        <w:spacing w:after="0"/>
        <w:tabs>
          <w:tab w:leader="none" w:pos="1680" w:val="left"/>
        </w:tabs>
        <w:numPr>
          <w:ilvl w:val="0"/>
          <w:numId w:val="54"/>
        </w:numPr>
        <w:rPr>
          <w:rFonts w:ascii="Arial" w:cs="Arial" w:eastAsia="Arial" w:hAnsi="Arial"/>
          <w:sz w:val="12"/>
          <w:szCs w:val="12"/>
          <w:color w:val="auto"/>
        </w:rPr>
      </w:pPr>
      <w:r>
        <w:rPr>
          <w:rFonts w:ascii="Arial" w:cs="Arial" w:eastAsia="Arial" w:hAnsi="Arial"/>
          <w:sz w:val="12"/>
          <w:szCs w:val="12"/>
          <w:color w:val="auto"/>
        </w:rPr>
        <w:t>Value is United States dollars and based on a closing price of the Company's shares on the New York Stock Exchange ("NYSE") of US$54.00 on December 31, 2009.</w:t>
      </w:r>
    </w:p>
    <w:p>
      <w:pPr>
        <w:spacing w:after="0" w:line="229" w:lineRule="exact"/>
        <w:rPr>
          <w:sz w:val="20"/>
          <w:szCs w:val="20"/>
          <w:color w:val="auto"/>
        </w:rPr>
      </w:pPr>
    </w:p>
    <w:p>
      <w:pPr>
        <w:jc w:val="both"/>
        <w:ind w:firstLine="415"/>
        <w:spacing w:after="0" w:line="306" w:lineRule="auto"/>
        <w:rPr>
          <w:sz w:val="20"/>
          <w:szCs w:val="20"/>
          <w:color w:val="auto"/>
        </w:rPr>
      </w:pPr>
      <w:r>
        <w:rPr>
          <w:rFonts w:ascii="Arial" w:cs="Arial" w:eastAsia="Arial" w:hAnsi="Arial"/>
          <w:sz w:val="16"/>
          <w:szCs w:val="16"/>
          <w:color w:val="auto"/>
        </w:rPr>
        <w:t>In 2009, shareholders of Agnico-Eagle approved an amendment to the Employee Share Purchase Plan to prohibit participation by non-executive directors, formalizing a practice that had been adopted in April 2008 at the time of certain undertakings given to RiskMetrics Group. During the year ended December 31, 2009, Agnico-Eagle issued a total of 3,330 common shares to the following executive directors under its Employee Share Purchase Plan as follows:</w:t>
      </w:r>
    </w:p>
    <w:p>
      <w:pPr>
        <w:spacing w:after="0" w:line="169" w:lineRule="exact"/>
        <w:rPr>
          <w:sz w:val="20"/>
          <w:szCs w:val="20"/>
          <w:color w:val="auto"/>
        </w:rPr>
      </w:pPr>
    </w:p>
    <w:tbl>
      <w:tblPr>
        <w:tblLayout w:type="fixed"/>
        <w:tblInd w:w="3440" w:type="dxa"/>
        <w:tblCellMar>
          <w:top w:w="0" w:type="dxa"/>
          <w:left w:w="0" w:type="dxa"/>
          <w:bottom w:w="0" w:type="dxa"/>
          <w:right w:w="0" w:type="dxa"/>
        </w:tblCellMar>
      </w:tblPr>
      <w:tr>
        <w:trPr>
          <w:trHeight w:val="216"/>
        </w:trPr>
        <w:tc>
          <w:tcPr>
            <w:tcW w:w="22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2520" w:type="dxa"/>
            <w:vAlign w:val="bottom"/>
            <w:shd w:val="clear" w:color="auto" w:fill="CCEEFF"/>
          </w:tcPr>
          <w:p>
            <w:pPr>
              <w:ind w:left="160"/>
              <w:spacing w:after="0"/>
              <w:rPr>
                <w:sz w:val="20"/>
                <w:szCs w:val="20"/>
                <w:color w:val="auto"/>
              </w:rPr>
            </w:pPr>
            <w:r>
              <w:rPr>
                <w:rFonts w:ascii="Arial" w:cs="Arial" w:eastAsia="Arial" w:hAnsi="Arial"/>
                <w:sz w:val="18"/>
                <w:szCs w:val="18"/>
                <w:color w:val="auto"/>
              </w:rPr>
              <w:t>Mr. Boyd</w:t>
            </w:r>
          </w:p>
        </w:tc>
        <w:tc>
          <w:tcPr>
            <w:tcW w:w="1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1,805</w:t>
            </w:r>
          </w:p>
        </w:tc>
      </w:tr>
      <w:tr>
        <w:trPr>
          <w:trHeight w:val="222"/>
        </w:trPr>
        <w:tc>
          <w:tcPr>
            <w:tcW w:w="220" w:type="dxa"/>
            <w:vAlign w:val="bottom"/>
          </w:tcPr>
          <w:p>
            <w:pPr>
              <w:spacing w:after="0"/>
              <w:rPr>
                <w:sz w:val="20"/>
                <w:szCs w:val="20"/>
                <w:color w:val="auto"/>
              </w:rPr>
            </w:pPr>
            <w:r>
              <w:rPr>
                <w:rFonts w:ascii="Arial" w:cs="Arial" w:eastAsia="Arial" w:hAnsi="Arial"/>
                <w:sz w:val="18"/>
                <w:szCs w:val="18"/>
                <w:color w:val="auto"/>
              </w:rPr>
              <w:t>•</w:t>
            </w:r>
          </w:p>
        </w:tc>
        <w:tc>
          <w:tcPr>
            <w:tcW w:w="2520" w:type="dxa"/>
            <w:vAlign w:val="bottom"/>
          </w:tcPr>
          <w:p>
            <w:pPr>
              <w:ind w:left="160"/>
              <w:spacing w:after="0"/>
              <w:rPr>
                <w:sz w:val="20"/>
                <w:szCs w:val="20"/>
                <w:color w:val="auto"/>
              </w:rPr>
            </w:pPr>
            <w:r>
              <w:rPr>
                <w:rFonts w:ascii="Arial" w:cs="Arial" w:eastAsia="Arial" w:hAnsi="Arial"/>
                <w:sz w:val="18"/>
                <w:szCs w:val="18"/>
                <w:color w:val="auto"/>
              </w:rPr>
              <w:t>Mr. Scherkus</w:t>
            </w:r>
          </w:p>
        </w:tc>
        <w:tc>
          <w:tcPr>
            <w:tcW w:w="1820" w:type="dxa"/>
            <w:vAlign w:val="bottom"/>
          </w:tcPr>
          <w:p>
            <w:pPr>
              <w:jc w:val="right"/>
              <w:spacing w:after="0"/>
              <w:rPr>
                <w:sz w:val="20"/>
                <w:szCs w:val="20"/>
                <w:color w:val="auto"/>
              </w:rPr>
            </w:pPr>
            <w:r>
              <w:rPr>
                <w:rFonts w:ascii="Arial" w:cs="Arial" w:eastAsia="Arial" w:hAnsi="Arial"/>
                <w:sz w:val="18"/>
                <w:szCs w:val="18"/>
                <w:color w:val="auto"/>
              </w:rPr>
              <w:t>1,525</w:t>
            </w:r>
          </w:p>
        </w:tc>
      </w:tr>
    </w:tbl>
    <w:p>
      <w:pPr>
        <w:spacing w:after="0" w:line="201" w:lineRule="exact"/>
        <w:rPr>
          <w:sz w:val="20"/>
          <w:szCs w:val="20"/>
          <w:color w:val="auto"/>
        </w:rPr>
      </w:pPr>
    </w:p>
    <w:p>
      <w:pPr>
        <w:ind w:right="20" w:firstLine="522"/>
        <w:spacing w:after="0" w:line="268" w:lineRule="auto"/>
        <w:rPr>
          <w:sz w:val="20"/>
          <w:szCs w:val="20"/>
          <w:color w:val="auto"/>
        </w:rPr>
      </w:pPr>
      <w:r>
        <w:rPr>
          <w:rFonts w:ascii="Arial" w:cs="Arial" w:eastAsia="Arial" w:hAnsi="Arial"/>
          <w:sz w:val="18"/>
          <w:szCs w:val="18"/>
          <w:color w:val="auto"/>
        </w:rPr>
        <w:t>Agnico-Eagle will provide healthcare benefits to Mr. Ernest Sheriff until May 2010, which is the fifth anniversary of his resignation from the Board of Directors.</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5" w:name="page156"/>
    <w:bookmarkEnd w:id="155"/>
    <w:p>
      <w:pPr>
        <w:jc w:val="both"/>
        <w:ind w:right="20" w:firstLine="391"/>
        <w:spacing w:after="0" w:line="268" w:lineRule="auto"/>
        <w:rPr>
          <w:sz w:val="20"/>
          <w:szCs w:val="20"/>
          <w:color w:val="auto"/>
        </w:rPr>
      </w:pPr>
      <w:r>
        <w:rPr>
          <w:rFonts w:ascii="Arial" w:cs="Arial" w:eastAsia="Arial" w:hAnsi="Arial"/>
          <w:sz w:val="18"/>
          <w:szCs w:val="18"/>
          <w:color w:val="auto"/>
        </w:rPr>
        <w:t>The following table sets out the attendance of each of the directors to the Board of Directors meetings and the Board of Directors committee meetings held in 2009.</w:t>
      </w:r>
    </w:p>
    <w:p>
      <w:pPr>
        <w:spacing w:after="0" w:line="169"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6160" w:type="dxa"/>
            <w:vAlign w:val="bottom"/>
          </w:tcPr>
          <w:p>
            <w:pPr>
              <w:spacing w:after="0"/>
              <w:rPr>
                <w:sz w:val="14"/>
                <w:szCs w:val="14"/>
                <w:color w:val="auto"/>
              </w:rPr>
            </w:pPr>
          </w:p>
        </w:tc>
        <w:tc>
          <w:tcPr>
            <w:tcW w:w="1000" w:type="dxa"/>
            <w:vAlign w:val="bottom"/>
          </w:tcPr>
          <w:p>
            <w:pPr>
              <w:jc w:val="center"/>
              <w:spacing w:after="0"/>
              <w:rPr>
                <w:sz w:val="20"/>
                <w:szCs w:val="20"/>
                <w:color w:val="auto"/>
              </w:rPr>
            </w:pPr>
            <w:r>
              <w:rPr>
                <w:rFonts w:ascii="Arial" w:cs="Arial" w:eastAsia="Arial" w:hAnsi="Arial"/>
                <w:sz w:val="14"/>
                <w:szCs w:val="14"/>
                <w:b w:val="1"/>
                <w:bCs w:val="1"/>
                <w:color w:val="auto"/>
                <w:w w:val="87"/>
              </w:rPr>
              <w:t>Board Meetings</w:t>
            </w:r>
          </w:p>
        </w:tc>
        <w:tc>
          <w:tcPr>
            <w:tcW w:w="160" w:type="dxa"/>
            <w:vAlign w:val="bottom"/>
          </w:tcPr>
          <w:p>
            <w:pPr>
              <w:spacing w:after="0"/>
              <w:rPr>
                <w:sz w:val="14"/>
                <w:szCs w:val="14"/>
                <w:color w:val="auto"/>
              </w:rPr>
            </w:pPr>
          </w:p>
        </w:tc>
        <w:tc>
          <w:tcPr>
            <w:tcW w:w="1300" w:type="dxa"/>
            <w:vAlign w:val="bottom"/>
          </w:tcPr>
          <w:p>
            <w:pPr>
              <w:jc w:val="center"/>
              <w:spacing w:after="0"/>
              <w:rPr>
                <w:sz w:val="20"/>
                <w:szCs w:val="20"/>
                <w:color w:val="auto"/>
              </w:rPr>
            </w:pPr>
            <w:r>
              <w:rPr>
                <w:rFonts w:ascii="Arial" w:cs="Arial" w:eastAsia="Arial" w:hAnsi="Arial"/>
                <w:sz w:val="14"/>
                <w:szCs w:val="14"/>
                <w:b w:val="1"/>
                <w:bCs w:val="1"/>
                <w:color w:val="auto"/>
                <w:w w:val="86"/>
              </w:rPr>
              <w:t>Committee Meetings</w:t>
            </w:r>
          </w:p>
        </w:tc>
        <w:tc>
          <w:tcPr>
            <w:tcW w:w="0" w:type="dxa"/>
            <w:vAlign w:val="bottom"/>
          </w:tcPr>
          <w:p>
            <w:pPr>
              <w:spacing w:after="0"/>
              <w:rPr>
                <w:sz w:val="1"/>
                <w:szCs w:val="1"/>
                <w:color w:val="auto"/>
              </w:rPr>
            </w:pPr>
          </w:p>
        </w:tc>
      </w:tr>
      <w:tr>
        <w:trPr>
          <w:trHeight w:val="161"/>
        </w:trPr>
        <w:tc>
          <w:tcPr>
            <w:tcW w:w="6680" w:type="dxa"/>
            <w:vAlign w:val="bottom"/>
            <w:gridSpan w:val="3"/>
          </w:tcPr>
          <w:p>
            <w:pPr>
              <w:spacing w:after="0"/>
              <w:rPr>
                <w:sz w:val="20"/>
                <w:szCs w:val="20"/>
                <w:color w:val="auto"/>
              </w:rPr>
            </w:pPr>
            <w:r>
              <w:rPr>
                <w:rFonts w:ascii="Arial" w:cs="Arial" w:eastAsia="Arial" w:hAnsi="Arial"/>
                <w:sz w:val="14"/>
                <w:szCs w:val="14"/>
                <w:b w:val="1"/>
                <w:bCs w:val="1"/>
                <w:color w:val="auto"/>
              </w:rPr>
              <w:t>Director</w:t>
            </w:r>
          </w:p>
        </w:tc>
        <w:tc>
          <w:tcPr>
            <w:tcW w:w="1000" w:type="dxa"/>
            <w:vAlign w:val="bottom"/>
          </w:tcPr>
          <w:p>
            <w:pPr>
              <w:jc w:val="center"/>
              <w:spacing w:after="0"/>
              <w:rPr>
                <w:sz w:val="20"/>
                <w:szCs w:val="20"/>
                <w:color w:val="auto"/>
              </w:rPr>
            </w:pPr>
            <w:r>
              <w:rPr>
                <w:rFonts w:ascii="Arial" w:cs="Arial" w:eastAsia="Arial" w:hAnsi="Arial"/>
                <w:sz w:val="14"/>
                <w:szCs w:val="14"/>
                <w:b w:val="1"/>
                <w:bCs w:val="1"/>
                <w:color w:val="auto"/>
                <w:w w:val="85"/>
              </w:rPr>
              <w:t>Attended</w:t>
            </w:r>
          </w:p>
        </w:tc>
        <w:tc>
          <w:tcPr>
            <w:tcW w:w="160" w:type="dxa"/>
            <w:vAlign w:val="bottom"/>
          </w:tcPr>
          <w:p>
            <w:pPr>
              <w:spacing w:after="0"/>
              <w:rPr>
                <w:sz w:val="14"/>
                <w:szCs w:val="14"/>
                <w:color w:val="auto"/>
              </w:rPr>
            </w:pPr>
          </w:p>
        </w:tc>
        <w:tc>
          <w:tcPr>
            <w:tcW w:w="1300" w:type="dxa"/>
            <w:vAlign w:val="bottom"/>
          </w:tcPr>
          <w:p>
            <w:pPr>
              <w:jc w:val="center"/>
              <w:spacing w:after="0"/>
              <w:rPr>
                <w:sz w:val="20"/>
                <w:szCs w:val="20"/>
                <w:color w:val="auto"/>
              </w:rPr>
            </w:pPr>
            <w:r>
              <w:rPr>
                <w:rFonts w:ascii="Arial" w:cs="Arial" w:eastAsia="Arial" w:hAnsi="Arial"/>
                <w:sz w:val="14"/>
                <w:szCs w:val="14"/>
                <w:b w:val="1"/>
                <w:bCs w:val="1"/>
                <w:color w:val="auto"/>
                <w:w w:val="88"/>
              </w:rPr>
              <w:t>Attended</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6160" w:type="dxa"/>
            <w:vAlign w:val="bottom"/>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30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66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Leanne M. Baker</w:t>
            </w:r>
          </w:p>
        </w:tc>
        <w:tc>
          <w:tcPr>
            <w:tcW w:w="10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8"/>
              </w:rPr>
              <w:t>7 of 7</w:t>
            </w:r>
          </w:p>
        </w:tc>
        <w:tc>
          <w:tcPr>
            <w:tcW w:w="160" w:type="dxa"/>
            <w:vAlign w:val="bottom"/>
            <w:shd w:val="clear" w:color="auto" w:fill="CCEEFF"/>
          </w:tcPr>
          <w:p>
            <w:pPr>
              <w:spacing w:after="0"/>
              <w:rPr>
                <w:sz w:val="18"/>
                <w:szCs w:val="18"/>
                <w:color w:val="auto"/>
              </w:rPr>
            </w:pPr>
          </w:p>
        </w:tc>
        <w:tc>
          <w:tcPr>
            <w:tcW w:w="13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10 of 10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660" w:type="dxa"/>
            <w:vAlign w:val="bottom"/>
            <w:gridSpan w:val="2"/>
          </w:tcPr>
          <w:p>
            <w:pPr>
              <w:spacing w:after="0"/>
              <w:rPr>
                <w:sz w:val="20"/>
                <w:szCs w:val="20"/>
                <w:color w:val="auto"/>
              </w:rPr>
            </w:pPr>
            <w:r>
              <w:rPr>
                <w:rFonts w:ascii="Arial" w:cs="Arial" w:eastAsia="Arial" w:hAnsi="Arial"/>
                <w:sz w:val="18"/>
                <w:szCs w:val="18"/>
                <w:color w:val="auto"/>
              </w:rPr>
              <w:t>Douglas R. Beaumont</w:t>
            </w:r>
          </w:p>
        </w:tc>
        <w:tc>
          <w:tcPr>
            <w:tcW w:w="1000" w:type="dxa"/>
            <w:vAlign w:val="bottom"/>
          </w:tcPr>
          <w:p>
            <w:pPr>
              <w:jc w:val="center"/>
              <w:spacing w:after="0"/>
              <w:rPr>
                <w:sz w:val="20"/>
                <w:szCs w:val="20"/>
                <w:color w:val="auto"/>
              </w:rPr>
            </w:pPr>
            <w:r>
              <w:rPr>
                <w:rFonts w:ascii="Arial" w:cs="Arial" w:eastAsia="Arial" w:hAnsi="Arial"/>
                <w:sz w:val="18"/>
                <w:szCs w:val="18"/>
                <w:color w:val="auto"/>
                <w:w w:val="88"/>
              </w:rPr>
              <w:t>7 of 7</w:t>
            </w:r>
          </w:p>
        </w:tc>
        <w:tc>
          <w:tcPr>
            <w:tcW w:w="160" w:type="dxa"/>
            <w:vAlign w:val="bottom"/>
          </w:tcPr>
          <w:p>
            <w:pPr>
              <w:spacing w:after="0"/>
              <w:rPr>
                <w:sz w:val="18"/>
                <w:szCs w:val="18"/>
                <w:color w:val="auto"/>
              </w:rPr>
            </w:pPr>
          </w:p>
        </w:tc>
        <w:tc>
          <w:tcPr>
            <w:tcW w:w="1300" w:type="dxa"/>
            <w:vAlign w:val="bottom"/>
          </w:tcPr>
          <w:p>
            <w:pPr>
              <w:jc w:val="center"/>
              <w:spacing w:after="0"/>
              <w:rPr>
                <w:sz w:val="20"/>
                <w:szCs w:val="20"/>
                <w:color w:val="auto"/>
              </w:rPr>
            </w:pPr>
            <w:r>
              <w:rPr>
                <w:rFonts w:ascii="Arial" w:cs="Arial" w:eastAsia="Arial" w:hAnsi="Arial"/>
                <w:sz w:val="18"/>
                <w:szCs w:val="18"/>
                <w:color w:val="auto"/>
                <w:w w:val="93"/>
              </w:rPr>
              <w:t>9 of 9</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6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Sean Boyd</w:t>
            </w:r>
          </w:p>
        </w:tc>
        <w:tc>
          <w:tcPr>
            <w:tcW w:w="10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8"/>
              </w:rPr>
              <w:t>7 of 7</w:t>
            </w:r>
          </w:p>
        </w:tc>
        <w:tc>
          <w:tcPr>
            <w:tcW w:w="160" w:type="dxa"/>
            <w:vAlign w:val="bottom"/>
            <w:shd w:val="clear" w:color="auto" w:fill="CCEEFF"/>
          </w:tcPr>
          <w:p>
            <w:pPr>
              <w:spacing w:after="0"/>
              <w:rPr>
                <w:sz w:val="18"/>
                <w:szCs w:val="18"/>
                <w:color w:val="auto"/>
              </w:rPr>
            </w:pPr>
          </w:p>
        </w:tc>
        <w:tc>
          <w:tcPr>
            <w:tcW w:w="13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9"/>
              </w:rPr>
              <w:t>N/A</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660" w:type="dxa"/>
            <w:vAlign w:val="bottom"/>
            <w:gridSpan w:val="2"/>
          </w:tcPr>
          <w:p>
            <w:pPr>
              <w:spacing w:after="0"/>
              <w:rPr>
                <w:sz w:val="20"/>
                <w:szCs w:val="20"/>
                <w:color w:val="auto"/>
              </w:rPr>
            </w:pPr>
            <w:r>
              <w:rPr>
                <w:rFonts w:ascii="Arial" w:cs="Arial" w:eastAsia="Arial" w:hAnsi="Arial"/>
                <w:sz w:val="18"/>
                <w:szCs w:val="18"/>
                <w:color w:val="auto"/>
              </w:rPr>
              <w:t>Clifford J. Davis</w:t>
            </w:r>
          </w:p>
        </w:tc>
        <w:tc>
          <w:tcPr>
            <w:tcW w:w="1000" w:type="dxa"/>
            <w:vAlign w:val="bottom"/>
          </w:tcPr>
          <w:p>
            <w:pPr>
              <w:jc w:val="center"/>
              <w:spacing w:after="0"/>
              <w:rPr>
                <w:sz w:val="20"/>
                <w:szCs w:val="20"/>
                <w:color w:val="auto"/>
              </w:rPr>
            </w:pPr>
            <w:r>
              <w:rPr>
                <w:rFonts w:ascii="Arial" w:cs="Arial" w:eastAsia="Arial" w:hAnsi="Arial"/>
                <w:sz w:val="18"/>
                <w:szCs w:val="18"/>
                <w:color w:val="auto"/>
                <w:w w:val="88"/>
              </w:rPr>
              <w:t>7 of 7</w:t>
            </w:r>
          </w:p>
        </w:tc>
        <w:tc>
          <w:tcPr>
            <w:tcW w:w="160" w:type="dxa"/>
            <w:vAlign w:val="bottom"/>
          </w:tcPr>
          <w:p>
            <w:pPr>
              <w:spacing w:after="0"/>
              <w:rPr>
                <w:sz w:val="18"/>
                <w:szCs w:val="18"/>
                <w:color w:val="auto"/>
              </w:rPr>
            </w:pPr>
          </w:p>
        </w:tc>
        <w:tc>
          <w:tcPr>
            <w:tcW w:w="1300" w:type="dxa"/>
            <w:vAlign w:val="bottom"/>
          </w:tcPr>
          <w:p>
            <w:pPr>
              <w:jc w:val="center"/>
              <w:spacing w:after="0"/>
              <w:rPr>
                <w:sz w:val="20"/>
                <w:szCs w:val="20"/>
                <w:color w:val="auto"/>
              </w:rPr>
            </w:pPr>
            <w:r>
              <w:rPr>
                <w:rFonts w:ascii="Arial" w:cs="Arial" w:eastAsia="Arial" w:hAnsi="Arial"/>
                <w:sz w:val="18"/>
                <w:szCs w:val="18"/>
                <w:color w:val="auto"/>
                <w:w w:val="93"/>
              </w:rPr>
              <w:t>9 of 9</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6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David Garofalo</w:t>
            </w:r>
          </w:p>
        </w:tc>
        <w:tc>
          <w:tcPr>
            <w:tcW w:w="10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8"/>
              </w:rPr>
              <w:t>7 of 7</w:t>
            </w:r>
          </w:p>
        </w:tc>
        <w:tc>
          <w:tcPr>
            <w:tcW w:w="160" w:type="dxa"/>
            <w:vAlign w:val="bottom"/>
            <w:shd w:val="clear" w:color="auto" w:fill="CCEEFF"/>
          </w:tcPr>
          <w:p>
            <w:pPr>
              <w:spacing w:after="0"/>
              <w:rPr>
                <w:sz w:val="18"/>
                <w:szCs w:val="18"/>
                <w:color w:val="auto"/>
              </w:rPr>
            </w:pPr>
          </w:p>
        </w:tc>
        <w:tc>
          <w:tcPr>
            <w:tcW w:w="13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9"/>
              </w:rPr>
              <w:t>N/A</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660" w:type="dxa"/>
            <w:vAlign w:val="bottom"/>
            <w:gridSpan w:val="2"/>
          </w:tcPr>
          <w:p>
            <w:pPr>
              <w:spacing w:after="0"/>
              <w:rPr>
                <w:sz w:val="20"/>
                <w:szCs w:val="20"/>
                <w:color w:val="auto"/>
              </w:rPr>
            </w:pPr>
            <w:r>
              <w:rPr>
                <w:rFonts w:ascii="Arial" w:cs="Arial" w:eastAsia="Arial" w:hAnsi="Arial"/>
                <w:sz w:val="18"/>
                <w:szCs w:val="18"/>
                <w:color w:val="auto"/>
              </w:rPr>
              <w:t>Bernard Kraft</w:t>
            </w:r>
          </w:p>
        </w:tc>
        <w:tc>
          <w:tcPr>
            <w:tcW w:w="1000" w:type="dxa"/>
            <w:vAlign w:val="bottom"/>
          </w:tcPr>
          <w:p>
            <w:pPr>
              <w:jc w:val="center"/>
              <w:spacing w:after="0"/>
              <w:rPr>
                <w:sz w:val="20"/>
                <w:szCs w:val="20"/>
                <w:color w:val="auto"/>
              </w:rPr>
            </w:pPr>
            <w:r>
              <w:rPr>
                <w:rFonts w:ascii="Arial" w:cs="Arial" w:eastAsia="Arial" w:hAnsi="Arial"/>
                <w:sz w:val="18"/>
                <w:szCs w:val="18"/>
                <w:color w:val="auto"/>
                <w:w w:val="88"/>
              </w:rPr>
              <w:t>7 of 7</w:t>
            </w:r>
          </w:p>
        </w:tc>
        <w:tc>
          <w:tcPr>
            <w:tcW w:w="160" w:type="dxa"/>
            <w:vAlign w:val="bottom"/>
          </w:tcPr>
          <w:p>
            <w:pPr>
              <w:spacing w:after="0"/>
              <w:rPr>
                <w:sz w:val="18"/>
                <w:szCs w:val="18"/>
                <w:color w:val="auto"/>
              </w:rPr>
            </w:pPr>
          </w:p>
        </w:tc>
        <w:tc>
          <w:tcPr>
            <w:tcW w:w="1300" w:type="dxa"/>
            <w:vAlign w:val="bottom"/>
          </w:tcPr>
          <w:p>
            <w:pPr>
              <w:jc w:val="center"/>
              <w:spacing w:after="0"/>
              <w:rPr>
                <w:sz w:val="20"/>
                <w:szCs w:val="20"/>
                <w:color w:val="auto"/>
              </w:rPr>
            </w:pPr>
            <w:r>
              <w:rPr>
                <w:rFonts w:ascii="Arial" w:cs="Arial" w:eastAsia="Arial" w:hAnsi="Arial"/>
                <w:sz w:val="18"/>
                <w:szCs w:val="18"/>
                <w:color w:val="auto"/>
                <w:w w:val="93"/>
              </w:rPr>
              <w:t>9 of 9</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6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Mel Leiderman</w:t>
            </w:r>
          </w:p>
        </w:tc>
        <w:tc>
          <w:tcPr>
            <w:tcW w:w="10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8"/>
              </w:rPr>
              <w:t>7 of 7</w:t>
            </w:r>
          </w:p>
        </w:tc>
        <w:tc>
          <w:tcPr>
            <w:tcW w:w="160" w:type="dxa"/>
            <w:vAlign w:val="bottom"/>
            <w:shd w:val="clear" w:color="auto" w:fill="CCEEFF"/>
          </w:tcPr>
          <w:p>
            <w:pPr>
              <w:spacing w:after="0"/>
              <w:rPr>
                <w:sz w:val="18"/>
                <w:szCs w:val="18"/>
                <w:color w:val="auto"/>
              </w:rPr>
            </w:pPr>
          </w:p>
        </w:tc>
        <w:tc>
          <w:tcPr>
            <w:tcW w:w="13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10 of 10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660" w:type="dxa"/>
            <w:vAlign w:val="bottom"/>
            <w:gridSpan w:val="2"/>
          </w:tcPr>
          <w:p>
            <w:pPr>
              <w:spacing w:after="0"/>
              <w:rPr>
                <w:sz w:val="20"/>
                <w:szCs w:val="20"/>
                <w:color w:val="auto"/>
              </w:rPr>
            </w:pPr>
            <w:r>
              <w:rPr>
                <w:rFonts w:ascii="Arial" w:cs="Arial" w:eastAsia="Arial" w:hAnsi="Arial"/>
                <w:sz w:val="18"/>
                <w:szCs w:val="18"/>
                <w:color w:val="auto"/>
              </w:rPr>
              <w:t>James D. Nasso</w:t>
            </w:r>
          </w:p>
        </w:tc>
        <w:tc>
          <w:tcPr>
            <w:tcW w:w="1000" w:type="dxa"/>
            <w:vAlign w:val="bottom"/>
          </w:tcPr>
          <w:p>
            <w:pPr>
              <w:jc w:val="center"/>
              <w:spacing w:after="0"/>
              <w:rPr>
                <w:sz w:val="20"/>
                <w:szCs w:val="20"/>
                <w:color w:val="auto"/>
              </w:rPr>
            </w:pPr>
            <w:r>
              <w:rPr>
                <w:rFonts w:ascii="Arial" w:cs="Arial" w:eastAsia="Arial" w:hAnsi="Arial"/>
                <w:sz w:val="18"/>
                <w:szCs w:val="18"/>
                <w:color w:val="auto"/>
                <w:w w:val="88"/>
              </w:rPr>
              <w:t>7 of 7</w:t>
            </w:r>
          </w:p>
        </w:tc>
        <w:tc>
          <w:tcPr>
            <w:tcW w:w="160" w:type="dxa"/>
            <w:vAlign w:val="bottom"/>
          </w:tcPr>
          <w:p>
            <w:pPr>
              <w:spacing w:after="0"/>
              <w:rPr>
                <w:sz w:val="18"/>
                <w:szCs w:val="18"/>
                <w:color w:val="auto"/>
              </w:rPr>
            </w:pPr>
          </w:p>
        </w:tc>
        <w:tc>
          <w:tcPr>
            <w:tcW w:w="1300" w:type="dxa"/>
            <w:vAlign w:val="bottom"/>
          </w:tcPr>
          <w:p>
            <w:pPr>
              <w:jc w:val="center"/>
              <w:spacing w:after="0"/>
              <w:rPr>
                <w:sz w:val="20"/>
                <w:szCs w:val="20"/>
                <w:color w:val="auto"/>
              </w:rPr>
            </w:pPr>
            <w:r>
              <w:rPr>
                <w:rFonts w:ascii="Arial" w:cs="Arial" w:eastAsia="Arial" w:hAnsi="Arial"/>
                <w:sz w:val="18"/>
                <w:szCs w:val="18"/>
                <w:color w:val="auto"/>
                <w:w w:val="89"/>
              </w:rPr>
              <w:t>13 of 13</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6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John Merfyn Roberts</w:t>
            </w:r>
          </w:p>
        </w:tc>
        <w:tc>
          <w:tcPr>
            <w:tcW w:w="10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8"/>
              </w:rPr>
              <w:t>7 of 7</w:t>
            </w:r>
          </w:p>
        </w:tc>
        <w:tc>
          <w:tcPr>
            <w:tcW w:w="160" w:type="dxa"/>
            <w:vAlign w:val="bottom"/>
            <w:shd w:val="clear" w:color="auto" w:fill="CCEEFF"/>
          </w:tcPr>
          <w:p>
            <w:pPr>
              <w:spacing w:after="0"/>
              <w:rPr>
                <w:sz w:val="18"/>
                <w:szCs w:val="18"/>
                <w:color w:val="auto"/>
              </w:rPr>
            </w:pPr>
          </w:p>
        </w:tc>
        <w:tc>
          <w:tcPr>
            <w:tcW w:w="13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3"/>
              </w:rPr>
              <w:t>9 of 9</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660" w:type="dxa"/>
            <w:vAlign w:val="bottom"/>
            <w:gridSpan w:val="2"/>
          </w:tcPr>
          <w:p>
            <w:pPr>
              <w:spacing w:after="0"/>
              <w:rPr>
                <w:sz w:val="20"/>
                <w:szCs w:val="20"/>
                <w:color w:val="auto"/>
              </w:rPr>
            </w:pPr>
            <w:r>
              <w:rPr>
                <w:rFonts w:ascii="Arial" w:cs="Arial" w:eastAsia="Arial" w:hAnsi="Arial"/>
                <w:sz w:val="18"/>
                <w:szCs w:val="18"/>
                <w:color w:val="auto"/>
              </w:rPr>
              <w:t>Eberhard Scherkus</w:t>
            </w:r>
          </w:p>
        </w:tc>
        <w:tc>
          <w:tcPr>
            <w:tcW w:w="1000" w:type="dxa"/>
            <w:vAlign w:val="bottom"/>
          </w:tcPr>
          <w:p>
            <w:pPr>
              <w:jc w:val="center"/>
              <w:spacing w:after="0"/>
              <w:rPr>
                <w:sz w:val="20"/>
                <w:szCs w:val="20"/>
                <w:color w:val="auto"/>
              </w:rPr>
            </w:pPr>
            <w:r>
              <w:rPr>
                <w:rFonts w:ascii="Arial" w:cs="Arial" w:eastAsia="Arial" w:hAnsi="Arial"/>
                <w:sz w:val="18"/>
                <w:szCs w:val="18"/>
                <w:color w:val="auto"/>
                <w:w w:val="88"/>
              </w:rPr>
              <w:t>7 of 7</w:t>
            </w:r>
          </w:p>
        </w:tc>
        <w:tc>
          <w:tcPr>
            <w:tcW w:w="160" w:type="dxa"/>
            <w:vAlign w:val="bottom"/>
          </w:tcPr>
          <w:p>
            <w:pPr>
              <w:spacing w:after="0"/>
              <w:rPr>
                <w:sz w:val="18"/>
                <w:szCs w:val="18"/>
                <w:color w:val="auto"/>
              </w:rPr>
            </w:pPr>
          </w:p>
        </w:tc>
        <w:tc>
          <w:tcPr>
            <w:tcW w:w="1300" w:type="dxa"/>
            <w:vAlign w:val="bottom"/>
          </w:tcPr>
          <w:p>
            <w:pPr>
              <w:jc w:val="center"/>
              <w:spacing w:after="0"/>
              <w:rPr>
                <w:sz w:val="20"/>
                <w:szCs w:val="20"/>
                <w:color w:val="auto"/>
              </w:rPr>
            </w:pPr>
            <w:r>
              <w:rPr>
                <w:rFonts w:ascii="Arial" w:cs="Arial" w:eastAsia="Arial" w:hAnsi="Arial"/>
                <w:sz w:val="18"/>
                <w:szCs w:val="18"/>
                <w:color w:val="auto"/>
                <w:w w:val="99"/>
              </w:rPr>
              <w:t>N/A</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6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Howard Stockford</w:t>
            </w:r>
          </w:p>
        </w:tc>
        <w:tc>
          <w:tcPr>
            <w:tcW w:w="10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8"/>
              </w:rPr>
              <w:t>7 of 7</w:t>
            </w:r>
          </w:p>
        </w:tc>
        <w:tc>
          <w:tcPr>
            <w:tcW w:w="160" w:type="dxa"/>
            <w:vAlign w:val="bottom"/>
            <w:shd w:val="clear" w:color="auto" w:fill="CCEEFF"/>
          </w:tcPr>
          <w:p>
            <w:pPr>
              <w:spacing w:after="0"/>
              <w:rPr>
                <w:sz w:val="18"/>
                <w:szCs w:val="18"/>
                <w:color w:val="auto"/>
              </w:rPr>
            </w:pPr>
          </w:p>
        </w:tc>
        <w:tc>
          <w:tcPr>
            <w:tcW w:w="13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3"/>
              </w:rPr>
              <w:t>9 of 9</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6660" w:type="dxa"/>
            <w:vAlign w:val="bottom"/>
            <w:gridSpan w:val="2"/>
          </w:tcPr>
          <w:p>
            <w:pPr>
              <w:spacing w:after="0"/>
              <w:rPr>
                <w:sz w:val="20"/>
                <w:szCs w:val="20"/>
                <w:color w:val="auto"/>
              </w:rPr>
            </w:pPr>
            <w:r>
              <w:rPr>
                <w:rFonts w:ascii="Arial" w:cs="Arial" w:eastAsia="Arial" w:hAnsi="Arial"/>
                <w:sz w:val="18"/>
                <w:szCs w:val="18"/>
                <w:color w:val="auto"/>
              </w:rPr>
              <w:t>Pertti Voutilainen</w:t>
            </w:r>
          </w:p>
        </w:tc>
        <w:tc>
          <w:tcPr>
            <w:tcW w:w="1000" w:type="dxa"/>
            <w:vAlign w:val="bottom"/>
          </w:tcPr>
          <w:p>
            <w:pPr>
              <w:jc w:val="center"/>
              <w:spacing w:after="0"/>
              <w:rPr>
                <w:sz w:val="20"/>
                <w:szCs w:val="20"/>
                <w:color w:val="auto"/>
              </w:rPr>
            </w:pPr>
            <w:r>
              <w:rPr>
                <w:rFonts w:ascii="Arial" w:cs="Arial" w:eastAsia="Arial" w:hAnsi="Arial"/>
                <w:sz w:val="18"/>
                <w:szCs w:val="18"/>
                <w:color w:val="auto"/>
                <w:w w:val="88"/>
              </w:rPr>
              <w:t>7 of 7</w:t>
            </w:r>
          </w:p>
        </w:tc>
        <w:tc>
          <w:tcPr>
            <w:tcW w:w="160" w:type="dxa"/>
            <w:vAlign w:val="bottom"/>
          </w:tcPr>
          <w:p>
            <w:pPr>
              <w:spacing w:after="0"/>
              <w:rPr>
                <w:sz w:val="19"/>
                <w:szCs w:val="19"/>
                <w:color w:val="auto"/>
              </w:rPr>
            </w:pPr>
          </w:p>
        </w:tc>
        <w:tc>
          <w:tcPr>
            <w:tcW w:w="1300" w:type="dxa"/>
            <w:vAlign w:val="bottom"/>
          </w:tcPr>
          <w:p>
            <w:pPr>
              <w:jc w:val="center"/>
              <w:spacing w:after="0"/>
              <w:rPr>
                <w:sz w:val="20"/>
                <w:szCs w:val="20"/>
                <w:color w:val="auto"/>
              </w:rPr>
            </w:pPr>
            <w:r>
              <w:rPr>
                <w:rFonts w:ascii="Arial" w:cs="Arial" w:eastAsia="Arial" w:hAnsi="Arial"/>
                <w:sz w:val="18"/>
                <w:szCs w:val="18"/>
                <w:color w:val="auto"/>
                <w:w w:val="93"/>
              </w:rPr>
              <w:t>8 of 8</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Indebtedness of Directors, Executive Officers and Senior Officers</w:t>
      </w:r>
    </w:p>
    <w:p>
      <w:pPr>
        <w:spacing w:after="0" w:line="231" w:lineRule="exact"/>
        <w:rPr>
          <w:sz w:val="20"/>
          <w:szCs w:val="20"/>
          <w:color w:val="auto"/>
        </w:rPr>
      </w:pPr>
    </w:p>
    <w:p>
      <w:pPr>
        <w:jc w:val="both"/>
        <w:ind w:firstLine="351"/>
        <w:spacing w:after="0" w:line="268" w:lineRule="auto"/>
        <w:rPr>
          <w:sz w:val="20"/>
          <w:szCs w:val="20"/>
          <w:color w:val="auto"/>
        </w:rPr>
      </w:pPr>
      <w:r>
        <w:rPr>
          <w:rFonts w:ascii="Arial" w:cs="Arial" w:eastAsia="Arial" w:hAnsi="Arial"/>
          <w:sz w:val="18"/>
          <w:szCs w:val="18"/>
          <w:color w:val="auto"/>
        </w:rPr>
        <w:t>There is no outstanding indebtedness to Agnico-Eagle by any of its directors or officers. Agnico-Eagle does not make loans to its directors and officers under any circumstances.</w:t>
      </w:r>
    </w:p>
    <w:p>
      <w:pPr>
        <w:spacing w:after="0" w:line="3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Directors' and Officers' Liability Insurance</w:t>
      </w:r>
    </w:p>
    <w:p>
      <w:pPr>
        <w:spacing w:after="0" w:line="231" w:lineRule="exact"/>
        <w:rPr>
          <w:sz w:val="20"/>
          <w:szCs w:val="20"/>
          <w:color w:val="auto"/>
        </w:rPr>
      </w:pPr>
    </w:p>
    <w:p>
      <w:pPr>
        <w:jc w:val="both"/>
        <w:ind w:firstLine="367"/>
        <w:spacing w:after="0" w:line="294" w:lineRule="auto"/>
        <w:rPr>
          <w:sz w:val="20"/>
          <w:szCs w:val="20"/>
          <w:color w:val="auto"/>
        </w:rPr>
      </w:pPr>
      <w:r>
        <w:rPr>
          <w:rFonts w:ascii="Arial" w:cs="Arial" w:eastAsia="Arial" w:hAnsi="Arial"/>
          <w:sz w:val="16"/>
          <w:szCs w:val="16"/>
          <w:color w:val="auto"/>
        </w:rPr>
        <w:t>The Company has purchased, at its expense, directors' and officers' liability insurance policies to provide insurance against possible liabilities incurred by its directors and officers in their capacity as directors and officers of the Company. The premium for these policies for the period from December 31, 2009 to December 31, 2010 is C$899,053. The policies provide coverage of up to C$100 million per occurrence to a maximum of C$100 million per annum. There is no deductible for directors and officers and a C$250,000 deductible for each claim made by the Company (C$1 million deductible for securities claims). The insurance applies in circumstances where the Company may not indemnify its directors and officers for their acts or omissions.</w:t>
      </w:r>
    </w:p>
    <w:p>
      <w:pPr>
        <w:spacing w:after="0" w:line="3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Practices</w:t>
      </w:r>
    </w:p>
    <w:p>
      <w:pPr>
        <w:spacing w:after="0" w:line="231" w:lineRule="exact"/>
        <w:rPr>
          <w:sz w:val="20"/>
          <w:szCs w:val="20"/>
          <w:color w:val="auto"/>
        </w:rPr>
      </w:pPr>
    </w:p>
    <w:p>
      <w:pPr>
        <w:jc w:val="both"/>
        <w:ind w:firstLine="410"/>
        <w:spacing w:after="0" w:line="291" w:lineRule="auto"/>
        <w:rPr>
          <w:sz w:val="20"/>
          <w:szCs w:val="20"/>
          <w:color w:val="auto"/>
        </w:rPr>
      </w:pPr>
      <w:r>
        <w:rPr>
          <w:rFonts w:ascii="Arial" w:cs="Arial" w:eastAsia="Arial" w:hAnsi="Arial"/>
          <w:sz w:val="16"/>
          <w:szCs w:val="16"/>
          <w:color w:val="auto"/>
        </w:rPr>
        <w:t>The Board and management have been following the developments in corporate governance requirements and best practices standards in both Canada and the United States. As these requirements and practices have evolved, the Company has responded in a positive and proactive way by assessing its practices against these requirements and modifying, or targeting for modification, practices to bring them into compliance with these corporate governance requirements and best practices standards. The Company revises, from time to time, the Board Mandate and the charters for the Audit Committee, the Compensation Committee, the Corporate Governance Committee and the Health, Safety and Environment Committee to reflect the new and evolving corporate governance requirements and best practices standards in Canada and the United States.</w:t>
      </w:r>
    </w:p>
    <w:p>
      <w:pPr>
        <w:spacing w:after="0" w:line="174" w:lineRule="exact"/>
        <w:rPr>
          <w:sz w:val="20"/>
          <w:szCs w:val="20"/>
          <w:color w:val="auto"/>
        </w:rPr>
      </w:pPr>
    </w:p>
    <w:p>
      <w:pPr>
        <w:jc w:val="both"/>
        <w:ind w:firstLine="456"/>
        <w:spacing w:after="0" w:line="323" w:lineRule="auto"/>
        <w:rPr>
          <w:sz w:val="20"/>
          <w:szCs w:val="20"/>
          <w:color w:val="auto"/>
        </w:rPr>
      </w:pPr>
      <w:r>
        <w:rPr>
          <w:rFonts w:ascii="Arial" w:cs="Arial" w:eastAsia="Arial" w:hAnsi="Arial"/>
          <w:sz w:val="15"/>
          <w:szCs w:val="15"/>
          <w:color w:val="auto"/>
        </w:rPr>
        <w:t>The Board believes that effective corporate governance contributes to improved corporate performance and enhanced shareholder value. The Company's governance practices reflect the Board's assessment of the governance structure and process which can best serve to realize these objectives in the Company's particular circumstance. The Company's governance practices are subject to review and evaluation through the Board's Corporate Governance Committee to ensure that, as the Company's business evolves, changes in structure and process necessary to ensure continued good governance are identified and implemented.</w:t>
      </w:r>
    </w:p>
    <w:p>
      <w:pPr>
        <w:spacing w:after="0" w:line="152" w:lineRule="exact"/>
        <w:rPr>
          <w:sz w:val="20"/>
          <w:szCs w:val="20"/>
          <w:color w:val="auto"/>
        </w:rPr>
      </w:pPr>
    </w:p>
    <w:p>
      <w:pPr>
        <w:jc w:val="both"/>
        <w:ind w:firstLine="422"/>
        <w:spacing w:after="0" w:line="259" w:lineRule="auto"/>
        <w:rPr>
          <w:sz w:val="20"/>
          <w:szCs w:val="20"/>
          <w:color w:val="auto"/>
        </w:rPr>
      </w:pPr>
      <w:r>
        <w:rPr>
          <w:rFonts w:ascii="Arial" w:cs="Arial" w:eastAsia="Arial" w:hAnsi="Arial"/>
          <w:sz w:val="18"/>
          <w:szCs w:val="18"/>
          <w:color w:val="auto"/>
        </w:rPr>
        <w:t>The Company is required under the rules of the CSA to disclose its corporate governance practices and provide a description of the Company's system of corporate governance. This Statement of Corporate Governance Practices has been prepared by the Board's Corporate Governance Committee and approved by the Board.</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6" w:name="page157"/>
    <w:bookmarkEnd w:id="156"/>
    <w:p>
      <w:pPr>
        <w:jc w:val="both"/>
        <w:ind w:firstLine="359"/>
        <w:spacing w:after="0" w:line="259" w:lineRule="auto"/>
        <w:rPr>
          <w:sz w:val="20"/>
          <w:szCs w:val="20"/>
          <w:color w:val="auto"/>
        </w:rPr>
      </w:pPr>
      <w:r>
        <w:rPr>
          <w:rFonts w:ascii="Arial" w:cs="Arial" w:eastAsia="Arial" w:hAnsi="Arial"/>
          <w:sz w:val="18"/>
          <w:szCs w:val="18"/>
          <w:color w:val="auto"/>
        </w:rPr>
        <w:t>Additional information on each director standing for election, including other public company boards on which they serve and their attendance record for all Board and Committee meetings during 2009, can be found under "— Directors and Senior Management" and "— Compensation of Directors and Other Information".</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Director Independence</w:t>
      </w:r>
    </w:p>
    <w:p>
      <w:pPr>
        <w:spacing w:after="0" w:line="225" w:lineRule="exact"/>
        <w:rPr>
          <w:sz w:val="20"/>
          <w:szCs w:val="20"/>
          <w:color w:val="auto"/>
        </w:rPr>
      </w:pPr>
    </w:p>
    <w:p>
      <w:pPr>
        <w:jc w:val="both"/>
        <w:ind w:firstLine="395"/>
        <w:spacing w:after="0" w:line="288" w:lineRule="auto"/>
        <w:rPr>
          <w:sz w:val="20"/>
          <w:szCs w:val="20"/>
          <w:color w:val="auto"/>
        </w:rPr>
      </w:pPr>
      <w:r>
        <w:rPr>
          <w:rFonts w:ascii="Arial" w:cs="Arial" w:eastAsia="Arial" w:hAnsi="Arial"/>
          <w:sz w:val="16"/>
          <w:szCs w:val="16"/>
          <w:color w:val="auto"/>
        </w:rPr>
        <w:t>The Board consists of twelve directors. The Board has made an affirmative determination that nine of its twelve current members are "independent" within the meaning of the CSA rules and the standards of the New York Stock Exchange. With the exception of Messrs. Boyd, Scherkus and Garofalo, all directors are independent of management and free from any interest and any business which could materially interfere with their ability to act as a director with a view to the best interests of the Company. In reaching this determination, the Board considered the circumstances and relationships with the Company and its affiliates of each of its directors. In determining that all directors except Messrs. Boyd, Scherkus and Garofalo are independent, the Board took into consideration the fact that none of the remaining directors are an officer or employee of the Company or party to any material contract with the Company and that none receives remuneration from the Company in excess of directors' fees and option grants. Messrs. Boyd, Scherkus and Garofalo are considered related because they are officers of the Company. All directors, other than Messrs. Boyd, Scherkus and Garofalo, also meet the independence standard as set out in the Sarbanes-Oxley Act of 2002 ("SOX").</w:t>
      </w:r>
    </w:p>
    <w:p>
      <w:pPr>
        <w:spacing w:after="0" w:line="174" w:lineRule="exact"/>
        <w:rPr>
          <w:sz w:val="20"/>
          <w:szCs w:val="20"/>
          <w:color w:val="auto"/>
        </w:rPr>
      </w:pPr>
    </w:p>
    <w:p>
      <w:pPr>
        <w:jc w:val="both"/>
        <w:ind w:firstLine="377"/>
        <w:spacing w:after="0" w:line="298" w:lineRule="auto"/>
        <w:rPr>
          <w:sz w:val="20"/>
          <w:szCs w:val="20"/>
          <w:color w:val="auto"/>
        </w:rPr>
      </w:pPr>
      <w:r>
        <w:rPr>
          <w:rFonts w:ascii="Arial" w:cs="Arial" w:eastAsia="Arial" w:hAnsi="Arial"/>
          <w:sz w:val="16"/>
          <w:szCs w:val="16"/>
          <w:color w:val="auto"/>
        </w:rPr>
        <w:t>The Board regularly meets independently of management at the request of any director or may excuse members of management from all or a portion of any meeting where a potential conflict of interest arises or where otherwise appropriate. The Board is scheduled to meet without management before or after each Board meeting. In addition, after each Board meeting held to consider interim and annual financial statements, the Board meets without management. In 2009, the Board met without management at each Board meeting, being seven separate occasions, including the four regularly scheduled quarterly meetings.</w:t>
      </w:r>
    </w:p>
    <w:p>
      <w:pPr>
        <w:spacing w:after="0" w:line="167" w:lineRule="exact"/>
        <w:rPr>
          <w:sz w:val="20"/>
          <w:szCs w:val="20"/>
          <w:color w:val="auto"/>
        </w:rPr>
      </w:pPr>
    </w:p>
    <w:p>
      <w:pPr>
        <w:jc w:val="both"/>
        <w:ind w:firstLine="366"/>
        <w:spacing w:after="0" w:line="332" w:lineRule="auto"/>
        <w:rPr>
          <w:sz w:val="20"/>
          <w:szCs w:val="20"/>
          <w:color w:val="auto"/>
        </w:rPr>
      </w:pPr>
      <w:r>
        <w:rPr>
          <w:rFonts w:ascii="Arial" w:cs="Arial" w:eastAsia="Arial" w:hAnsi="Arial"/>
          <w:sz w:val="16"/>
          <w:szCs w:val="16"/>
          <w:color w:val="auto"/>
        </w:rPr>
        <w:t>To promote the exercise of independent judgment by directors in considering transactions and agreements, any director or officer who has a material interest in the matter being considered would not be present for discussions relating to the matter and would not participate in any vote on the matter.</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Chairman</w:t>
      </w:r>
    </w:p>
    <w:p>
      <w:pPr>
        <w:spacing w:after="0" w:line="225" w:lineRule="exact"/>
        <w:rPr>
          <w:sz w:val="20"/>
          <w:szCs w:val="20"/>
          <w:color w:val="auto"/>
        </w:rPr>
      </w:pPr>
    </w:p>
    <w:p>
      <w:pPr>
        <w:jc w:val="both"/>
        <w:ind w:firstLine="431"/>
        <w:spacing w:after="0" w:line="306" w:lineRule="auto"/>
        <w:rPr>
          <w:sz w:val="20"/>
          <w:szCs w:val="20"/>
          <w:color w:val="auto"/>
        </w:rPr>
      </w:pPr>
      <w:r>
        <w:rPr>
          <w:rFonts w:ascii="Arial" w:cs="Arial" w:eastAsia="Arial" w:hAnsi="Arial"/>
          <w:sz w:val="16"/>
          <w:szCs w:val="16"/>
          <w:color w:val="auto"/>
        </w:rPr>
        <w:t>Mr. Nasso is the Chairman of the Board and Mr. Boyd is the Vice-Chairman and Chief Executive Officer of the Company. Mr. Nasso is not a member of management. The Board believes that the separation of the offices of Chairman and Chief Executive Officer enhances the ability of the Board to function independently of management and does not foresee that the offices of Chairman and Chief Executive Officer will be held by the same person.</w:t>
      </w:r>
    </w:p>
    <w:p>
      <w:pPr>
        <w:spacing w:after="0" w:line="161" w:lineRule="exact"/>
        <w:rPr>
          <w:sz w:val="20"/>
          <w:szCs w:val="20"/>
          <w:color w:val="auto"/>
        </w:rPr>
      </w:pPr>
    </w:p>
    <w:p>
      <w:pPr>
        <w:jc w:val="both"/>
        <w:ind w:firstLine="416"/>
        <w:spacing w:after="0" w:line="294" w:lineRule="auto"/>
        <w:rPr>
          <w:sz w:val="20"/>
          <w:szCs w:val="20"/>
          <w:color w:val="auto"/>
        </w:rPr>
      </w:pPr>
      <w:r>
        <w:rPr>
          <w:rFonts w:ascii="Arial" w:cs="Arial" w:eastAsia="Arial" w:hAnsi="Arial"/>
          <w:sz w:val="16"/>
          <w:szCs w:val="16"/>
          <w:color w:val="auto"/>
        </w:rPr>
        <w:t>The Board has adopted a position description for the Chairman of the Board. The Chairman's role is to provide leadership to directors in discharging their duties and obligations as set out in the mandate of the Board. The specific responsibilities of the Chairman include providing advice, counsel and mentorship to the Chief Executive Officer, appointing the Chair of each of the Board's committees and promoting the delivery of information to the members of the Board on a timely basis to keep them fully apprised of all matters which are material to them at all times. The Chairman's responsibilities also include scheduling, overseeing and presiding over meetings of the Board and presiding over meetings of the Company's shareholders.</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Board Mandate</w:t>
      </w:r>
    </w:p>
    <w:p>
      <w:pPr>
        <w:spacing w:after="0" w:line="225" w:lineRule="exact"/>
        <w:rPr>
          <w:sz w:val="20"/>
          <w:szCs w:val="20"/>
          <w:color w:val="auto"/>
        </w:rPr>
      </w:pPr>
    </w:p>
    <w:p>
      <w:pPr>
        <w:jc w:val="both"/>
        <w:ind w:firstLine="400"/>
        <w:spacing w:after="0" w:line="314" w:lineRule="auto"/>
        <w:rPr>
          <w:sz w:val="20"/>
          <w:szCs w:val="20"/>
          <w:color w:val="auto"/>
        </w:rPr>
      </w:pPr>
      <w:r>
        <w:rPr>
          <w:rFonts w:ascii="Arial" w:cs="Arial" w:eastAsia="Arial" w:hAnsi="Arial"/>
          <w:sz w:val="15"/>
          <w:szCs w:val="15"/>
          <w:color w:val="auto"/>
        </w:rPr>
        <w:t>The Board's mandate is to provide stewardship of the Company, to oversee the management of the Company's business and affairs, to maintain its strength and integrity, to oversee the Company's strategic direction, its organization structure and succession planning of senior management and to perform any other duties required by law. The Board's strategic planning process consists of an annual review of the Company's three-year business plan and, from time to time (at least annually), a meeting focused on strategic planning matters. As part of this process, the Board reviews and approves the corporate objectives proposed by the Chief Executive Officer and advises management in the development of a corporate strategy to achieve those objectives. The Board also reviews the principal risks inherent in the Company's business, including environmental, industrial and financial risks, and assesses the systems to manage these risks. The Board also</w:t>
      </w:r>
    </w:p>
    <w:p>
      <w:pPr>
        <w:spacing w:after="0" w:line="15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7" w:name="page158"/>
    <w:bookmarkEnd w:id="157"/>
    <w:p>
      <w:pPr>
        <w:jc w:val="both"/>
        <w:ind w:right="20"/>
        <w:spacing w:after="0" w:line="268" w:lineRule="auto"/>
        <w:rPr>
          <w:sz w:val="20"/>
          <w:szCs w:val="20"/>
          <w:color w:val="auto"/>
        </w:rPr>
      </w:pPr>
      <w:r>
        <w:rPr>
          <w:rFonts w:ascii="Arial" w:cs="Arial" w:eastAsia="Arial" w:hAnsi="Arial"/>
          <w:sz w:val="18"/>
          <w:szCs w:val="18"/>
          <w:color w:val="auto"/>
        </w:rPr>
        <w:t>monitors the performance of senior management against the business plan through a periodic review process (at least every quarter) and reviews and approves promotion and succession matters.</w:t>
      </w:r>
    </w:p>
    <w:p>
      <w:pPr>
        <w:spacing w:after="0" w:line="186" w:lineRule="exact"/>
        <w:rPr>
          <w:sz w:val="20"/>
          <w:szCs w:val="20"/>
          <w:color w:val="auto"/>
        </w:rPr>
      </w:pPr>
    </w:p>
    <w:p>
      <w:pPr>
        <w:jc w:val="both"/>
        <w:ind w:firstLine="351"/>
        <w:spacing w:after="0" w:line="291" w:lineRule="auto"/>
        <w:rPr>
          <w:sz w:val="20"/>
          <w:szCs w:val="20"/>
          <w:color w:val="auto"/>
        </w:rPr>
      </w:pPr>
      <w:r>
        <w:rPr>
          <w:rFonts w:ascii="Arial" w:cs="Arial" w:eastAsia="Arial" w:hAnsi="Arial"/>
          <w:sz w:val="16"/>
          <w:szCs w:val="16"/>
          <w:color w:val="auto"/>
        </w:rPr>
        <w:t>The Board holds management responsible for the development of long-term strategies for the Company. The role of the Board is to review, question, validate and ultimately approve the strategies and policies proposed by management. The Board relies on management to perform the data gathering, analysis and reporting functions which are critical to the Board for effective corporate governance. In addition, the Vice-Chairman and Chief Executive Officer, the President and Chief Operating Officer, the Senior Vice-President, Finance and Chief Financial Officer, the Senior Vice-President, Corporate Development, the Senior Vice-President, Exploration and the Senior Vice-President, Technical Services report to the Board at least every quarter on the Company's progress in the preceding quarter and on the strategic, operational and financial issues facing the Company.</w:t>
      </w:r>
    </w:p>
    <w:p>
      <w:pPr>
        <w:spacing w:after="0" w:line="174" w:lineRule="exact"/>
        <w:rPr>
          <w:sz w:val="20"/>
          <w:szCs w:val="20"/>
          <w:color w:val="auto"/>
        </w:rPr>
      </w:pPr>
    </w:p>
    <w:p>
      <w:pPr>
        <w:jc w:val="both"/>
        <w:ind w:firstLine="374"/>
        <w:spacing w:after="0" w:line="287" w:lineRule="auto"/>
        <w:rPr>
          <w:sz w:val="20"/>
          <w:szCs w:val="20"/>
          <w:color w:val="auto"/>
        </w:rPr>
      </w:pPr>
      <w:r>
        <w:rPr>
          <w:rFonts w:ascii="Arial" w:cs="Arial" w:eastAsia="Arial" w:hAnsi="Arial"/>
          <w:sz w:val="16"/>
          <w:szCs w:val="16"/>
          <w:color w:val="auto"/>
        </w:rPr>
        <w:t>Management is authorized to act, without Board approval, on all ordinary course matters relating to the Company's business. Management seeks the Board's prior approval for significant changes in the Company's affairs such as major capital expenditures, financing arrangements and significant acquisitions and divestitures. Board approval is required for any venture outside of the Company's existing businesses and for any change in senior management. Recommendations of committees of the Board require the approval of the full Board before being implemented. In addition, the Board oversees and reviews significant corporate plans and initiatives, including the annual three-year business plan and budget and significant matters of corporate strategy or policy. The Company's authorization policy and risk management policy ensure compliance with good corporate governance practices. Both policies formalize controls over the management or other employees of the Company by stipulating internal approval processes for transactions, investments, commitments and expenditures and, in the case of the risk management policy, establishing objectives and guidelines for metal price hedging, foreign exchange and short-term investment risk management and insurance. The Board, directly and through its Audit Committee, also assesses the integrity of the Company's internal control and management information systems.</w:t>
      </w:r>
    </w:p>
    <w:p>
      <w:pPr>
        <w:spacing w:after="0" w:line="177" w:lineRule="exact"/>
        <w:rPr>
          <w:sz w:val="20"/>
          <w:szCs w:val="20"/>
          <w:color w:val="auto"/>
        </w:rPr>
      </w:pPr>
    </w:p>
    <w:p>
      <w:pPr>
        <w:jc w:val="both"/>
        <w:ind w:firstLine="378"/>
        <w:spacing w:after="0" w:line="290" w:lineRule="auto"/>
        <w:rPr>
          <w:sz w:val="20"/>
          <w:szCs w:val="20"/>
          <w:color w:val="auto"/>
        </w:rPr>
      </w:pPr>
      <w:r>
        <w:rPr>
          <w:rFonts w:ascii="Arial" w:cs="Arial" w:eastAsia="Arial" w:hAnsi="Arial"/>
          <w:sz w:val="16"/>
          <w:szCs w:val="16"/>
          <w:color w:val="auto"/>
        </w:rPr>
        <w:t>The Board oversees the Company's approach to communications with shareholders and other stakeholders and approves specific communications initiatives from time to time. The Company conducts an active investor relations program. The program involves responding to shareholder inquiries, briefing analysts and fund managers with respect to reported financial results and other announcements by the Company and meeting with individual investors and other stakeholders. Senior management reports regularly to the Board on these matters. The Board reviews and approves the Company's major communications with shareholders and the public, including quarterly and annual financial results, the annual report and the management information circular. The Board has a Disclosure Policy which establishes standards and procedures relating to contacts with analysts and investors, news releases, conference calls, disclosure of material information, trading restrictions and blackout periods.</w:t>
      </w:r>
    </w:p>
    <w:p>
      <w:pPr>
        <w:spacing w:after="0" w:line="172" w:lineRule="exact"/>
        <w:rPr>
          <w:sz w:val="20"/>
          <w:szCs w:val="20"/>
          <w:color w:val="auto"/>
        </w:rPr>
      </w:pPr>
    </w:p>
    <w:p>
      <w:pPr>
        <w:ind w:left="360"/>
        <w:spacing w:after="0"/>
        <w:rPr>
          <w:sz w:val="20"/>
          <w:szCs w:val="20"/>
          <w:color w:val="auto"/>
        </w:rPr>
      </w:pPr>
      <w:r>
        <w:rPr>
          <w:rFonts w:ascii="Arial" w:cs="Arial" w:eastAsia="Arial" w:hAnsi="Arial"/>
          <w:sz w:val="18"/>
          <w:szCs w:val="18"/>
          <w:color w:val="auto"/>
        </w:rPr>
        <w:t xml:space="preserve">The Board's mandate is posted on the Company's website at </w:t>
      </w:r>
      <w:r>
        <w:rPr>
          <w:rFonts w:ascii="Arial" w:cs="Arial" w:eastAsia="Arial" w:hAnsi="Arial"/>
          <w:sz w:val="18"/>
          <w:szCs w:val="18"/>
          <w:u w:val="single" w:color="auto"/>
          <w:color w:val="auto"/>
        </w:rPr>
        <w:t>www.agnico-eagle.com</w:t>
      </w:r>
      <w:r>
        <w:rPr>
          <w:rFonts w:ascii="Arial" w:cs="Arial" w:eastAsia="Arial" w:hAnsi="Arial"/>
          <w:sz w:val="18"/>
          <w:szCs w:val="18"/>
          <w:color w:val="auto"/>
        </w:rPr>
        <w: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Position Descriptions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Chief Executive Officer</w:t>
      </w:r>
    </w:p>
    <w:p>
      <w:pPr>
        <w:spacing w:after="0" w:line="225" w:lineRule="exact"/>
        <w:rPr>
          <w:sz w:val="20"/>
          <w:szCs w:val="20"/>
          <w:color w:val="auto"/>
        </w:rPr>
      </w:pPr>
    </w:p>
    <w:p>
      <w:pPr>
        <w:jc w:val="both"/>
        <w:ind w:firstLine="467"/>
        <w:spacing w:after="0" w:line="256" w:lineRule="auto"/>
        <w:rPr>
          <w:sz w:val="20"/>
          <w:szCs w:val="20"/>
          <w:color w:val="auto"/>
        </w:rPr>
      </w:pPr>
      <w:r>
        <w:rPr>
          <w:rFonts w:ascii="Arial" w:cs="Arial" w:eastAsia="Arial" w:hAnsi="Arial"/>
          <w:sz w:val="18"/>
          <w:szCs w:val="18"/>
          <w:color w:val="auto"/>
        </w:rPr>
        <w:t>The Board has adopted a position description for the Chief Executive Officer who has full responsibility for the day-to-day operation of the Company's business in accordance with the Company's strategic plan and current year operating and capital expenditure budgets as approved by the Board. In discharging his responsibility for the day-to-day operation of Agnico-Eagle's business, subject to the oversight by the Board, the Chief Executive Officer's specific responsibilities include:</w:t>
      </w:r>
    </w:p>
    <w:p>
      <w:pPr>
        <w:spacing w:after="0" w:line="211" w:lineRule="exact"/>
        <w:rPr>
          <w:sz w:val="20"/>
          <w:szCs w:val="20"/>
          <w:color w:val="auto"/>
        </w:rPr>
      </w:pPr>
    </w:p>
    <w:p>
      <w:pPr>
        <w:ind w:left="1080" w:hanging="532"/>
        <w:spacing w:after="0"/>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providing leadership and direction to the other members of Agnico-Eagle's senior management team;</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fostering a corporate culture that promotes ethical practices and encourages individual integrity;</w:t>
      </w:r>
    </w:p>
    <w:p>
      <w:pPr>
        <w:spacing w:after="0" w:line="238" w:lineRule="exact"/>
        <w:rPr>
          <w:rFonts w:ascii="Arial" w:cs="Arial" w:eastAsia="Arial" w:hAnsi="Arial"/>
          <w:sz w:val="18"/>
          <w:szCs w:val="18"/>
          <w:color w:val="auto"/>
        </w:rPr>
      </w:pPr>
    </w:p>
    <w:p>
      <w:pPr>
        <w:ind w:left="5580" w:right="560" w:hanging="5032"/>
        <w:spacing w:after="0" w:line="519" w:lineRule="auto"/>
        <w:tabs>
          <w:tab w:leader="none" w:pos="1083" w:val="left"/>
        </w:tabs>
        <w:numPr>
          <w:ilvl w:val="0"/>
          <w:numId w:val="55"/>
        </w:numPr>
        <w:rPr>
          <w:rFonts w:ascii="Arial" w:cs="Arial" w:eastAsia="Arial" w:hAnsi="Arial"/>
          <w:sz w:val="18"/>
          <w:szCs w:val="18"/>
          <w:color w:val="auto"/>
        </w:rPr>
      </w:pPr>
      <w:r>
        <w:rPr>
          <w:rFonts w:ascii="Arial" w:cs="Arial" w:eastAsia="Arial" w:hAnsi="Arial"/>
          <w:sz w:val="18"/>
          <w:szCs w:val="18"/>
          <w:color w:val="auto"/>
        </w:rPr>
        <w:t>maintaining a positive and ethical work climate that is conducive to attracting, retaining and motivating top-quality employees at all levels; 115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-15875</wp:posOffset>
            </wp:positionV>
            <wp:extent cx="7250430" cy="2159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58" w:name="page159"/>
    <w:bookmarkEnd w:id="158"/>
    <w:p>
      <w:pPr>
        <w:ind w:left="1080" w:hanging="532"/>
        <w:spacing w:after="0"/>
        <w:tabs>
          <w:tab w:leader="none" w:pos="1080" w:val="left"/>
        </w:tabs>
        <w:numPr>
          <w:ilvl w:val="0"/>
          <w:numId w:val="56"/>
        </w:numPr>
        <w:rPr>
          <w:rFonts w:ascii="Arial" w:cs="Arial" w:eastAsia="Arial" w:hAnsi="Arial"/>
          <w:sz w:val="18"/>
          <w:szCs w:val="18"/>
          <w:color w:val="auto"/>
        </w:rPr>
      </w:pPr>
      <w:r>
        <w:rPr>
          <w:rFonts w:ascii="Arial" w:cs="Arial" w:eastAsia="Arial" w:hAnsi="Arial"/>
          <w:sz w:val="18"/>
          <w:szCs w:val="18"/>
          <w:color w:val="auto"/>
        </w:rPr>
        <w:t>working with the Chairman in determining the matters and materials that should be presented to the Board;</w:t>
      </w:r>
    </w:p>
    <w:p>
      <w:pPr>
        <w:spacing w:after="0" w:line="25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56"/>
        </w:numPr>
        <w:rPr>
          <w:rFonts w:ascii="Arial" w:cs="Arial" w:eastAsia="Arial" w:hAnsi="Arial"/>
          <w:sz w:val="18"/>
          <w:szCs w:val="18"/>
          <w:color w:val="auto"/>
        </w:rPr>
      </w:pPr>
      <w:r>
        <w:rPr>
          <w:rFonts w:ascii="Arial" w:cs="Arial" w:eastAsia="Arial" w:hAnsi="Arial"/>
          <w:sz w:val="18"/>
          <w:szCs w:val="18"/>
          <w:color w:val="auto"/>
        </w:rPr>
        <w:t>together with the Chairman, developing and recommending to the Board a long-term strategy and vision for Agnico-Eagle that leads to enhancement of shareholder value;</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56"/>
        </w:numPr>
        <w:rPr>
          <w:rFonts w:ascii="Arial" w:cs="Arial" w:eastAsia="Arial" w:hAnsi="Arial"/>
          <w:sz w:val="18"/>
          <w:szCs w:val="18"/>
          <w:color w:val="auto"/>
        </w:rPr>
      </w:pPr>
      <w:r>
        <w:rPr>
          <w:rFonts w:ascii="Arial" w:cs="Arial" w:eastAsia="Arial" w:hAnsi="Arial"/>
          <w:sz w:val="18"/>
          <w:szCs w:val="18"/>
          <w:color w:val="auto"/>
        </w:rPr>
        <w:t>developing and recommending to the Board annual business plans and budgets that support Agnico-Eagle's long-term strategy;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6"/>
        </w:numPr>
        <w:rPr>
          <w:rFonts w:ascii="Arial" w:cs="Arial" w:eastAsia="Arial" w:hAnsi="Arial"/>
          <w:sz w:val="18"/>
          <w:szCs w:val="18"/>
          <w:color w:val="auto"/>
        </w:rPr>
      </w:pPr>
      <w:r>
        <w:rPr>
          <w:rFonts w:ascii="Arial" w:cs="Arial" w:eastAsia="Arial" w:hAnsi="Arial"/>
          <w:sz w:val="18"/>
          <w:szCs w:val="18"/>
          <w:color w:val="auto"/>
        </w:rPr>
        <w:t>ensuring that the day-to-day business affairs of Agnico-Eagle are appropriately managed;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6"/>
        </w:numPr>
        <w:rPr>
          <w:rFonts w:ascii="Arial" w:cs="Arial" w:eastAsia="Arial" w:hAnsi="Arial"/>
          <w:sz w:val="18"/>
          <w:szCs w:val="18"/>
          <w:color w:val="auto"/>
        </w:rPr>
      </w:pPr>
      <w:r>
        <w:rPr>
          <w:rFonts w:ascii="Arial" w:cs="Arial" w:eastAsia="Arial" w:hAnsi="Arial"/>
          <w:sz w:val="18"/>
          <w:szCs w:val="18"/>
          <w:color w:val="auto"/>
        </w:rPr>
        <w:t>consistently striving to achieve Agnico-Eagle's financial and operating goals and objectives;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6"/>
        </w:numPr>
        <w:rPr>
          <w:rFonts w:ascii="Arial" w:cs="Arial" w:eastAsia="Arial" w:hAnsi="Arial"/>
          <w:sz w:val="18"/>
          <w:szCs w:val="18"/>
          <w:color w:val="auto"/>
        </w:rPr>
      </w:pPr>
      <w:r>
        <w:rPr>
          <w:rFonts w:ascii="Arial" w:cs="Arial" w:eastAsia="Arial" w:hAnsi="Arial"/>
          <w:sz w:val="18"/>
          <w:szCs w:val="18"/>
          <w:color w:val="auto"/>
        </w:rPr>
        <w:t>designing or supervising the design and implementation of effective disclosure and internal controls;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6"/>
        </w:numPr>
        <w:rPr>
          <w:rFonts w:ascii="Arial" w:cs="Arial" w:eastAsia="Arial" w:hAnsi="Arial"/>
          <w:sz w:val="18"/>
          <w:szCs w:val="18"/>
          <w:color w:val="auto"/>
        </w:rPr>
      </w:pPr>
      <w:r>
        <w:rPr>
          <w:rFonts w:ascii="Arial" w:cs="Arial" w:eastAsia="Arial" w:hAnsi="Arial"/>
          <w:sz w:val="18"/>
          <w:szCs w:val="18"/>
          <w:color w:val="auto"/>
        </w:rPr>
        <w:t>maintaining responsibility for the integrity of the financial reporting process;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6"/>
        </w:numPr>
        <w:rPr>
          <w:rFonts w:ascii="Arial" w:cs="Arial" w:eastAsia="Arial" w:hAnsi="Arial"/>
          <w:sz w:val="18"/>
          <w:szCs w:val="18"/>
          <w:color w:val="auto"/>
        </w:rPr>
      </w:pPr>
      <w:r>
        <w:rPr>
          <w:rFonts w:ascii="Arial" w:cs="Arial" w:eastAsia="Arial" w:hAnsi="Arial"/>
          <w:sz w:val="18"/>
          <w:szCs w:val="18"/>
          <w:color w:val="auto"/>
        </w:rPr>
        <w:t>seeking to secure for Agnico-Eagle a satisfactory competitive position within its industry;</w:t>
      </w:r>
    </w:p>
    <w:p>
      <w:pPr>
        <w:spacing w:after="0" w:line="238"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56"/>
        </w:numPr>
        <w:rPr>
          <w:rFonts w:ascii="Arial" w:cs="Arial" w:eastAsia="Arial" w:hAnsi="Arial"/>
          <w:sz w:val="18"/>
          <w:szCs w:val="18"/>
          <w:color w:val="auto"/>
        </w:rPr>
      </w:pPr>
      <w:r>
        <w:rPr>
          <w:rFonts w:ascii="Arial" w:cs="Arial" w:eastAsia="Arial" w:hAnsi="Arial"/>
          <w:sz w:val="18"/>
          <w:szCs w:val="18"/>
          <w:color w:val="auto"/>
        </w:rPr>
        <w:t>ensuring that Agnico-Eagle has an effective management team below the level of the Chief Executive Officer and has an active plan for management development and succession;</w:t>
      </w:r>
    </w:p>
    <w:p>
      <w:pPr>
        <w:spacing w:after="0" w:line="199"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56"/>
        </w:numPr>
        <w:rPr>
          <w:rFonts w:ascii="Arial" w:cs="Arial" w:eastAsia="Arial" w:hAnsi="Arial"/>
          <w:sz w:val="18"/>
          <w:szCs w:val="18"/>
          <w:color w:val="auto"/>
        </w:rPr>
      </w:pPr>
      <w:r>
        <w:rPr>
          <w:rFonts w:ascii="Arial" w:cs="Arial" w:eastAsia="Arial" w:hAnsi="Arial"/>
          <w:sz w:val="18"/>
          <w:szCs w:val="18"/>
          <w:color w:val="auto"/>
        </w:rPr>
        <w:t>ensuring, in cooperation with the Chairman and the Board, that there is an effective succession plan in place for the position of Chief Executive Officer; and</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56"/>
        </w:numPr>
        <w:rPr>
          <w:rFonts w:ascii="Arial" w:cs="Arial" w:eastAsia="Arial" w:hAnsi="Arial"/>
          <w:sz w:val="18"/>
          <w:szCs w:val="18"/>
          <w:color w:val="auto"/>
        </w:rPr>
      </w:pPr>
      <w:r>
        <w:rPr>
          <w:rFonts w:ascii="Arial" w:cs="Arial" w:eastAsia="Arial" w:hAnsi="Arial"/>
          <w:sz w:val="18"/>
          <w:szCs w:val="18"/>
          <w:color w:val="auto"/>
        </w:rPr>
        <w:t>serving as the primary spokesperson for Agnico-Eagle.</w:t>
      </w:r>
    </w:p>
    <w:p>
      <w:pPr>
        <w:spacing w:after="0" w:line="225" w:lineRule="exact"/>
        <w:rPr>
          <w:sz w:val="20"/>
          <w:szCs w:val="20"/>
          <w:color w:val="auto"/>
        </w:rPr>
      </w:pPr>
    </w:p>
    <w:p>
      <w:pPr>
        <w:jc w:val="both"/>
        <w:ind w:firstLine="367"/>
        <w:spacing w:after="0" w:line="268" w:lineRule="auto"/>
        <w:rPr>
          <w:sz w:val="20"/>
          <w:szCs w:val="20"/>
          <w:color w:val="auto"/>
        </w:rPr>
      </w:pPr>
      <w:r>
        <w:rPr>
          <w:rFonts w:ascii="Arial" w:cs="Arial" w:eastAsia="Arial" w:hAnsi="Arial"/>
          <w:sz w:val="18"/>
          <w:szCs w:val="18"/>
          <w:color w:val="auto"/>
        </w:rPr>
        <w:t>The Chief Executive Officer is to consult with the Chairman on matters of strategic significance to the Company and alert the Chairman on a timely basis of any material changes or events that may impact upon the risk profile, financial affairs or performance of the Company.</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Chairs of Board Committees</w:t>
      </w:r>
    </w:p>
    <w:p>
      <w:pPr>
        <w:spacing w:after="0" w:line="225" w:lineRule="exact"/>
        <w:rPr>
          <w:sz w:val="20"/>
          <w:szCs w:val="20"/>
          <w:color w:val="auto"/>
        </w:rPr>
      </w:pPr>
    </w:p>
    <w:p>
      <w:pPr>
        <w:jc w:val="both"/>
        <w:ind w:firstLine="438"/>
        <w:spacing w:after="0" w:line="256" w:lineRule="auto"/>
        <w:rPr>
          <w:sz w:val="20"/>
          <w:szCs w:val="20"/>
          <w:color w:val="auto"/>
        </w:rPr>
      </w:pPr>
      <w:r>
        <w:rPr>
          <w:rFonts w:ascii="Arial" w:cs="Arial" w:eastAsia="Arial" w:hAnsi="Arial"/>
          <w:sz w:val="18"/>
          <w:szCs w:val="18"/>
          <w:color w:val="auto"/>
        </w:rPr>
        <w:t>The Board has adopted written position descriptions for each of the Chairs of the Board's committees which include the Audit Committee, the Corporate Governance Committee, the Compensation Committee and the Health, Safety and Environment Committee. The role of each of the Chairs is to ensure the effective functioning of his or her committee and provide leadership to its members in discharging the mandate as set out in the committee's charter. The responsibilities of each Chair include, among others:</w:t>
      </w:r>
    </w:p>
    <w:p>
      <w:pPr>
        <w:spacing w:after="0" w:line="211" w:lineRule="exact"/>
        <w:rPr>
          <w:sz w:val="20"/>
          <w:szCs w:val="20"/>
          <w:color w:val="auto"/>
        </w:rPr>
      </w:pPr>
    </w:p>
    <w:p>
      <w:pPr>
        <w:ind w:left="1080" w:hanging="532"/>
        <w:spacing w:after="0"/>
        <w:tabs>
          <w:tab w:leader="none" w:pos="1080" w:val="left"/>
        </w:tabs>
        <w:numPr>
          <w:ilvl w:val="0"/>
          <w:numId w:val="57"/>
        </w:numPr>
        <w:rPr>
          <w:rFonts w:ascii="Arial" w:cs="Arial" w:eastAsia="Arial" w:hAnsi="Arial"/>
          <w:sz w:val="18"/>
          <w:szCs w:val="18"/>
          <w:color w:val="auto"/>
        </w:rPr>
      </w:pPr>
      <w:r>
        <w:rPr>
          <w:rFonts w:ascii="Arial" w:cs="Arial" w:eastAsia="Arial" w:hAnsi="Arial"/>
          <w:sz w:val="18"/>
          <w:szCs w:val="18"/>
          <w:color w:val="auto"/>
        </w:rPr>
        <w:t>establishing procedures to govern his or her committee's work and ensure the full discharge of its duties;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7"/>
        </w:numPr>
        <w:rPr>
          <w:rFonts w:ascii="Arial" w:cs="Arial" w:eastAsia="Arial" w:hAnsi="Arial"/>
          <w:sz w:val="18"/>
          <w:szCs w:val="18"/>
          <w:color w:val="auto"/>
        </w:rPr>
      </w:pPr>
      <w:r>
        <w:rPr>
          <w:rFonts w:ascii="Arial" w:cs="Arial" w:eastAsia="Arial" w:hAnsi="Arial"/>
          <w:sz w:val="18"/>
          <w:szCs w:val="18"/>
          <w:color w:val="auto"/>
        </w:rPr>
        <w:t>chairing every meeting of his or her committee and encourage free and open discussion at such meetings;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7"/>
        </w:numPr>
        <w:rPr>
          <w:rFonts w:ascii="Arial" w:cs="Arial" w:eastAsia="Arial" w:hAnsi="Arial"/>
          <w:sz w:val="18"/>
          <w:szCs w:val="18"/>
          <w:color w:val="auto"/>
        </w:rPr>
      </w:pPr>
      <w:r>
        <w:rPr>
          <w:rFonts w:ascii="Arial" w:cs="Arial" w:eastAsia="Arial" w:hAnsi="Arial"/>
          <w:sz w:val="18"/>
          <w:szCs w:val="18"/>
          <w:color w:val="auto"/>
        </w:rPr>
        <w:t>reporting to the Board on behalf of his or her committee; and</w:t>
      </w:r>
    </w:p>
    <w:p>
      <w:pPr>
        <w:spacing w:after="0" w:line="238" w:lineRule="exact"/>
        <w:rPr>
          <w:rFonts w:ascii="Arial" w:cs="Arial" w:eastAsia="Arial" w:hAnsi="Arial"/>
          <w:sz w:val="18"/>
          <w:szCs w:val="18"/>
          <w:color w:val="auto"/>
        </w:rPr>
      </w:pPr>
    </w:p>
    <w:p>
      <w:pPr>
        <w:ind w:left="360" w:right="200" w:firstLine="188"/>
        <w:spacing w:after="0" w:line="563" w:lineRule="auto"/>
        <w:tabs>
          <w:tab w:leader="none" w:pos="1089" w:val="left"/>
        </w:tabs>
        <w:numPr>
          <w:ilvl w:val="0"/>
          <w:numId w:val="57"/>
        </w:numPr>
        <w:rPr>
          <w:rFonts w:ascii="Arial" w:cs="Arial" w:eastAsia="Arial" w:hAnsi="Arial"/>
          <w:sz w:val="16"/>
          <w:szCs w:val="16"/>
          <w:color w:val="auto"/>
        </w:rPr>
      </w:pPr>
      <w:r>
        <w:rPr>
          <w:rFonts w:ascii="Arial" w:cs="Arial" w:eastAsia="Arial" w:hAnsi="Arial"/>
          <w:sz w:val="16"/>
          <w:szCs w:val="16"/>
          <w:color w:val="auto"/>
        </w:rPr>
        <w:t>attending every meeting of shareholders and responding to such questions from shareholders as may be put to the Chair of his or her committee. Each of the Chairs is also responsible for carrying out other duties as requested by the Board, depending on need and circumstances.</w:t>
      </w:r>
    </w:p>
    <w:p>
      <w:pPr>
        <w:spacing w:after="0" w:line="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Orientation and Continuing Education</w:t>
      </w:r>
    </w:p>
    <w:p>
      <w:pPr>
        <w:spacing w:after="0" w:line="225" w:lineRule="exact"/>
        <w:rPr>
          <w:sz w:val="20"/>
          <w:szCs w:val="20"/>
          <w:color w:val="auto"/>
        </w:rPr>
      </w:pPr>
    </w:p>
    <w:p>
      <w:pPr>
        <w:jc w:val="both"/>
        <w:ind w:firstLine="407"/>
        <w:spacing w:after="0" w:line="332" w:lineRule="auto"/>
        <w:rPr>
          <w:sz w:val="20"/>
          <w:szCs w:val="20"/>
          <w:color w:val="auto"/>
        </w:rPr>
      </w:pPr>
      <w:r>
        <w:rPr>
          <w:rFonts w:ascii="Arial" w:cs="Arial" w:eastAsia="Arial" w:hAnsi="Arial"/>
          <w:sz w:val="16"/>
          <w:szCs w:val="16"/>
          <w:color w:val="auto"/>
        </w:rPr>
        <w:t>Agnico-Eagle holds periodic educational sessions with its directors and legal counsel to review and assess the Board's corporate governance policies. This allows new directors to become familiar with the corporate governance policies of Agnico-Eagle as they relate to its business.</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Ethical Business Conduct</w:t>
      </w:r>
    </w:p>
    <w:p>
      <w:pPr>
        <w:spacing w:after="0" w:line="225" w:lineRule="exact"/>
        <w:rPr>
          <w:sz w:val="20"/>
          <w:szCs w:val="20"/>
          <w:color w:val="auto"/>
        </w:rPr>
      </w:pPr>
    </w:p>
    <w:p>
      <w:pPr>
        <w:jc w:val="both"/>
        <w:ind w:firstLine="362"/>
        <w:spacing w:after="0" w:line="259" w:lineRule="auto"/>
        <w:rPr>
          <w:sz w:val="20"/>
          <w:szCs w:val="20"/>
          <w:color w:val="auto"/>
        </w:rPr>
      </w:pPr>
      <w:r>
        <w:rPr>
          <w:rFonts w:ascii="Arial" w:cs="Arial" w:eastAsia="Arial" w:hAnsi="Arial"/>
          <w:sz w:val="18"/>
          <w:szCs w:val="18"/>
          <w:color w:val="auto"/>
        </w:rPr>
        <w:t>The Board has adopted a Code of Business Conduct and Ethics which provides a framework for directors, officers and employees on the conduct and ethical decision-making integral to their work. In addition, the Board has adopted a Code of Business Conduct and Ethics for Consultants and Contractors. The Audit Committee is</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45" w:right="239" w:bottom="1440" w:gutter="0" w:footer="0" w:header="0"/>
        </w:sectPr>
      </w:pPr>
    </w:p>
    <w:bookmarkStart w:id="159" w:name="page160"/>
    <w:bookmarkEnd w:id="159"/>
    <w:p>
      <w:pPr>
        <w:spacing w:after="0"/>
        <w:rPr>
          <w:sz w:val="20"/>
          <w:szCs w:val="20"/>
          <w:color w:val="auto"/>
        </w:rPr>
      </w:pPr>
      <w:r>
        <w:rPr>
          <w:rFonts w:ascii="Arial" w:cs="Arial" w:eastAsia="Arial" w:hAnsi="Arial"/>
          <w:sz w:val="16"/>
          <w:szCs w:val="16"/>
          <w:color w:val="auto"/>
        </w:rPr>
        <w:t>responsible for monitoring compliance with these codes of ethics and any waivers or amendments thereto can only be made by the Board or a Board committee.</w:t>
      </w:r>
    </w:p>
    <w:p>
      <w:pPr>
        <w:spacing w:after="0" w:line="38"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These codes are available on </w:t>
      </w:r>
      <w:r>
        <w:rPr>
          <w:rFonts w:ascii="Arial" w:cs="Arial" w:eastAsia="Arial" w:hAnsi="Arial"/>
          <w:sz w:val="18"/>
          <w:szCs w:val="18"/>
          <w:u w:val="single" w:color="auto"/>
          <w:color w:val="auto"/>
        </w:rPr>
        <w:t>www.sedar.com</w:t>
      </w:r>
      <w:r>
        <w:rPr>
          <w:rFonts w:ascii="Arial" w:cs="Arial" w:eastAsia="Arial" w:hAnsi="Arial"/>
          <w:sz w:val="18"/>
          <w:szCs w:val="18"/>
          <w:color w:val="auto"/>
        </w:rPr>
        <w:t>.</w:t>
      </w:r>
    </w:p>
    <w:p>
      <w:pPr>
        <w:spacing w:after="0" w:line="219" w:lineRule="exact"/>
        <w:rPr>
          <w:sz w:val="20"/>
          <w:szCs w:val="20"/>
          <w:color w:val="auto"/>
        </w:rPr>
      </w:pPr>
    </w:p>
    <w:p>
      <w:pPr>
        <w:jc w:val="both"/>
        <w:ind w:firstLine="371"/>
        <w:spacing w:after="0" w:line="254" w:lineRule="auto"/>
        <w:rPr>
          <w:sz w:val="20"/>
          <w:szCs w:val="20"/>
          <w:color w:val="auto"/>
        </w:rPr>
      </w:pPr>
      <w:r>
        <w:rPr>
          <w:rFonts w:ascii="Arial" w:cs="Arial" w:eastAsia="Arial" w:hAnsi="Arial"/>
          <w:sz w:val="18"/>
          <w:szCs w:val="18"/>
          <w:color w:val="auto"/>
        </w:rPr>
        <w:t>The Board has also adopted a Confidential Anonymous Complaint Reporting Policy which provides procedures for officers and employees who believe that a violation of the Code of Business Conduct and Ethics has occurred to report this violation on a confidential and anonymous basis. Complaints can be made internally to the General Counsel, Senior Vice-President, Legal and Corporate Secretary or the Senior Vice-President, Finance and Chief Financial Officer. Complaints can also be made anonymously by telephone, e-mail or postal letter through a hotline provided by an independent third party service provider. The General Counsel, Senior Vice-President, Legal and Corporate Secretary periodically prepares a written report to the Audit Committee regarding the complaints, if any, received through these procedures.</w:t>
      </w:r>
    </w:p>
    <w:p>
      <w:pPr>
        <w:spacing w:after="0" w:line="198" w:lineRule="exact"/>
        <w:rPr>
          <w:sz w:val="20"/>
          <w:szCs w:val="20"/>
          <w:color w:val="auto"/>
        </w:rPr>
      </w:pPr>
    </w:p>
    <w:p>
      <w:pPr>
        <w:jc w:val="both"/>
        <w:ind w:right="20" w:firstLine="413"/>
        <w:spacing w:after="0" w:line="268" w:lineRule="auto"/>
        <w:rPr>
          <w:sz w:val="20"/>
          <w:szCs w:val="20"/>
          <w:color w:val="auto"/>
        </w:rPr>
      </w:pPr>
      <w:r>
        <w:rPr>
          <w:rFonts w:ascii="Arial" w:cs="Arial" w:eastAsia="Arial" w:hAnsi="Arial"/>
          <w:sz w:val="18"/>
          <w:szCs w:val="18"/>
          <w:color w:val="auto"/>
        </w:rPr>
        <w:t>The Board believes that providing a procedure for employees and officers to raise concerns about ethical conduct on an anonymous and confidential basis fosters a culture of ethical conduct within the Company.</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Nomination of Directors</w:t>
      </w:r>
    </w:p>
    <w:p>
      <w:pPr>
        <w:spacing w:after="0" w:line="225" w:lineRule="exact"/>
        <w:rPr>
          <w:sz w:val="20"/>
          <w:szCs w:val="20"/>
          <w:color w:val="auto"/>
        </w:rPr>
      </w:pPr>
    </w:p>
    <w:p>
      <w:pPr>
        <w:jc w:val="both"/>
        <w:ind w:firstLine="444"/>
        <w:spacing w:after="0" w:line="287" w:lineRule="auto"/>
        <w:rPr>
          <w:sz w:val="20"/>
          <w:szCs w:val="20"/>
          <w:color w:val="auto"/>
        </w:rPr>
      </w:pPr>
      <w:r>
        <w:rPr>
          <w:rFonts w:ascii="Arial" w:cs="Arial" w:eastAsia="Arial" w:hAnsi="Arial"/>
          <w:sz w:val="16"/>
          <w:szCs w:val="16"/>
          <w:color w:val="auto"/>
        </w:rPr>
        <w:t>The Corporate Governance Committee, which is comprised entirely of non-management and independent directors, is responsible for participating in the recruitment and recommendation of new nominees for appointment or election to the Board. When considering a potential candidate, the Corporate Governance Committee considers the qualities and skills that the Board, as a whole, should have and assesses the competencies and skills of the current members of the Board. Based on the talent already represented on the Board, the Corporate Governance Committee then identifies the specific skills, personal qualities or experiences that a candidate should possess in light of the opportunities and risks facing the Company. The Corporate Governance Committee maintains a list of potential director candidates for its future consideration and may engage outside advisors to assist in identifying potential candidates. Potential candidates are screened to ensure that they possess the requisite qualities, including integrity, business judgment and experience, business or professional expertise, independence from management, international experience, financial literacy, excellent communications skills and the ability to work well in a team situation. The Corporate Governance Committee also considers the existing commitments of a potential candidate to ensure that such candidate will be able to fulfill his or her duties as a Board member.</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Compensation</w:t>
      </w:r>
    </w:p>
    <w:p>
      <w:pPr>
        <w:spacing w:after="0" w:line="225" w:lineRule="exact"/>
        <w:rPr>
          <w:sz w:val="20"/>
          <w:szCs w:val="20"/>
          <w:color w:val="auto"/>
        </w:rPr>
      </w:pPr>
    </w:p>
    <w:p>
      <w:pPr>
        <w:jc w:val="both"/>
        <w:ind w:firstLine="363"/>
        <w:spacing w:after="0" w:line="256" w:lineRule="auto"/>
        <w:rPr>
          <w:sz w:val="20"/>
          <w:szCs w:val="20"/>
          <w:color w:val="auto"/>
        </w:rPr>
      </w:pPr>
      <w:r>
        <w:rPr>
          <w:rFonts w:ascii="Arial" w:cs="Arial" w:eastAsia="Arial" w:hAnsi="Arial"/>
          <w:sz w:val="18"/>
          <w:szCs w:val="18"/>
          <w:color w:val="auto"/>
        </w:rPr>
        <w:t>Remuneration is paid to the Company's directors based on several factors, including time commitments, risk, workload and responsibility demanded by their positions. The Compensation Committee periodically reviews and fixes the amount and composition of the compensation of directors. For a summary of remuneration paid to directors, please see "Section 3: Compensation and Other Information — Compensation of Directors and Other Information" and the description of the Compensation Committee below.</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Board Committees</w:t>
      </w:r>
    </w:p>
    <w:p>
      <w:pPr>
        <w:spacing w:after="0" w:line="225" w:lineRule="exact"/>
        <w:rPr>
          <w:sz w:val="20"/>
          <w:szCs w:val="20"/>
          <w:color w:val="auto"/>
        </w:rPr>
      </w:pPr>
    </w:p>
    <w:p>
      <w:pPr>
        <w:jc w:val="both"/>
        <w:ind w:firstLine="460"/>
        <w:spacing w:after="0" w:line="268" w:lineRule="auto"/>
        <w:rPr>
          <w:sz w:val="20"/>
          <w:szCs w:val="20"/>
          <w:color w:val="auto"/>
        </w:rPr>
      </w:pPr>
      <w:r>
        <w:rPr>
          <w:rFonts w:ascii="Arial" w:cs="Arial" w:eastAsia="Arial" w:hAnsi="Arial"/>
          <w:sz w:val="18"/>
          <w:szCs w:val="18"/>
          <w:color w:val="auto"/>
        </w:rPr>
        <w:t>The Board has four Committees: the Audit Committee, the Compensation Committee, the Corporate Governance Committee and the Health, Safety and Environment Committee.</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Audit Committee</w:t>
      </w:r>
    </w:p>
    <w:p>
      <w:pPr>
        <w:spacing w:after="0" w:line="225"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Audit Committee has two primary objectives. The first is to advise the Board of Directors in its oversight responsibilities regarding:</w:t>
      </w:r>
    </w:p>
    <w:p>
      <w:pPr>
        <w:spacing w:after="0" w:line="239" w:lineRule="exact"/>
        <w:rPr>
          <w:sz w:val="20"/>
          <w:szCs w:val="20"/>
          <w:color w:val="auto"/>
        </w:rPr>
      </w:pPr>
    </w:p>
    <w:p>
      <w:pPr>
        <w:ind w:left="1080" w:hanging="532"/>
        <w:spacing w:after="0"/>
        <w:tabs>
          <w:tab w:leader="none" w:pos="1080" w:val="left"/>
        </w:tabs>
        <w:numPr>
          <w:ilvl w:val="0"/>
          <w:numId w:val="58"/>
        </w:numPr>
        <w:rPr>
          <w:rFonts w:ascii="Arial" w:cs="Arial" w:eastAsia="Arial" w:hAnsi="Arial"/>
          <w:sz w:val="18"/>
          <w:szCs w:val="18"/>
          <w:color w:val="auto"/>
        </w:rPr>
      </w:pPr>
      <w:r>
        <w:rPr>
          <w:rFonts w:ascii="Arial" w:cs="Arial" w:eastAsia="Arial" w:hAnsi="Arial"/>
          <w:sz w:val="18"/>
          <w:szCs w:val="18"/>
          <w:color w:val="auto"/>
        </w:rPr>
        <w:t>the quality and integrity of the Company's financial reports and information;</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8"/>
        </w:numPr>
        <w:rPr>
          <w:rFonts w:ascii="Arial" w:cs="Arial" w:eastAsia="Arial" w:hAnsi="Arial"/>
          <w:sz w:val="18"/>
          <w:szCs w:val="18"/>
          <w:color w:val="auto"/>
        </w:rPr>
      </w:pPr>
      <w:r>
        <w:rPr>
          <w:rFonts w:ascii="Arial" w:cs="Arial" w:eastAsia="Arial" w:hAnsi="Arial"/>
          <w:sz w:val="18"/>
          <w:szCs w:val="18"/>
          <w:color w:val="auto"/>
        </w:rPr>
        <w:t>the Company's compliance with legal and regulatory requirements;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8"/>
        </w:numPr>
        <w:rPr>
          <w:rFonts w:ascii="Arial" w:cs="Arial" w:eastAsia="Arial" w:hAnsi="Arial"/>
          <w:sz w:val="16"/>
          <w:szCs w:val="16"/>
          <w:color w:val="auto"/>
        </w:rPr>
      </w:pPr>
      <w:r>
        <w:rPr>
          <w:rFonts w:ascii="Arial" w:cs="Arial" w:eastAsia="Arial" w:hAnsi="Arial"/>
          <w:sz w:val="16"/>
          <w:szCs w:val="16"/>
          <w:color w:val="auto"/>
        </w:rPr>
        <w:t>the effectiveness of the Company's internal controls for finance, accounting, internal audit, ethics and legal and regulatory compliance;</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58"/>
        </w:numPr>
        <w:rPr>
          <w:rFonts w:ascii="Arial" w:cs="Arial" w:eastAsia="Arial" w:hAnsi="Arial"/>
          <w:sz w:val="18"/>
          <w:szCs w:val="18"/>
          <w:color w:val="auto"/>
        </w:rPr>
      </w:pPr>
      <w:r>
        <w:rPr>
          <w:rFonts w:ascii="Arial" w:cs="Arial" w:eastAsia="Arial" w:hAnsi="Arial"/>
          <w:sz w:val="18"/>
          <w:szCs w:val="18"/>
          <w:color w:val="auto"/>
        </w:rPr>
        <w:t>the performance of the Company's auditing, accounting and financial reporting functions;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60" w:name="page161"/>
    <w:bookmarkEnd w:id="160"/>
    <w:p>
      <w:pPr>
        <w:ind w:left="1080" w:hanging="532"/>
        <w:spacing w:after="0"/>
        <w:tabs>
          <w:tab w:leader="none" w:pos="1080" w:val="left"/>
        </w:tabs>
        <w:numPr>
          <w:ilvl w:val="0"/>
          <w:numId w:val="59"/>
        </w:numPr>
        <w:rPr>
          <w:rFonts w:ascii="Arial" w:cs="Arial" w:eastAsia="Arial" w:hAnsi="Arial"/>
          <w:sz w:val="18"/>
          <w:szCs w:val="18"/>
          <w:color w:val="auto"/>
        </w:rPr>
      </w:pPr>
      <w:r>
        <w:rPr>
          <w:rFonts w:ascii="Arial" w:cs="Arial" w:eastAsia="Arial" w:hAnsi="Arial"/>
          <w:sz w:val="18"/>
          <w:szCs w:val="18"/>
          <w:color w:val="auto"/>
        </w:rPr>
        <w:t>the fairness of related party agreements and arrangements between the Company and related parties;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9"/>
        </w:numPr>
        <w:rPr>
          <w:rFonts w:ascii="Arial" w:cs="Arial" w:eastAsia="Arial" w:hAnsi="Arial"/>
          <w:sz w:val="18"/>
          <w:szCs w:val="18"/>
          <w:color w:val="auto"/>
        </w:rPr>
      </w:pPr>
      <w:r>
        <w:rPr>
          <w:rFonts w:ascii="Arial" w:cs="Arial" w:eastAsia="Arial" w:hAnsi="Arial"/>
          <w:sz w:val="18"/>
          <w:szCs w:val="18"/>
          <w:color w:val="auto"/>
        </w:rPr>
        <w:t>the independent auditors' performance, qualifications and independence.</w:t>
      </w:r>
    </w:p>
    <w:p>
      <w:pPr>
        <w:spacing w:after="0" w:line="225" w:lineRule="exact"/>
        <w:rPr>
          <w:sz w:val="20"/>
          <w:szCs w:val="20"/>
          <w:color w:val="auto"/>
        </w:rPr>
      </w:pPr>
    </w:p>
    <w:p>
      <w:pPr>
        <w:jc w:val="both"/>
        <w:ind w:firstLine="372"/>
        <w:spacing w:after="0" w:line="268" w:lineRule="auto"/>
        <w:rPr>
          <w:sz w:val="20"/>
          <w:szCs w:val="20"/>
          <w:color w:val="auto"/>
        </w:rPr>
      </w:pPr>
      <w:r>
        <w:rPr>
          <w:rFonts w:ascii="Arial" w:cs="Arial" w:eastAsia="Arial" w:hAnsi="Arial"/>
          <w:sz w:val="18"/>
          <w:szCs w:val="18"/>
          <w:color w:val="auto"/>
        </w:rPr>
        <w:t>The second primary objective of the Audit Committee is to prepare the reports required to be included in the management proxy circular in accordance with applicable laws or the rules of applicable securities regulatory authorities.</w:t>
      </w:r>
    </w:p>
    <w:p>
      <w:pPr>
        <w:spacing w:after="0" w:line="186" w:lineRule="exact"/>
        <w:rPr>
          <w:sz w:val="20"/>
          <w:szCs w:val="20"/>
          <w:color w:val="auto"/>
        </w:rPr>
      </w:pPr>
    </w:p>
    <w:p>
      <w:pPr>
        <w:jc w:val="both"/>
        <w:ind w:firstLine="400"/>
        <w:spacing w:after="0" w:line="294" w:lineRule="auto"/>
        <w:rPr>
          <w:sz w:val="20"/>
          <w:szCs w:val="20"/>
          <w:color w:val="auto"/>
        </w:rPr>
      </w:pPr>
      <w:r>
        <w:rPr>
          <w:rFonts w:ascii="Arial" w:cs="Arial" w:eastAsia="Arial" w:hAnsi="Arial"/>
          <w:sz w:val="16"/>
          <w:szCs w:val="16"/>
          <w:color w:val="auto"/>
        </w:rPr>
        <w:t>The Board has adopted an Audit Committee charter, which provides that each member of the Audit Committee must be unrelated to and independent from the Company as determined by the Board in accordance with the applicable requirements of the laws governing the Company, the applicable stock exchanges on which the Company's securities are listed and applicable securities regulatory authorities. In addition, each member must be financially literate and at least one member of the Audit Committee must be an audit committee financial expert, as the term is defined in SOX. The Audit Committee must pre-approve all audit and permitted non-audit engagements to be provided by the external auditors to the Company.</w:t>
      </w:r>
    </w:p>
    <w:p>
      <w:pPr>
        <w:spacing w:after="0" w:line="170" w:lineRule="exact"/>
        <w:rPr>
          <w:sz w:val="20"/>
          <w:szCs w:val="20"/>
          <w:color w:val="auto"/>
        </w:rPr>
      </w:pPr>
    </w:p>
    <w:p>
      <w:pPr>
        <w:jc w:val="both"/>
        <w:ind w:firstLine="564"/>
        <w:spacing w:after="0" w:line="286" w:lineRule="auto"/>
        <w:rPr>
          <w:sz w:val="20"/>
          <w:szCs w:val="20"/>
          <w:color w:val="auto"/>
        </w:rPr>
      </w:pPr>
      <w:r>
        <w:rPr>
          <w:rFonts w:ascii="Arial" w:cs="Arial" w:eastAsia="Arial" w:hAnsi="Arial"/>
          <w:sz w:val="16"/>
          <w:szCs w:val="16"/>
          <w:color w:val="auto"/>
        </w:rPr>
        <w:t>The Audit Committee is responsible for reviewing all financial statements prior to approval by the Board, all other disclosures containing financial information and all management reports which accompany any financial statements. The Audit Committee is also responsible for all internal and external audit plans, any recommendation affecting the Company's internal controls, the results of internal and external audits and any changes in accounting practices or policies. The Audit Committee reviews any accruals, provisions, estimates or related party transactions that have a significant impact on the Company's financial statements and any litigation, claim or other contingency that could have a material effect upon the Company's financial statements. In addition, the Audit Committee is responsible for assessing management's programs and policies relating to the adequacy and effectiveness of internal controls over the Company's accounting and financial systems. The Audit Committee reviews and discusses with the Chief Executive Officer and Chief Financial Officer the procedures undertaken in connection with their certifications for annual filings in accordance with the requirements of applicable securities regulatory authorities. The Audit Committee is also responsible for recommending to the Board the external auditor to be nominated for shareholder approval who will be responsible for preparing audited financial statements and completing other audit, review or attest services. The Audit Committee also recommends to the Board the compensation to be paid to the external auditor and directly oversees its work. The Company's external auditor reports directly to the Audit Committee. The Audit Committee reports directly to the Board of Directors.</w:t>
      </w:r>
    </w:p>
    <w:p>
      <w:pPr>
        <w:spacing w:after="0" w:line="178" w:lineRule="exact"/>
        <w:rPr>
          <w:sz w:val="20"/>
          <w:szCs w:val="20"/>
          <w:color w:val="auto"/>
        </w:rPr>
      </w:pPr>
    </w:p>
    <w:p>
      <w:pPr>
        <w:jc w:val="both"/>
        <w:ind w:firstLine="456"/>
        <w:spacing w:after="0" w:line="268" w:lineRule="auto"/>
        <w:rPr>
          <w:sz w:val="20"/>
          <w:szCs w:val="20"/>
          <w:color w:val="auto"/>
        </w:rPr>
      </w:pPr>
      <w:r>
        <w:rPr>
          <w:rFonts w:ascii="Arial" w:cs="Arial" w:eastAsia="Arial" w:hAnsi="Arial"/>
          <w:sz w:val="18"/>
          <w:szCs w:val="18"/>
          <w:color w:val="auto"/>
        </w:rPr>
        <w:t>The Audit Committee is entitled to retain (at the Company's expense) and determine the compensation of any independent counsel, accountants or other advisors to assist the Audit Committee in its oversight responsibilities.</w:t>
      </w:r>
    </w:p>
    <w:p>
      <w:pPr>
        <w:spacing w:after="0" w:line="186" w:lineRule="exact"/>
        <w:rPr>
          <w:sz w:val="20"/>
          <w:szCs w:val="20"/>
          <w:color w:val="auto"/>
        </w:rPr>
      </w:pPr>
    </w:p>
    <w:p>
      <w:pPr>
        <w:jc w:val="both"/>
        <w:ind w:firstLine="382"/>
        <w:spacing w:after="0" w:line="291" w:lineRule="auto"/>
        <w:rPr>
          <w:sz w:val="20"/>
          <w:szCs w:val="20"/>
          <w:color w:val="auto"/>
        </w:rPr>
      </w:pPr>
      <w:r>
        <w:rPr>
          <w:rFonts w:ascii="Arial" w:cs="Arial" w:eastAsia="Arial" w:hAnsi="Arial"/>
          <w:sz w:val="16"/>
          <w:szCs w:val="16"/>
          <w:color w:val="auto"/>
        </w:rPr>
        <w:t>The Audit Committee is composed entirely of outside directors who are unrelated to and independent from the Company (currently, Mr. Leiderman (Chair), Dr. Baker, Mr. Kraft, Mr. Nasso and Mr. Roberts), each of whom is financially literate, as the term is used in the CSA's Multilateral Instrument 52-110 — Audit Committees. In addition, Mr. Leiderman and Mr. Kraft are Chartered Accountants; Mr. Leiderman is currently active in private practice and Mr. Kraft while retired, remains active in the profession and, as such, qualify as audit committee financial experts, as the term is used in SOX. The education and experience of each member of the Audit Committee is set out under "Section 2: Business of the Meeting — Election of Directors". Fees paid to the Company's auditors, Ernst &amp; Young LLP, are set out under "Section 2: Business of the Meeting — Appointment of Auditors". The Audit Committee met five times in 2009.</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Compensation Committee</w:t>
      </w:r>
    </w:p>
    <w:p>
      <w:pPr>
        <w:spacing w:after="0" w:line="225"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Compensation Committee is responsible for, among other things:</w:t>
      </w:r>
    </w:p>
    <w:p>
      <w:pPr>
        <w:spacing w:after="0" w:line="239" w:lineRule="exact"/>
        <w:rPr>
          <w:sz w:val="20"/>
          <w:szCs w:val="20"/>
          <w:color w:val="auto"/>
        </w:rPr>
      </w:pPr>
    </w:p>
    <w:p>
      <w:pPr>
        <w:ind w:left="1080" w:hanging="532"/>
        <w:spacing w:after="0"/>
        <w:tabs>
          <w:tab w:leader="none" w:pos="1080" w:val="left"/>
        </w:tabs>
        <w:numPr>
          <w:ilvl w:val="0"/>
          <w:numId w:val="60"/>
        </w:numPr>
        <w:rPr>
          <w:rFonts w:ascii="Arial" w:cs="Arial" w:eastAsia="Arial" w:hAnsi="Arial"/>
          <w:sz w:val="18"/>
          <w:szCs w:val="18"/>
          <w:color w:val="auto"/>
        </w:rPr>
      </w:pPr>
      <w:r>
        <w:rPr>
          <w:rFonts w:ascii="Arial" w:cs="Arial" w:eastAsia="Arial" w:hAnsi="Arial"/>
          <w:sz w:val="18"/>
          <w:szCs w:val="18"/>
          <w:color w:val="auto"/>
        </w:rPr>
        <w:t>recommending to the Board policies relating to compensation of the Company's executive officers;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0"/>
        </w:numPr>
        <w:rPr>
          <w:rFonts w:ascii="Arial" w:cs="Arial" w:eastAsia="Arial" w:hAnsi="Arial"/>
          <w:sz w:val="18"/>
          <w:szCs w:val="18"/>
          <w:color w:val="auto"/>
        </w:rPr>
      </w:pPr>
      <w:r>
        <w:rPr>
          <w:rFonts w:ascii="Arial" w:cs="Arial" w:eastAsia="Arial" w:hAnsi="Arial"/>
          <w:sz w:val="18"/>
          <w:szCs w:val="18"/>
          <w:color w:val="auto"/>
        </w:rPr>
        <w:t>recommending to the Board the amount and composition of annual compensation to be paid to the Company's executive officers;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0"/>
        </w:numPr>
        <w:rPr>
          <w:rFonts w:ascii="Arial" w:cs="Arial" w:eastAsia="Arial" w:hAnsi="Arial"/>
          <w:sz w:val="18"/>
          <w:szCs w:val="18"/>
          <w:color w:val="auto"/>
        </w:rPr>
      </w:pPr>
      <w:r>
        <w:rPr>
          <w:rFonts w:ascii="Arial" w:cs="Arial" w:eastAsia="Arial" w:hAnsi="Arial"/>
          <w:sz w:val="18"/>
          <w:szCs w:val="18"/>
          <w:color w:val="auto"/>
        </w:rPr>
        <w:t>matters relating to pension, option and other incentive plans for the benefit of executive officers;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45" w:right="239" w:bottom="1440" w:gutter="0" w:footer="0" w:header="0"/>
        </w:sectPr>
      </w:pPr>
    </w:p>
    <w:bookmarkStart w:id="161" w:name="page162"/>
    <w:bookmarkEnd w:id="161"/>
    <w:p>
      <w:pPr>
        <w:ind w:left="1080" w:hanging="532"/>
        <w:spacing w:after="0"/>
        <w:tabs>
          <w:tab w:leader="none" w:pos="10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administering the Stock Option Plan;</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1"/>
        </w:numPr>
        <w:rPr>
          <w:rFonts w:ascii="Arial" w:cs="Arial" w:eastAsia="Arial" w:hAnsi="Arial"/>
          <w:sz w:val="16"/>
          <w:szCs w:val="16"/>
          <w:color w:val="auto"/>
        </w:rPr>
      </w:pPr>
      <w:r>
        <w:rPr>
          <w:rFonts w:ascii="Arial" w:cs="Arial" w:eastAsia="Arial" w:hAnsi="Arial"/>
          <w:sz w:val="16"/>
          <w:szCs w:val="16"/>
          <w:color w:val="auto"/>
        </w:rPr>
        <w:t>reviewing and fixing the amount and composition of annual compensation to be paid to members of the Board and committees; and</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reviewing and assessing the design and competitiveness of the Company's compensation and benefits programs generally.</w:t>
      </w:r>
    </w:p>
    <w:p>
      <w:pPr>
        <w:spacing w:after="0" w:line="225" w:lineRule="exact"/>
        <w:rPr>
          <w:sz w:val="20"/>
          <w:szCs w:val="20"/>
          <w:color w:val="auto"/>
        </w:rPr>
      </w:pPr>
    </w:p>
    <w:p>
      <w:pPr>
        <w:ind w:right="20" w:firstLine="406"/>
        <w:spacing w:after="0" w:line="268" w:lineRule="auto"/>
        <w:rPr>
          <w:sz w:val="20"/>
          <w:szCs w:val="20"/>
          <w:color w:val="auto"/>
        </w:rPr>
      </w:pPr>
      <w:r>
        <w:rPr>
          <w:rFonts w:ascii="Arial" w:cs="Arial" w:eastAsia="Arial" w:hAnsi="Arial"/>
          <w:sz w:val="18"/>
          <w:szCs w:val="18"/>
          <w:color w:val="auto"/>
        </w:rPr>
        <w:t>The Compensation Committee reports directly to the Board. The charter of the Compensation Committee provides that each member of the Compensation Committee must be unrelated and independent.</w:t>
      </w:r>
    </w:p>
    <w:p>
      <w:pPr>
        <w:spacing w:after="0" w:line="186" w:lineRule="exact"/>
        <w:rPr>
          <w:sz w:val="20"/>
          <w:szCs w:val="20"/>
          <w:color w:val="auto"/>
        </w:rPr>
      </w:pPr>
    </w:p>
    <w:p>
      <w:pPr>
        <w:ind w:firstLine="479"/>
        <w:spacing w:after="0" w:line="332" w:lineRule="auto"/>
        <w:rPr>
          <w:sz w:val="20"/>
          <w:szCs w:val="20"/>
          <w:color w:val="auto"/>
        </w:rPr>
      </w:pPr>
      <w:r>
        <w:rPr>
          <w:rFonts w:ascii="Arial" w:cs="Arial" w:eastAsia="Arial" w:hAnsi="Arial"/>
          <w:sz w:val="16"/>
          <w:szCs w:val="16"/>
          <w:color w:val="auto"/>
        </w:rPr>
        <w:t>The Compensation Committee is composed entirely of outside directors who are unrelated to and independent from the Company (currently, Dr. Baker (Chair), Mr. Beaumont, Mr. Davis, Mr. Leiderman and Mr. Stockford). The Compensation Committee met five times in 2009.</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Corporate Governance Committee</w:t>
      </w:r>
    </w:p>
    <w:p>
      <w:pPr>
        <w:spacing w:after="0" w:line="225"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Corporate Governance Committee is responsible for, among other things:</w:t>
      </w:r>
    </w:p>
    <w:p>
      <w:pPr>
        <w:spacing w:after="0" w:line="239" w:lineRule="exact"/>
        <w:rPr>
          <w:sz w:val="20"/>
          <w:szCs w:val="20"/>
          <w:color w:val="auto"/>
        </w:rPr>
      </w:pPr>
    </w:p>
    <w:p>
      <w:pPr>
        <w:ind w:left="1080" w:hanging="532"/>
        <w:spacing w:after="0"/>
        <w:tabs>
          <w:tab w:leader="none" w:pos="1080" w:val="left"/>
        </w:tabs>
        <w:numPr>
          <w:ilvl w:val="0"/>
          <w:numId w:val="62"/>
        </w:numPr>
        <w:rPr>
          <w:rFonts w:ascii="Arial" w:cs="Arial" w:eastAsia="Arial" w:hAnsi="Arial"/>
          <w:sz w:val="18"/>
          <w:szCs w:val="18"/>
          <w:color w:val="auto"/>
        </w:rPr>
      </w:pPr>
      <w:r>
        <w:rPr>
          <w:rFonts w:ascii="Arial" w:cs="Arial" w:eastAsia="Arial" w:hAnsi="Arial"/>
          <w:sz w:val="18"/>
          <w:szCs w:val="18"/>
          <w:color w:val="auto"/>
        </w:rPr>
        <w:t>evaluating the Company's governance practices;</w:t>
      </w:r>
    </w:p>
    <w:p>
      <w:pPr>
        <w:spacing w:after="0" w:line="25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62"/>
        </w:numPr>
        <w:rPr>
          <w:rFonts w:ascii="Arial" w:cs="Arial" w:eastAsia="Arial" w:hAnsi="Arial"/>
          <w:sz w:val="18"/>
          <w:szCs w:val="18"/>
          <w:color w:val="auto"/>
        </w:rPr>
      </w:pPr>
      <w:r>
        <w:rPr>
          <w:rFonts w:ascii="Arial" w:cs="Arial" w:eastAsia="Arial" w:hAnsi="Arial"/>
          <w:sz w:val="18"/>
          <w:szCs w:val="18"/>
          <w:color w:val="auto"/>
        </w:rPr>
        <w:t>developing its response to the Company's Statement of Corporate Governance and recommending changes to the Company's governance structures or processes as it may from time to time consider necessary or desirable;</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62"/>
        </w:numPr>
        <w:rPr>
          <w:rFonts w:ascii="Arial" w:cs="Arial" w:eastAsia="Arial" w:hAnsi="Arial"/>
          <w:sz w:val="18"/>
          <w:szCs w:val="18"/>
          <w:color w:val="auto"/>
        </w:rPr>
      </w:pPr>
      <w:r>
        <w:rPr>
          <w:rFonts w:ascii="Arial" w:cs="Arial" w:eastAsia="Arial" w:hAnsi="Arial"/>
          <w:sz w:val="18"/>
          <w:szCs w:val="18"/>
          <w:color w:val="auto"/>
        </w:rPr>
        <w:t>reviewing on an annual basis the charters of the Board and of each committee of the Board and recommending any changes;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2"/>
        </w:numPr>
        <w:rPr>
          <w:rFonts w:ascii="Arial" w:cs="Arial" w:eastAsia="Arial" w:hAnsi="Arial"/>
          <w:sz w:val="18"/>
          <w:szCs w:val="18"/>
          <w:color w:val="auto"/>
        </w:rPr>
      </w:pPr>
      <w:r>
        <w:rPr>
          <w:rFonts w:ascii="Arial" w:cs="Arial" w:eastAsia="Arial" w:hAnsi="Arial"/>
          <w:sz w:val="18"/>
          <w:szCs w:val="18"/>
          <w:color w:val="auto"/>
        </w:rPr>
        <w:t>assessing annually the effectiveness of the Board as a whole and recommending any changes;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2"/>
        </w:numPr>
        <w:rPr>
          <w:rFonts w:ascii="Arial" w:cs="Arial" w:eastAsia="Arial" w:hAnsi="Arial"/>
          <w:sz w:val="16"/>
          <w:szCs w:val="16"/>
          <w:color w:val="auto"/>
        </w:rPr>
      </w:pPr>
      <w:r>
        <w:rPr>
          <w:rFonts w:ascii="Arial" w:cs="Arial" w:eastAsia="Arial" w:hAnsi="Arial"/>
          <w:sz w:val="16"/>
          <w:szCs w:val="16"/>
          <w:color w:val="auto"/>
        </w:rPr>
        <w:t>reviewing on a periodic basis the composition of the Board to ensure that there remain an appropriate number of independent directors; and</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62"/>
        </w:numPr>
        <w:rPr>
          <w:rFonts w:ascii="Arial" w:cs="Arial" w:eastAsia="Arial" w:hAnsi="Arial"/>
          <w:sz w:val="18"/>
          <w:szCs w:val="18"/>
          <w:color w:val="auto"/>
        </w:rPr>
      </w:pPr>
      <w:r>
        <w:rPr>
          <w:rFonts w:ascii="Arial" w:cs="Arial" w:eastAsia="Arial" w:hAnsi="Arial"/>
          <w:sz w:val="18"/>
          <w:szCs w:val="18"/>
          <w:color w:val="auto"/>
        </w:rPr>
        <w:t>participating in the recruitment and recommendation of new nominees for appointment or election to the Board.</w:t>
      </w:r>
    </w:p>
    <w:p>
      <w:pPr>
        <w:spacing w:after="0" w:line="225" w:lineRule="exact"/>
        <w:rPr>
          <w:sz w:val="20"/>
          <w:szCs w:val="20"/>
          <w:color w:val="auto"/>
        </w:rPr>
      </w:pPr>
    </w:p>
    <w:p>
      <w:pPr>
        <w:jc w:val="both"/>
        <w:ind w:firstLine="429"/>
        <w:spacing w:after="0" w:line="259" w:lineRule="auto"/>
        <w:rPr>
          <w:sz w:val="20"/>
          <w:szCs w:val="20"/>
          <w:color w:val="auto"/>
        </w:rPr>
      </w:pPr>
      <w:r>
        <w:rPr>
          <w:rFonts w:ascii="Arial" w:cs="Arial" w:eastAsia="Arial" w:hAnsi="Arial"/>
          <w:sz w:val="18"/>
          <w:szCs w:val="18"/>
          <w:color w:val="auto"/>
        </w:rPr>
        <w:t>The Corporate Governance Committee also provides a forum for a discussion of matters not readily discussed in a full Board meeting. The charter of the Corporate Governance Committee provides that each member of the Corporate Governance Committee must be independent, as such term is defined in the CSA rules.</w:t>
      </w:r>
    </w:p>
    <w:p>
      <w:pPr>
        <w:spacing w:after="0" w:line="194" w:lineRule="exact"/>
        <w:rPr>
          <w:sz w:val="20"/>
          <w:szCs w:val="20"/>
          <w:color w:val="auto"/>
        </w:rPr>
      </w:pPr>
    </w:p>
    <w:p>
      <w:pPr>
        <w:jc w:val="both"/>
        <w:ind w:firstLine="528"/>
        <w:spacing w:after="0" w:line="332" w:lineRule="auto"/>
        <w:rPr>
          <w:sz w:val="20"/>
          <w:szCs w:val="20"/>
          <w:color w:val="auto"/>
        </w:rPr>
      </w:pPr>
      <w:r>
        <w:rPr>
          <w:rFonts w:ascii="Arial" w:cs="Arial" w:eastAsia="Arial" w:hAnsi="Arial"/>
          <w:sz w:val="16"/>
          <w:szCs w:val="16"/>
          <w:color w:val="auto"/>
        </w:rPr>
        <w:t>The Corporate Governance Committee is composed entirely of outside directors who are unrelated to and independent from the Company (currently, Mr. Beaumont (Chair), Mr. Kraft, Mr. Nasso, Mr. Roberts and Mr. Voutilainen). The Corporate Governance Committee met four times in 2009.</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Health, Safety and Environment Committee</w:t>
      </w:r>
    </w:p>
    <w:p>
      <w:pPr>
        <w:spacing w:after="0" w:line="225"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Health, Safety and Environment Committee is responsible for, among other things:</w:t>
      </w:r>
    </w:p>
    <w:p>
      <w:pPr>
        <w:spacing w:after="0" w:line="239" w:lineRule="exact"/>
        <w:rPr>
          <w:sz w:val="20"/>
          <w:szCs w:val="20"/>
          <w:color w:val="auto"/>
        </w:rPr>
      </w:pPr>
    </w:p>
    <w:p>
      <w:pPr>
        <w:ind w:left="1080" w:hanging="532"/>
        <w:spacing w:after="0"/>
        <w:tabs>
          <w:tab w:leader="none" w:pos="10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monitoring and reviewing health, safety and environmental policies, principles, practices and processes;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overseeing health, safety and environmental performance;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monitoring and reviewing current and future regulatory issues relating to health, safety and the environment.</w:t>
      </w:r>
    </w:p>
    <w:p>
      <w:pPr>
        <w:spacing w:after="0" w:line="225" w:lineRule="exact"/>
        <w:rPr>
          <w:sz w:val="20"/>
          <w:szCs w:val="20"/>
          <w:color w:val="auto"/>
        </w:rPr>
      </w:pPr>
    </w:p>
    <w:p>
      <w:pPr>
        <w:jc w:val="both"/>
        <w:ind w:firstLine="421"/>
        <w:spacing w:after="0" w:line="259" w:lineRule="auto"/>
        <w:rPr>
          <w:sz w:val="20"/>
          <w:szCs w:val="20"/>
          <w:color w:val="auto"/>
        </w:rPr>
      </w:pPr>
      <w:r>
        <w:rPr>
          <w:rFonts w:ascii="Arial" w:cs="Arial" w:eastAsia="Arial" w:hAnsi="Arial"/>
          <w:sz w:val="18"/>
          <w:szCs w:val="18"/>
          <w:color w:val="auto"/>
        </w:rPr>
        <w:t>The Health, Safety and Environment Committee reports directly to the Board and provides a forum to review health, safety and environmental issues in a more thorough and detailed manner than could be adopted by the full Board. The Health, Safety and Environment Committee charter provides that a majority of the members of the Committee be unrelated and independent.</w:t>
      </w:r>
    </w:p>
    <w:p>
      <w:pPr>
        <w:spacing w:after="0" w:line="194" w:lineRule="exact"/>
        <w:rPr>
          <w:sz w:val="20"/>
          <w:szCs w:val="20"/>
          <w:color w:val="auto"/>
        </w:rPr>
      </w:pPr>
    </w:p>
    <w:p>
      <w:pPr>
        <w:jc w:val="both"/>
        <w:ind w:right="20" w:firstLine="400"/>
        <w:spacing w:after="0" w:line="268" w:lineRule="auto"/>
        <w:rPr>
          <w:sz w:val="20"/>
          <w:szCs w:val="20"/>
          <w:color w:val="auto"/>
        </w:rPr>
      </w:pPr>
      <w:r>
        <w:rPr>
          <w:rFonts w:ascii="Arial" w:cs="Arial" w:eastAsia="Arial" w:hAnsi="Arial"/>
          <w:sz w:val="18"/>
          <w:szCs w:val="18"/>
          <w:color w:val="auto"/>
        </w:rPr>
        <w:t>The Health, Safety and Environment Committee is comprised of four outside directors who are unrelated to and independent from the Company (currently Mr. Stockford (Chair), Mr. Davis, Mr. Nasso and</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45" w:right="239" w:bottom="1440" w:gutter="0" w:footer="0" w:header="0"/>
        </w:sectPr>
      </w:pPr>
    </w:p>
    <w:bookmarkStart w:id="162" w:name="page163"/>
    <w:bookmarkEnd w:id="162"/>
    <w:p>
      <w:pPr>
        <w:jc w:val="both"/>
        <w:spacing w:after="0" w:line="268" w:lineRule="auto"/>
        <w:rPr>
          <w:sz w:val="20"/>
          <w:szCs w:val="20"/>
          <w:color w:val="auto"/>
        </w:rPr>
      </w:pPr>
      <w:r>
        <w:rPr>
          <w:rFonts w:ascii="Arial" w:cs="Arial" w:eastAsia="Arial" w:hAnsi="Arial"/>
          <w:sz w:val="18"/>
          <w:szCs w:val="18"/>
          <w:color w:val="auto"/>
        </w:rPr>
        <w:t>Mr. Voutilainen) and one non-independent director (Mr. Scherkus, President and Chief Operating Officer of the Company). The Health, Safety and Environment Committee met four times in 2009.</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Assessment of Directors</w:t>
      </w:r>
    </w:p>
    <w:p>
      <w:pPr>
        <w:spacing w:after="0" w:line="225" w:lineRule="exact"/>
        <w:rPr>
          <w:sz w:val="20"/>
          <w:szCs w:val="20"/>
          <w:color w:val="auto"/>
        </w:rPr>
      </w:pPr>
    </w:p>
    <w:p>
      <w:pPr>
        <w:jc w:val="both"/>
        <w:ind w:firstLine="388"/>
        <w:spacing w:after="0" w:line="259" w:lineRule="auto"/>
        <w:rPr>
          <w:sz w:val="20"/>
          <w:szCs w:val="20"/>
          <w:color w:val="auto"/>
        </w:rPr>
      </w:pPr>
      <w:r>
        <w:rPr>
          <w:rFonts w:ascii="Arial" w:cs="Arial" w:eastAsia="Arial" w:hAnsi="Arial"/>
          <w:sz w:val="18"/>
          <w:szCs w:val="18"/>
          <w:color w:val="auto"/>
        </w:rPr>
        <w:t>The Company's Corporate Governance Committee (see description of the Corporate Governance Committee above) is responsible for the assessment of the effectiveness of the Board as a whole and participates in the recruitment and recommendation of new nominees for appointment or election to the Board of Directors.</w:t>
      </w:r>
    </w:p>
    <w:p>
      <w:pPr>
        <w:spacing w:after="0" w:line="194" w:lineRule="exact"/>
        <w:rPr>
          <w:sz w:val="20"/>
          <w:szCs w:val="20"/>
          <w:color w:val="auto"/>
        </w:rPr>
      </w:pPr>
    </w:p>
    <w:p>
      <w:pPr>
        <w:jc w:val="both"/>
        <w:ind w:firstLine="397"/>
        <w:spacing w:after="0" w:line="298" w:lineRule="auto"/>
        <w:rPr>
          <w:sz w:val="20"/>
          <w:szCs w:val="20"/>
          <w:color w:val="auto"/>
        </w:rPr>
      </w:pPr>
      <w:r>
        <w:rPr>
          <w:rFonts w:ascii="Arial" w:cs="Arial" w:eastAsia="Arial" w:hAnsi="Arial"/>
          <w:sz w:val="16"/>
          <w:szCs w:val="16"/>
          <w:color w:val="auto"/>
        </w:rPr>
        <w:t>Each of the directors completes a detailed annual assessment questionnaire on the Board and Board Committees. The assessment addresses performance of the Board, each Board committee and individual directors, including through a peer to peer evaluation. A broad range of topics is covered such as Board and Board committee structure and composition, succession planning, risk management, director competencies and Board processes and effectiveness. The assessments help identify opportunities for continuing Board and director development and also forms the basis of continuing Board participation.</w:t>
      </w:r>
    </w:p>
    <w:p>
      <w:pPr>
        <w:spacing w:after="0" w:line="37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Employees</w:t>
      </w:r>
    </w:p>
    <w:p>
      <w:pPr>
        <w:spacing w:after="0" w:line="231" w:lineRule="exact"/>
        <w:rPr>
          <w:sz w:val="20"/>
          <w:szCs w:val="20"/>
          <w:color w:val="auto"/>
        </w:rPr>
      </w:pPr>
    </w:p>
    <w:p>
      <w:pPr>
        <w:jc w:val="both"/>
        <w:ind w:right="20" w:firstLine="450"/>
        <w:spacing w:after="0" w:line="298" w:lineRule="auto"/>
        <w:rPr>
          <w:sz w:val="20"/>
          <w:szCs w:val="20"/>
          <w:color w:val="auto"/>
        </w:rPr>
      </w:pPr>
      <w:r>
        <w:rPr>
          <w:rFonts w:ascii="Arial" w:cs="Arial" w:eastAsia="Arial" w:hAnsi="Arial"/>
          <w:sz w:val="16"/>
          <w:szCs w:val="16"/>
          <w:color w:val="auto"/>
        </w:rPr>
        <w:t>As of December 31, 2009, the Company had 4,578 employees comprised of 2,781 permanent employees and 1,797 contractors of which 702 permanent employees were employed at LaRonde, 231 at Goldex, 133 at Lapa, 728 at Pinos Altos, 316 at Kittila, 19 in the Exploration group worldwide, 425 for the Meadowbank Mine with 412 at Baker Lake, 9 in Vancouver and 4 in Quebec, 139 at the regional technical office in Abitibi and 88 in Toronto. The number of permanent employees of the Company at the end of 2009, 2008 and 2007 was 2,781, 1,917 and 1,303, respectively.</w:t>
      </w:r>
    </w:p>
    <w:p>
      <w:pPr>
        <w:spacing w:after="0" w:line="37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Share Ownership</w:t>
      </w:r>
    </w:p>
    <w:p>
      <w:pPr>
        <w:spacing w:after="0" w:line="231" w:lineRule="exact"/>
        <w:rPr>
          <w:sz w:val="20"/>
          <w:szCs w:val="20"/>
          <w:color w:val="auto"/>
        </w:rPr>
      </w:pPr>
    </w:p>
    <w:p>
      <w:pPr>
        <w:jc w:val="both"/>
        <w:ind w:firstLine="376"/>
        <w:spacing w:after="0" w:line="306" w:lineRule="auto"/>
        <w:rPr>
          <w:sz w:val="20"/>
          <w:szCs w:val="20"/>
          <w:color w:val="auto"/>
        </w:rPr>
      </w:pPr>
      <w:r>
        <w:rPr>
          <w:rFonts w:ascii="Arial" w:cs="Arial" w:eastAsia="Arial" w:hAnsi="Arial"/>
          <w:sz w:val="16"/>
          <w:szCs w:val="16"/>
          <w:color w:val="auto"/>
        </w:rPr>
        <w:t>As of March 22, 2010, the Named Executive Officers and directors as a group (14 persons) beneficially owned or controlled (excluding options to purchase 2,879,605 common shares, of which 1,686,845 are currently exercisable and 1,192,760 are currently unexercisable) an aggregate of 278,897 common shares or about 0.178% of the 156,714,381 issued and outstanding common shares. See also "— Compensation of Executive Officers".</w:t>
      </w:r>
    </w:p>
    <w:p>
      <w:pPr>
        <w:spacing w:after="0" w:line="37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Security Ownership of Directors and Executive Officers</w:t>
      </w:r>
    </w:p>
    <w:p>
      <w:pPr>
        <w:spacing w:after="0" w:line="231" w:lineRule="exact"/>
        <w:rPr>
          <w:sz w:val="20"/>
          <w:szCs w:val="20"/>
          <w:color w:val="auto"/>
        </w:rPr>
      </w:pPr>
    </w:p>
    <w:p>
      <w:pPr>
        <w:jc w:val="both"/>
        <w:ind w:firstLine="482"/>
        <w:spacing w:after="0" w:line="259" w:lineRule="auto"/>
        <w:rPr>
          <w:sz w:val="20"/>
          <w:szCs w:val="20"/>
          <w:color w:val="auto"/>
        </w:rPr>
      </w:pPr>
      <w:r>
        <w:rPr>
          <w:rFonts w:ascii="Arial" w:cs="Arial" w:eastAsia="Arial" w:hAnsi="Arial"/>
          <w:sz w:val="18"/>
          <w:szCs w:val="18"/>
          <w:color w:val="auto"/>
        </w:rPr>
        <w:t>The following table sets forth certain information concerning the direct and beneficial ownership by each director and Named Executive Officer of the Company of common shares of the Company and options to purchase common shares of the Company. Unless otherwise noted, exercise prices are in Canadian dollars.</w:t>
      </w:r>
    </w:p>
    <w:p>
      <w:pPr>
        <w:spacing w:after="0" w:line="177"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160" w:type="dxa"/>
            <w:vAlign w:val="bottom"/>
          </w:tcPr>
          <w:p>
            <w:pPr>
              <w:spacing w:after="0"/>
              <w:rPr>
                <w:sz w:val="14"/>
                <w:szCs w:val="14"/>
                <w:color w:val="auto"/>
              </w:rPr>
            </w:pPr>
          </w:p>
        </w:tc>
        <w:tc>
          <w:tcPr>
            <w:tcW w:w="1080" w:type="dxa"/>
            <w:vAlign w:val="bottom"/>
          </w:tcPr>
          <w:p>
            <w:pPr>
              <w:spacing w:after="0"/>
              <w:rPr>
                <w:sz w:val="14"/>
                <w:szCs w:val="14"/>
                <w:color w:val="auto"/>
              </w:rPr>
            </w:pPr>
          </w:p>
        </w:tc>
        <w:tc>
          <w:tcPr>
            <w:tcW w:w="1800" w:type="dxa"/>
            <w:vAlign w:val="bottom"/>
          </w:tcPr>
          <w:p>
            <w:pPr>
              <w:spacing w:after="0"/>
              <w:rPr>
                <w:sz w:val="14"/>
                <w:szCs w:val="14"/>
                <w:color w:val="auto"/>
              </w:rPr>
            </w:pPr>
          </w:p>
        </w:tc>
        <w:tc>
          <w:tcPr>
            <w:tcW w:w="9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40" w:type="dxa"/>
            <w:vAlign w:val="bottom"/>
          </w:tcPr>
          <w:p>
            <w:pPr>
              <w:jc w:val="center"/>
              <w:spacing w:after="0"/>
              <w:rPr>
                <w:sz w:val="20"/>
                <w:szCs w:val="20"/>
                <w:color w:val="auto"/>
              </w:rPr>
            </w:pPr>
            <w:r>
              <w:rPr>
                <w:rFonts w:ascii="Arial" w:cs="Arial" w:eastAsia="Arial" w:hAnsi="Arial"/>
                <w:sz w:val="14"/>
                <w:szCs w:val="14"/>
                <w:b w:val="1"/>
                <w:bCs w:val="1"/>
                <w:color w:val="auto"/>
                <w:w w:val="83"/>
              </w:rPr>
              <w:t>Total</w:t>
            </w:r>
          </w:p>
        </w:tc>
        <w:tc>
          <w:tcPr>
            <w:tcW w:w="160" w:type="dxa"/>
            <w:vAlign w:val="bottom"/>
          </w:tcPr>
          <w:p>
            <w:pPr>
              <w:spacing w:after="0"/>
              <w:rPr>
                <w:sz w:val="14"/>
                <w:szCs w:val="14"/>
                <w:color w:val="auto"/>
              </w:rPr>
            </w:pPr>
          </w:p>
        </w:tc>
        <w:tc>
          <w:tcPr>
            <w:tcW w:w="9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1"/>
        </w:trPr>
        <w:tc>
          <w:tcPr>
            <w:tcW w:w="1160" w:type="dxa"/>
            <w:vAlign w:val="bottom"/>
          </w:tcPr>
          <w:p>
            <w:pPr>
              <w:spacing w:after="0"/>
              <w:rPr>
                <w:sz w:val="14"/>
                <w:szCs w:val="14"/>
                <w:color w:val="auto"/>
              </w:rPr>
            </w:pPr>
          </w:p>
        </w:tc>
        <w:tc>
          <w:tcPr>
            <w:tcW w:w="1080" w:type="dxa"/>
            <w:vAlign w:val="bottom"/>
          </w:tcPr>
          <w:p>
            <w:pPr>
              <w:spacing w:after="0"/>
              <w:rPr>
                <w:sz w:val="14"/>
                <w:szCs w:val="14"/>
                <w:color w:val="auto"/>
              </w:rPr>
            </w:pPr>
          </w:p>
        </w:tc>
        <w:tc>
          <w:tcPr>
            <w:tcW w:w="1800" w:type="dxa"/>
            <w:vAlign w:val="bottom"/>
          </w:tcPr>
          <w:p>
            <w:pPr>
              <w:spacing w:after="0"/>
              <w:rPr>
                <w:sz w:val="14"/>
                <w:szCs w:val="14"/>
                <w:color w:val="auto"/>
              </w:rPr>
            </w:pPr>
          </w:p>
        </w:tc>
        <w:tc>
          <w:tcPr>
            <w:tcW w:w="9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40" w:type="dxa"/>
            <w:vAlign w:val="bottom"/>
          </w:tcPr>
          <w:p>
            <w:pPr>
              <w:jc w:val="center"/>
              <w:spacing w:after="0"/>
              <w:rPr>
                <w:sz w:val="20"/>
                <w:szCs w:val="20"/>
                <w:color w:val="auto"/>
              </w:rPr>
            </w:pPr>
            <w:r>
              <w:rPr>
                <w:rFonts w:ascii="Arial" w:cs="Arial" w:eastAsia="Arial" w:hAnsi="Arial"/>
                <w:sz w:val="14"/>
                <w:szCs w:val="14"/>
                <w:b w:val="1"/>
                <w:bCs w:val="1"/>
                <w:color w:val="auto"/>
                <w:w w:val="85"/>
              </w:rPr>
              <w:t>Common</w:t>
            </w:r>
          </w:p>
        </w:tc>
        <w:tc>
          <w:tcPr>
            <w:tcW w:w="160" w:type="dxa"/>
            <w:vAlign w:val="bottom"/>
          </w:tcPr>
          <w:p>
            <w:pPr>
              <w:spacing w:after="0"/>
              <w:rPr>
                <w:sz w:val="14"/>
                <w:szCs w:val="14"/>
                <w:color w:val="auto"/>
              </w:rPr>
            </w:pPr>
          </w:p>
        </w:tc>
        <w:tc>
          <w:tcPr>
            <w:tcW w:w="940" w:type="dxa"/>
            <w:vAlign w:val="bottom"/>
          </w:tcPr>
          <w:p>
            <w:pPr>
              <w:jc w:val="center"/>
              <w:spacing w:after="0"/>
              <w:rPr>
                <w:sz w:val="20"/>
                <w:szCs w:val="20"/>
                <w:color w:val="auto"/>
              </w:rPr>
            </w:pPr>
            <w:r>
              <w:rPr>
                <w:rFonts w:ascii="Arial" w:cs="Arial" w:eastAsia="Arial" w:hAnsi="Arial"/>
                <w:sz w:val="14"/>
                <w:szCs w:val="14"/>
                <w:b w:val="1"/>
                <w:bCs w:val="1"/>
                <w:color w:val="auto"/>
                <w:w w:val="88"/>
              </w:rPr>
              <w:t>Common</w:t>
            </w:r>
          </w:p>
        </w:tc>
        <w:tc>
          <w:tcPr>
            <w:tcW w:w="16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1300" w:type="dxa"/>
            <w:vAlign w:val="bottom"/>
          </w:tcPr>
          <w:p>
            <w:pPr>
              <w:jc w:val="center"/>
              <w:ind w:right="276"/>
              <w:spacing w:after="0"/>
              <w:rPr>
                <w:sz w:val="20"/>
                <w:szCs w:val="20"/>
                <w:color w:val="auto"/>
              </w:rPr>
            </w:pPr>
            <w:r>
              <w:rPr>
                <w:rFonts w:ascii="Arial" w:cs="Arial" w:eastAsia="Arial" w:hAnsi="Arial"/>
                <w:sz w:val="14"/>
                <w:szCs w:val="14"/>
                <w:b w:val="1"/>
                <w:bCs w:val="1"/>
                <w:color w:val="auto"/>
                <w:w w:val="85"/>
              </w:rPr>
              <w:t>Exercise Price</w:t>
            </w:r>
          </w:p>
        </w:tc>
        <w:tc>
          <w:tcPr>
            <w:tcW w:w="16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1080" w:type="dxa"/>
            <w:vAlign w:val="bottom"/>
          </w:tcPr>
          <w:p>
            <w:pPr>
              <w:spacing w:after="0"/>
              <w:rPr>
                <w:sz w:val="12"/>
                <w:szCs w:val="12"/>
                <w:color w:val="auto"/>
              </w:rPr>
            </w:pPr>
          </w:p>
        </w:tc>
        <w:tc>
          <w:tcPr>
            <w:tcW w:w="1800" w:type="dxa"/>
            <w:vAlign w:val="bottom"/>
          </w:tcPr>
          <w:p>
            <w:pPr>
              <w:spacing w:after="0"/>
              <w:rPr>
                <w:sz w:val="12"/>
                <w:szCs w:val="12"/>
                <w:color w:val="auto"/>
              </w:rPr>
            </w:pPr>
          </w:p>
        </w:tc>
        <w:tc>
          <w:tcPr>
            <w:tcW w:w="960" w:type="dxa"/>
            <w:vAlign w:val="bottom"/>
          </w:tcPr>
          <w:p>
            <w:pPr>
              <w:jc w:val="right"/>
              <w:ind w:right="241"/>
              <w:spacing w:after="0" w:line="149" w:lineRule="exact"/>
              <w:rPr>
                <w:sz w:val="20"/>
                <w:szCs w:val="20"/>
                <w:color w:val="auto"/>
              </w:rPr>
            </w:pPr>
            <w:r>
              <w:rPr>
                <w:rFonts w:ascii="Arial" w:cs="Arial" w:eastAsia="Arial" w:hAnsi="Arial"/>
                <w:sz w:val="14"/>
                <w:szCs w:val="14"/>
                <w:b w:val="1"/>
                <w:bCs w:val="1"/>
                <w:color w:val="auto"/>
              </w:rPr>
              <w:t>Share</w:t>
            </w:r>
          </w:p>
        </w:tc>
        <w:tc>
          <w:tcPr>
            <w:tcW w:w="160" w:type="dxa"/>
            <w:vAlign w:val="bottom"/>
          </w:tcPr>
          <w:p>
            <w:pPr>
              <w:spacing w:after="0"/>
              <w:rPr>
                <w:sz w:val="12"/>
                <w:szCs w:val="12"/>
                <w:color w:val="auto"/>
              </w:rPr>
            </w:pPr>
          </w:p>
        </w:tc>
        <w:tc>
          <w:tcPr>
            <w:tcW w:w="94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4"/>
              </w:rPr>
              <w:t>Shares under</w:t>
            </w:r>
          </w:p>
        </w:tc>
        <w:tc>
          <w:tcPr>
            <w:tcW w:w="160" w:type="dxa"/>
            <w:vAlign w:val="bottom"/>
          </w:tcPr>
          <w:p>
            <w:pPr>
              <w:spacing w:after="0"/>
              <w:rPr>
                <w:sz w:val="12"/>
                <w:szCs w:val="12"/>
                <w:color w:val="auto"/>
              </w:rPr>
            </w:pPr>
          </w:p>
        </w:tc>
        <w:tc>
          <w:tcPr>
            <w:tcW w:w="94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7"/>
              </w:rPr>
              <w:t>Shares under</w:t>
            </w:r>
          </w:p>
        </w:tc>
        <w:tc>
          <w:tcPr>
            <w:tcW w:w="16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300" w:type="dxa"/>
            <w:vAlign w:val="bottom"/>
          </w:tcPr>
          <w:p>
            <w:pPr>
              <w:jc w:val="center"/>
              <w:ind w:right="296"/>
              <w:spacing w:after="0" w:line="149" w:lineRule="exact"/>
              <w:rPr>
                <w:sz w:val="20"/>
                <w:szCs w:val="20"/>
                <w:color w:val="auto"/>
              </w:rPr>
            </w:pPr>
            <w:r>
              <w:rPr>
                <w:rFonts w:ascii="Arial" w:cs="Arial" w:eastAsia="Arial" w:hAnsi="Arial"/>
                <w:sz w:val="14"/>
                <w:szCs w:val="14"/>
                <w:b w:val="1"/>
                <w:bCs w:val="1"/>
                <w:color w:val="auto"/>
                <w:w w:val="85"/>
              </w:rPr>
              <w:t>(C$, except</w:t>
            </w:r>
          </w:p>
        </w:tc>
        <w:tc>
          <w:tcPr>
            <w:tcW w:w="16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6"/>
        </w:trPr>
        <w:tc>
          <w:tcPr>
            <w:tcW w:w="4040" w:type="dxa"/>
            <w:vAlign w:val="bottom"/>
            <w:gridSpan w:val="3"/>
          </w:tcPr>
          <w:p>
            <w:pPr>
              <w:ind w:left="1140"/>
              <w:spacing w:after="0"/>
              <w:rPr>
                <w:sz w:val="20"/>
                <w:szCs w:val="20"/>
                <w:color w:val="auto"/>
              </w:rPr>
            </w:pPr>
            <w:r>
              <w:rPr>
                <w:rFonts w:ascii="Arial" w:cs="Arial" w:eastAsia="Arial" w:hAnsi="Arial"/>
                <w:sz w:val="14"/>
                <w:szCs w:val="14"/>
                <w:b w:val="1"/>
                <w:bCs w:val="1"/>
                <w:color w:val="auto"/>
              </w:rPr>
              <w:t>Beneficial Owner</w:t>
            </w:r>
          </w:p>
        </w:tc>
        <w:tc>
          <w:tcPr>
            <w:tcW w:w="960" w:type="dxa"/>
            <w:vAlign w:val="bottom"/>
          </w:tcPr>
          <w:p>
            <w:pPr>
              <w:jc w:val="right"/>
              <w:ind w:right="41"/>
              <w:spacing w:after="0" w:line="176" w:lineRule="exact"/>
              <w:rPr>
                <w:sz w:val="20"/>
                <w:szCs w:val="20"/>
                <w:color w:val="auto"/>
              </w:rPr>
            </w:pPr>
            <w:r>
              <w:rPr>
                <w:rFonts w:ascii="Arial" w:cs="Arial" w:eastAsia="Arial" w:hAnsi="Arial"/>
                <w:sz w:val="13"/>
                <w:szCs w:val="13"/>
                <w:b w:val="1"/>
                <w:bCs w:val="1"/>
                <w:color w:val="auto"/>
                <w:w w:val="98"/>
              </w:rPr>
              <w:t>Ownership</w:t>
            </w:r>
            <w:r>
              <w:rPr>
                <w:rFonts w:ascii="Arial" w:cs="Arial" w:eastAsia="Arial" w:hAnsi="Arial"/>
                <w:sz w:val="20"/>
                <w:szCs w:val="20"/>
                <w:b w:val="1"/>
                <w:bCs w:val="1"/>
                <w:color w:val="auto"/>
                <w:w w:val="98"/>
                <w:vertAlign w:val="superscript"/>
              </w:rPr>
              <w:t>(1)</w:t>
            </w:r>
          </w:p>
        </w:tc>
        <w:tc>
          <w:tcPr>
            <w:tcW w:w="160" w:type="dxa"/>
            <w:vAlign w:val="bottom"/>
          </w:tcPr>
          <w:p>
            <w:pPr>
              <w:spacing w:after="0"/>
              <w:rPr>
                <w:sz w:val="15"/>
                <w:szCs w:val="15"/>
                <w:color w:val="auto"/>
              </w:rPr>
            </w:pPr>
          </w:p>
        </w:tc>
        <w:tc>
          <w:tcPr>
            <w:tcW w:w="940" w:type="dxa"/>
            <w:vAlign w:val="bottom"/>
          </w:tcPr>
          <w:p>
            <w:pPr>
              <w:jc w:val="center"/>
              <w:spacing w:after="0" w:line="176" w:lineRule="exact"/>
              <w:rPr>
                <w:sz w:val="20"/>
                <w:szCs w:val="20"/>
                <w:color w:val="auto"/>
              </w:rPr>
            </w:pPr>
            <w:r>
              <w:rPr>
                <w:rFonts w:ascii="Arial" w:cs="Arial" w:eastAsia="Arial" w:hAnsi="Arial"/>
                <w:sz w:val="13"/>
                <w:szCs w:val="13"/>
                <w:b w:val="1"/>
                <w:bCs w:val="1"/>
                <w:color w:val="auto"/>
                <w:w w:val="89"/>
              </w:rPr>
              <w:t>Option</w:t>
            </w:r>
            <w:r>
              <w:rPr>
                <w:rFonts w:ascii="Arial" w:cs="Arial" w:eastAsia="Arial" w:hAnsi="Arial"/>
                <w:sz w:val="20"/>
                <w:szCs w:val="20"/>
                <w:b w:val="1"/>
                <w:bCs w:val="1"/>
                <w:color w:val="auto"/>
                <w:w w:val="89"/>
                <w:vertAlign w:val="superscript"/>
              </w:rPr>
              <w:t>(2)</w:t>
            </w:r>
          </w:p>
        </w:tc>
        <w:tc>
          <w:tcPr>
            <w:tcW w:w="160" w:type="dxa"/>
            <w:vAlign w:val="bottom"/>
          </w:tcPr>
          <w:p>
            <w:pPr>
              <w:spacing w:after="0"/>
              <w:rPr>
                <w:sz w:val="15"/>
                <w:szCs w:val="15"/>
                <w:color w:val="auto"/>
              </w:rPr>
            </w:pPr>
          </w:p>
        </w:tc>
        <w:tc>
          <w:tcPr>
            <w:tcW w:w="940" w:type="dxa"/>
            <w:vAlign w:val="bottom"/>
          </w:tcPr>
          <w:p>
            <w:pPr>
              <w:jc w:val="center"/>
              <w:spacing w:after="0"/>
              <w:rPr>
                <w:sz w:val="20"/>
                <w:szCs w:val="20"/>
                <w:color w:val="auto"/>
              </w:rPr>
            </w:pPr>
            <w:r>
              <w:rPr>
                <w:rFonts w:ascii="Arial" w:cs="Arial" w:eastAsia="Arial" w:hAnsi="Arial"/>
                <w:sz w:val="14"/>
                <w:szCs w:val="14"/>
                <w:b w:val="1"/>
                <w:bCs w:val="1"/>
                <w:color w:val="auto"/>
                <w:w w:val="88"/>
              </w:rPr>
              <w:t>Option</w:t>
            </w:r>
          </w:p>
        </w:tc>
        <w:tc>
          <w:tcPr>
            <w:tcW w:w="16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1300" w:type="dxa"/>
            <w:vAlign w:val="bottom"/>
          </w:tcPr>
          <w:p>
            <w:pPr>
              <w:jc w:val="center"/>
              <w:ind w:right="296"/>
              <w:spacing w:after="0"/>
              <w:rPr>
                <w:sz w:val="20"/>
                <w:szCs w:val="20"/>
                <w:color w:val="auto"/>
              </w:rPr>
            </w:pPr>
            <w:r>
              <w:rPr>
                <w:rFonts w:ascii="Arial" w:cs="Arial" w:eastAsia="Arial" w:hAnsi="Arial"/>
                <w:sz w:val="14"/>
                <w:szCs w:val="14"/>
                <w:b w:val="1"/>
                <w:bCs w:val="1"/>
                <w:color w:val="auto"/>
                <w:w w:val="83"/>
              </w:rPr>
              <w:t>as noted)</w:t>
            </w:r>
          </w:p>
        </w:tc>
        <w:tc>
          <w:tcPr>
            <w:tcW w:w="160" w:type="dxa"/>
            <w:vAlign w:val="bottom"/>
          </w:tcPr>
          <w:p>
            <w:pPr>
              <w:spacing w:after="0"/>
              <w:rPr>
                <w:sz w:val="15"/>
                <w:szCs w:val="15"/>
                <w:color w:val="auto"/>
              </w:rPr>
            </w:pPr>
          </w:p>
        </w:tc>
        <w:tc>
          <w:tcPr>
            <w:tcW w:w="2240" w:type="dxa"/>
            <w:vAlign w:val="bottom"/>
            <w:gridSpan w:val="3"/>
          </w:tcPr>
          <w:p>
            <w:pPr>
              <w:ind w:left="100"/>
              <w:spacing w:after="0"/>
              <w:rPr>
                <w:sz w:val="20"/>
                <w:szCs w:val="20"/>
                <w:color w:val="auto"/>
              </w:rPr>
            </w:pPr>
            <w:r>
              <w:rPr>
                <w:rFonts w:ascii="Arial" w:cs="Arial" w:eastAsia="Arial" w:hAnsi="Arial"/>
                <w:sz w:val="14"/>
                <w:szCs w:val="14"/>
                <w:b w:val="1"/>
                <w:bCs w:val="1"/>
                <w:color w:val="auto"/>
              </w:rPr>
              <w:t>Expiry Date</w:t>
            </w:r>
          </w:p>
        </w:tc>
        <w:tc>
          <w:tcPr>
            <w:tcW w:w="0" w:type="dxa"/>
            <w:vAlign w:val="bottom"/>
          </w:tcPr>
          <w:p>
            <w:pPr>
              <w:spacing w:after="0"/>
              <w:rPr>
                <w:sz w:val="1"/>
                <w:szCs w:val="1"/>
                <w:color w:val="auto"/>
              </w:rPr>
            </w:pPr>
          </w:p>
        </w:tc>
      </w:tr>
      <w:tr>
        <w:trPr>
          <w:trHeight w:val="20"/>
        </w:trPr>
        <w:tc>
          <w:tcPr>
            <w:tcW w:w="1160" w:type="dxa"/>
            <w:vAlign w:val="bottom"/>
            <w:vMerge w:val="restart"/>
          </w:tcPr>
          <w:p>
            <w:pPr>
              <w:spacing w:after="0" w:line="20" w:lineRule="exact"/>
              <w:rPr>
                <w:sz w:val="1"/>
                <w:szCs w:val="1"/>
                <w:color w:val="auto"/>
              </w:rPr>
            </w:pPr>
          </w:p>
        </w:tc>
        <w:tc>
          <w:tcPr>
            <w:tcW w:w="1080" w:type="dxa"/>
            <w:vAlign w:val="bottom"/>
            <w:shd w:val="clear" w:color="auto" w:fill="000000"/>
          </w:tcPr>
          <w:p>
            <w:pPr>
              <w:spacing w:after="0" w:line="20" w:lineRule="exact"/>
              <w:rPr>
                <w:sz w:val="1"/>
                <w:szCs w:val="1"/>
                <w:color w:val="auto"/>
              </w:rPr>
            </w:pPr>
          </w:p>
        </w:tc>
        <w:tc>
          <w:tcPr>
            <w:tcW w:w="1800" w:type="dxa"/>
            <w:vAlign w:val="bottom"/>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3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1"/>
        </w:trPr>
        <w:tc>
          <w:tcPr>
            <w:tcW w:w="1160" w:type="dxa"/>
            <w:vAlign w:val="bottom"/>
            <w:vMerge w:val="continue"/>
          </w:tcPr>
          <w:p>
            <w:pPr>
              <w:spacing w:after="0"/>
              <w:rPr>
                <w:sz w:val="17"/>
                <w:szCs w:val="17"/>
                <w:color w:val="auto"/>
              </w:rPr>
            </w:pPr>
          </w:p>
        </w:tc>
        <w:tc>
          <w:tcPr>
            <w:tcW w:w="288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rPr>
              <w:t>Leanne M. Baker</w:t>
            </w:r>
          </w:p>
        </w:tc>
        <w:tc>
          <w:tcPr>
            <w:tcW w:w="960" w:type="dxa"/>
            <w:vAlign w:val="bottom"/>
            <w:shd w:val="clear" w:color="auto" w:fill="CCEEFF"/>
          </w:tcPr>
          <w:p>
            <w:pPr>
              <w:jc w:val="right"/>
              <w:spacing w:after="0" w:line="201" w:lineRule="exact"/>
              <w:rPr>
                <w:sz w:val="20"/>
                <w:szCs w:val="20"/>
                <w:color w:val="auto"/>
              </w:rPr>
            </w:pPr>
            <w:r>
              <w:rPr>
                <w:rFonts w:ascii="Arial" w:cs="Arial" w:eastAsia="Arial" w:hAnsi="Arial"/>
                <w:sz w:val="18"/>
                <w:szCs w:val="18"/>
                <w:color w:val="auto"/>
              </w:rPr>
              <w:t>4,000</w:t>
            </w:r>
          </w:p>
        </w:tc>
        <w:tc>
          <w:tcPr>
            <w:tcW w:w="1100" w:type="dxa"/>
            <w:vAlign w:val="bottom"/>
            <w:gridSpan w:val="2"/>
            <w:shd w:val="clear" w:color="auto" w:fill="CCEEFF"/>
          </w:tcPr>
          <w:p>
            <w:pPr>
              <w:jc w:val="right"/>
              <w:spacing w:after="0" w:line="201" w:lineRule="exact"/>
              <w:rPr>
                <w:sz w:val="20"/>
                <w:szCs w:val="20"/>
                <w:color w:val="auto"/>
              </w:rPr>
            </w:pPr>
            <w:r>
              <w:rPr>
                <w:rFonts w:ascii="Arial" w:cs="Arial" w:eastAsia="Arial" w:hAnsi="Arial"/>
                <w:sz w:val="18"/>
                <w:szCs w:val="18"/>
                <w:color w:val="auto"/>
              </w:rPr>
              <w:t>65,120</w:t>
            </w:r>
          </w:p>
        </w:tc>
        <w:tc>
          <w:tcPr>
            <w:tcW w:w="1100" w:type="dxa"/>
            <w:vAlign w:val="bottom"/>
            <w:gridSpan w:val="2"/>
            <w:shd w:val="clear" w:color="auto" w:fill="CCEEFF"/>
          </w:tcPr>
          <w:p>
            <w:pPr>
              <w:jc w:val="right"/>
              <w:spacing w:after="0" w:line="201" w:lineRule="exact"/>
              <w:rPr>
                <w:sz w:val="20"/>
                <w:szCs w:val="20"/>
                <w:color w:val="auto"/>
              </w:rPr>
            </w:pPr>
            <w:r>
              <w:rPr>
                <w:rFonts w:ascii="Arial" w:cs="Arial" w:eastAsia="Arial" w:hAnsi="Arial"/>
                <w:sz w:val="18"/>
                <w:szCs w:val="18"/>
                <w:color w:val="auto"/>
              </w:rPr>
              <w:t>6,120</w:t>
            </w:r>
          </w:p>
        </w:tc>
        <w:tc>
          <w:tcPr>
            <w:tcW w:w="520" w:type="dxa"/>
            <w:vAlign w:val="bottom"/>
            <w:gridSpan w:val="2"/>
            <w:shd w:val="clear" w:color="auto" w:fill="CCEEFF"/>
          </w:tcPr>
          <w:p>
            <w:pPr>
              <w:ind w:left="160"/>
              <w:spacing w:after="0" w:line="201" w:lineRule="exact"/>
              <w:rPr>
                <w:sz w:val="20"/>
                <w:szCs w:val="20"/>
                <w:color w:val="auto"/>
              </w:rPr>
            </w:pPr>
            <w:r>
              <w:rPr>
                <w:rFonts w:ascii="Arial" w:cs="Arial" w:eastAsia="Arial" w:hAnsi="Arial"/>
                <w:sz w:val="18"/>
                <w:szCs w:val="18"/>
                <w:color w:val="auto"/>
                <w:w w:val="96"/>
              </w:rPr>
              <w:t>US$</w:t>
            </w:r>
          </w:p>
        </w:tc>
        <w:tc>
          <w:tcPr>
            <w:tcW w:w="1300" w:type="dxa"/>
            <w:vAlign w:val="bottom"/>
            <w:shd w:val="clear" w:color="auto" w:fill="CCEEFF"/>
          </w:tcPr>
          <w:p>
            <w:pPr>
              <w:jc w:val="right"/>
              <w:spacing w:after="0" w:line="201" w:lineRule="exact"/>
              <w:rPr>
                <w:sz w:val="20"/>
                <w:szCs w:val="20"/>
                <w:color w:val="auto"/>
              </w:rPr>
            </w:pPr>
            <w:r>
              <w:rPr>
                <w:rFonts w:ascii="Arial" w:cs="Arial" w:eastAsia="Arial" w:hAnsi="Arial"/>
                <w:sz w:val="18"/>
                <w:szCs w:val="18"/>
                <w:color w:val="auto"/>
              </w:rPr>
              <w:t>54.00</w:t>
            </w:r>
          </w:p>
        </w:tc>
        <w:tc>
          <w:tcPr>
            <w:tcW w:w="1080" w:type="dxa"/>
            <w:vAlign w:val="bottom"/>
            <w:gridSpan w:val="2"/>
            <w:shd w:val="clear" w:color="auto" w:fill="CCEEFF"/>
          </w:tcPr>
          <w:p>
            <w:pPr>
              <w:jc w:val="right"/>
              <w:spacing w:after="0" w:line="201" w:lineRule="exact"/>
              <w:rPr>
                <w:sz w:val="20"/>
                <w:szCs w:val="20"/>
                <w:color w:val="auto"/>
              </w:rPr>
            </w:pPr>
            <w:r>
              <w:rPr>
                <w:rFonts w:ascii="Arial" w:cs="Arial" w:eastAsia="Arial" w:hAnsi="Arial"/>
                <w:sz w:val="18"/>
                <w:szCs w:val="18"/>
                <w:color w:val="auto"/>
              </w:rPr>
              <w:t>1/4/2015</w:t>
            </w:r>
          </w:p>
        </w:tc>
        <w:tc>
          <w:tcPr>
            <w:tcW w:w="160" w:type="dxa"/>
            <w:vAlign w:val="bottom"/>
            <w:shd w:val="clear" w:color="auto" w:fill="CCEEFF"/>
          </w:tcPr>
          <w:p>
            <w:pPr>
              <w:spacing w:after="0"/>
              <w:rPr>
                <w:sz w:val="17"/>
                <w:szCs w:val="17"/>
                <w:color w:val="auto"/>
              </w:rPr>
            </w:pPr>
          </w:p>
        </w:tc>
        <w:tc>
          <w:tcPr>
            <w:tcW w:w="1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28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Director</w:t>
            </w:r>
          </w:p>
        </w:tc>
        <w:tc>
          <w:tcPr>
            <w:tcW w:w="9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4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4,000</w:t>
            </w:r>
          </w:p>
        </w:tc>
        <w:tc>
          <w:tcPr>
            <w:tcW w:w="52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w w:val="96"/>
              </w:rPr>
              <w:t>US$</w:t>
            </w:r>
          </w:p>
        </w:tc>
        <w:tc>
          <w:tcPr>
            <w:tcW w:w="1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51.33</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1/2/2014</w:t>
            </w:r>
          </w:p>
        </w:tc>
        <w:tc>
          <w:tcPr>
            <w:tcW w:w="160" w:type="dxa"/>
            <w:vAlign w:val="bottom"/>
            <w:shd w:val="clear" w:color="auto" w:fill="CCEEFF"/>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180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4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35,000</w:t>
            </w:r>
          </w:p>
        </w:tc>
        <w:tc>
          <w:tcPr>
            <w:tcW w:w="52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w w:val="96"/>
              </w:rPr>
              <w:t>US$</w:t>
            </w:r>
          </w:p>
        </w:tc>
        <w:tc>
          <w:tcPr>
            <w:tcW w:w="1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54.63</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1/2/2013</w:t>
            </w:r>
          </w:p>
        </w:tc>
        <w:tc>
          <w:tcPr>
            <w:tcW w:w="160" w:type="dxa"/>
            <w:vAlign w:val="bottom"/>
            <w:shd w:val="clear" w:color="auto" w:fill="CCEEFF"/>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1160" w:type="dxa"/>
            <w:vAlign w:val="bottom"/>
          </w:tcPr>
          <w:p>
            <w:pPr>
              <w:spacing w:after="0"/>
              <w:rPr>
                <w:sz w:val="19"/>
                <w:szCs w:val="19"/>
                <w:color w:val="auto"/>
              </w:rPr>
            </w:pPr>
          </w:p>
        </w:tc>
        <w:tc>
          <w:tcPr>
            <w:tcW w:w="1080" w:type="dxa"/>
            <w:vAlign w:val="bottom"/>
            <w:shd w:val="clear" w:color="auto" w:fill="CCEEFF"/>
          </w:tcPr>
          <w:p>
            <w:pPr>
              <w:spacing w:after="0"/>
              <w:rPr>
                <w:sz w:val="19"/>
                <w:szCs w:val="19"/>
                <w:color w:val="auto"/>
              </w:rPr>
            </w:pPr>
          </w:p>
        </w:tc>
        <w:tc>
          <w:tcPr>
            <w:tcW w:w="1800" w:type="dxa"/>
            <w:vAlign w:val="bottom"/>
            <w:shd w:val="clear" w:color="auto" w:fill="CCEEFF"/>
          </w:tcPr>
          <w:p>
            <w:pPr>
              <w:spacing w:after="0"/>
              <w:rPr>
                <w:sz w:val="19"/>
                <w:szCs w:val="19"/>
                <w:color w:val="auto"/>
              </w:rPr>
            </w:pPr>
          </w:p>
        </w:tc>
        <w:tc>
          <w:tcPr>
            <w:tcW w:w="9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940" w:type="dxa"/>
            <w:vAlign w:val="bottom"/>
            <w:shd w:val="clear" w:color="auto" w:fill="CCEEFF"/>
          </w:tcPr>
          <w:p>
            <w:pPr>
              <w:spacing w:after="0"/>
              <w:rPr>
                <w:sz w:val="19"/>
                <w:szCs w:val="19"/>
                <w:color w:val="auto"/>
              </w:rPr>
            </w:pP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20,000</w:t>
            </w:r>
          </w:p>
        </w:tc>
        <w:tc>
          <w:tcPr>
            <w:tcW w:w="52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w w:val="96"/>
              </w:rPr>
              <w:t>US$</w:t>
            </w:r>
          </w:p>
        </w:tc>
        <w:tc>
          <w:tcPr>
            <w:tcW w:w="1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41.24</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1/3/2012</w:t>
            </w:r>
          </w:p>
        </w:tc>
        <w:tc>
          <w:tcPr>
            <w:tcW w:w="160" w:type="dxa"/>
            <w:vAlign w:val="bottom"/>
            <w:shd w:val="clear" w:color="auto" w:fill="CCEEFF"/>
          </w:tcPr>
          <w:p>
            <w:pPr>
              <w:spacing w:after="0"/>
              <w:rPr>
                <w:sz w:val="19"/>
                <w:szCs w:val="19"/>
                <w:color w:val="auto"/>
              </w:rPr>
            </w:pPr>
          </w:p>
        </w:tc>
        <w:tc>
          <w:tcPr>
            <w:tcW w:w="1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8"/>
        </w:trPr>
        <w:tc>
          <w:tcPr>
            <w:tcW w:w="1160" w:type="dxa"/>
            <w:vAlign w:val="bottom"/>
          </w:tcPr>
          <w:p>
            <w:pPr>
              <w:spacing w:after="0"/>
              <w:rPr>
                <w:sz w:val="18"/>
                <w:szCs w:val="18"/>
                <w:color w:val="auto"/>
              </w:rPr>
            </w:pPr>
          </w:p>
        </w:tc>
        <w:tc>
          <w:tcPr>
            <w:tcW w:w="2880" w:type="dxa"/>
            <w:vAlign w:val="bottom"/>
            <w:gridSpan w:val="2"/>
          </w:tcPr>
          <w:p>
            <w:pPr>
              <w:spacing w:after="0"/>
              <w:rPr>
                <w:sz w:val="20"/>
                <w:szCs w:val="20"/>
                <w:color w:val="auto"/>
              </w:rPr>
            </w:pPr>
            <w:r>
              <w:rPr>
                <w:rFonts w:ascii="Arial" w:cs="Arial" w:eastAsia="Arial" w:hAnsi="Arial"/>
                <w:sz w:val="18"/>
                <w:szCs w:val="18"/>
                <w:color w:val="auto"/>
              </w:rPr>
              <w:t>Douglas R. Beaumont</w:t>
            </w:r>
          </w:p>
        </w:tc>
        <w:tc>
          <w:tcPr>
            <w:tcW w:w="960" w:type="dxa"/>
            <w:vAlign w:val="bottom"/>
          </w:tcPr>
          <w:p>
            <w:pPr>
              <w:jc w:val="right"/>
              <w:spacing w:after="0"/>
              <w:rPr>
                <w:sz w:val="20"/>
                <w:szCs w:val="20"/>
                <w:color w:val="auto"/>
              </w:rPr>
            </w:pPr>
            <w:r>
              <w:rPr>
                <w:rFonts w:ascii="Arial" w:cs="Arial" w:eastAsia="Arial" w:hAnsi="Arial"/>
                <w:sz w:val="18"/>
                <w:szCs w:val="18"/>
                <w:color w:val="auto"/>
              </w:rPr>
              <w:t>14,167</w:t>
            </w:r>
          </w:p>
        </w:tc>
        <w:tc>
          <w:tcPr>
            <w:tcW w:w="1100" w:type="dxa"/>
            <w:vAlign w:val="bottom"/>
            <w:gridSpan w:val="2"/>
          </w:tcPr>
          <w:p>
            <w:pPr>
              <w:jc w:val="right"/>
              <w:spacing w:after="0"/>
              <w:rPr>
                <w:sz w:val="20"/>
                <w:szCs w:val="20"/>
                <w:color w:val="auto"/>
              </w:rPr>
            </w:pPr>
            <w:r>
              <w:rPr>
                <w:rFonts w:ascii="Arial" w:cs="Arial" w:eastAsia="Arial" w:hAnsi="Arial"/>
                <w:sz w:val="18"/>
                <w:szCs w:val="18"/>
                <w:color w:val="auto"/>
              </w:rPr>
              <w:t>77,620</w:t>
            </w:r>
          </w:p>
        </w:tc>
        <w:tc>
          <w:tcPr>
            <w:tcW w:w="1100" w:type="dxa"/>
            <w:vAlign w:val="bottom"/>
            <w:gridSpan w:val="2"/>
          </w:tcPr>
          <w:p>
            <w:pPr>
              <w:jc w:val="right"/>
              <w:spacing w:after="0"/>
              <w:rPr>
                <w:sz w:val="20"/>
                <w:szCs w:val="20"/>
                <w:color w:val="auto"/>
              </w:rPr>
            </w:pPr>
            <w:r>
              <w:rPr>
                <w:rFonts w:ascii="Arial" w:cs="Arial" w:eastAsia="Arial" w:hAnsi="Arial"/>
                <w:sz w:val="18"/>
                <w:szCs w:val="18"/>
                <w:color w:val="auto"/>
              </w:rPr>
              <w:t>6,120</w:t>
            </w:r>
          </w:p>
        </w:tc>
        <w:tc>
          <w:tcPr>
            <w:tcW w:w="16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300" w:type="dxa"/>
            <w:vAlign w:val="bottom"/>
          </w:tcPr>
          <w:p>
            <w:pPr>
              <w:jc w:val="right"/>
              <w:spacing w:after="0"/>
              <w:rPr>
                <w:sz w:val="20"/>
                <w:szCs w:val="20"/>
                <w:color w:val="auto"/>
              </w:rPr>
            </w:pPr>
            <w:r>
              <w:rPr>
                <w:rFonts w:ascii="Arial" w:cs="Arial" w:eastAsia="Arial" w:hAnsi="Arial"/>
                <w:sz w:val="18"/>
                <w:szCs w:val="18"/>
                <w:color w:val="auto"/>
              </w:rPr>
              <w:t>56.92</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1/4/2015</w:t>
            </w:r>
          </w:p>
        </w:tc>
        <w:tc>
          <w:tcPr>
            <w:tcW w:w="16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040" w:type="dxa"/>
            <w:vAlign w:val="bottom"/>
            <w:gridSpan w:val="3"/>
          </w:tcPr>
          <w:p>
            <w:pPr>
              <w:ind w:left="1140"/>
              <w:spacing w:after="0"/>
              <w:rPr>
                <w:sz w:val="20"/>
                <w:szCs w:val="20"/>
                <w:color w:val="auto"/>
              </w:rPr>
            </w:pPr>
            <w:r>
              <w:rPr>
                <w:rFonts w:ascii="Arial" w:cs="Arial" w:eastAsia="Arial" w:hAnsi="Arial"/>
                <w:sz w:val="18"/>
                <w:szCs w:val="18"/>
                <w:color w:val="auto"/>
              </w:rPr>
              <w:t>Director</w:t>
            </w:r>
          </w:p>
        </w:tc>
        <w:tc>
          <w:tcPr>
            <w:tcW w:w="9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1100" w:type="dxa"/>
            <w:vAlign w:val="bottom"/>
            <w:gridSpan w:val="2"/>
          </w:tcPr>
          <w:p>
            <w:pPr>
              <w:jc w:val="right"/>
              <w:spacing w:after="0"/>
              <w:rPr>
                <w:sz w:val="20"/>
                <w:szCs w:val="20"/>
                <w:color w:val="auto"/>
              </w:rPr>
            </w:pPr>
            <w:r>
              <w:rPr>
                <w:rFonts w:ascii="Arial" w:cs="Arial" w:eastAsia="Arial" w:hAnsi="Arial"/>
                <w:sz w:val="18"/>
                <w:szCs w:val="18"/>
                <w:color w:val="auto"/>
              </w:rPr>
              <w:t>4,000</w:t>
            </w:r>
          </w:p>
        </w:tc>
        <w:tc>
          <w:tcPr>
            <w:tcW w:w="16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300" w:type="dxa"/>
            <w:vAlign w:val="bottom"/>
          </w:tcPr>
          <w:p>
            <w:pPr>
              <w:jc w:val="right"/>
              <w:spacing w:after="0"/>
              <w:rPr>
                <w:sz w:val="20"/>
                <w:szCs w:val="20"/>
                <w:color w:val="auto"/>
              </w:rPr>
            </w:pPr>
            <w:r>
              <w:rPr>
                <w:rFonts w:ascii="Arial" w:cs="Arial" w:eastAsia="Arial" w:hAnsi="Arial"/>
                <w:sz w:val="18"/>
                <w:szCs w:val="18"/>
                <w:color w:val="auto"/>
              </w:rPr>
              <w:t>62.77</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1/2/2014</w:t>
            </w:r>
          </w:p>
        </w:tc>
        <w:tc>
          <w:tcPr>
            <w:tcW w:w="16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180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1100" w:type="dxa"/>
            <w:vAlign w:val="bottom"/>
            <w:gridSpan w:val="2"/>
          </w:tcPr>
          <w:p>
            <w:pPr>
              <w:jc w:val="right"/>
              <w:spacing w:after="0"/>
              <w:rPr>
                <w:sz w:val="20"/>
                <w:szCs w:val="20"/>
                <w:color w:val="auto"/>
              </w:rPr>
            </w:pPr>
            <w:r>
              <w:rPr>
                <w:rFonts w:ascii="Arial" w:cs="Arial" w:eastAsia="Arial" w:hAnsi="Arial"/>
                <w:sz w:val="18"/>
                <w:szCs w:val="18"/>
                <w:color w:val="auto"/>
              </w:rPr>
              <w:t>35,000</w:t>
            </w:r>
          </w:p>
        </w:tc>
        <w:tc>
          <w:tcPr>
            <w:tcW w:w="16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300" w:type="dxa"/>
            <w:vAlign w:val="bottom"/>
          </w:tcPr>
          <w:p>
            <w:pPr>
              <w:jc w:val="right"/>
              <w:spacing w:after="0"/>
              <w:rPr>
                <w:sz w:val="20"/>
                <w:szCs w:val="20"/>
                <w:color w:val="auto"/>
              </w:rPr>
            </w:pPr>
            <w:r>
              <w:rPr>
                <w:rFonts w:ascii="Arial" w:cs="Arial" w:eastAsia="Arial" w:hAnsi="Arial"/>
                <w:sz w:val="18"/>
                <w:szCs w:val="18"/>
                <w:color w:val="auto"/>
              </w:rPr>
              <w:t>54.42</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1/2/2013</w:t>
            </w:r>
          </w:p>
        </w:tc>
        <w:tc>
          <w:tcPr>
            <w:tcW w:w="16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180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1100" w:type="dxa"/>
            <w:vAlign w:val="bottom"/>
            <w:gridSpan w:val="2"/>
          </w:tcPr>
          <w:p>
            <w:pPr>
              <w:jc w:val="right"/>
              <w:spacing w:after="0"/>
              <w:rPr>
                <w:sz w:val="20"/>
                <w:szCs w:val="20"/>
                <w:color w:val="auto"/>
              </w:rPr>
            </w:pPr>
            <w:r>
              <w:rPr>
                <w:rFonts w:ascii="Arial" w:cs="Arial" w:eastAsia="Arial" w:hAnsi="Arial"/>
                <w:sz w:val="18"/>
                <w:szCs w:val="18"/>
                <w:color w:val="auto"/>
              </w:rPr>
              <w:t>25,000</w:t>
            </w:r>
          </w:p>
        </w:tc>
        <w:tc>
          <w:tcPr>
            <w:tcW w:w="16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300" w:type="dxa"/>
            <w:vAlign w:val="bottom"/>
          </w:tcPr>
          <w:p>
            <w:pPr>
              <w:jc w:val="right"/>
              <w:spacing w:after="0"/>
              <w:rPr>
                <w:sz w:val="20"/>
                <w:szCs w:val="20"/>
                <w:color w:val="auto"/>
              </w:rPr>
            </w:pPr>
            <w:r>
              <w:rPr>
                <w:rFonts w:ascii="Arial" w:cs="Arial" w:eastAsia="Arial" w:hAnsi="Arial"/>
                <w:sz w:val="18"/>
                <w:szCs w:val="18"/>
                <w:color w:val="auto"/>
              </w:rPr>
              <w:t>48.09</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1/2/2012</w:t>
            </w:r>
          </w:p>
        </w:tc>
        <w:tc>
          <w:tcPr>
            <w:tcW w:w="16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1160" w:type="dxa"/>
            <w:vAlign w:val="bottom"/>
          </w:tcPr>
          <w:p>
            <w:pPr>
              <w:spacing w:after="0"/>
              <w:rPr>
                <w:sz w:val="19"/>
                <w:szCs w:val="19"/>
                <w:color w:val="auto"/>
              </w:rPr>
            </w:pPr>
          </w:p>
        </w:tc>
        <w:tc>
          <w:tcPr>
            <w:tcW w:w="1080" w:type="dxa"/>
            <w:vAlign w:val="bottom"/>
          </w:tcPr>
          <w:p>
            <w:pPr>
              <w:spacing w:after="0"/>
              <w:rPr>
                <w:sz w:val="19"/>
                <w:szCs w:val="19"/>
                <w:color w:val="auto"/>
              </w:rPr>
            </w:pPr>
          </w:p>
        </w:tc>
        <w:tc>
          <w:tcPr>
            <w:tcW w:w="1800" w:type="dxa"/>
            <w:vAlign w:val="bottom"/>
          </w:tcPr>
          <w:p>
            <w:pPr>
              <w:spacing w:after="0"/>
              <w:rPr>
                <w:sz w:val="19"/>
                <w:szCs w:val="19"/>
                <w:color w:val="auto"/>
              </w:rPr>
            </w:pPr>
          </w:p>
        </w:tc>
        <w:tc>
          <w:tcPr>
            <w:tcW w:w="9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1100" w:type="dxa"/>
            <w:vAlign w:val="bottom"/>
            <w:gridSpan w:val="2"/>
          </w:tcPr>
          <w:p>
            <w:pPr>
              <w:jc w:val="right"/>
              <w:spacing w:after="0"/>
              <w:rPr>
                <w:sz w:val="20"/>
                <w:szCs w:val="20"/>
                <w:color w:val="auto"/>
              </w:rPr>
            </w:pPr>
            <w:r>
              <w:rPr>
                <w:rFonts w:ascii="Arial" w:cs="Arial" w:eastAsia="Arial" w:hAnsi="Arial"/>
                <w:sz w:val="18"/>
                <w:szCs w:val="18"/>
                <w:color w:val="auto"/>
              </w:rPr>
              <w:t>7,500</w:t>
            </w:r>
          </w:p>
        </w:tc>
        <w:tc>
          <w:tcPr>
            <w:tcW w:w="16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1300" w:type="dxa"/>
            <w:vAlign w:val="bottom"/>
          </w:tcPr>
          <w:p>
            <w:pPr>
              <w:jc w:val="right"/>
              <w:spacing w:after="0"/>
              <w:rPr>
                <w:sz w:val="20"/>
                <w:szCs w:val="20"/>
                <w:color w:val="auto"/>
              </w:rPr>
            </w:pPr>
            <w:r>
              <w:rPr>
                <w:rFonts w:ascii="Arial" w:cs="Arial" w:eastAsia="Arial" w:hAnsi="Arial"/>
                <w:sz w:val="18"/>
                <w:szCs w:val="18"/>
                <w:color w:val="auto"/>
              </w:rPr>
              <w:t>23.02</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1/3/2011</w:t>
            </w:r>
          </w:p>
        </w:tc>
        <w:tc>
          <w:tcPr>
            <w:tcW w:w="160" w:type="dxa"/>
            <w:vAlign w:val="bottom"/>
          </w:tcPr>
          <w:p>
            <w:pPr>
              <w:spacing w:after="0"/>
              <w:rPr>
                <w:sz w:val="19"/>
                <w:szCs w:val="19"/>
                <w:color w:val="auto"/>
              </w:rPr>
            </w:pPr>
          </w:p>
        </w:tc>
        <w:tc>
          <w:tcPr>
            <w:tcW w:w="1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0"/>
        </w:trPr>
        <w:tc>
          <w:tcPr>
            <w:tcW w:w="1160" w:type="dxa"/>
            <w:vAlign w:val="bottom"/>
          </w:tcPr>
          <w:p>
            <w:pPr>
              <w:spacing w:after="0"/>
              <w:rPr>
                <w:sz w:val="18"/>
                <w:szCs w:val="18"/>
                <w:color w:val="auto"/>
              </w:rPr>
            </w:pPr>
          </w:p>
        </w:tc>
        <w:tc>
          <w:tcPr>
            <w:tcW w:w="28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Sean Boyd</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100,820</w:t>
            </w: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890,000</w:t>
            </w: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300,000</w:t>
            </w:r>
          </w:p>
        </w:tc>
        <w:tc>
          <w:tcPr>
            <w:tcW w:w="16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56.92</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1/4/2015</w:t>
            </w:r>
          </w:p>
        </w:tc>
        <w:tc>
          <w:tcPr>
            <w:tcW w:w="160" w:type="dxa"/>
            <w:vAlign w:val="bottom"/>
            <w:shd w:val="clear" w:color="auto" w:fill="CCEEFF"/>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28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Director, Vice Chairman</w:t>
            </w:r>
          </w:p>
        </w:tc>
        <w:tc>
          <w:tcPr>
            <w:tcW w:w="9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4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250,000</w:t>
            </w:r>
          </w:p>
        </w:tc>
        <w:tc>
          <w:tcPr>
            <w:tcW w:w="16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62.77</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1/2/2014</w:t>
            </w:r>
          </w:p>
        </w:tc>
        <w:tc>
          <w:tcPr>
            <w:tcW w:w="160" w:type="dxa"/>
            <w:vAlign w:val="bottom"/>
            <w:shd w:val="clear" w:color="auto" w:fill="CCEEFF"/>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28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and Chief Executive Officer</w:t>
            </w:r>
          </w:p>
        </w:tc>
        <w:tc>
          <w:tcPr>
            <w:tcW w:w="9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4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200,000</w:t>
            </w:r>
          </w:p>
        </w:tc>
        <w:tc>
          <w:tcPr>
            <w:tcW w:w="16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54.42</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1/2/2013</w:t>
            </w:r>
          </w:p>
        </w:tc>
        <w:tc>
          <w:tcPr>
            <w:tcW w:w="160" w:type="dxa"/>
            <w:vAlign w:val="bottom"/>
            <w:shd w:val="clear" w:color="auto" w:fill="CCEEFF"/>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180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4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100,000</w:t>
            </w:r>
          </w:p>
        </w:tc>
        <w:tc>
          <w:tcPr>
            <w:tcW w:w="16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48.09</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1/2/2012</w:t>
            </w:r>
          </w:p>
        </w:tc>
        <w:tc>
          <w:tcPr>
            <w:tcW w:w="160" w:type="dxa"/>
            <w:vAlign w:val="bottom"/>
            <w:shd w:val="clear" w:color="auto" w:fill="CCEEFF"/>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1160" w:type="dxa"/>
            <w:vAlign w:val="bottom"/>
          </w:tcPr>
          <w:p>
            <w:pPr>
              <w:spacing w:after="0"/>
              <w:rPr>
                <w:sz w:val="19"/>
                <w:szCs w:val="19"/>
                <w:color w:val="auto"/>
              </w:rPr>
            </w:pPr>
          </w:p>
        </w:tc>
        <w:tc>
          <w:tcPr>
            <w:tcW w:w="1080" w:type="dxa"/>
            <w:vAlign w:val="bottom"/>
            <w:shd w:val="clear" w:color="auto" w:fill="CCEEFF"/>
          </w:tcPr>
          <w:p>
            <w:pPr>
              <w:spacing w:after="0"/>
              <w:rPr>
                <w:sz w:val="19"/>
                <w:szCs w:val="19"/>
                <w:color w:val="auto"/>
              </w:rPr>
            </w:pPr>
          </w:p>
        </w:tc>
        <w:tc>
          <w:tcPr>
            <w:tcW w:w="1800" w:type="dxa"/>
            <w:vAlign w:val="bottom"/>
            <w:shd w:val="clear" w:color="auto" w:fill="CCEEFF"/>
          </w:tcPr>
          <w:p>
            <w:pPr>
              <w:spacing w:after="0"/>
              <w:rPr>
                <w:sz w:val="19"/>
                <w:szCs w:val="19"/>
                <w:color w:val="auto"/>
              </w:rPr>
            </w:pPr>
          </w:p>
        </w:tc>
        <w:tc>
          <w:tcPr>
            <w:tcW w:w="9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940" w:type="dxa"/>
            <w:vAlign w:val="bottom"/>
            <w:shd w:val="clear" w:color="auto" w:fill="CCEEFF"/>
          </w:tcPr>
          <w:p>
            <w:pPr>
              <w:spacing w:after="0"/>
              <w:rPr>
                <w:sz w:val="19"/>
                <w:szCs w:val="19"/>
                <w:color w:val="auto"/>
              </w:rPr>
            </w:pP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40,000</w:t>
            </w:r>
          </w:p>
        </w:tc>
        <w:tc>
          <w:tcPr>
            <w:tcW w:w="160" w:type="dxa"/>
            <w:vAlign w:val="bottom"/>
            <w:shd w:val="clear" w:color="auto" w:fill="CCEEFF"/>
          </w:tcPr>
          <w:p>
            <w:pPr>
              <w:spacing w:after="0"/>
              <w:rPr>
                <w:sz w:val="19"/>
                <w:szCs w:val="19"/>
                <w:color w:val="auto"/>
              </w:rPr>
            </w:pPr>
          </w:p>
        </w:tc>
        <w:tc>
          <w:tcPr>
            <w:tcW w:w="360" w:type="dxa"/>
            <w:vAlign w:val="bottom"/>
            <w:shd w:val="clear" w:color="auto" w:fill="CCEEFF"/>
          </w:tcPr>
          <w:p>
            <w:pPr>
              <w:spacing w:after="0"/>
              <w:rPr>
                <w:sz w:val="19"/>
                <w:szCs w:val="19"/>
                <w:color w:val="auto"/>
              </w:rPr>
            </w:pPr>
          </w:p>
        </w:tc>
        <w:tc>
          <w:tcPr>
            <w:tcW w:w="1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23.02</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1/3/2011</w:t>
            </w:r>
          </w:p>
        </w:tc>
        <w:tc>
          <w:tcPr>
            <w:tcW w:w="160" w:type="dxa"/>
            <w:vAlign w:val="bottom"/>
            <w:shd w:val="clear" w:color="auto" w:fill="CCEEFF"/>
          </w:tcPr>
          <w:p>
            <w:pPr>
              <w:spacing w:after="0"/>
              <w:rPr>
                <w:sz w:val="19"/>
                <w:szCs w:val="19"/>
                <w:color w:val="auto"/>
              </w:rPr>
            </w:pPr>
          </w:p>
        </w:tc>
        <w:tc>
          <w:tcPr>
            <w:tcW w:w="1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30"/>
        </w:trPr>
        <w:tc>
          <w:tcPr>
            <w:tcW w:w="116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180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100" w:type="dxa"/>
            <w:vAlign w:val="bottom"/>
            <w:gridSpan w:val="2"/>
          </w:tcPr>
          <w:p>
            <w:pPr>
              <w:jc w:val="right"/>
              <w:ind w:right="194"/>
              <w:spacing w:after="0"/>
              <w:rPr>
                <w:sz w:val="20"/>
                <w:szCs w:val="20"/>
                <w:color w:val="auto"/>
              </w:rPr>
            </w:pPr>
            <w:r>
              <w:rPr>
                <w:rFonts w:ascii="Arial" w:cs="Arial" w:eastAsia="Arial" w:hAnsi="Arial"/>
                <w:sz w:val="18"/>
                <w:szCs w:val="18"/>
                <w:color w:val="auto"/>
              </w:rPr>
              <w:t>120</w:t>
            </w:r>
          </w:p>
        </w:tc>
        <w:tc>
          <w:tcPr>
            <w:tcW w:w="1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3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1160" w:type="dxa"/>
            <w:vAlign w:val="bottom"/>
            <w:tcBorders>
              <w:bottom w:val="single" w:sz="8" w:color="808080"/>
            </w:tcBorders>
          </w:tcPr>
          <w:p>
            <w:pPr>
              <w:spacing w:after="0"/>
              <w:rPr>
                <w:sz w:val="19"/>
                <w:szCs w:val="19"/>
                <w:color w:val="auto"/>
              </w:rPr>
            </w:pPr>
          </w:p>
        </w:tc>
        <w:tc>
          <w:tcPr>
            <w:tcW w:w="1080" w:type="dxa"/>
            <w:vAlign w:val="bottom"/>
            <w:tcBorders>
              <w:bottom w:val="single" w:sz="8" w:color="808080"/>
            </w:tcBorders>
          </w:tcPr>
          <w:p>
            <w:pPr>
              <w:spacing w:after="0"/>
              <w:rPr>
                <w:sz w:val="19"/>
                <w:szCs w:val="19"/>
                <w:color w:val="auto"/>
              </w:rPr>
            </w:pPr>
          </w:p>
        </w:tc>
        <w:tc>
          <w:tcPr>
            <w:tcW w:w="1800" w:type="dxa"/>
            <w:vAlign w:val="bottom"/>
            <w:tcBorders>
              <w:bottom w:val="single" w:sz="8" w:color="808080"/>
            </w:tcBorders>
          </w:tcPr>
          <w:p>
            <w:pPr>
              <w:spacing w:after="0"/>
              <w:rPr>
                <w:sz w:val="19"/>
                <w:szCs w:val="19"/>
                <w:color w:val="auto"/>
              </w:rPr>
            </w:pPr>
          </w:p>
        </w:tc>
        <w:tc>
          <w:tcPr>
            <w:tcW w:w="96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94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94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360" w:type="dxa"/>
            <w:vAlign w:val="bottom"/>
            <w:tcBorders>
              <w:bottom w:val="single" w:sz="8" w:color="808080"/>
            </w:tcBorders>
          </w:tcPr>
          <w:p>
            <w:pPr>
              <w:spacing w:after="0"/>
              <w:rPr>
                <w:sz w:val="19"/>
                <w:szCs w:val="19"/>
                <w:color w:val="auto"/>
              </w:rPr>
            </w:pPr>
          </w:p>
        </w:tc>
        <w:tc>
          <w:tcPr>
            <w:tcW w:w="130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92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16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63" w:name="page164"/>
    <w:bookmarkEnd w:id="163"/>
    <w:tbl>
      <w:tblPr>
        <w:tblLayout w:type="fixed"/>
        <w:tblInd w:w="0" w:type="dxa"/>
        <w:tblCellMar>
          <w:top w:w="0" w:type="dxa"/>
          <w:left w:w="0" w:type="dxa"/>
          <w:bottom w:w="0" w:type="dxa"/>
          <w:right w:w="0" w:type="dxa"/>
        </w:tblCellMar>
      </w:tblPr>
      <w:tr>
        <w:trPr>
          <w:trHeight w:val="161"/>
        </w:trPr>
        <w:tc>
          <w:tcPr>
            <w:tcW w:w="1160" w:type="dxa"/>
            <w:vAlign w:val="bottom"/>
          </w:tcPr>
          <w:p>
            <w:pPr>
              <w:spacing w:after="0"/>
              <w:rPr>
                <w:sz w:val="14"/>
                <w:szCs w:val="14"/>
                <w:color w:val="auto"/>
              </w:rPr>
            </w:pPr>
          </w:p>
        </w:tc>
        <w:tc>
          <w:tcPr>
            <w:tcW w:w="1080" w:type="dxa"/>
            <w:vAlign w:val="bottom"/>
          </w:tcPr>
          <w:p>
            <w:pPr>
              <w:spacing w:after="0"/>
              <w:rPr>
                <w:sz w:val="14"/>
                <w:szCs w:val="14"/>
                <w:color w:val="auto"/>
              </w:rPr>
            </w:pPr>
          </w:p>
        </w:tc>
        <w:tc>
          <w:tcPr>
            <w:tcW w:w="2140" w:type="dxa"/>
            <w:vAlign w:val="bottom"/>
          </w:tcPr>
          <w:p>
            <w:pPr>
              <w:spacing w:after="0"/>
              <w:rPr>
                <w:sz w:val="14"/>
                <w:szCs w:val="14"/>
                <w:color w:val="auto"/>
              </w:rPr>
            </w:pPr>
          </w:p>
        </w:tc>
        <w:tc>
          <w:tcPr>
            <w:tcW w:w="9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60" w:type="dxa"/>
            <w:vAlign w:val="bottom"/>
          </w:tcPr>
          <w:p>
            <w:pPr>
              <w:jc w:val="center"/>
              <w:spacing w:after="0"/>
              <w:rPr>
                <w:sz w:val="20"/>
                <w:szCs w:val="20"/>
                <w:color w:val="auto"/>
              </w:rPr>
            </w:pPr>
            <w:r>
              <w:rPr>
                <w:rFonts w:ascii="Arial" w:cs="Arial" w:eastAsia="Arial" w:hAnsi="Arial"/>
                <w:sz w:val="14"/>
                <w:szCs w:val="14"/>
                <w:b w:val="1"/>
                <w:bCs w:val="1"/>
                <w:color w:val="auto"/>
                <w:w w:val="89"/>
              </w:rPr>
              <w:t>Total</w:t>
            </w:r>
          </w:p>
        </w:tc>
        <w:tc>
          <w:tcPr>
            <w:tcW w:w="160" w:type="dxa"/>
            <w:vAlign w:val="bottom"/>
          </w:tcPr>
          <w:p>
            <w:pPr>
              <w:spacing w:after="0"/>
              <w:rPr>
                <w:sz w:val="14"/>
                <w:szCs w:val="14"/>
                <w:color w:val="auto"/>
              </w:rPr>
            </w:pPr>
          </w:p>
        </w:tc>
        <w:tc>
          <w:tcPr>
            <w:tcW w:w="9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1"/>
        </w:trPr>
        <w:tc>
          <w:tcPr>
            <w:tcW w:w="1160" w:type="dxa"/>
            <w:vAlign w:val="bottom"/>
          </w:tcPr>
          <w:p>
            <w:pPr>
              <w:spacing w:after="0"/>
              <w:rPr>
                <w:sz w:val="14"/>
                <w:szCs w:val="14"/>
                <w:color w:val="auto"/>
              </w:rPr>
            </w:pPr>
          </w:p>
        </w:tc>
        <w:tc>
          <w:tcPr>
            <w:tcW w:w="1080" w:type="dxa"/>
            <w:vAlign w:val="bottom"/>
          </w:tcPr>
          <w:p>
            <w:pPr>
              <w:spacing w:after="0"/>
              <w:rPr>
                <w:sz w:val="14"/>
                <w:szCs w:val="14"/>
                <w:color w:val="auto"/>
              </w:rPr>
            </w:pPr>
          </w:p>
        </w:tc>
        <w:tc>
          <w:tcPr>
            <w:tcW w:w="2140" w:type="dxa"/>
            <w:vAlign w:val="bottom"/>
          </w:tcPr>
          <w:p>
            <w:pPr>
              <w:spacing w:after="0"/>
              <w:rPr>
                <w:sz w:val="14"/>
                <w:szCs w:val="14"/>
                <w:color w:val="auto"/>
              </w:rPr>
            </w:pPr>
          </w:p>
        </w:tc>
        <w:tc>
          <w:tcPr>
            <w:tcW w:w="9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60" w:type="dxa"/>
            <w:vAlign w:val="bottom"/>
          </w:tcPr>
          <w:p>
            <w:pPr>
              <w:jc w:val="center"/>
              <w:spacing w:after="0"/>
              <w:rPr>
                <w:sz w:val="20"/>
                <w:szCs w:val="20"/>
                <w:color w:val="auto"/>
              </w:rPr>
            </w:pPr>
            <w:r>
              <w:rPr>
                <w:rFonts w:ascii="Arial" w:cs="Arial" w:eastAsia="Arial" w:hAnsi="Arial"/>
                <w:sz w:val="14"/>
                <w:szCs w:val="14"/>
                <w:b w:val="1"/>
                <w:bCs w:val="1"/>
                <w:color w:val="auto"/>
                <w:w w:val="88"/>
              </w:rPr>
              <w:t>Common</w:t>
            </w:r>
          </w:p>
        </w:tc>
        <w:tc>
          <w:tcPr>
            <w:tcW w:w="160" w:type="dxa"/>
            <w:vAlign w:val="bottom"/>
          </w:tcPr>
          <w:p>
            <w:pPr>
              <w:spacing w:after="0"/>
              <w:rPr>
                <w:sz w:val="14"/>
                <w:szCs w:val="14"/>
                <w:color w:val="auto"/>
              </w:rPr>
            </w:pPr>
          </w:p>
        </w:tc>
        <w:tc>
          <w:tcPr>
            <w:tcW w:w="940" w:type="dxa"/>
            <w:vAlign w:val="bottom"/>
          </w:tcPr>
          <w:p>
            <w:pPr>
              <w:jc w:val="center"/>
              <w:spacing w:after="0"/>
              <w:rPr>
                <w:sz w:val="20"/>
                <w:szCs w:val="20"/>
                <w:color w:val="auto"/>
              </w:rPr>
            </w:pPr>
            <w:r>
              <w:rPr>
                <w:rFonts w:ascii="Arial" w:cs="Arial" w:eastAsia="Arial" w:hAnsi="Arial"/>
                <w:sz w:val="14"/>
                <w:szCs w:val="14"/>
                <w:b w:val="1"/>
                <w:bCs w:val="1"/>
                <w:color w:val="auto"/>
                <w:w w:val="85"/>
              </w:rPr>
              <w:t>Common</w:t>
            </w:r>
          </w:p>
        </w:tc>
        <w:tc>
          <w:tcPr>
            <w:tcW w:w="160" w:type="dxa"/>
            <w:vAlign w:val="bottom"/>
          </w:tcPr>
          <w:p>
            <w:pPr>
              <w:spacing w:after="0"/>
              <w:rPr>
                <w:sz w:val="14"/>
                <w:szCs w:val="14"/>
                <w:color w:val="auto"/>
              </w:rPr>
            </w:pPr>
          </w:p>
        </w:tc>
        <w:tc>
          <w:tcPr>
            <w:tcW w:w="1300" w:type="dxa"/>
            <w:vAlign w:val="bottom"/>
          </w:tcPr>
          <w:p>
            <w:pPr>
              <w:jc w:val="center"/>
              <w:spacing w:after="0"/>
              <w:rPr>
                <w:sz w:val="20"/>
                <w:szCs w:val="20"/>
                <w:color w:val="auto"/>
              </w:rPr>
            </w:pPr>
            <w:r>
              <w:rPr>
                <w:rFonts w:ascii="Arial" w:cs="Arial" w:eastAsia="Arial" w:hAnsi="Arial"/>
                <w:sz w:val="14"/>
                <w:szCs w:val="14"/>
                <w:b w:val="1"/>
                <w:bCs w:val="1"/>
                <w:color w:val="auto"/>
                <w:w w:val="85"/>
              </w:rPr>
              <w:t>Exercise Price</w:t>
            </w:r>
          </w:p>
        </w:tc>
        <w:tc>
          <w:tcPr>
            <w:tcW w:w="16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1080" w:type="dxa"/>
            <w:vAlign w:val="bottom"/>
          </w:tcPr>
          <w:p>
            <w:pPr>
              <w:spacing w:after="0"/>
              <w:rPr>
                <w:sz w:val="12"/>
                <w:szCs w:val="12"/>
                <w:color w:val="auto"/>
              </w:rPr>
            </w:pPr>
          </w:p>
        </w:tc>
        <w:tc>
          <w:tcPr>
            <w:tcW w:w="2140" w:type="dxa"/>
            <w:vAlign w:val="bottom"/>
          </w:tcPr>
          <w:p>
            <w:pPr>
              <w:spacing w:after="0"/>
              <w:rPr>
                <w:sz w:val="12"/>
                <w:szCs w:val="12"/>
                <w:color w:val="auto"/>
              </w:rPr>
            </w:pPr>
          </w:p>
        </w:tc>
        <w:tc>
          <w:tcPr>
            <w:tcW w:w="960" w:type="dxa"/>
            <w:vAlign w:val="bottom"/>
          </w:tcPr>
          <w:p>
            <w:pPr>
              <w:jc w:val="right"/>
              <w:ind w:right="236"/>
              <w:spacing w:after="0" w:line="149" w:lineRule="exact"/>
              <w:rPr>
                <w:sz w:val="20"/>
                <w:szCs w:val="20"/>
                <w:color w:val="auto"/>
              </w:rPr>
            </w:pPr>
            <w:r>
              <w:rPr>
                <w:rFonts w:ascii="Arial" w:cs="Arial" w:eastAsia="Arial" w:hAnsi="Arial"/>
                <w:sz w:val="14"/>
                <w:szCs w:val="14"/>
                <w:b w:val="1"/>
                <w:bCs w:val="1"/>
                <w:color w:val="auto"/>
              </w:rPr>
              <w:t>Share</w:t>
            </w:r>
          </w:p>
        </w:tc>
        <w:tc>
          <w:tcPr>
            <w:tcW w:w="160" w:type="dxa"/>
            <w:vAlign w:val="bottom"/>
          </w:tcPr>
          <w:p>
            <w:pPr>
              <w:spacing w:after="0"/>
              <w:rPr>
                <w:sz w:val="12"/>
                <w:szCs w:val="12"/>
                <w:color w:val="auto"/>
              </w:rPr>
            </w:pPr>
          </w:p>
        </w:tc>
        <w:tc>
          <w:tcPr>
            <w:tcW w:w="96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7"/>
              </w:rPr>
              <w:t>Shares under</w:t>
            </w:r>
          </w:p>
        </w:tc>
        <w:tc>
          <w:tcPr>
            <w:tcW w:w="160" w:type="dxa"/>
            <w:vAlign w:val="bottom"/>
          </w:tcPr>
          <w:p>
            <w:pPr>
              <w:spacing w:after="0"/>
              <w:rPr>
                <w:sz w:val="12"/>
                <w:szCs w:val="12"/>
                <w:color w:val="auto"/>
              </w:rPr>
            </w:pPr>
          </w:p>
        </w:tc>
        <w:tc>
          <w:tcPr>
            <w:tcW w:w="94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4"/>
              </w:rPr>
              <w:t>Shares under</w:t>
            </w:r>
          </w:p>
        </w:tc>
        <w:tc>
          <w:tcPr>
            <w:tcW w:w="160" w:type="dxa"/>
            <w:vAlign w:val="bottom"/>
          </w:tcPr>
          <w:p>
            <w:pPr>
              <w:spacing w:after="0"/>
              <w:rPr>
                <w:sz w:val="12"/>
                <w:szCs w:val="12"/>
                <w:color w:val="auto"/>
              </w:rPr>
            </w:pPr>
          </w:p>
        </w:tc>
        <w:tc>
          <w:tcPr>
            <w:tcW w:w="13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5"/>
              </w:rPr>
              <w:t>(C$, except</w:t>
            </w:r>
          </w:p>
        </w:tc>
        <w:tc>
          <w:tcPr>
            <w:tcW w:w="16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6"/>
        </w:trPr>
        <w:tc>
          <w:tcPr>
            <w:tcW w:w="4380" w:type="dxa"/>
            <w:vAlign w:val="bottom"/>
            <w:gridSpan w:val="3"/>
          </w:tcPr>
          <w:p>
            <w:pPr>
              <w:ind w:left="1140"/>
              <w:spacing w:after="0"/>
              <w:rPr>
                <w:sz w:val="20"/>
                <w:szCs w:val="20"/>
                <w:color w:val="auto"/>
              </w:rPr>
            </w:pPr>
            <w:r>
              <w:rPr>
                <w:rFonts w:ascii="Arial" w:cs="Arial" w:eastAsia="Arial" w:hAnsi="Arial"/>
                <w:sz w:val="14"/>
                <w:szCs w:val="14"/>
                <w:b w:val="1"/>
                <w:bCs w:val="1"/>
                <w:color w:val="auto"/>
              </w:rPr>
              <w:t>Beneficial Owner</w:t>
            </w:r>
          </w:p>
        </w:tc>
        <w:tc>
          <w:tcPr>
            <w:tcW w:w="960" w:type="dxa"/>
            <w:vAlign w:val="bottom"/>
          </w:tcPr>
          <w:p>
            <w:pPr>
              <w:jc w:val="right"/>
              <w:ind w:right="16"/>
              <w:spacing w:after="0" w:line="176" w:lineRule="exact"/>
              <w:rPr>
                <w:sz w:val="20"/>
                <w:szCs w:val="20"/>
                <w:color w:val="auto"/>
              </w:rPr>
            </w:pPr>
            <w:r>
              <w:rPr>
                <w:rFonts w:ascii="Arial" w:cs="Arial" w:eastAsia="Arial" w:hAnsi="Arial"/>
                <w:sz w:val="13"/>
                <w:szCs w:val="13"/>
                <w:b w:val="1"/>
                <w:bCs w:val="1"/>
                <w:color w:val="auto"/>
              </w:rPr>
              <w:t>Ownership</w:t>
            </w:r>
            <w:r>
              <w:rPr>
                <w:rFonts w:ascii="Arial" w:cs="Arial" w:eastAsia="Arial" w:hAnsi="Arial"/>
                <w:sz w:val="20"/>
                <w:szCs w:val="20"/>
                <w:b w:val="1"/>
                <w:bCs w:val="1"/>
                <w:color w:val="auto"/>
                <w:vertAlign w:val="superscript"/>
              </w:rPr>
              <w:t>(1)</w:t>
            </w:r>
          </w:p>
        </w:tc>
        <w:tc>
          <w:tcPr>
            <w:tcW w:w="160" w:type="dxa"/>
            <w:vAlign w:val="bottom"/>
          </w:tcPr>
          <w:p>
            <w:pPr>
              <w:spacing w:after="0"/>
              <w:rPr>
                <w:sz w:val="15"/>
                <w:szCs w:val="15"/>
                <w:color w:val="auto"/>
              </w:rPr>
            </w:pPr>
          </w:p>
        </w:tc>
        <w:tc>
          <w:tcPr>
            <w:tcW w:w="960" w:type="dxa"/>
            <w:vAlign w:val="bottom"/>
          </w:tcPr>
          <w:p>
            <w:pPr>
              <w:jc w:val="center"/>
              <w:spacing w:after="0" w:line="176" w:lineRule="exact"/>
              <w:rPr>
                <w:sz w:val="20"/>
                <w:szCs w:val="20"/>
                <w:color w:val="auto"/>
              </w:rPr>
            </w:pPr>
            <w:r>
              <w:rPr>
                <w:rFonts w:ascii="Arial" w:cs="Arial" w:eastAsia="Arial" w:hAnsi="Arial"/>
                <w:sz w:val="13"/>
                <w:szCs w:val="13"/>
                <w:b w:val="1"/>
                <w:bCs w:val="1"/>
                <w:color w:val="auto"/>
                <w:w w:val="92"/>
              </w:rPr>
              <w:t>Option</w:t>
            </w:r>
            <w:r>
              <w:rPr>
                <w:rFonts w:ascii="Arial" w:cs="Arial" w:eastAsia="Arial" w:hAnsi="Arial"/>
                <w:sz w:val="20"/>
                <w:szCs w:val="20"/>
                <w:b w:val="1"/>
                <w:bCs w:val="1"/>
                <w:color w:val="auto"/>
                <w:w w:val="92"/>
                <w:vertAlign w:val="superscript"/>
              </w:rPr>
              <w:t>(2)</w:t>
            </w:r>
          </w:p>
        </w:tc>
        <w:tc>
          <w:tcPr>
            <w:tcW w:w="160" w:type="dxa"/>
            <w:vAlign w:val="bottom"/>
          </w:tcPr>
          <w:p>
            <w:pPr>
              <w:spacing w:after="0"/>
              <w:rPr>
                <w:sz w:val="15"/>
                <w:szCs w:val="15"/>
                <w:color w:val="auto"/>
              </w:rPr>
            </w:pPr>
          </w:p>
        </w:tc>
        <w:tc>
          <w:tcPr>
            <w:tcW w:w="940" w:type="dxa"/>
            <w:vAlign w:val="bottom"/>
          </w:tcPr>
          <w:p>
            <w:pPr>
              <w:jc w:val="center"/>
              <w:spacing w:after="0"/>
              <w:rPr>
                <w:sz w:val="20"/>
                <w:szCs w:val="20"/>
                <w:color w:val="auto"/>
              </w:rPr>
            </w:pPr>
            <w:r>
              <w:rPr>
                <w:rFonts w:ascii="Arial" w:cs="Arial" w:eastAsia="Arial" w:hAnsi="Arial"/>
                <w:sz w:val="14"/>
                <w:szCs w:val="14"/>
                <w:b w:val="1"/>
                <w:bCs w:val="1"/>
                <w:color w:val="auto"/>
                <w:w w:val="88"/>
              </w:rPr>
              <w:t>Option</w:t>
            </w:r>
          </w:p>
        </w:tc>
        <w:tc>
          <w:tcPr>
            <w:tcW w:w="160" w:type="dxa"/>
            <w:vAlign w:val="bottom"/>
          </w:tcPr>
          <w:p>
            <w:pPr>
              <w:spacing w:after="0"/>
              <w:rPr>
                <w:sz w:val="15"/>
                <w:szCs w:val="15"/>
                <w:color w:val="auto"/>
              </w:rPr>
            </w:pPr>
          </w:p>
        </w:tc>
        <w:tc>
          <w:tcPr>
            <w:tcW w:w="1300" w:type="dxa"/>
            <w:vAlign w:val="bottom"/>
          </w:tcPr>
          <w:p>
            <w:pPr>
              <w:jc w:val="center"/>
              <w:spacing w:after="0"/>
              <w:rPr>
                <w:sz w:val="20"/>
                <w:szCs w:val="20"/>
                <w:color w:val="auto"/>
              </w:rPr>
            </w:pPr>
            <w:r>
              <w:rPr>
                <w:rFonts w:ascii="Arial" w:cs="Arial" w:eastAsia="Arial" w:hAnsi="Arial"/>
                <w:sz w:val="14"/>
                <w:szCs w:val="14"/>
                <w:b w:val="1"/>
                <w:bCs w:val="1"/>
                <w:color w:val="auto"/>
                <w:w w:val="83"/>
              </w:rPr>
              <w:t>as noted)</w:t>
            </w:r>
          </w:p>
        </w:tc>
        <w:tc>
          <w:tcPr>
            <w:tcW w:w="160" w:type="dxa"/>
            <w:vAlign w:val="bottom"/>
          </w:tcPr>
          <w:p>
            <w:pPr>
              <w:spacing w:after="0"/>
              <w:rPr>
                <w:sz w:val="15"/>
                <w:szCs w:val="15"/>
                <w:color w:val="auto"/>
              </w:rPr>
            </w:pPr>
          </w:p>
        </w:tc>
        <w:tc>
          <w:tcPr>
            <w:tcW w:w="2240" w:type="dxa"/>
            <w:vAlign w:val="bottom"/>
            <w:gridSpan w:val="3"/>
          </w:tcPr>
          <w:p>
            <w:pPr>
              <w:ind w:left="100"/>
              <w:spacing w:after="0"/>
              <w:rPr>
                <w:sz w:val="20"/>
                <w:szCs w:val="20"/>
                <w:color w:val="auto"/>
              </w:rPr>
            </w:pPr>
            <w:r>
              <w:rPr>
                <w:rFonts w:ascii="Arial" w:cs="Arial" w:eastAsia="Arial" w:hAnsi="Arial"/>
                <w:sz w:val="14"/>
                <w:szCs w:val="14"/>
                <w:b w:val="1"/>
                <w:bCs w:val="1"/>
                <w:color w:val="auto"/>
              </w:rPr>
              <w:t>Expiry Date</w:t>
            </w:r>
          </w:p>
        </w:tc>
        <w:tc>
          <w:tcPr>
            <w:tcW w:w="0" w:type="dxa"/>
            <w:vAlign w:val="bottom"/>
          </w:tcPr>
          <w:p>
            <w:pPr>
              <w:spacing w:after="0"/>
              <w:rPr>
                <w:sz w:val="1"/>
                <w:szCs w:val="1"/>
                <w:color w:val="auto"/>
              </w:rPr>
            </w:pPr>
          </w:p>
        </w:tc>
      </w:tr>
      <w:tr>
        <w:trPr>
          <w:trHeight w:val="20"/>
        </w:trPr>
        <w:tc>
          <w:tcPr>
            <w:tcW w:w="1160" w:type="dxa"/>
            <w:vAlign w:val="bottom"/>
            <w:vMerge w:val="restart"/>
          </w:tcPr>
          <w:p>
            <w:pPr>
              <w:spacing w:after="0" w:line="20" w:lineRule="exact"/>
              <w:rPr>
                <w:sz w:val="1"/>
                <w:szCs w:val="1"/>
                <w:color w:val="auto"/>
              </w:rPr>
            </w:pPr>
          </w:p>
        </w:tc>
        <w:tc>
          <w:tcPr>
            <w:tcW w:w="1080" w:type="dxa"/>
            <w:vAlign w:val="bottom"/>
            <w:shd w:val="clear" w:color="auto" w:fill="000000"/>
          </w:tcPr>
          <w:p>
            <w:pPr>
              <w:spacing w:after="0" w:line="20" w:lineRule="exact"/>
              <w:rPr>
                <w:sz w:val="1"/>
                <w:szCs w:val="1"/>
                <w:color w:val="auto"/>
              </w:rPr>
            </w:pPr>
          </w:p>
        </w:tc>
        <w:tc>
          <w:tcPr>
            <w:tcW w:w="2140" w:type="dxa"/>
            <w:vAlign w:val="bottom"/>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3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1"/>
        </w:trPr>
        <w:tc>
          <w:tcPr>
            <w:tcW w:w="1160" w:type="dxa"/>
            <w:vAlign w:val="bottom"/>
            <w:vMerge w:val="continue"/>
          </w:tcPr>
          <w:p>
            <w:pPr>
              <w:spacing w:after="0"/>
              <w:rPr>
                <w:sz w:val="17"/>
                <w:szCs w:val="17"/>
                <w:color w:val="auto"/>
              </w:rPr>
            </w:pPr>
          </w:p>
        </w:tc>
        <w:tc>
          <w:tcPr>
            <w:tcW w:w="322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rPr>
              <w:t>Clifford J. Davis</w:t>
            </w:r>
          </w:p>
        </w:tc>
        <w:tc>
          <w:tcPr>
            <w:tcW w:w="960" w:type="dxa"/>
            <w:vAlign w:val="bottom"/>
            <w:shd w:val="clear" w:color="auto" w:fill="CCEEFF"/>
          </w:tcPr>
          <w:p>
            <w:pPr>
              <w:jc w:val="right"/>
              <w:spacing w:after="0" w:line="201" w:lineRule="exact"/>
              <w:rPr>
                <w:sz w:val="20"/>
                <w:szCs w:val="20"/>
                <w:color w:val="auto"/>
              </w:rPr>
            </w:pPr>
            <w:r>
              <w:rPr>
                <w:rFonts w:ascii="Arial" w:cs="Arial" w:eastAsia="Arial" w:hAnsi="Arial"/>
                <w:sz w:val="18"/>
                <w:szCs w:val="18"/>
                <w:color w:val="auto"/>
              </w:rPr>
              <w:t>2,900</w:t>
            </w:r>
          </w:p>
        </w:tc>
        <w:tc>
          <w:tcPr>
            <w:tcW w:w="1120" w:type="dxa"/>
            <w:vAlign w:val="bottom"/>
            <w:gridSpan w:val="2"/>
            <w:shd w:val="clear" w:color="auto" w:fill="CCEEFF"/>
          </w:tcPr>
          <w:p>
            <w:pPr>
              <w:jc w:val="right"/>
              <w:spacing w:after="0" w:line="201" w:lineRule="exact"/>
              <w:rPr>
                <w:sz w:val="20"/>
                <w:szCs w:val="20"/>
                <w:color w:val="auto"/>
              </w:rPr>
            </w:pPr>
            <w:r>
              <w:rPr>
                <w:rFonts w:ascii="Arial" w:cs="Arial" w:eastAsia="Arial" w:hAnsi="Arial"/>
                <w:sz w:val="18"/>
                <w:szCs w:val="18"/>
                <w:color w:val="auto"/>
              </w:rPr>
              <w:t>17,320</w:t>
            </w:r>
          </w:p>
        </w:tc>
        <w:tc>
          <w:tcPr>
            <w:tcW w:w="1100" w:type="dxa"/>
            <w:vAlign w:val="bottom"/>
            <w:gridSpan w:val="2"/>
            <w:shd w:val="clear" w:color="auto" w:fill="CCEEFF"/>
          </w:tcPr>
          <w:p>
            <w:pPr>
              <w:jc w:val="right"/>
              <w:spacing w:after="0" w:line="201" w:lineRule="exact"/>
              <w:rPr>
                <w:sz w:val="20"/>
                <w:szCs w:val="20"/>
                <w:color w:val="auto"/>
              </w:rPr>
            </w:pPr>
            <w:r>
              <w:rPr>
                <w:rFonts w:ascii="Arial" w:cs="Arial" w:eastAsia="Arial" w:hAnsi="Arial"/>
                <w:sz w:val="18"/>
                <w:szCs w:val="18"/>
                <w:color w:val="auto"/>
              </w:rPr>
              <w:t>6,120</w:t>
            </w:r>
          </w:p>
        </w:tc>
        <w:tc>
          <w:tcPr>
            <w:tcW w:w="1460" w:type="dxa"/>
            <w:vAlign w:val="bottom"/>
            <w:gridSpan w:val="2"/>
            <w:shd w:val="clear" w:color="auto" w:fill="CCEEFF"/>
          </w:tcPr>
          <w:p>
            <w:pPr>
              <w:jc w:val="right"/>
              <w:spacing w:after="0" w:line="201" w:lineRule="exact"/>
              <w:rPr>
                <w:sz w:val="20"/>
                <w:szCs w:val="20"/>
                <w:color w:val="auto"/>
              </w:rPr>
            </w:pPr>
            <w:r>
              <w:rPr>
                <w:rFonts w:ascii="Arial" w:cs="Arial" w:eastAsia="Arial" w:hAnsi="Arial"/>
                <w:sz w:val="18"/>
                <w:szCs w:val="18"/>
                <w:color w:val="auto"/>
              </w:rPr>
              <w:t>56.92</w:t>
            </w:r>
          </w:p>
        </w:tc>
        <w:tc>
          <w:tcPr>
            <w:tcW w:w="1080" w:type="dxa"/>
            <w:vAlign w:val="bottom"/>
            <w:gridSpan w:val="2"/>
            <w:shd w:val="clear" w:color="auto" w:fill="CCEEFF"/>
          </w:tcPr>
          <w:p>
            <w:pPr>
              <w:jc w:val="right"/>
              <w:spacing w:after="0" w:line="201" w:lineRule="exact"/>
              <w:rPr>
                <w:sz w:val="20"/>
                <w:szCs w:val="20"/>
                <w:color w:val="auto"/>
              </w:rPr>
            </w:pPr>
            <w:r>
              <w:rPr>
                <w:rFonts w:ascii="Arial" w:cs="Arial" w:eastAsia="Arial" w:hAnsi="Arial"/>
                <w:sz w:val="18"/>
                <w:szCs w:val="18"/>
                <w:color w:val="auto"/>
              </w:rPr>
              <w:t>1/4/2015</w:t>
            </w:r>
          </w:p>
        </w:tc>
        <w:tc>
          <w:tcPr>
            <w:tcW w:w="160" w:type="dxa"/>
            <w:vAlign w:val="bottom"/>
            <w:shd w:val="clear" w:color="auto" w:fill="CCEEFF"/>
          </w:tcPr>
          <w:p>
            <w:pPr>
              <w:spacing w:after="0"/>
              <w:rPr>
                <w:sz w:val="17"/>
                <w:szCs w:val="17"/>
                <w:color w:val="auto"/>
              </w:rPr>
            </w:pPr>
          </w:p>
        </w:tc>
        <w:tc>
          <w:tcPr>
            <w:tcW w:w="1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32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Director</w:t>
            </w:r>
          </w:p>
        </w:tc>
        <w:tc>
          <w:tcPr>
            <w:tcW w:w="9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4,000</w:t>
            </w:r>
          </w:p>
        </w:tc>
        <w:tc>
          <w:tcPr>
            <w:tcW w:w="1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62.77</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1/2/2014</w:t>
            </w:r>
          </w:p>
        </w:tc>
        <w:tc>
          <w:tcPr>
            <w:tcW w:w="160" w:type="dxa"/>
            <w:vAlign w:val="bottom"/>
            <w:shd w:val="clear" w:color="auto" w:fill="CCEEFF"/>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1160" w:type="dxa"/>
            <w:vAlign w:val="bottom"/>
          </w:tcPr>
          <w:p>
            <w:pPr>
              <w:spacing w:after="0"/>
              <w:rPr>
                <w:sz w:val="19"/>
                <w:szCs w:val="19"/>
                <w:color w:val="auto"/>
              </w:rPr>
            </w:pPr>
          </w:p>
        </w:tc>
        <w:tc>
          <w:tcPr>
            <w:tcW w:w="1080" w:type="dxa"/>
            <w:vAlign w:val="bottom"/>
            <w:shd w:val="clear" w:color="auto" w:fill="CCEEFF"/>
          </w:tcPr>
          <w:p>
            <w:pPr>
              <w:spacing w:after="0"/>
              <w:rPr>
                <w:sz w:val="19"/>
                <w:szCs w:val="19"/>
                <w:color w:val="auto"/>
              </w:rPr>
            </w:pPr>
          </w:p>
        </w:tc>
        <w:tc>
          <w:tcPr>
            <w:tcW w:w="2140" w:type="dxa"/>
            <w:vAlign w:val="bottom"/>
            <w:shd w:val="clear" w:color="auto" w:fill="CCEEFF"/>
          </w:tcPr>
          <w:p>
            <w:pPr>
              <w:spacing w:after="0"/>
              <w:rPr>
                <w:sz w:val="19"/>
                <w:szCs w:val="19"/>
                <w:color w:val="auto"/>
              </w:rPr>
            </w:pPr>
          </w:p>
        </w:tc>
        <w:tc>
          <w:tcPr>
            <w:tcW w:w="9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960" w:type="dxa"/>
            <w:vAlign w:val="bottom"/>
            <w:shd w:val="clear" w:color="auto" w:fill="CCEEFF"/>
          </w:tcPr>
          <w:p>
            <w:pPr>
              <w:spacing w:after="0"/>
              <w:rPr>
                <w:sz w:val="19"/>
                <w:szCs w:val="19"/>
                <w:color w:val="auto"/>
              </w:rPr>
            </w:pP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7,200</w:t>
            </w:r>
          </w:p>
        </w:tc>
        <w:tc>
          <w:tcPr>
            <w:tcW w:w="1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33.26</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11/3/2013</w:t>
            </w:r>
          </w:p>
        </w:tc>
        <w:tc>
          <w:tcPr>
            <w:tcW w:w="160" w:type="dxa"/>
            <w:vAlign w:val="bottom"/>
            <w:shd w:val="clear" w:color="auto" w:fill="CCEEFF"/>
          </w:tcPr>
          <w:p>
            <w:pPr>
              <w:spacing w:after="0"/>
              <w:rPr>
                <w:sz w:val="19"/>
                <w:szCs w:val="19"/>
                <w:color w:val="auto"/>
              </w:rPr>
            </w:pPr>
          </w:p>
        </w:tc>
        <w:tc>
          <w:tcPr>
            <w:tcW w:w="1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8"/>
        </w:trPr>
        <w:tc>
          <w:tcPr>
            <w:tcW w:w="1160" w:type="dxa"/>
            <w:vAlign w:val="bottom"/>
          </w:tcPr>
          <w:p>
            <w:pPr>
              <w:spacing w:after="0"/>
              <w:rPr>
                <w:sz w:val="18"/>
                <w:szCs w:val="18"/>
                <w:color w:val="auto"/>
              </w:rPr>
            </w:pPr>
          </w:p>
        </w:tc>
        <w:tc>
          <w:tcPr>
            <w:tcW w:w="3220" w:type="dxa"/>
            <w:vAlign w:val="bottom"/>
            <w:gridSpan w:val="2"/>
          </w:tcPr>
          <w:p>
            <w:pPr>
              <w:spacing w:after="0"/>
              <w:rPr>
                <w:sz w:val="20"/>
                <w:szCs w:val="20"/>
                <w:color w:val="auto"/>
              </w:rPr>
            </w:pPr>
            <w:r>
              <w:rPr>
                <w:rFonts w:ascii="Arial" w:cs="Arial" w:eastAsia="Arial" w:hAnsi="Arial"/>
                <w:sz w:val="18"/>
                <w:szCs w:val="18"/>
                <w:color w:val="auto"/>
              </w:rPr>
              <w:t>David Garofalo</w:t>
            </w:r>
          </w:p>
        </w:tc>
        <w:tc>
          <w:tcPr>
            <w:tcW w:w="960" w:type="dxa"/>
            <w:vAlign w:val="bottom"/>
          </w:tcPr>
          <w:p>
            <w:pPr>
              <w:jc w:val="right"/>
              <w:spacing w:after="0"/>
              <w:rPr>
                <w:sz w:val="20"/>
                <w:szCs w:val="20"/>
                <w:color w:val="auto"/>
              </w:rPr>
            </w:pPr>
            <w:r>
              <w:rPr>
                <w:rFonts w:ascii="Arial" w:cs="Arial" w:eastAsia="Arial" w:hAnsi="Arial"/>
                <w:sz w:val="18"/>
                <w:szCs w:val="18"/>
                <w:color w:val="auto"/>
              </w:rPr>
              <w:t>26,191</w:t>
            </w:r>
          </w:p>
        </w:tc>
        <w:tc>
          <w:tcPr>
            <w:tcW w:w="1120" w:type="dxa"/>
            <w:vAlign w:val="bottom"/>
            <w:gridSpan w:val="2"/>
          </w:tcPr>
          <w:p>
            <w:pPr>
              <w:jc w:val="right"/>
              <w:spacing w:after="0"/>
              <w:rPr>
                <w:sz w:val="20"/>
                <w:szCs w:val="20"/>
                <w:color w:val="auto"/>
              </w:rPr>
            </w:pPr>
            <w:r>
              <w:rPr>
                <w:rFonts w:ascii="Arial" w:cs="Arial" w:eastAsia="Arial" w:hAnsi="Arial"/>
                <w:sz w:val="18"/>
                <w:szCs w:val="18"/>
                <w:color w:val="auto"/>
              </w:rPr>
              <w:t>325,000</w:t>
            </w:r>
          </w:p>
        </w:tc>
        <w:tc>
          <w:tcPr>
            <w:tcW w:w="1100" w:type="dxa"/>
            <w:vAlign w:val="bottom"/>
            <w:gridSpan w:val="2"/>
          </w:tcPr>
          <w:p>
            <w:pPr>
              <w:jc w:val="right"/>
              <w:spacing w:after="0"/>
              <w:rPr>
                <w:sz w:val="20"/>
                <w:szCs w:val="20"/>
                <w:color w:val="auto"/>
              </w:rPr>
            </w:pPr>
            <w:r>
              <w:rPr>
                <w:rFonts w:ascii="Arial" w:cs="Arial" w:eastAsia="Arial" w:hAnsi="Arial"/>
                <w:sz w:val="18"/>
                <w:szCs w:val="18"/>
                <w:color w:val="auto"/>
              </w:rPr>
              <w:t>100,000</w:t>
            </w:r>
          </w:p>
        </w:tc>
        <w:tc>
          <w:tcPr>
            <w:tcW w:w="1460" w:type="dxa"/>
            <w:vAlign w:val="bottom"/>
            <w:gridSpan w:val="2"/>
          </w:tcPr>
          <w:p>
            <w:pPr>
              <w:jc w:val="right"/>
              <w:spacing w:after="0"/>
              <w:rPr>
                <w:sz w:val="20"/>
                <w:szCs w:val="20"/>
                <w:color w:val="auto"/>
              </w:rPr>
            </w:pPr>
            <w:r>
              <w:rPr>
                <w:rFonts w:ascii="Arial" w:cs="Arial" w:eastAsia="Arial" w:hAnsi="Arial"/>
                <w:sz w:val="18"/>
                <w:szCs w:val="18"/>
                <w:color w:val="auto"/>
              </w:rPr>
              <w:t>56.92</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1/4/2015</w:t>
            </w:r>
          </w:p>
        </w:tc>
        <w:tc>
          <w:tcPr>
            <w:tcW w:w="16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380" w:type="dxa"/>
            <w:vAlign w:val="bottom"/>
            <w:gridSpan w:val="3"/>
          </w:tcPr>
          <w:p>
            <w:pPr>
              <w:ind w:left="1140"/>
              <w:spacing w:after="0"/>
              <w:rPr>
                <w:sz w:val="20"/>
                <w:szCs w:val="20"/>
                <w:color w:val="auto"/>
              </w:rPr>
            </w:pPr>
            <w:r>
              <w:rPr>
                <w:rFonts w:ascii="Arial" w:cs="Arial" w:eastAsia="Arial" w:hAnsi="Arial"/>
                <w:sz w:val="18"/>
                <w:szCs w:val="18"/>
                <w:color w:val="auto"/>
              </w:rPr>
              <w:t>Director, Senior Vice-President, Finance</w:t>
            </w:r>
          </w:p>
        </w:tc>
        <w:tc>
          <w:tcPr>
            <w:tcW w:w="9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1100" w:type="dxa"/>
            <w:vAlign w:val="bottom"/>
            <w:gridSpan w:val="2"/>
          </w:tcPr>
          <w:p>
            <w:pPr>
              <w:jc w:val="right"/>
              <w:spacing w:after="0"/>
              <w:rPr>
                <w:sz w:val="20"/>
                <w:szCs w:val="20"/>
                <w:color w:val="auto"/>
              </w:rPr>
            </w:pPr>
            <w:r>
              <w:rPr>
                <w:rFonts w:ascii="Arial" w:cs="Arial" w:eastAsia="Arial" w:hAnsi="Arial"/>
                <w:sz w:val="18"/>
                <w:szCs w:val="18"/>
                <w:color w:val="auto"/>
              </w:rPr>
              <w:t>100,000</w:t>
            </w:r>
          </w:p>
        </w:tc>
        <w:tc>
          <w:tcPr>
            <w:tcW w:w="1460" w:type="dxa"/>
            <w:vAlign w:val="bottom"/>
            <w:gridSpan w:val="2"/>
          </w:tcPr>
          <w:p>
            <w:pPr>
              <w:jc w:val="right"/>
              <w:spacing w:after="0"/>
              <w:rPr>
                <w:sz w:val="20"/>
                <w:szCs w:val="20"/>
                <w:color w:val="auto"/>
              </w:rPr>
            </w:pPr>
            <w:r>
              <w:rPr>
                <w:rFonts w:ascii="Arial" w:cs="Arial" w:eastAsia="Arial" w:hAnsi="Arial"/>
                <w:sz w:val="18"/>
                <w:szCs w:val="18"/>
                <w:color w:val="auto"/>
              </w:rPr>
              <w:t>62.77</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1/2/2014</w:t>
            </w:r>
          </w:p>
        </w:tc>
        <w:tc>
          <w:tcPr>
            <w:tcW w:w="16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380" w:type="dxa"/>
            <w:vAlign w:val="bottom"/>
            <w:gridSpan w:val="3"/>
          </w:tcPr>
          <w:p>
            <w:pPr>
              <w:ind w:left="1140"/>
              <w:spacing w:after="0"/>
              <w:rPr>
                <w:sz w:val="20"/>
                <w:szCs w:val="20"/>
                <w:color w:val="auto"/>
              </w:rPr>
            </w:pPr>
            <w:r>
              <w:rPr>
                <w:rFonts w:ascii="Arial" w:cs="Arial" w:eastAsia="Arial" w:hAnsi="Arial"/>
                <w:sz w:val="18"/>
                <w:szCs w:val="18"/>
                <w:color w:val="auto"/>
              </w:rPr>
              <w:t>and Chief Financial Officer</w:t>
            </w:r>
          </w:p>
        </w:tc>
        <w:tc>
          <w:tcPr>
            <w:tcW w:w="9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1100" w:type="dxa"/>
            <w:vAlign w:val="bottom"/>
            <w:gridSpan w:val="2"/>
          </w:tcPr>
          <w:p>
            <w:pPr>
              <w:jc w:val="right"/>
              <w:spacing w:after="0"/>
              <w:rPr>
                <w:sz w:val="20"/>
                <w:szCs w:val="20"/>
                <w:color w:val="auto"/>
              </w:rPr>
            </w:pPr>
            <w:r>
              <w:rPr>
                <w:rFonts w:ascii="Arial" w:cs="Arial" w:eastAsia="Arial" w:hAnsi="Arial"/>
                <w:sz w:val="18"/>
                <w:szCs w:val="18"/>
                <w:color w:val="auto"/>
              </w:rPr>
              <w:t>75,000</w:t>
            </w:r>
          </w:p>
        </w:tc>
        <w:tc>
          <w:tcPr>
            <w:tcW w:w="1460" w:type="dxa"/>
            <w:vAlign w:val="bottom"/>
            <w:gridSpan w:val="2"/>
          </w:tcPr>
          <w:p>
            <w:pPr>
              <w:jc w:val="right"/>
              <w:spacing w:after="0"/>
              <w:rPr>
                <w:sz w:val="20"/>
                <w:szCs w:val="20"/>
                <w:color w:val="auto"/>
              </w:rPr>
            </w:pPr>
            <w:r>
              <w:rPr>
                <w:rFonts w:ascii="Arial" w:cs="Arial" w:eastAsia="Arial" w:hAnsi="Arial"/>
                <w:sz w:val="18"/>
                <w:szCs w:val="18"/>
                <w:color w:val="auto"/>
              </w:rPr>
              <w:t>54.42</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1/2/2013</w:t>
            </w:r>
          </w:p>
        </w:tc>
        <w:tc>
          <w:tcPr>
            <w:tcW w:w="16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1160" w:type="dxa"/>
            <w:vAlign w:val="bottom"/>
          </w:tcPr>
          <w:p>
            <w:pPr>
              <w:spacing w:after="0"/>
              <w:rPr>
                <w:sz w:val="19"/>
                <w:szCs w:val="19"/>
                <w:color w:val="auto"/>
              </w:rPr>
            </w:pPr>
          </w:p>
        </w:tc>
        <w:tc>
          <w:tcPr>
            <w:tcW w:w="1080" w:type="dxa"/>
            <w:vAlign w:val="bottom"/>
          </w:tcPr>
          <w:p>
            <w:pPr>
              <w:spacing w:after="0"/>
              <w:rPr>
                <w:sz w:val="19"/>
                <w:szCs w:val="19"/>
                <w:color w:val="auto"/>
              </w:rPr>
            </w:pPr>
          </w:p>
        </w:tc>
        <w:tc>
          <w:tcPr>
            <w:tcW w:w="2140" w:type="dxa"/>
            <w:vAlign w:val="bottom"/>
          </w:tcPr>
          <w:p>
            <w:pPr>
              <w:spacing w:after="0"/>
              <w:rPr>
                <w:sz w:val="19"/>
                <w:szCs w:val="19"/>
                <w:color w:val="auto"/>
              </w:rPr>
            </w:pPr>
          </w:p>
        </w:tc>
        <w:tc>
          <w:tcPr>
            <w:tcW w:w="9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960" w:type="dxa"/>
            <w:vAlign w:val="bottom"/>
          </w:tcPr>
          <w:p>
            <w:pPr>
              <w:spacing w:after="0"/>
              <w:rPr>
                <w:sz w:val="19"/>
                <w:szCs w:val="19"/>
                <w:color w:val="auto"/>
              </w:rPr>
            </w:pPr>
          </w:p>
        </w:tc>
        <w:tc>
          <w:tcPr>
            <w:tcW w:w="1100" w:type="dxa"/>
            <w:vAlign w:val="bottom"/>
            <w:gridSpan w:val="2"/>
          </w:tcPr>
          <w:p>
            <w:pPr>
              <w:jc w:val="right"/>
              <w:spacing w:after="0"/>
              <w:rPr>
                <w:sz w:val="20"/>
                <w:szCs w:val="20"/>
                <w:color w:val="auto"/>
              </w:rPr>
            </w:pPr>
            <w:r>
              <w:rPr>
                <w:rFonts w:ascii="Arial" w:cs="Arial" w:eastAsia="Arial" w:hAnsi="Arial"/>
                <w:sz w:val="18"/>
                <w:szCs w:val="18"/>
                <w:color w:val="auto"/>
              </w:rPr>
              <w:t>50,000</w:t>
            </w:r>
          </w:p>
        </w:tc>
        <w:tc>
          <w:tcPr>
            <w:tcW w:w="1460" w:type="dxa"/>
            <w:vAlign w:val="bottom"/>
            <w:gridSpan w:val="2"/>
          </w:tcPr>
          <w:p>
            <w:pPr>
              <w:jc w:val="right"/>
              <w:spacing w:after="0"/>
              <w:rPr>
                <w:sz w:val="20"/>
                <w:szCs w:val="20"/>
                <w:color w:val="auto"/>
              </w:rPr>
            </w:pPr>
            <w:r>
              <w:rPr>
                <w:rFonts w:ascii="Arial" w:cs="Arial" w:eastAsia="Arial" w:hAnsi="Arial"/>
                <w:sz w:val="18"/>
                <w:szCs w:val="18"/>
                <w:color w:val="auto"/>
              </w:rPr>
              <w:t>48.09</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1/3/2012</w:t>
            </w:r>
          </w:p>
        </w:tc>
        <w:tc>
          <w:tcPr>
            <w:tcW w:w="160" w:type="dxa"/>
            <w:vAlign w:val="bottom"/>
          </w:tcPr>
          <w:p>
            <w:pPr>
              <w:spacing w:after="0"/>
              <w:rPr>
                <w:sz w:val="19"/>
                <w:szCs w:val="19"/>
                <w:color w:val="auto"/>
              </w:rPr>
            </w:pPr>
          </w:p>
        </w:tc>
        <w:tc>
          <w:tcPr>
            <w:tcW w:w="1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0"/>
        </w:trPr>
        <w:tc>
          <w:tcPr>
            <w:tcW w:w="1160" w:type="dxa"/>
            <w:vAlign w:val="bottom"/>
          </w:tcPr>
          <w:p>
            <w:pPr>
              <w:spacing w:after="0"/>
              <w:rPr>
                <w:sz w:val="18"/>
                <w:szCs w:val="18"/>
                <w:color w:val="auto"/>
              </w:rPr>
            </w:pPr>
          </w:p>
        </w:tc>
        <w:tc>
          <w:tcPr>
            <w:tcW w:w="32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Bernard Kraft</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12,656</w:t>
            </w:r>
          </w:p>
        </w:tc>
        <w:tc>
          <w:tcPr>
            <w:tcW w:w="11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33,870</w:t>
            </w: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6,120</w:t>
            </w:r>
          </w:p>
        </w:tc>
        <w:tc>
          <w:tcPr>
            <w:tcW w:w="1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56.92</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1/4/2015</w:t>
            </w:r>
          </w:p>
        </w:tc>
        <w:tc>
          <w:tcPr>
            <w:tcW w:w="160" w:type="dxa"/>
            <w:vAlign w:val="bottom"/>
            <w:shd w:val="clear" w:color="auto" w:fill="CCEEFF"/>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32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Director</w:t>
            </w:r>
          </w:p>
        </w:tc>
        <w:tc>
          <w:tcPr>
            <w:tcW w:w="9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4,000</w:t>
            </w:r>
          </w:p>
        </w:tc>
        <w:tc>
          <w:tcPr>
            <w:tcW w:w="1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62.77</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1/2/2014</w:t>
            </w:r>
          </w:p>
        </w:tc>
        <w:tc>
          <w:tcPr>
            <w:tcW w:w="160" w:type="dxa"/>
            <w:vAlign w:val="bottom"/>
            <w:shd w:val="clear" w:color="auto" w:fill="CCEEFF"/>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214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17,500</w:t>
            </w:r>
          </w:p>
        </w:tc>
        <w:tc>
          <w:tcPr>
            <w:tcW w:w="1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54.42</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1/2/2013</w:t>
            </w:r>
          </w:p>
        </w:tc>
        <w:tc>
          <w:tcPr>
            <w:tcW w:w="160" w:type="dxa"/>
            <w:vAlign w:val="bottom"/>
            <w:shd w:val="clear" w:color="auto" w:fill="CCEEFF"/>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1160" w:type="dxa"/>
            <w:vAlign w:val="bottom"/>
          </w:tcPr>
          <w:p>
            <w:pPr>
              <w:spacing w:after="0"/>
              <w:rPr>
                <w:sz w:val="19"/>
                <w:szCs w:val="19"/>
                <w:color w:val="auto"/>
              </w:rPr>
            </w:pPr>
          </w:p>
        </w:tc>
        <w:tc>
          <w:tcPr>
            <w:tcW w:w="1080" w:type="dxa"/>
            <w:vAlign w:val="bottom"/>
            <w:shd w:val="clear" w:color="auto" w:fill="CCEEFF"/>
          </w:tcPr>
          <w:p>
            <w:pPr>
              <w:spacing w:after="0"/>
              <w:rPr>
                <w:sz w:val="19"/>
                <w:szCs w:val="19"/>
                <w:color w:val="auto"/>
              </w:rPr>
            </w:pPr>
          </w:p>
        </w:tc>
        <w:tc>
          <w:tcPr>
            <w:tcW w:w="2140" w:type="dxa"/>
            <w:vAlign w:val="bottom"/>
            <w:shd w:val="clear" w:color="auto" w:fill="CCEEFF"/>
          </w:tcPr>
          <w:p>
            <w:pPr>
              <w:spacing w:after="0"/>
              <w:rPr>
                <w:sz w:val="19"/>
                <w:szCs w:val="19"/>
                <w:color w:val="auto"/>
              </w:rPr>
            </w:pPr>
          </w:p>
        </w:tc>
        <w:tc>
          <w:tcPr>
            <w:tcW w:w="9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960" w:type="dxa"/>
            <w:vAlign w:val="bottom"/>
            <w:shd w:val="clear" w:color="auto" w:fill="CCEEFF"/>
          </w:tcPr>
          <w:p>
            <w:pPr>
              <w:spacing w:after="0"/>
              <w:rPr>
                <w:sz w:val="19"/>
                <w:szCs w:val="19"/>
                <w:color w:val="auto"/>
              </w:rPr>
            </w:pP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6,250</w:t>
            </w:r>
          </w:p>
        </w:tc>
        <w:tc>
          <w:tcPr>
            <w:tcW w:w="1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48.09</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1/3/2012</w:t>
            </w:r>
          </w:p>
        </w:tc>
        <w:tc>
          <w:tcPr>
            <w:tcW w:w="160" w:type="dxa"/>
            <w:vAlign w:val="bottom"/>
            <w:shd w:val="clear" w:color="auto" w:fill="CCEEFF"/>
          </w:tcPr>
          <w:p>
            <w:pPr>
              <w:spacing w:after="0"/>
              <w:rPr>
                <w:sz w:val="19"/>
                <w:szCs w:val="19"/>
                <w:color w:val="auto"/>
              </w:rPr>
            </w:pPr>
          </w:p>
        </w:tc>
        <w:tc>
          <w:tcPr>
            <w:tcW w:w="1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8"/>
        </w:trPr>
        <w:tc>
          <w:tcPr>
            <w:tcW w:w="1160" w:type="dxa"/>
            <w:vAlign w:val="bottom"/>
          </w:tcPr>
          <w:p>
            <w:pPr>
              <w:spacing w:after="0"/>
              <w:rPr>
                <w:sz w:val="18"/>
                <w:szCs w:val="18"/>
                <w:color w:val="auto"/>
              </w:rPr>
            </w:pPr>
          </w:p>
        </w:tc>
        <w:tc>
          <w:tcPr>
            <w:tcW w:w="3220" w:type="dxa"/>
            <w:vAlign w:val="bottom"/>
            <w:gridSpan w:val="2"/>
          </w:tcPr>
          <w:p>
            <w:pPr>
              <w:spacing w:after="0"/>
              <w:rPr>
                <w:sz w:val="20"/>
                <w:szCs w:val="20"/>
                <w:color w:val="auto"/>
              </w:rPr>
            </w:pPr>
            <w:r>
              <w:rPr>
                <w:rFonts w:ascii="Arial" w:cs="Arial" w:eastAsia="Arial" w:hAnsi="Arial"/>
                <w:sz w:val="18"/>
                <w:szCs w:val="18"/>
                <w:color w:val="auto"/>
              </w:rPr>
              <w:t>Mel Leiderman</w:t>
            </w:r>
          </w:p>
        </w:tc>
        <w:tc>
          <w:tcPr>
            <w:tcW w:w="960" w:type="dxa"/>
            <w:vAlign w:val="bottom"/>
          </w:tcPr>
          <w:p>
            <w:pPr>
              <w:jc w:val="right"/>
              <w:spacing w:after="0"/>
              <w:rPr>
                <w:sz w:val="20"/>
                <w:szCs w:val="20"/>
                <w:color w:val="auto"/>
              </w:rPr>
            </w:pPr>
            <w:r>
              <w:rPr>
                <w:rFonts w:ascii="Arial" w:cs="Arial" w:eastAsia="Arial" w:hAnsi="Arial"/>
                <w:sz w:val="18"/>
                <w:szCs w:val="18"/>
                <w:color w:val="auto"/>
              </w:rPr>
              <w:t>4,000</w:t>
            </w:r>
          </w:p>
        </w:tc>
        <w:tc>
          <w:tcPr>
            <w:tcW w:w="1120" w:type="dxa"/>
            <w:vAlign w:val="bottom"/>
            <w:gridSpan w:val="2"/>
          </w:tcPr>
          <w:p>
            <w:pPr>
              <w:jc w:val="right"/>
              <w:spacing w:after="0"/>
              <w:rPr>
                <w:sz w:val="20"/>
                <w:szCs w:val="20"/>
                <w:color w:val="auto"/>
              </w:rPr>
            </w:pPr>
            <w:r>
              <w:rPr>
                <w:rFonts w:ascii="Arial" w:cs="Arial" w:eastAsia="Arial" w:hAnsi="Arial"/>
                <w:sz w:val="18"/>
                <w:szCs w:val="18"/>
                <w:color w:val="auto"/>
              </w:rPr>
              <w:t>53,120</w:t>
            </w:r>
          </w:p>
        </w:tc>
        <w:tc>
          <w:tcPr>
            <w:tcW w:w="1100" w:type="dxa"/>
            <w:vAlign w:val="bottom"/>
            <w:gridSpan w:val="2"/>
          </w:tcPr>
          <w:p>
            <w:pPr>
              <w:jc w:val="right"/>
              <w:spacing w:after="0"/>
              <w:rPr>
                <w:sz w:val="20"/>
                <w:szCs w:val="20"/>
                <w:color w:val="auto"/>
              </w:rPr>
            </w:pPr>
            <w:r>
              <w:rPr>
                <w:rFonts w:ascii="Arial" w:cs="Arial" w:eastAsia="Arial" w:hAnsi="Arial"/>
                <w:sz w:val="18"/>
                <w:szCs w:val="18"/>
                <w:color w:val="auto"/>
              </w:rPr>
              <w:t>6,120</w:t>
            </w:r>
          </w:p>
        </w:tc>
        <w:tc>
          <w:tcPr>
            <w:tcW w:w="1460" w:type="dxa"/>
            <w:vAlign w:val="bottom"/>
            <w:gridSpan w:val="2"/>
          </w:tcPr>
          <w:p>
            <w:pPr>
              <w:jc w:val="right"/>
              <w:spacing w:after="0"/>
              <w:rPr>
                <w:sz w:val="20"/>
                <w:szCs w:val="20"/>
                <w:color w:val="auto"/>
              </w:rPr>
            </w:pPr>
            <w:r>
              <w:rPr>
                <w:rFonts w:ascii="Arial" w:cs="Arial" w:eastAsia="Arial" w:hAnsi="Arial"/>
                <w:sz w:val="18"/>
                <w:szCs w:val="18"/>
                <w:color w:val="auto"/>
              </w:rPr>
              <w:t>56.92</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1/4/2015</w:t>
            </w:r>
          </w:p>
        </w:tc>
        <w:tc>
          <w:tcPr>
            <w:tcW w:w="16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380" w:type="dxa"/>
            <w:vAlign w:val="bottom"/>
            <w:gridSpan w:val="3"/>
          </w:tcPr>
          <w:p>
            <w:pPr>
              <w:ind w:left="1140"/>
              <w:spacing w:after="0"/>
              <w:rPr>
                <w:sz w:val="20"/>
                <w:szCs w:val="20"/>
                <w:color w:val="auto"/>
              </w:rPr>
            </w:pPr>
            <w:r>
              <w:rPr>
                <w:rFonts w:ascii="Arial" w:cs="Arial" w:eastAsia="Arial" w:hAnsi="Arial"/>
                <w:sz w:val="18"/>
                <w:szCs w:val="18"/>
                <w:color w:val="auto"/>
              </w:rPr>
              <w:t>Director</w:t>
            </w:r>
          </w:p>
        </w:tc>
        <w:tc>
          <w:tcPr>
            <w:tcW w:w="9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1100" w:type="dxa"/>
            <w:vAlign w:val="bottom"/>
            <w:gridSpan w:val="2"/>
          </w:tcPr>
          <w:p>
            <w:pPr>
              <w:jc w:val="right"/>
              <w:spacing w:after="0"/>
              <w:rPr>
                <w:sz w:val="20"/>
                <w:szCs w:val="20"/>
                <w:color w:val="auto"/>
              </w:rPr>
            </w:pPr>
            <w:r>
              <w:rPr>
                <w:rFonts w:ascii="Arial" w:cs="Arial" w:eastAsia="Arial" w:hAnsi="Arial"/>
                <w:sz w:val="18"/>
                <w:szCs w:val="18"/>
                <w:color w:val="auto"/>
              </w:rPr>
              <w:t>4,000</w:t>
            </w:r>
          </w:p>
        </w:tc>
        <w:tc>
          <w:tcPr>
            <w:tcW w:w="1460" w:type="dxa"/>
            <w:vAlign w:val="bottom"/>
            <w:gridSpan w:val="2"/>
          </w:tcPr>
          <w:p>
            <w:pPr>
              <w:jc w:val="right"/>
              <w:spacing w:after="0"/>
              <w:rPr>
                <w:sz w:val="20"/>
                <w:szCs w:val="20"/>
                <w:color w:val="auto"/>
              </w:rPr>
            </w:pPr>
            <w:r>
              <w:rPr>
                <w:rFonts w:ascii="Arial" w:cs="Arial" w:eastAsia="Arial" w:hAnsi="Arial"/>
                <w:sz w:val="18"/>
                <w:szCs w:val="18"/>
                <w:color w:val="auto"/>
              </w:rPr>
              <w:t>62.77</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1/2/2014</w:t>
            </w:r>
          </w:p>
        </w:tc>
        <w:tc>
          <w:tcPr>
            <w:tcW w:w="16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214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1100" w:type="dxa"/>
            <w:vAlign w:val="bottom"/>
            <w:gridSpan w:val="2"/>
          </w:tcPr>
          <w:p>
            <w:pPr>
              <w:jc w:val="right"/>
              <w:spacing w:after="0"/>
              <w:rPr>
                <w:sz w:val="20"/>
                <w:szCs w:val="20"/>
                <w:color w:val="auto"/>
              </w:rPr>
            </w:pPr>
            <w:r>
              <w:rPr>
                <w:rFonts w:ascii="Arial" w:cs="Arial" w:eastAsia="Arial" w:hAnsi="Arial"/>
                <w:sz w:val="18"/>
                <w:szCs w:val="18"/>
                <w:color w:val="auto"/>
              </w:rPr>
              <w:t>35,000</w:t>
            </w:r>
          </w:p>
        </w:tc>
        <w:tc>
          <w:tcPr>
            <w:tcW w:w="1460" w:type="dxa"/>
            <w:vAlign w:val="bottom"/>
            <w:gridSpan w:val="2"/>
          </w:tcPr>
          <w:p>
            <w:pPr>
              <w:jc w:val="right"/>
              <w:spacing w:after="0"/>
              <w:rPr>
                <w:sz w:val="20"/>
                <w:szCs w:val="20"/>
                <w:color w:val="auto"/>
              </w:rPr>
            </w:pPr>
            <w:r>
              <w:rPr>
                <w:rFonts w:ascii="Arial" w:cs="Arial" w:eastAsia="Arial" w:hAnsi="Arial"/>
                <w:sz w:val="18"/>
                <w:szCs w:val="18"/>
                <w:color w:val="auto"/>
              </w:rPr>
              <w:t>54.42</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1/2/2013</w:t>
            </w:r>
          </w:p>
        </w:tc>
        <w:tc>
          <w:tcPr>
            <w:tcW w:w="16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1160" w:type="dxa"/>
            <w:vAlign w:val="bottom"/>
          </w:tcPr>
          <w:p>
            <w:pPr>
              <w:spacing w:after="0"/>
              <w:rPr>
                <w:sz w:val="19"/>
                <w:szCs w:val="19"/>
                <w:color w:val="auto"/>
              </w:rPr>
            </w:pPr>
          </w:p>
        </w:tc>
        <w:tc>
          <w:tcPr>
            <w:tcW w:w="1080" w:type="dxa"/>
            <w:vAlign w:val="bottom"/>
          </w:tcPr>
          <w:p>
            <w:pPr>
              <w:spacing w:after="0"/>
              <w:rPr>
                <w:sz w:val="19"/>
                <w:szCs w:val="19"/>
                <w:color w:val="auto"/>
              </w:rPr>
            </w:pPr>
          </w:p>
        </w:tc>
        <w:tc>
          <w:tcPr>
            <w:tcW w:w="2140" w:type="dxa"/>
            <w:vAlign w:val="bottom"/>
          </w:tcPr>
          <w:p>
            <w:pPr>
              <w:spacing w:after="0"/>
              <w:rPr>
                <w:sz w:val="19"/>
                <w:szCs w:val="19"/>
                <w:color w:val="auto"/>
              </w:rPr>
            </w:pPr>
          </w:p>
        </w:tc>
        <w:tc>
          <w:tcPr>
            <w:tcW w:w="9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960" w:type="dxa"/>
            <w:vAlign w:val="bottom"/>
          </w:tcPr>
          <w:p>
            <w:pPr>
              <w:spacing w:after="0"/>
              <w:rPr>
                <w:sz w:val="19"/>
                <w:szCs w:val="19"/>
                <w:color w:val="auto"/>
              </w:rPr>
            </w:pPr>
          </w:p>
        </w:tc>
        <w:tc>
          <w:tcPr>
            <w:tcW w:w="1100" w:type="dxa"/>
            <w:vAlign w:val="bottom"/>
            <w:gridSpan w:val="2"/>
          </w:tcPr>
          <w:p>
            <w:pPr>
              <w:jc w:val="right"/>
              <w:spacing w:after="0"/>
              <w:rPr>
                <w:sz w:val="20"/>
                <w:szCs w:val="20"/>
                <w:color w:val="auto"/>
              </w:rPr>
            </w:pPr>
            <w:r>
              <w:rPr>
                <w:rFonts w:ascii="Arial" w:cs="Arial" w:eastAsia="Arial" w:hAnsi="Arial"/>
                <w:sz w:val="18"/>
                <w:szCs w:val="18"/>
                <w:color w:val="auto"/>
              </w:rPr>
              <w:t>8,000</w:t>
            </w:r>
          </w:p>
        </w:tc>
        <w:tc>
          <w:tcPr>
            <w:tcW w:w="1460" w:type="dxa"/>
            <w:vAlign w:val="bottom"/>
            <w:gridSpan w:val="2"/>
          </w:tcPr>
          <w:p>
            <w:pPr>
              <w:jc w:val="right"/>
              <w:spacing w:after="0"/>
              <w:rPr>
                <w:sz w:val="20"/>
                <w:szCs w:val="20"/>
                <w:color w:val="auto"/>
              </w:rPr>
            </w:pPr>
            <w:r>
              <w:rPr>
                <w:rFonts w:ascii="Arial" w:cs="Arial" w:eastAsia="Arial" w:hAnsi="Arial"/>
                <w:sz w:val="18"/>
                <w:szCs w:val="18"/>
                <w:color w:val="auto"/>
              </w:rPr>
              <w:t>48.09</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1/2/2012</w:t>
            </w:r>
          </w:p>
        </w:tc>
        <w:tc>
          <w:tcPr>
            <w:tcW w:w="160" w:type="dxa"/>
            <w:vAlign w:val="bottom"/>
          </w:tcPr>
          <w:p>
            <w:pPr>
              <w:spacing w:after="0"/>
              <w:rPr>
                <w:sz w:val="19"/>
                <w:szCs w:val="19"/>
                <w:color w:val="auto"/>
              </w:rPr>
            </w:pPr>
          </w:p>
        </w:tc>
        <w:tc>
          <w:tcPr>
            <w:tcW w:w="1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0"/>
        </w:trPr>
        <w:tc>
          <w:tcPr>
            <w:tcW w:w="1160" w:type="dxa"/>
            <w:vAlign w:val="bottom"/>
          </w:tcPr>
          <w:p>
            <w:pPr>
              <w:spacing w:after="0"/>
              <w:rPr>
                <w:sz w:val="18"/>
                <w:szCs w:val="18"/>
                <w:color w:val="auto"/>
              </w:rPr>
            </w:pPr>
          </w:p>
        </w:tc>
        <w:tc>
          <w:tcPr>
            <w:tcW w:w="32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James D. Nasso</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18,189</w:t>
            </w:r>
          </w:p>
        </w:tc>
        <w:tc>
          <w:tcPr>
            <w:tcW w:w="11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101,995</w:t>
            </w: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6,120</w:t>
            </w:r>
          </w:p>
        </w:tc>
        <w:tc>
          <w:tcPr>
            <w:tcW w:w="1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56.92</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1/4/2015</w:t>
            </w:r>
          </w:p>
        </w:tc>
        <w:tc>
          <w:tcPr>
            <w:tcW w:w="160" w:type="dxa"/>
            <w:vAlign w:val="bottom"/>
            <w:shd w:val="clear" w:color="auto" w:fill="CCEEFF"/>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32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Director and Chairman of the Board</w:t>
            </w:r>
          </w:p>
        </w:tc>
        <w:tc>
          <w:tcPr>
            <w:tcW w:w="9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4,000</w:t>
            </w:r>
          </w:p>
        </w:tc>
        <w:tc>
          <w:tcPr>
            <w:tcW w:w="1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62.77</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1/2/2014</w:t>
            </w:r>
          </w:p>
        </w:tc>
        <w:tc>
          <w:tcPr>
            <w:tcW w:w="160" w:type="dxa"/>
            <w:vAlign w:val="bottom"/>
            <w:shd w:val="clear" w:color="auto" w:fill="CCEEFF"/>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214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65,000</w:t>
            </w:r>
          </w:p>
        </w:tc>
        <w:tc>
          <w:tcPr>
            <w:tcW w:w="1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54.42</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1/3/2013</w:t>
            </w:r>
          </w:p>
        </w:tc>
        <w:tc>
          <w:tcPr>
            <w:tcW w:w="160" w:type="dxa"/>
            <w:vAlign w:val="bottom"/>
            <w:shd w:val="clear" w:color="auto" w:fill="CCEEFF"/>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214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25,000</w:t>
            </w:r>
          </w:p>
        </w:tc>
        <w:tc>
          <w:tcPr>
            <w:tcW w:w="1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48.09</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1/2/2012</w:t>
            </w:r>
          </w:p>
        </w:tc>
        <w:tc>
          <w:tcPr>
            <w:tcW w:w="160" w:type="dxa"/>
            <w:vAlign w:val="bottom"/>
            <w:shd w:val="clear" w:color="auto" w:fill="CCEEFF"/>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1160" w:type="dxa"/>
            <w:vAlign w:val="bottom"/>
          </w:tcPr>
          <w:p>
            <w:pPr>
              <w:spacing w:after="0"/>
              <w:rPr>
                <w:sz w:val="19"/>
                <w:szCs w:val="19"/>
                <w:color w:val="auto"/>
              </w:rPr>
            </w:pPr>
          </w:p>
        </w:tc>
        <w:tc>
          <w:tcPr>
            <w:tcW w:w="1080" w:type="dxa"/>
            <w:vAlign w:val="bottom"/>
            <w:shd w:val="clear" w:color="auto" w:fill="CCEEFF"/>
          </w:tcPr>
          <w:p>
            <w:pPr>
              <w:spacing w:after="0"/>
              <w:rPr>
                <w:sz w:val="19"/>
                <w:szCs w:val="19"/>
                <w:color w:val="auto"/>
              </w:rPr>
            </w:pPr>
          </w:p>
        </w:tc>
        <w:tc>
          <w:tcPr>
            <w:tcW w:w="2140" w:type="dxa"/>
            <w:vAlign w:val="bottom"/>
            <w:shd w:val="clear" w:color="auto" w:fill="CCEEFF"/>
          </w:tcPr>
          <w:p>
            <w:pPr>
              <w:spacing w:after="0"/>
              <w:rPr>
                <w:sz w:val="19"/>
                <w:szCs w:val="19"/>
                <w:color w:val="auto"/>
              </w:rPr>
            </w:pPr>
          </w:p>
        </w:tc>
        <w:tc>
          <w:tcPr>
            <w:tcW w:w="9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960" w:type="dxa"/>
            <w:vAlign w:val="bottom"/>
            <w:shd w:val="clear" w:color="auto" w:fill="CCEEFF"/>
          </w:tcPr>
          <w:p>
            <w:pPr>
              <w:spacing w:after="0"/>
              <w:rPr>
                <w:sz w:val="19"/>
                <w:szCs w:val="19"/>
                <w:color w:val="auto"/>
              </w:rPr>
            </w:pP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1,875</w:t>
            </w:r>
          </w:p>
        </w:tc>
        <w:tc>
          <w:tcPr>
            <w:tcW w:w="1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23.02</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1/3/2011</w:t>
            </w:r>
          </w:p>
        </w:tc>
        <w:tc>
          <w:tcPr>
            <w:tcW w:w="160" w:type="dxa"/>
            <w:vAlign w:val="bottom"/>
            <w:shd w:val="clear" w:color="auto" w:fill="CCEEFF"/>
          </w:tcPr>
          <w:p>
            <w:pPr>
              <w:spacing w:after="0"/>
              <w:rPr>
                <w:sz w:val="19"/>
                <w:szCs w:val="19"/>
                <w:color w:val="auto"/>
              </w:rPr>
            </w:pPr>
          </w:p>
        </w:tc>
        <w:tc>
          <w:tcPr>
            <w:tcW w:w="1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8"/>
        </w:trPr>
        <w:tc>
          <w:tcPr>
            <w:tcW w:w="1160" w:type="dxa"/>
            <w:vAlign w:val="bottom"/>
          </w:tcPr>
          <w:p>
            <w:pPr>
              <w:spacing w:after="0"/>
              <w:rPr>
                <w:sz w:val="18"/>
                <w:szCs w:val="18"/>
                <w:color w:val="auto"/>
              </w:rPr>
            </w:pPr>
          </w:p>
        </w:tc>
        <w:tc>
          <w:tcPr>
            <w:tcW w:w="3220" w:type="dxa"/>
            <w:vAlign w:val="bottom"/>
            <w:gridSpan w:val="2"/>
          </w:tcPr>
          <w:p>
            <w:pPr>
              <w:spacing w:after="0"/>
              <w:rPr>
                <w:sz w:val="20"/>
                <w:szCs w:val="20"/>
                <w:color w:val="auto"/>
              </w:rPr>
            </w:pPr>
            <w:r>
              <w:rPr>
                <w:rFonts w:ascii="Arial" w:cs="Arial" w:eastAsia="Arial" w:hAnsi="Arial"/>
                <w:sz w:val="18"/>
                <w:szCs w:val="18"/>
                <w:color w:val="auto"/>
              </w:rPr>
              <w:t>J. Merfyn Roberts</w:t>
            </w:r>
          </w:p>
        </w:tc>
        <w:tc>
          <w:tcPr>
            <w:tcW w:w="960" w:type="dxa"/>
            <w:vAlign w:val="bottom"/>
          </w:tcPr>
          <w:p>
            <w:pPr>
              <w:jc w:val="right"/>
              <w:spacing w:after="0"/>
              <w:rPr>
                <w:sz w:val="20"/>
                <w:szCs w:val="20"/>
                <w:color w:val="auto"/>
              </w:rPr>
            </w:pPr>
            <w:r>
              <w:rPr>
                <w:rFonts w:ascii="Arial" w:cs="Arial" w:eastAsia="Arial" w:hAnsi="Arial"/>
                <w:sz w:val="18"/>
                <w:szCs w:val="18"/>
                <w:color w:val="auto"/>
              </w:rPr>
              <w:t>5,500</w:t>
            </w:r>
          </w:p>
        </w:tc>
        <w:tc>
          <w:tcPr>
            <w:tcW w:w="1120" w:type="dxa"/>
            <w:vAlign w:val="bottom"/>
            <w:gridSpan w:val="2"/>
          </w:tcPr>
          <w:p>
            <w:pPr>
              <w:jc w:val="right"/>
              <w:spacing w:after="0"/>
              <w:rPr>
                <w:sz w:val="20"/>
                <w:szCs w:val="20"/>
                <w:color w:val="auto"/>
              </w:rPr>
            </w:pPr>
            <w:r>
              <w:rPr>
                <w:rFonts w:ascii="Arial" w:cs="Arial" w:eastAsia="Arial" w:hAnsi="Arial"/>
                <w:sz w:val="18"/>
                <w:szCs w:val="18"/>
                <w:color w:val="auto"/>
              </w:rPr>
              <w:t>17,320</w:t>
            </w:r>
          </w:p>
        </w:tc>
        <w:tc>
          <w:tcPr>
            <w:tcW w:w="1100" w:type="dxa"/>
            <w:vAlign w:val="bottom"/>
            <w:gridSpan w:val="2"/>
          </w:tcPr>
          <w:p>
            <w:pPr>
              <w:jc w:val="right"/>
              <w:spacing w:after="0"/>
              <w:rPr>
                <w:sz w:val="20"/>
                <w:szCs w:val="20"/>
                <w:color w:val="auto"/>
              </w:rPr>
            </w:pPr>
            <w:r>
              <w:rPr>
                <w:rFonts w:ascii="Arial" w:cs="Arial" w:eastAsia="Arial" w:hAnsi="Arial"/>
                <w:sz w:val="18"/>
                <w:szCs w:val="18"/>
                <w:color w:val="auto"/>
              </w:rPr>
              <w:t>6,120</w:t>
            </w:r>
          </w:p>
        </w:tc>
        <w:tc>
          <w:tcPr>
            <w:tcW w:w="1460" w:type="dxa"/>
            <w:vAlign w:val="bottom"/>
            <w:gridSpan w:val="2"/>
          </w:tcPr>
          <w:p>
            <w:pPr>
              <w:jc w:val="right"/>
              <w:spacing w:after="0"/>
              <w:rPr>
                <w:sz w:val="20"/>
                <w:szCs w:val="20"/>
                <w:color w:val="auto"/>
              </w:rPr>
            </w:pPr>
            <w:r>
              <w:rPr>
                <w:rFonts w:ascii="Arial" w:cs="Arial" w:eastAsia="Arial" w:hAnsi="Arial"/>
                <w:sz w:val="18"/>
                <w:szCs w:val="18"/>
                <w:color w:val="auto"/>
              </w:rPr>
              <w:t>56.92</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1/4/2015</w:t>
            </w:r>
          </w:p>
        </w:tc>
        <w:tc>
          <w:tcPr>
            <w:tcW w:w="16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380" w:type="dxa"/>
            <w:vAlign w:val="bottom"/>
            <w:gridSpan w:val="3"/>
          </w:tcPr>
          <w:p>
            <w:pPr>
              <w:ind w:left="1140"/>
              <w:spacing w:after="0"/>
              <w:rPr>
                <w:sz w:val="20"/>
                <w:szCs w:val="20"/>
                <w:color w:val="auto"/>
              </w:rPr>
            </w:pPr>
            <w:r>
              <w:rPr>
                <w:rFonts w:ascii="Arial" w:cs="Arial" w:eastAsia="Arial" w:hAnsi="Arial"/>
                <w:sz w:val="18"/>
                <w:szCs w:val="18"/>
                <w:color w:val="auto"/>
              </w:rPr>
              <w:t>Director</w:t>
            </w:r>
          </w:p>
        </w:tc>
        <w:tc>
          <w:tcPr>
            <w:tcW w:w="9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1100" w:type="dxa"/>
            <w:vAlign w:val="bottom"/>
            <w:gridSpan w:val="2"/>
          </w:tcPr>
          <w:p>
            <w:pPr>
              <w:jc w:val="right"/>
              <w:spacing w:after="0"/>
              <w:rPr>
                <w:sz w:val="20"/>
                <w:szCs w:val="20"/>
                <w:color w:val="auto"/>
              </w:rPr>
            </w:pPr>
            <w:r>
              <w:rPr>
                <w:rFonts w:ascii="Arial" w:cs="Arial" w:eastAsia="Arial" w:hAnsi="Arial"/>
                <w:sz w:val="18"/>
                <w:szCs w:val="18"/>
                <w:color w:val="auto"/>
              </w:rPr>
              <w:t>4,000</w:t>
            </w:r>
          </w:p>
        </w:tc>
        <w:tc>
          <w:tcPr>
            <w:tcW w:w="1460" w:type="dxa"/>
            <w:vAlign w:val="bottom"/>
            <w:gridSpan w:val="2"/>
          </w:tcPr>
          <w:p>
            <w:pPr>
              <w:jc w:val="right"/>
              <w:spacing w:after="0"/>
              <w:rPr>
                <w:sz w:val="20"/>
                <w:szCs w:val="20"/>
                <w:color w:val="auto"/>
              </w:rPr>
            </w:pPr>
            <w:r>
              <w:rPr>
                <w:rFonts w:ascii="Arial" w:cs="Arial" w:eastAsia="Arial" w:hAnsi="Arial"/>
                <w:sz w:val="18"/>
                <w:szCs w:val="18"/>
                <w:color w:val="auto"/>
              </w:rPr>
              <w:t>62.77</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1/2/2014</w:t>
            </w:r>
          </w:p>
        </w:tc>
        <w:tc>
          <w:tcPr>
            <w:tcW w:w="16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1160" w:type="dxa"/>
            <w:vAlign w:val="bottom"/>
          </w:tcPr>
          <w:p>
            <w:pPr>
              <w:spacing w:after="0"/>
              <w:rPr>
                <w:sz w:val="19"/>
                <w:szCs w:val="19"/>
                <w:color w:val="auto"/>
              </w:rPr>
            </w:pPr>
          </w:p>
        </w:tc>
        <w:tc>
          <w:tcPr>
            <w:tcW w:w="1080" w:type="dxa"/>
            <w:vAlign w:val="bottom"/>
          </w:tcPr>
          <w:p>
            <w:pPr>
              <w:spacing w:after="0"/>
              <w:rPr>
                <w:sz w:val="19"/>
                <w:szCs w:val="19"/>
                <w:color w:val="auto"/>
              </w:rPr>
            </w:pPr>
          </w:p>
        </w:tc>
        <w:tc>
          <w:tcPr>
            <w:tcW w:w="2140" w:type="dxa"/>
            <w:vAlign w:val="bottom"/>
          </w:tcPr>
          <w:p>
            <w:pPr>
              <w:spacing w:after="0"/>
              <w:rPr>
                <w:sz w:val="19"/>
                <w:szCs w:val="19"/>
                <w:color w:val="auto"/>
              </w:rPr>
            </w:pPr>
          </w:p>
        </w:tc>
        <w:tc>
          <w:tcPr>
            <w:tcW w:w="9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960" w:type="dxa"/>
            <w:vAlign w:val="bottom"/>
          </w:tcPr>
          <w:p>
            <w:pPr>
              <w:spacing w:after="0"/>
              <w:rPr>
                <w:sz w:val="19"/>
                <w:szCs w:val="19"/>
                <w:color w:val="auto"/>
              </w:rPr>
            </w:pPr>
          </w:p>
        </w:tc>
        <w:tc>
          <w:tcPr>
            <w:tcW w:w="1100" w:type="dxa"/>
            <w:vAlign w:val="bottom"/>
            <w:gridSpan w:val="2"/>
          </w:tcPr>
          <w:p>
            <w:pPr>
              <w:jc w:val="right"/>
              <w:spacing w:after="0"/>
              <w:rPr>
                <w:sz w:val="20"/>
                <w:szCs w:val="20"/>
                <w:color w:val="auto"/>
              </w:rPr>
            </w:pPr>
            <w:r>
              <w:rPr>
                <w:rFonts w:ascii="Arial" w:cs="Arial" w:eastAsia="Arial" w:hAnsi="Arial"/>
                <w:sz w:val="18"/>
                <w:szCs w:val="18"/>
                <w:color w:val="auto"/>
              </w:rPr>
              <w:t>7,200</w:t>
            </w:r>
          </w:p>
        </w:tc>
        <w:tc>
          <w:tcPr>
            <w:tcW w:w="1460" w:type="dxa"/>
            <w:vAlign w:val="bottom"/>
            <w:gridSpan w:val="2"/>
          </w:tcPr>
          <w:p>
            <w:pPr>
              <w:jc w:val="right"/>
              <w:spacing w:after="0"/>
              <w:rPr>
                <w:sz w:val="20"/>
                <w:szCs w:val="20"/>
                <w:color w:val="auto"/>
              </w:rPr>
            </w:pPr>
            <w:r>
              <w:rPr>
                <w:rFonts w:ascii="Arial" w:cs="Arial" w:eastAsia="Arial" w:hAnsi="Arial"/>
                <w:sz w:val="18"/>
                <w:szCs w:val="18"/>
                <w:color w:val="auto"/>
              </w:rPr>
              <w:t>33.26</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11/3/2013</w:t>
            </w:r>
          </w:p>
        </w:tc>
        <w:tc>
          <w:tcPr>
            <w:tcW w:w="160" w:type="dxa"/>
            <w:vAlign w:val="bottom"/>
          </w:tcPr>
          <w:p>
            <w:pPr>
              <w:spacing w:after="0"/>
              <w:rPr>
                <w:sz w:val="19"/>
                <w:szCs w:val="19"/>
                <w:color w:val="auto"/>
              </w:rPr>
            </w:pPr>
          </w:p>
        </w:tc>
        <w:tc>
          <w:tcPr>
            <w:tcW w:w="1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0"/>
        </w:trPr>
        <w:tc>
          <w:tcPr>
            <w:tcW w:w="1160" w:type="dxa"/>
            <w:vAlign w:val="bottom"/>
          </w:tcPr>
          <w:p>
            <w:pPr>
              <w:spacing w:after="0"/>
              <w:rPr>
                <w:sz w:val="18"/>
                <w:szCs w:val="18"/>
                <w:color w:val="auto"/>
              </w:rPr>
            </w:pPr>
          </w:p>
        </w:tc>
        <w:tc>
          <w:tcPr>
            <w:tcW w:w="32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Eberhard Scherkus</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59,743</w:t>
            </w:r>
          </w:p>
        </w:tc>
        <w:tc>
          <w:tcPr>
            <w:tcW w:w="11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550,000</w:t>
            </w: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175,000</w:t>
            </w:r>
          </w:p>
        </w:tc>
        <w:tc>
          <w:tcPr>
            <w:tcW w:w="1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56.92</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1/4/2015</w:t>
            </w:r>
          </w:p>
        </w:tc>
        <w:tc>
          <w:tcPr>
            <w:tcW w:w="160" w:type="dxa"/>
            <w:vAlign w:val="bottom"/>
            <w:shd w:val="clear" w:color="auto" w:fill="CCEEFF"/>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32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Director, President and</w:t>
            </w:r>
          </w:p>
        </w:tc>
        <w:tc>
          <w:tcPr>
            <w:tcW w:w="9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175,000</w:t>
            </w:r>
          </w:p>
        </w:tc>
        <w:tc>
          <w:tcPr>
            <w:tcW w:w="1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62.77</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1/2/2014</w:t>
            </w:r>
          </w:p>
        </w:tc>
        <w:tc>
          <w:tcPr>
            <w:tcW w:w="160" w:type="dxa"/>
            <w:vAlign w:val="bottom"/>
            <w:shd w:val="clear" w:color="auto" w:fill="CCEEFF"/>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32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Chief Operating Officer</w:t>
            </w:r>
          </w:p>
        </w:tc>
        <w:tc>
          <w:tcPr>
            <w:tcW w:w="9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125,000</w:t>
            </w:r>
          </w:p>
        </w:tc>
        <w:tc>
          <w:tcPr>
            <w:tcW w:w="1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54.42</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1/2/2013</w:t>
            </w:r>
          </w:p>
        </w:tc>
        <w:tc>
          <w:tcPr>
            <w:tcW w:w="160" w:type="dxa"/>
            <w:vAlign w:val="bottom"/>
            <w:shd w:val="clear" w:color="auto" w:fill="CCEEFF"/>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1160" w:type="dxa"/>
            <w:vAlign w:val="bottom"/>
          </w:tcPr>
          <w:p>
            <w:pPr>
              <w:spacing w:after="0"/>
              <w:rPr>
                <w:sz w:val="19"/>
                <w:szCs w:val="19"/>
                <w:color w:val="auto"/>
              </w:rPr>
            </w:pPr>
          </w:p>
        </w:tc>
        <w:tc>
          <w:tcPr>
            <w:tcW w:w="1080" w:type="dxa"/>
            <w:vAlign w:val="bottom"/>
            <w:shd w:val="clear" w:color="auto" w:fill="CCEEFF"/>
          </w:tcPr>
          <w:p>
            <w:pPr>
              <w:spacing w:after="0"/>
              <w:rPr>
                <w:sz w:val="19"/>
                <w:szCs w:val="19"/>
                <w:color w:val="auto"/>
              </w:rPr>
            </w:pPr>
          </w:p>
        </w:tc>
        <w:tc>
          <w:tcPr>
            <w:tcW w:w="2140" w:type="dxa"/>
            <w:vAlign w:val="bottom"/>
            <w:shd w:val="clear" w:color="auto" w:fill="CCEEFF"/>
          </w:tcPr>
          <w:p>
            <w:pPr>
              <w:spacing w:after="0"/>
              <w:rPr>
                <w:sz w:val="19"/>
                <w:szCs w:val="19"/>
                <w:color w:val="auto"/>
              </w:rPr>
            </w:pPr>
          </w:p>
        </w:tc>
        <w:tc>
          <w:tcPr>
            <w:tcW w:w="9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960" w:type="dxa"/>
            <w:vAlign w:val="bottom"/>
            <w:shd w:val="clear" w:color="auto" w:fill="CCEEFF"/>
          </w:tcPr>
          <w:p>
            <w:pPr>
              <w:spacing w:after="0"/>
              <w:rPr>
                <w:sz w:val="19"/>
                <w:szCs w:val="19"/>
                <w:color w:val="auto"/>
              </w:rPr>
            </w:pP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75,000</w:t>
            </w:r>
          </w:p>
        </w:tc>
        <w:tc>
          <w:tcPr>
            <w:tcW w:w="1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48.09</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1/2/2012</w:t>
            </w:r>
          </w:p>
        </w:tc>
        <w:tc>
          <w:tcPr>
            <w:tcW w:w="160" w:type="dxa"/>
            <w:vAlign w:val="bottom"/>
            <w:shd w:val="clear" w:color="auto" w:fill="CCEEFF"/>
          </w:tcPr>
          <w:p>
            <w:pPr>
              <w:spacing w:after="0"/>
              <w:rPr>
                <w:sz w:val="19"/>
                <w:szCs w:val="19"/>
                <w:color w:val="auto"/>
              </w:rPr>
            </w:pPr>
          </w:p>
        </w:tc>
        <w:tc>
          <w:tcPr>
            <w:tcW w:w="1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8"/>
        </w:trPr>
        <w:tc>
          <w:tcPr>
            <w:tcW w:w="1160" w:type="dxa"/>
            <w:vAlign w:val="bottom"/>
          </w:tcPr>
          <w:p>
            <w:pPr>
              <w:spacing w:after="0"/>
              <w:rPr>
                <w:sz w:val="18"/>
                <w:szCs w:val="18"/>
                <w:color w:val="auto"/>
              </w:rPr>
            </w:pPr>
          </w:p>
        </w:tc>
        <w:tc>
          <w:tcPr>
            <w:tcW w:w="3220" w:type="dxa"/>
            <w:vAlign w:val="bottom"/>
            <w:gridSpan w:val="2"/>
          </w:tcPr>
          <w:p>
            <w:pPr>
              <w:spacing w:after="0"/>
              <w:rPr>
                <w:sz w:val="20"/>
                <w:szCs w:val="20"/>
                <w:color w:val="auto"/>
              </w:rPr>
            </w:pPr>
            <w:r>
              <w:rPr>
                <w:rFonts w:ascii="Arial" w:cs="Arial" w:eastAsia="Arial" w:hAnsi="Arial"/>
                <w:sz w:val="18"/>
                <w:szCs w:val="18"/>
                <w:color w:val="auto"/>
              </w:rPr>
              <w:t>Howard Stockford</w:t>
            </w:r>
          </w:p>
        </w:tc>
        <w:tc>
          <w:tcPr>
            <w:tcW w:w="960" w:type="dxa"/>
            <w:vAlign w:val="bottom"/>
          </w:tcPr>
          <w:p>
            <w:pPr>
              <w:jc w:val="right"/>
              <w:spacing w:after="0"/>
              <w:rPr>
                <w:sz w:val="20"/>
                <w:szCs w:val="20"/>
                <w:color w:val="auto"/>
              </w:rPr>
            </w:pPr>
            <w:r>
              <w:rPr>
                <w:rFonts w:ascii="Arial" w:cs="Arial" w:eastAsia="Arial" w:hAnsi="Arial"/>
                <w:sz w:val="18"/>
                <w:szCs w:val="18"/>
                <w:color w:val="auto"/>
              </w:rPr>
              <w:t>5,568</w:t>
            </w:r>
          </w:p>
        </w:tc>
        <w:tc>
          <w:tcPr>
            <w:tcW w:w="1120" w:type="dxa"/>
            <w:vAlign w:val="bottom"/>
            <w:gridSpan w:val="2"/>
          </w:tcPr>
          <w:p>
            <w:pPr>
              <w:jc w:val="right"/>
              <w:spacing w:after="0"/>
              <w:rPr>
                <w:sz w:val="20"/>
                <w:szCs w:val="20"/>
                <w:color w:val="auto"/>
              </w:rPr>
            </w:pPr>
            <w:r>
              <w:rPr>
                <w:rFonts w:ascii="Arial" w:cs="Arial" w:eastAsia="Arial" w:hAnsi="Arial"/>
                <w:sz w:val="18"/>
                <w:szCs w:val="18"/>
                <w:color w:val="auto"/>
              </w:rPr>
              <w:t>62,620</w:t>
            </w:r>
          </w:p>
        </w:tc>
        <w:tc>
          <w:tcPr>
            <w:tcW w:w="1100" w:type="dxa"/>
            <w:vAlign w:val="bottom"/>
            <w:gridSpan w:val="2"/>
          </w:tcPr>
          <w:p>
            <w:pPr>
              <w:jc w:val="right"/>
              <w:spacing w:after="0"/>
              <w:rPr>
                <w:sz w:val="20"/>
                <w:szCs w:val="20"/>
                <w:color w:val="auto"/>
              </w:rPr>
            </w:pPr>
            <w:r>
              <w:rPr>
                <w:rFonts w:ascii="Arial" w:cs="Arial" w:eastAsia="Arial" w:hAnsi="Arial"/>
                <w:sz w:val="18"/>
                <w:szCs w:val="18"/>
                <w:color w:val="auto"/>
              </w:rPr>
              <w:t>6,120</w:t>
            </w:r>
          </w:p>
        </w:tc>
        <w:tc>
          <w:tcPr>
            <w:tcW w:w="1460" w:type="dxa"/>
            <w:vAlign w:val="bottom"/>
            <w:gridSpan w:val="2"/>
          </w:tcPr>
          <w:p>
            <w:pPr>
              <w:jc w:val="right"/>
              <w:spacing w:after="0"/>
              <w:rPr>
                <w:sz w:val="20"/>
                <w:szCs w:val="20"/>
                <w:color w:val="auto"/>
              </w:rPr>
            </w:pPr>
            <w:r>
              <w:rPr>
                <w:rFonts w:ascii="Arial" w:cs="Arial" w:eastAsia="Arial" w:hAnsi="Arial"/>
                <w:sz w:val="18"/>
                <w:szCs w:val="18"/>
                <w:color w:val="auto"/>
              </w:rPr>
              <w:t>56.92</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1/4/2015</w:t>
            </w:r>
          </w:p>
        </w:tc>
        <w:tc>
          <w:tcPr>
            <w:tcW w:w="16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380" w:type="dxa"/>
            <w:vAlign w:val="bottom"/>
            <w:gridSpan w:val="3"/>
          </w:tcPr>
          <w:p>
            <w:pPr>
              <w:ind w:left="1140"/>
              <w:spacing w:after="0"/>
              <w:rPr>
                <w:sz w:val="20"/>
                <w:szCs w:val="20"/>
                <w:color w:val="auto"/>
              </w:rPr>
            </w:pPr>
            <w:r>
              <w:rPr>
                <w:rFonts w:ascii="Arial" w:cs="Arial" w:eastAsia="Arial" w:hAnsi="Arial"/>
                <w:sz w:val="18"/>
                <w:szCs w:val="18"/>
                <w:color w:val="auto"/>
              </w:rPr>
              <w:t>Director</w:t>
            </w:r>
          </w:p>
        </w:tc>
        <w:tc>
          <w:tcPr>
            <w:tcW w:w="9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1100" w:type="dxa"/>
            <w:vAlign w:val="bottom"/>
            <w:gridSpan w:val="2"/>
          </w:tcPr>
          <w:p>
            <w:pPr>
              <w:jc w:val="right"/>
              <w:spacing w:after="0"/>
              <w:rPr>
                <w:sz w:val="20"/>
                <w:szCs w:val="20"/>
                <w:color w:val="auto"/>
              </w:rPr>
            </w:pPr>
            <w:r>
              <w:rPr>
                <w:rFonts w:ascii="Arial" w:cs="Arial" w:eastAsia="Arial" w:hAnsi="Arial"/>
                <w:sz w:val="18"/>
                <w:szCs w:val="18"/>
                <w:color w:val="auto"/>
              </w:rPr>
              <w:t>4,000</w:t>
            </w:r>
          </w:p>
        </w:tc>
        <w:tc>
          <w:tcPr>
            <w:tcW w:w="1460" w:type="dxa"/>
            <w:vAlign w:val="bottom"/>
            <w:gridSpan w:val="2"/>
          </w:tcPr>
          <w:p>
            <w:pPr>
              <w:jc w:val="right"/>
              <w:spacing w:after="0"/>
              <w:rPr>
                <w:sz w:val="20"/>
                <w:szCs w:val="20"/>
                <w:color w:val="auto"/>
              </w:rPr>
            </w:pPr>
            <w:r>
              <w:rPr>
                <w:rFonts w:ascii="Arial" w:cs="Arial" w:eastAsia="Arial" w:hAnsi="Arial"/>
                <w:sz w:val="18"/>
                <w:szCs w:val="18"/>
                <w:color w:val="auto"/>
              </w:rPr>
              <w:t>62.77</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1/2/2014</w:t>
            </w:r>
          </w:p>
        </w:tc>
        <w:tc>
          <w:tcPr>
            <w:tcW w:w="16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214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1100" w:type="dxa"/>
            <w:vAlign w:val="bottom"/>
            <w:gridSpan w:val="2"/>
          </w:tcPr>
          <w:p>
            <w:pPr>
              <w:jc w:val="right"/>
              <w:spacing w:after="0"/>
              <w:rPr>
                <w:sz w:val="20"/>
                <w:szCs w:val="20"/>
                <w:color w:val="auto"/>
              </w:rPr>
            </w:pPr>
            <w:r>
              <w:rPr>
                <w:rFonts w:ascii="Arial" w:cs="Arial" w:eastAsia="Arial" w:hAnsi="Arial"/>
                <w:sz w:val="18"/>
                <w:szCs w:val="18"/>
                <w:color w:val="auto"/>
              </w:rPr>
              <w:t>35,000</w:t>
            </w:r>
          </w:p>
        </w:tc>
        <w:tc>
          <w:tcPr>
            <w:tcW w:w="1460" w:type="dxa"/>
            <w:vAlign w:val="bottom"/>
            <w:gridSpan w:val="2"/>
          </w:tcPr>
          <w:p>
            <w:pPr>
              <w:jc w:val="right"/>
              <w:spacing w:after="0"/>
              <w:rPr>
                <w:sz w:val="20"/>
                <w:szCs w:val="20"/>
                <w:color w:val="auto"/>
              </w:rPr>
            </w:pPr>
            <w:r>
              <w:rPr>
                <w:rFonts w:ascii="Arial" w:cs="Arial" w:eastAsia="Arial" w:hAnsi="Arial"/>
                <w:sz w:val="18"/>
                <w:szCs w:val="18"/>
                <w:color w:val="auto"/>
              </w:rPr>
              <w:t>54.42</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1/2/2013</w:t>
            </w:r>
          </w:p>
        </w:tc>
        <w:tc>
          <w:tcPr>
            <w:tcW w:w="16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1160" w:type="dxa"/>
            <w:vAlign w:val="bottom"/>
          </w:tcPr>
          <w:p>
            <w:pPr>
              <w:spacing w:after="0"/>
              <w:rPr>
                <w:sz w:val="19"/>
                <w:szCs w:val="19"/>
                <w:color w:val="auto"/>
              </w:rPr>
            </w:pPr>
          </w:p>
        </w:tc>
        <w:tc>
          <w:tcPr>
            <w:tcW w:w="1080" w:type="dxa"/>
            <w:vAlign w:val="bottom"/>
          </w:tcPr>
          <w:p>
            <w:pPr>
              <w:spacing w:after="0"/>
              <w:rPr>
                <w:sz w:val="19"/>
                <w:szCs w:val="19"/>
                <w:color w:val="auto"/>
              </w:rPr>
            </w:pPr>
          </w:p>
        </w:tc>
        <w:tc>
          <w:tcPr>
            <w:tcW w:w="2140" w:type="dxa"/>
            <w:vAlign w:val="bottom"/>
          </w:tcPr>
          <w:p>
            <w:pPr>
              <w:spacing w:after="0"/>
              <w:rPr>
                <w:sz w:val="19"/>
                <w:szCs w:val="19"/>
                <w:color w:val="auto"/>
              </w:rPr>
            </w:pPr>
          </w:p>
        </w:tc>
        <w:tc>
          <w:tcPr>
            <w:tcW w:w="9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960" w:type="dxa"/>
            <w:vAlign w:val="bottom"/>
          </w:tcPr>
          <w:p>
            <w:pPr>
              <w:spacing w:after="0"/>
              <w:rPr>
                <w:sz w:val="19"/>
                <w:szCs w:val="19"/>
                <w:color w:val="auto"/>
              </w:rPr>
            </w:pPr>
          </w:p>
        </w:tc>
        <w:tc>
          <w:tcPr>
            <w:tcW w:w="1100" w:type="dxa"/>
            <w:vAlign w:val="bottom"/>
            <w:gridSpan w:val="2"/>
          </w:tcPr>
          <w:p>
            <w:pPr>
              <w:jc w:val="right"/>
              <w:spacing w:after="0"/>
              <w:rPr>
                <w:sz w:val="20"/>
                <w:szCs w:val="20"/>
                <w:color w:val="auto"/>
              </w:rPr>
            </w:pPr>
            <w:r>
              <w:rPr>
                <w:rFonts w:ascii="Arial" w:cs="Arial" w:eastAsia="Arial" w:hAnsi="Arial"/>
                <w:sz w:val="18"/>
                <w:szCs w:val="18"/>
                <w:color w:val="auto"/>
              </w:rPr>
              <w:t>17,500</w:t>
            </w:r>
          </w:p>
        </w:tc>
        <w:tc>
          <w:tcPr>
            <w:tcW w:w="1460" w:type="dxa"/>
            <w:vAlign w:val="bottom"/>
            <w:gridSpan w:val="2"/>
          </w:tcPr>
          <w:p>
            <w:pPr>
              <w:jc w:val="right"/>
              <w:spacing w:after="0"/>
              <w:rPr>
                <w:sz w:val="20"/>
                <w:szCs w:val="20"/>
                <w:color w:val="auto"/>
              </w:rPr>
            </w:pPr>
            <w:r>
              <w:rPr>
                <w:rFonts w:ascii="Arial" w:cs="Arial" w:eastAsia="Arial" w:hAnsi="Arial"/>
                <w:sz w:val="18"/>
                <w:szCs w:val="18"/>
                <w:color w:val="auto"/>
              </w:rPr>
              <w:t>48.09</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1/2/2012</w:t>
            </w:r>
          </w:p>
        </w:tc>
        <w:tc>
          <w:tcPr>
            <w:tcW w:w="160" w:type="dxa"/>
            <w:vAlign w:val="bottom"/>
          </w:tcPr>
          <w:p>
            <w:pPr>
              <w:spacing w:after="0"/>
              <w:rPr>
                <w:sz w:val="19"/>
                <w:szCs w:val="19"/>
                <w:color w:val="auto"/>
              </w:rPr>
            </w:pPr>
          </w:p>
        </w:tc>
        <w:tc>
          <w:tcPr>
            <w:tcW w:w="1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0"/>
        </w:trPr>
        <w:tc>
          <w:tcPr>
            <w:tcW w:w="1160" w:type="dxa"/>
            <w:vAlign w:val="bottom"/>
          </w:tcPr>
          <w:p>
            <w:pPr>
              <w:spacing w:after="0"/>
              <w:rPr>
                <w:sz w:val="18"/>
                <w:szCs w:val="18"/>
                <w:color w:val="auto"/>
              </w:rPr>
            </w:pPr>
          </w:p>
        </w:tc>
        <w:tc>
          <w:tcPr>
            <w:tcW w:w="32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Pertti Voutilainen</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11,500</w:t>
            </w:r>
          </w:p>
        </w:tc>
        <w:tc>
          <w:tcPr>
            <w:tcW w:w="11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70,120</w:t>
            </w: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6,120</w:t>
            </w:r>
          </w:p>
        </w:tc>
        <w:tc>
          <w:tcPr>
            <w:tcW w:w="1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56.92</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1/4/2015</w:t>
            </w:r>
          </w:p>
        </w:tc>
        <w:tc>
          <w:tcPr>
            <w:tcW w:w="160" w:type="dxa"/>
            <w:vAlign w:val="bottom"/>
            <w:shd w:val="clear" w:color="auto" w:fill="CCEEFF"/>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32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Director</w:t>
            </w:r>
          </w:p>
        </w:tc>
        <w:tc>
          <w:tcPr>
            <w:tcW w:w="9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4,000</w:t>
            </w:r>
          </w:p>
        </w:tc>
        <w:tc>
          <w:tcPr>
            <w:tcW w:w="1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62.77</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1/2/2014</w:t>
            </w:r>
          </w:p>
        </w:tc>
        <w:tc>
          <w:tcPr>
            <w:tcW w:w="160" w:type="dxa"/>
            <w:vAlign w:val="bottom"/>
            <w:shd w:val="clear" w:color="auto" w:fill="CCEEFF"/>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214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35,000</w:t>
            </w:r>
          </w:p>
        </w:tc>
        <w:tc>
          <w:tcPr>
            <w:tcW w:w="1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54.42</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1/2/2013</w:t>
            </w:r>
          </w:p>
        </w:tc>
        <w:tc>
          <w:tcPr>
            <w:tcW w:w="160" w:type="dxa"/>
            <w:vAlign w:val="bottom"/>
            <w:shd w:val="clear" w:color="auto" w:fill="CCEEFF"/>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1160" w:type="dxa"/>
            <w:vAlign w:val="bottom"/>
          </w:tcPr>
          <w:p>
            <w:pPr>
              <w:spacing w:after="0"/>
              <w:rPr>
                <w:sz w:val="19"/>
                <w:szCs w:val="19"/>
                <w:color w:val="auto"/>
              </w:rPr>
            </w:pPr>
          </w:p>
        </w:tc>
        <w:tc>
          <w:tcPr>
            <w:tcW w:w="1080" w:type="dxa"/>
            <w:vAlign w:val="bottom"/>
            <w:shd w:val="clear" w:color="auto" w:fill="CCEEFF"/>
          </w:tcPr>
          <w:p>
            <w:pPr>
              <w:spacing w:after="0"/>
              <w:rPr>
                <w:sz w:val="19"/>
                <w:szCs w:val="19"/>
                <w:color w:val="auto"/>
              </w:rPr>
            </w:pPr>
          </w:p>
        </w:tc>
        <w:tc>
          <w:tcPr>
            <w:tcW w:w="2140" w:type="dxa"/>
            <w:vAlign w:val="bottom"/>
            <w:shd w:val="clear" w:color="auto" w:fill="CCEEFF"/>
          </w:tcPr>
          <w:p>
            <w:pPr>
              <w:spacing w:after="0"/>
              <w:rPr>
                <w:sz w:val="19"/>
                <w:szCs w:val="19"/>
                <w:color w:val="auto"/>
              </w:rPr>
            </w:pPr>
          </w:p>
        </w:tc>
        <w:tc>
          <w:tcPr>
            <w:tcW w:w="9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960" w:type="dxa"/>
            <w:vAlign w:val="bottom"/>
            <w:shd w:val="clear" w:color="auto" w:fill="CCEEFF"/>
          </w:tcPr>
          <w:p>
            <w:pPr>
              <w:spacing w:after="0"/>
              <w:rPr>
                <w:sz w:val="19"/>
                <w:szCs w:val="19"/>
                <w:color w:val="auto"/>
              </w:rPr>
            </w:pP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25,000</w:t>
            </w:r>
          </w:p>
        </w:tc>
        <w:tc>
          <w:tcPr>
            <w:tcW w:w="1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48.09</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1/2/2012</w:t>
            </w:r>
          </w:p>
        </w:tc>
        <w:tc>
          <w:tcPr>
            <w:tcW w:w="160" w:type="dxa"/>
            <w:vAlign w:val="bottom"/>
            <w:shd w:val="clear" w:color="auto" w:fill="CCEEFF"/>
          </w:tcPr>
          <w:p>
            <w:pPr>
              <w:spacing w:after="0"/>
              <w:rPr>
                <w:sz w:val="19"/>
                <w:szCs w:val="19"/>
                <w:color w:val="auto"/>
              </w:rPr>
            </w:pPr>
          </w:p>
        </w:tc>
        <w:tc>
          <w:tcPr>
            <w:tcW w:w="1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8"/>
        </w:trPr>
        <w:tc>
          <w:tcPr>
            <w:tcW w:w="1160" w:type="dxa"/>
            <w:vAlign w:val="bottom"/>
          </w:tcPr>
          <w:p>
            <w:pPr>
              <w:spacing w:after="0"/>
              <w:rPr>
                <w:sz w:val="18"/>
                <w:szCs w:val="18"/>
                <w:color w:val="auto"/>
              </w:rPr>
            </w:pPr>
          </w:p>
        </w:tc>
        <w:tc>
          <w:tcPr>
            <w:tcW w:w="3220" w:type="dxa"/>
            <w:vAlign w:val="bottom"/>
            <w:gridSpan w:val="2"/>
          </w:tcPr>
          <w:p>
            <w:pPr>
              <w:spacing w:after="0"/>
              <w:rPr>
                <w:sz w:val="20"/>
                <w:szCs w:val="20"/>
                <w:color w:val="auto"/>
              </w:rPr>
            </w:pPr>
            <w:r>
              <w:rPr>
                <w:rFonts w:ascii="Arial" w:cs="Arial" w:eastAsia="Arial" w:hAnsi="Arial"/>
                <w:sz w:val="18"/>
                <w:szCs w:val="18"/>
                <w:color w:val="auto"/>
              </w:rPr>
              <w:t>Alain Blackburn</w:t>
            </w:r>
          </w:p>
        </w:tc>
        <w:tc>
          <w:tcPr>
            <w:tcW w:w="960" w:type="dxa"/>
            <w:vAlign w:val="bottom"/>
          </w:tcPr>
          <w:p>
            <w:pPr>
              <w:jc w:val="right"/>
              <w:spacing w:after="0"/>
              <w:rPr>
                <w:sz w:val="20"/>
                <w:szCs w:val="20"/>
                <w:color w:val="auto"/>
              </w:rPr>
            </w:pPr>
            <w:r>
              <w:rPr>
                <w:rFonts w:ascii="Arial" w:cs="Arial" w:eastAsia="Arial" w:hAnsi="Arial"/>
                <w:sz w:val="18"/>
                <w:szCs w:val="18"/>
                <w:color w:val="auto"/>
              </w:rPr>
              <w:t>2,834</w:t>
            </w:r>
          </w:p>
        </w:tc>
        <w:tc>
          <w:tcPr>
            <w:tcW w:w="1120" w:type="dxa"/>
            <w:vAlign w:val="bottom"/>
            <w:gridSpan w:val="2"/>
          </w:tcPr>
          <w:p>
            <w:pPr>
              <w:jc w:val="right"/>
              <w:spacing w:after="0"/>
              <w:rPr>
                <w:sz w:val="20"/>
                <w:szCs w:val="20"/>
                <w:color w:val="auto"/>
              </w:rPr>
            </w:pPr>
            <w:r>
              <w:rPr>
                <w:rFonts w:ascii="Arial" w:cs="Arial" w:eastAsia="Arial" w:hAnsi="Arial"/>
                <w:sz w:val="18"/>
                <w:szCs w:val="18"/>
                <w:color w:val="auto"/>
              </w:rPr>
              <w:t>297,500</w:t>
            </w:r>
          </w:p>
        </w:tc>
        <w:tc>
          <w:tcPr>
            <w:tcW w:w="1100" w:type="dxa"/>
            <w:vAlign w:val="bottom"/>
            <w:gridSpan w:val="2"/>
          </w:tcPr>
          <w:p>
            <w:pPr>
              <w:jc w:val="right"/>
              <w:spacing w:after="0"/>
              <w:rPr>
                <w:sz w:val="20"/>
                <w:szCs w:val="20"/>
                <w:color w:val="auto"/>
              </w:rPr>
            </w:pPr>
            <w:r>
              <w:rPr>
                <w:rFonts w:ascii="Arial" w:cs="Arial" w:eastAsia="Arial" w:hAnsi="Arial"/>
                <w:sz w:val="18"/>
                <w:szCs w:val="18"/>
                <w:color w:val="auto"/>
              </w:rPr>
              <w:t>100,000</w:t>
            </w:r>
          </w:p>
        </w:tc>
        <w:tc>
          <w:tcPr>
            <w:tcW w:w="1460" w:type="dxa"/>
            <w:vAlign w:val="bottom"/>
            <w:gridSpan w:val="2"/>
          </w:tcPr>
          <w:p>
            <w:pPr>
              <w:jc w:val="right"/>
              <w:spacing w:after="0"/>
              <w:rPr>
                <w:sz w:val="20"/>
                <w:szCs w:val="20"/>
                <w:color w:val="auto"/>
              </w:rPr>
            </w:pPr>
            <w:r>
              <w:rPr>
                <w:rFonts w:ascii="Arial" w:cs="Arial" w:eastAsia="Arial" w:hAnsi="Arial"/>
                <w:sz w:val="18"/>
                <w:szCs w:val="18"/>
                <w:color w:val="auto"/>
              </w:rPr>
              <w:t>56.92</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1/4/2015</w:t>
            </w:r>
          </w:p>
        </w:tc>
        <w:tc>
          <w:tcPr>
            <w:tcW w:w="16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380" w:type="dxa"/>
            <w:vAlign w:val="bottom"/>
            <w:gridSpan w:val="3"/>
          </w:tcPr>
          <w:p>
            <w:pPr>
              <w:ind w:left="1140"/>
              <w:spacing w:after="0"/>
              <w:rPr>
                <w:sz w:val="20"/>
                <w:szCs w:val="20"/>
                <w:color w:val="auto"/>
              </w:rPr>
            </w:pPr>
            <w:r>
              <w:rPr>
                <w:rFonts w:ascii="Arial" w:cs="Arial" w:eastAsia="Arial" w:hAnsi="Arial"/>
                <w:sz w:val="18"/>
                <w:szCs w:val="18"/>
                <w:color w:val="auto"/>
              </w:rPr>
              <w:t>Senior Vice-President, Exploration</w:t>
            </w:r>
          </w:p>
        </w:tc>
        <w:tc>
          <w:tcPr>
            <w:tcW w:w="9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1100" w:type="dxa"/>
            <w:vAlign w:val="bottom"/>
            <w:gridSpan w:val="2"/>
          </w:tcPr>
          <w:p>
            <w:pPr>
              <w:jc w:val="right"/>
              <w:spacing w:after="0"/>
              <w:rPr>
                <w:sz w:val="20"/>
                <w:szCs w:val="20"/>
                <w:color w:val="auto"/>
              </w:rPr>
            </w:pPr>
            <w:r>
              <w:rPr>
                <w:rFonts w:ascii="Arial" w:cs="Arial" w:eastAsia="Arial" w:hAnsi="Arial"/>
                <w:sz w:val="18"/>
                <w:szCs w:val="18"/>
                <w:color w:val="auto"/>
              </w:rPr>
              <w:t>100,000</w:t>
            </w:r>
          </w:p>
        </w:tc>
        <w:tc>
          <w:tcPr>
            <w:tcW w:w="1460" w:type="dxa"/>
            <w:vAlign w:val="bottom"/>
            <w:gridSpan w:val="2"/>
          </w:tcPr>
          <w:p>
            <w:pPr>
              <w:jc w:val="right"/>
              <w:spacing w:after="0"/>
              <w:rPr>
                <w:sz w:val="20"/>
                <w:szCs w:val="20"/>
                <w:color w:val="auto"/>
              </w:rPr>
            </w:pPr>
            <w:r>
              <w:rPr>
                <w:rFonts w:ascii="Arial" w:cs="Arial" w:eastAsia="Arial" w:hAnsi="Arial"/>
                <w:sz w:val="18"/>
                <w:szCs w:val="18"/>
                <w:color w:val="auto"/>
              </w:rPr>
              <w:t>62.77</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1/2/2014</w:t>
            </w:r>
          </w:p>
        </w:tc>
        <w:tc>
          <w:tcPr>
            <w:tcW w:w="16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214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1100" w:type="dxa"/>
            <w:vAlign w:val="bottom"/>
            <w:gridSpan w:val="2"/>
          </w:tcPr>
          <w:p>
            <w:pPr>
              <w:jc w:val="right"/>
              <w:spacing w:after="0"/>
              <w:rPr>
                <w:sz w:val="20"/>
                <w:szCs w:val="20"/>
                <w:color w:val="auto"/>
              </w:rPr>
            </w:pPr>
            <w:r>
              <w:rPr>
                <w:rFonts w:ascii="Arial" w:cs="Arial" w:eastAsia="Arial" w:hAnsi="Arial"/>
                <w:sz w:val="18"/>
                <w:szCs w:val="18"/>
                <w:color w:val="auto"/>
              </w:rPr>
              <w:t>75,000</w:t>
            </w:r>
          </w:p>
        </w:tc>
        <w:tc>
          <w:tcPr>
            <w:tcW w:w="1460" w:type="dxa"/>
            <w:vAlign w:val="bottom"/>
            <w:gridSpan w:val="2"/>
          </w:tcPr>
          <w:p>
            <w:pPr>
              <w:jc w:val="right"/>
              <w:spacing w:after="0"/>
              <w:rPr>
                <w:sz w:val="20"/>
                <w:szCs w:val="20"/>
                <w:color w:val="auto"/>
              </w:rPr>
            </w:pPr>
            <w:r>
              <w:rPr>
                <w:rFonts w:ascii="Arial" w:cs="Arial" w:eastAsia="Arial" w:hAnsi="Arial"/>
                <w:sz w:val="18"/>
                <w:szCs w:val="18"/>
                <w:color w:val="auto"/>
              </w:rPr>
              <w:t>54.42</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1/2/2013</w:t>
            </w:r>
          </w:p>
        </w:tc>
        <w:tc>
          <w:tcPr>
            <w:tcW w:w="16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1160" w:type="dxa"/>
            <w:vAlign w:val="bottom"/>
          </w:tcPr>
          <w:p>
            <w:pPr>
              <w:spacing w:after="0"/>
              <w:rPr>
                <w:sz w:val="19"/>
                <w:szCs w:val="19"/>
                <w:color w:val="auto"/>
              </w:rPr>
            </w:pPr>
          </w:p>
        </w:tc>
        <w:tc>
          <w:tcPr>
            <w:tcW w:w="1080" w:type="dxa"/>
            <w:vAlign w:val="bottom"/>
          </w:tcPr>
          <w:p>
            <w:pPr>
              <w:spacing w:after="0"/>
              <w:rPr>
                <w:sz w:val="19"/>
                <w:szCs w:val="19"/>
                <w:color w:val="auto"/>
              </w:rPr>
            </w:pPr>
          </w:p>
        </w:tc>
        <w:tc>
          <w:tcPr>
            <w:tcW w:w="2140" w:type="dxa"/>
            <w:vAlign w:val="bottom"/>
          </w:tcPr>
          <w:p>
            <w:pPr>
              <w:spacing w:after="0"/>
              <w:rPr>
                <w:sz w:val="19"/>
                <w:szCs w:val="19"/>
                <w:color w:val="auto"/>
              </w:rPr>
            </w:pPr>
          </w:p>
        </w:tc>
        <w:tc>
          <w:tcPr>
            <w:tcW w:w="9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960" w:type="dxa"/>
            <w:vAlign w:val="bottom"/>
          </w:tcPr>
          <w:p>
            <w:pPr>
              <w:spacing w:after="0"/>
              <w:rPr>
                <w:sz w:val="19"/>
                <w:szCs w:val="19"/>
                <w:color w:val="auto"/>
              </w:rPr>
            </w:pPr>
          </w:p>
        </w:tc>
        <w:tc>
          <w:tcPr>
            <w:tcW w:w="1100" w:type="dxa"/>
            <w:vAlign w:val="bottom"/>
            <w:gridSpan w:val="2"/>
          </w:tcPr>
          <w:p>
            <w:pPr>
              <w:jc w:val="right"/>
              <w:spacing w:after="0"/>
              <w:rPr>
                <w:sz w:val="20"/>
                <w:szCs w:val="20"/>
                <w:color w:val="auto"/>
              </w:rPr>
            </w:pPr>
            <w:r>
              <w:rPr>
                <w:rFonts w:ascii="Arial" w:cs="Arial" w:eastAsia="Arial" w:hAnsi="Arial"/>
                <w:sz w:val="18"/>
                <w:szCs w:val="18"/>
                <w:color w:val="auto"/>
              </w:rPr>
              <w:t>22,500</w:t>
            </w:r>
          </w:p>
        </w:tc>
        <w:tc>
          <w:tcPr>
            <w:tcW w:w="1460" w:type="dxa"/>
            <w:vAlign w:val="bottom"/>
            <w:gridSpan w:val="2"/>
          </w:tcPr>
          <w:p>
            <w:pPr>
              <w:jc w:val="right"/>
              <w:spacing w:after="0"/>
              <w:rPr>
                <w:sz w:val="20"/>
                <w:szCs w:val="20"/>
                <w:color w:val="auto"/>
              </w:rPr>
            </w:pPr>
            <w:r>
              <w:rPr>
                <w:rFonts w:ascii="Arial" w:cs="Arial" w:eastAsia="Arial" w:hAnsi="Arial"/>
                <w:sz w:val="18"/>
                <w:szCs w:val="18"/>
                <w:color w:val="auto"/>
              </w:rPr>
              <w:t>48.09</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1/2/2012</w:t>
            </w:r>
          </w:p>
        </w:tc>
        <w:tc>
          <w:tcPr>
            <w:tcW w:w="160" w:type="dxa"/>
            <w:vAlign w:val="bottom"/>
          </w:tcPr>
          <w:p>
            <w:pPr>
              <w:spacing w:after="0"/>
              <w:rPr>
                <w:sz w:val="19"/>
                <w:szCs w:val="19"/>
                <w:color w:val="auto"/>
              </w:rPr>
            </w:pPr>
          </w:p>
        </w:tc>
        <w:tc>
          <w:tcPr>
            <w:tcW w:w="1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32"/>
        </w:trPr>
        <w:tc>
          <w:tcPr>
            <w:tcW w:w="116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21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120" w:type="dxa"/>
            <w:vAlign w:val="bottom"/>
            <w:gridSpan w:val="2"/>
          </w:tcPr>
          <w:p>
            <w:pPr>
              <w:jc w:val="right"/>
              <w:ind w:right="554"/>
              <w:spacing w:after="0"/>
              <w:rPr>
                <w:sz w:val="20"/>
                <w:szCs w:val="20"/>
                <w:color w:val="auto"/>
              </w:rPr>
            </w:pPr>
            <w:r>
              <w:rPr>
                <w:rFonts w:ascii="Arial" w:cs="Arial" w:eastAsia="Arial" w:hAnsi="Arial"/>
                <w:sz w:val="18"/>
                <w:szCs w:val="18"/>
                <w:color w:val="auto"/>
              </w:rPr>
              <w:t>121</w:t>
            </w:r>
          </w:p>
        </w:tc>
        <w:tc>
          <w:tcPr>
            <w:tcW w:w="16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3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1160" w:type="dxa"/>
            <w:vAlign w:val="bottom"/>
            <w:tcBorders>
              <w:bottom w:val="single" w:sz="8" w:color="808080"/>
            </w:tcBorders>
          </w:tcPr>
          <w:p>
            <w:pPr>
              <w:spacing w:after="0"/>
              <w:rPr>
                <w:sz w:val="19"/>
                <w:szCs w:val="19"/>
                <w:color w:val="auto"/>
              </w:rPr>
            </w:pPr>
          </w:p>
        </w:tc>
        <w:tc>
          <w:tcPr>
            <w:tcW w:w="1080" w:type="dxa"/>
            <w:vAlign w:val="bottom"/>
            <w:tcBorders>
              <w:bottom w:val="single" w:sz="8" w:color="808080"/>
            </w:tcBorders>
          </w:tcPr>
          <w:p>
            <w:pPr>
              <w:spacing w:after="0"/>
              <w:rPr>
                <w:sz w:val="19"/>
                <w:szCs w:val="19"/>
                <w:color w:val="auto"/>
              </w:rPr>
            </w:pPr>
          </w:p>
        </w:tc>
        <w:tc>
          <w:tcPr>
            <w:tcW w:w="2140" w:type="dxa"/>
            <w:vAlign w:val="bottom"/>
            <w:tcBorders>
              <w:bottom w:val="single" w:sz="8" w:color="808080"/>
            </w:tcBorders>
          </w:tcPr>
          <w:p>
            <w:pPr>
              <w:spacing w:after="0"/>
              <w:rPr>
                <w:sz w:val="19"/>
                <w:szCs w:val="19"/>
                <w:color w:val="auto"/>
              </w:rPr>
            </w:pPr>
          </w:p>
        </w:tc>
        <w:tc>
          <w:tcPr>
            <w:tcW w:w="96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96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94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30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92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16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15" w:right="239" w:bottom="1440" w:gutter="0" w:footer="0" w:header="0"/>
        </w:sectPr>
      </w:pPr>
    </w:p>
    <w:bookmarkStart w:id="164" w:name="page165"/>
    <w:bookmarkEnd w:id="164"/>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0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960" w:type="dxa"/>
            <w:vAlign w:val="bottom"/>
          </w:tcPr>
          <w:p>
            <w:pPr>
              <w:spacing w:after="0"/>
              <w:rPr>
                <w:sz w:val="14"/>
                <w:szCs w:val="14"/>
                <w:color w:val="auto"/>
              </w:rPr>
            </w:pPr>
          </w:p>
        </w:tc>
        <w:tc>
          <w:tcPr>
            <w:tcW w:w="9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60" w:type="dxa"/>
            <w:vAlign w:val="bottom"/>
          </w:tcPr>
          <w:p>
            <w:pPr>
              <w:jc w:val="center"/>
              <w:spacing w:after="0"/>
              <w:rPr>
                <w:sz w:val="20"/>
                <w:szCs w:val="20"/>
                <w:color w:val="auto"/>
              </w:rPr>
            </w:pPr>
            <w:r>
              <w:rPr>
                <w:rFonts w:ascii="Arial" w:cs="Arial" w:eastAsia="Arial" w:hAnsi="Arial"/>
                <w:sz w:val="14"/>
                <w:szCs w:val="14"/>
                <w:b w:val="1"/>
                <w:bCs w:val="1"/>
                <w:color w:val="auto"/>
                <w:w w:val="89"/>
              </w:rPr>
              <w:t>Total</w:t>
            </w:r>
          </w:p>
        </w:tc>
        <w:tc>
          <w:tcPr>
            <w:tcW w:w="160" w:type="dxa"/>
            <w:vAlign w:val="bottom"/>
          </w:tcPr>
          <w:p>
            <w:pPr>
              <w:spacing w:after="0"/>
              <w:rPr>
                <w:sz w:val="14"/>
                <w:szCs w:val="14"/>
                <w:color w:val="auto"/>
              </w:rPr>
            </w:pPr>
          </w:p>
        </w:tc>
        <w:tc>
          <w:tcPr>
            <w:tcW w:w="9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160" w:type="dxa"/>
            <w:vAlign w:val="bottom"/>
          </w:tcPr>
          <w:p>
            <w:pPr>
              <w:spacing w:after="0"/>
              <w:rPr>
                <w:sz w:val="14"/>
                <w:szCs w:val="14"/>
                <w:color w:val="auto"/>
              </w:rPr>
            </w:pPr>
          </w:p>
        </w:tc>
      </w:tr>
      <w:tr>
        <w:trPr>
          <w:trHeight w:val="161"/>
        </w:trPr>
        <w:tc>
          <w:tcPr>
            <w:tcW w:w="20" w:type="dxa"/>
            <w:vAlign w:val="bottom"/>
          </w:tcPr>
          <w:p>
            <w:pPr>
              <w:spacing w:after="0"/>
              <w:rPr>
                <w:sz w:val="14"/>
                <w:szCs w:val="14"/>
                <w:color w:val="auto"/>
              </w:rPr>
            </w:pPr>
          </w:p>
        </w:tc>
        <w:tc>
          <w:tcPr>
            <w:tcW w:w="10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960" w:type="dxa"/>
            <w:vAlign w:val="bottom"/>
          </w:tcPr>
          <w:p>
            <w:pPr>
              <w:spacing w:after="0"/>
              <w:rPr>
                <w:sz w:val="14"/>
                <w:szCs w:val="14"/>
                <w:color w:val="auto"/>
              </w:rPr>
            </w:pPr>
          </w:p>
        </w:tc>
        <w:tc>
          <w:tcPr>
            <w:tcW w:w="9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60" w:type="dxa"/>
            <w:vAlign w:val="bottom"/>
          </w:tcPr>
          <w:p>
            <w:pPr>
              <w:jc w:val="center"/>
              <w:spacing w:after="0"/>
              <w:rPr>
                <w:sz w:val="20"/>
                <w:szCs w:val="20"/>
                <w:color w:val="auto"/>
              </w:rPr>
            </w:pPr>
            <w:r>
              <w:rPr>
                <w:rFonts w:ascii="Arial" w:cs="Arial" w:eastAsia="Arial" w:hAnsi="Arial"/>
                <w:sz w:val="14"/>
                <w:szCs w:val="14"/>
                <w:b w:val="1"/>
                <w:bCs w:val="1"/>
                <w:color w:val="auto"/>
                <w:w w:val="88"/>
              </w:rPr>
              <w:t>Common</w:t>
            </w:r>
          </w:p>
        </w:tc>
        <w:tc>
          <w:tcPr>
            <w:tcW w:w="160" w:type="dxa"/>
            <w:vAlign w:val="bottom"/>
          </w:tcPr>
          <w:p>
            <w:pPr>
              <w:spacing w:after="0"/>
              <w:rPr>
                <w:sz w:val="14"/>
                <w:szCs w:val="14"/>
                <w:color w:val="auto"/>
              </w:rPr>
            </w:pPr>
          </w:p>
        </w:tc>
        <w:tc>
          <w:tcPr>
            <w:tcW w:w="940" w:type="dxa"/>
            <w:vAlign w:val="bottom"/>
          </w:tcPr>
          <w:p>
            <w:pPr>
              <w:jc w:val="center"/>
              <w:spacing w:after="0"/>
              <w:rPr>
                <w:sz w:val="20"/>
                <w:szCs w:val="20"/>
                <w:color w:val="auto"/>
              </w:rPr>
            </w:pPr>
            <w:r>
              <w:rPr>
                <w:rFonts w:ascii="Arial" w:cs="Arial" w:eastAsia="Arial" w:hAnsi="Arial"/>
                <w:sz w:val="14"/>
                <w:szCs w:val="14"/>
                <w:b w:val="1"/>
                <w:bCs w:val="1"/>
                <w:color w:val="auto"/>
                <w:w w:val="85"/>
              </w:rPr>
              <w:t>Common</w:t>
            </w:r>
          </w:p>
        </w:tc>
        <w:tc>
          <w:tcPr>
            <w:tcW w:w="160" w:type="dxa"/>
            <w:vAlign w:val="bottom"/>
          </w:tcPr>
          <w:p>
            <w:pPr>
              <w:spacing w:after="0"/>
              <w:rPr>
                <w:sz w:val="14"/>
                <w:szCs w:val="14"/>
                <w:color w:val="auto"/>
              </w:rPr>
            </w:pPr>
          </w:p>
        </w:tc>
        <w:tc>
          <w:tcPr>
            <w:tcW w:w="1300" w:type="dxa"/>
            <w:vAlign w:val="bottom"/>
          </w:tcPr>
          <w:p>
            <w:pPr>
              <w:jc w:val="center"/>
              <w:spacing w:after="0"/>
              <w:rPr>
                <w:sz w:val="20"/>
                <w:szCs w:val="20"/>
                <w:color w:val="auto"/>
              </w:rPr>
            </w:pPr>
            <w:r>
              <w:rPr>
                <w:rFonts w:ascii="Arial" w:cs="Arial" w:eastAsia="Arial" w:hAnsi="Arial"/>
                <w:sz w:val="14"/>
                <w:szCs w:val="14"/>
                <w:b w:val="1"/>
                <w:bCs w:val="1"/>
                <w:color w:val="auto"/>
                <w:w w:val="85"/>
              </w:rPr>
              <w:t>Exercise Price</w:t>
            </w:r>
          </w:p>
        </w:tc>
        <w:tc>
          <w:tcPr>
            <w:tcW w:w="16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160" w:type="dxa"/>
            <w:vAlign w:val="bottom"/>
          </w:tcPr>
          <w:p>
            <w:pPr>
              <w:spacing w:after="0"/>
              <w:rPr>
                <w:sz w:val="14"/>
                <w:szCs w:val="14"/>
                <w:color w:val="auto"/>
              </w:rPr>
            </w:pPr>
          </w:p>
        </w:tc>
      </w:tr>
      <w:tr>
        <w:trPr>
          <w:trHeight w:val="149"/>
        </w:trPr>
        <w:tc>
          <w:tcPr>
            <w:tcW w:w="20" w:type="dxa"/>
            <w:vAlign w:val="bottom"/>
          </w:tcPr>
          <w:p>
            <w:pPr>
              <w:spacing w:after="0"/>
              <w:rPr>
                <w:sz w:val="12"/>
                <w:szCs w:val="12"/>
                <w:color w:val="auto"/>
              </w:rPr>
            </w:pPr>
          </w:p>
        </w:tc>
        <w:tc>
          <w:tcPr>
            <w:tcW w:w="10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960" w:type="dxa"/>
            <w:vAlign w:val="bottom"/>
          </w:tcPr>
          <w:p>
            <w:pPr>
              <w:spacing w:after="0"/>
              <w:rPr>
                <w:sz w:val="12"/>
                <w:szCs w:val="12"/>
                <w:color w:val="auto"/>
              </w:rPr>
            </w:pPr>
          </w:p>
        </w:tc>
        <w:tc>
          <w:tcPr>
            <w:tcW w:w="96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7"/>
              </w:rPr>
              <w:t>Share</w:t>
            </w:r>
          </w:p>
        </w:tc>
        <w:tc>
          <w:tcPr>
            <w:tcW w:w="160" w:type="dxa"/>
            <w:vAlign w:val="bottom"/>
          </w:tcPr>
          <w:p>
            <w:pPr>
              <w:spacing w:after="0"/>
              <w:rPr>
                <w:sz w:val="12"/>
                <w:szCs w:val="12"/>
                <w:color w:val="auto"/>
              </w:rPr>
            </w:pPr>
          </w:p>
        </w:tc>
        <w:tc>
          <w:tcPr>
            <w:tcW w:w="96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7"/>
              </w:rPr>
              <w:t>Shares under</w:t>
            </w:r>
          </w:p>
        </w:tc>
        <w:tc>
          <w:tcPr>
            <w:tcW w:w="160" w:type="dxa"/>
            <w:vAlign w:val="bottom"/>
          </w:tcPr>
          <w:p>
            <w:pPr>
              <w:spacing w:after="0"/>
              <w:rPr>
                <w:sz w:val="12"/>
                <w:szCs w:val="12"/>
                <w:color w:val="auto"/>
              </w:rPr>
            </w:pPr>
          </w:p>
        </w:tc>
        <w:tc>
          <w:tcPr>
            <w:tcW w:w="94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4"/>
              </w:rPr>
              <w:t>Shares under</w:t>
            </w:r>
          </w:p>
        </w:tc>
        <w:tc>
          <w:tcPr>
            <w:tcW w:w="160" w:type="dxa"/>
            <w:vAlign w:val="bottom"/>
          </w:tcPr>
          <w:p>
            <w:pPr>
              <w:spacing w:after="0"/>
              <w:rPr>
                <w:sz w:val="12"/>
                <w:szCs w:val="12"/>
                <w:color w:val="auto"/>
              </w:rPr>
            </w:pPr>
          </w:p>
        </w:tc>
        <w:tc>
          <w:tcPr>
            <w:tcW w:w="13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5"/>
              </w:rPr>
              <w:t>(C$, except</w:t>
            </w:r>
          </w:p>
        </w:tc>
        <w:tc>
          <w:tcPr>
            <w:tcW w:w="16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160" w:type="dxa"/>
            <w:vAlign w:val="bottom"/>
          </w:tcPr>
          <w:p>
            <w:pPr>
              <w:spacing w:after="0"/>
              <w:rPr>
                <w:sz w:val="12"/>
                <w:szCs w:val="12"/>
                <w:color w:val="auto"/>
              </w:rPr>
            </w:pPr>
          </w:p>
        </w:tc>
      </w:tr>
      <w:tr>
        <w:trPr>
          <w:trHeight w:val="176"/>
        </w:trPr>
        <w:tc>
          <w:tcPr>
            <w:tcW w:w="3240" w:type="dxa"/>
            <w:vAlign w:val="bottom"/>
            <w:gridSpan w:val="4"/>
          </w:tcPr>
          <w:p>
            <w:pPr>
              <w:spacing w:after="0"/>
              <w:rPr>
                <w:sz w:val="20"/>
                <w:szCs w:val="20"/>
                <w:color w:val="auto"/>
              </w:rPr>
            </w:pPr>
            <w:r>
              <w:rPr>
                <w:rFonts w:ascii="Arial" w:cs="Arial" w:eastAsia="Arial" w:hAnsi="Arial"/>
                <w:sz w:val="14"/>
                <w:szCs w:val="14"/>
                <w:b w:val="1"/>
                <w:bCs w:val="1"/>
                <w:color w:val="auto"/>
              </w:rPr>
              <w:t>Beneficial Owner</w:t>
            </w:r>
          </w:p>
        </w:tc>
        <w:tc>
          <w:tcPr>
            <w:tcW w:w="960" w:type="dxa"/>
            <w:vAlign w:val="bottom"/>
          </w:tcPr>
          <w:p>
            <w:pPr>
              <w:jc w:val="center"/>
              <w:spacing w:after="0" w:line="176" w:lineRule="exact"/>
              <w:rPr>
                <w:sz w:val="20"/>
                <w:szCs w:val="20"/>
                <w:color w:val="auto"/>
              </w:rPr>
            </w:pPr>
            <w:r>
              <w:rPr>
                <w:rFonts w:ascii="Arial" w:cs="Arial" w:eastAsia="Arial" w:hAnsi="Arial"/>
                <w:sz w:val="13"/>
                <w:szCs w:val="13"/>
                <w:b w:val="1"/>
                <w:bCs w:val="1"/>
                <w:color w:val="auto"/>
                <w:w w:val="90"/>
              </w:rPr>
              <w:t>Ownership</w:t>
            </w:r>
            <w:r>
              <w:rPr>
                <w:rFonts w:ascii="Arial" w:cs="Arial" w:eastAsia="Arial" w:hAnsi="Arial"/>
                <w:sz w:val="20"/>
                <w:szCs w:val="20"/>
                <w:b w:val="1"/>
                <w:bCs w:val="1"/>
                <w:color w:val="auto"/>
                <w:w w:val="90"/>
                <w:vertAlign w:val="superscript"/>
              </w:rPr>
              <w:t>(1)</w:t>
            </w:r>
          </w:p>
        </w:tc>
        <w:tc>
          <w:tcPr>
            <w:tcW w:w="160" w:type="dxa"/>
            <w:vAlign w:val="bottom"/>
          </w:tcPr>
          <w:p>
            <w:pPr>
              <w:spacing w:after="0"/>
              <w:rPr>
                <w:sz w:val="15"/>
                <w:szCs w:val="15"/>
                <w:color w:val="auto"/>
              </w:rPr>
            </w:pPr>
          </w:p>
        </w:tc>
        <w:tc>
          <w:tcPr>
            <w:tcW w:w="960" w:type="dxa"/>
            <w:vAlign w:val="bottom"/>
          </w:tcPr>
          <w:p>
            <w:pPr>
              <w:jc w:val="center"/>
              <w:spacing w:after="0" w:line="176" w:lineRule="exact"/>
              <w:rPr>
                <w:sz w:val="20"/>
                <w:szCs w:val="20"/>
                <w:color w:val="auto"/>
              </w:rPr>
            </w:pPr>
            <w:r>
              <w:rPr>
                <w:rFonts w:ascii="Arial" w:cs="Arial" w:eastAsia="Arial" w:hAnsi="Arial"/>
                <w:sz w:val="13"/>
                <w:szCs w:val="13"/>
                <w:b w:val="1"/>
                <w:bCs w:val="1"/>
                <w:color w:val="auto"/>
                <w:w w:val="92"/>
              </w:rPr>
              <w:t>Option</w:t>
            </w:r>
            <w:r>
              <w:rPr>
                <w:rFonts w:ascii="Arial" w:cs="Arial" w:eastAsia="Arial" w:hAnsi="Arial"/>
                <w:sz w:val="20"/>
                <w:szCs w:val="20"/>
                <w:b w:val="1"/>
                <w:bCs w:val="1"/>
                <w:color w:val="auto"/>
                <w:w w:val="92"/>
                <w:vertAlign w:val="superscript"/>
              </w:rPr>
              <w:t>(2)</w:t>
            </w:r>
          </w:p>
        </w:tc>
        <w:tc>
          <w:tcPr>
            <w:tcW w:w="160" w:type="dxa"/>
            <w:vAlign w:val="bottom"/>
          </w:tcPr>
          <w:p>
            <w:pPr>
              <w:spacing w:after="0"/>
              <w:rPr>
                <w:sz w:val="15"/>
                <w:szCs w:val="15"/>
                <w:color w:val="auto"/>
              </w:rPr>
            </w:pPr>
          </w:p>
        </w:tc>
        <w:tc>
          <w:tcPr>
            <w:tcW w:w="940" w:type="dxa"/>
            <w:vAlign w:val="bottom"/>
          </w:tcPr>
          <w:p>
            <w:pPr>
              <w:jc w:val="center"/>
              <w:spacing w:after="0"/>
              <w:rPr>
                <w:sz w:val="20"/>
                <w:szCs w:val="20"/>
                <w:color w:val="auto"/>
              </w:rPr>
            </w:pPr>
            <w:r>
              <w:rPr>
                <w:rFonts w:ascii="Arial" w:cs="Arial" w:eastAsia="Arial" w:hAnsi="Arial"/>
                <w:sz w:val="14"/>
                <w:szCs w:val="14"/>
                <w:b w:val="1"/>
                <w:bCs w:val="1"/>
                <w:color w:val="auto"/>
                <w:w w:val="88"/>
              </w:rPr>
              <w:t>Option</w:t>
            </w:r>
          </w:p>
        </w:tc>
        <w:tc>
          <w:tcPr>
            <w:tcW w:w="160" w:type="dxa"/>
            <w:vAlign w:val="bottom"/>
          </w:tcPr>
          <w:p>
            <w:pPr>
              <w:spacing w:after="0"/>
              <w:rPr>
                <w:sz w:val="15"/>
                <w:szCs w:val="15"/>
                <w:color w:val="auto"/>
              </w:rPr>
            </w:pPr>
          </w:p>
        </w:tc>
        <w:tc>
          <w:tcPr>
            <w:tcW w:w="1300" w:type="dxa"/>
            <w:vAlign w:val="bottom"/>
          </w:tcPr>
          <w:p>
            <w:pPr>
              <w:jc w:val="center"/>
              <w:spacing w:after="0"/>
              <w:rPr>
                <w:sz w:val="20"/>
                <w:szCs w:val="20"/>
                <w:color w:val="auto"/>
              </w:rPr>
            </w:pPr>
            <w:r>
              <w:rPr>
                <w:rFonts w:ascii="Arial" w:cs="Arial" w:eastAsia="Arial" w:hAnsi="Arial"/>
                <w:sz w:val="14"/>
                <w:szCs w:val="14"/>
                <w:b w:val="1"/>
                <w:bCs w:val="1"/>
                <w:color w:val="auto"/>
                <w:w w:val="83"/>
              </w:rPr>
              <w:t>as noted)</w:t>
            </w:r>
          </w:p>
        </w:tc>
        <w:tc>
          <w:tcPr>
            <w:tcW w:w="160" w:type="dxa"/>
            <w:vAlign w:val="bottom"/>
          </w:tcPr>
          <w:p>
            <w:pPr>
              <w:spacing w:after="0"/>
              <w:rPr>
                <w:sz w:val="15"/>
                <w:szCs w:val="15"/>
                <w:color w:val="auto"/>
              </w:rPr>
            </w:pPr>
          </w:p>
        </w:tc>
        <w:tc>
          <w:tcPr>
            <w:tcW w:w="1080" w:type="dxa"/>
            <w:vAlign w:val="bottom"/>
            <w:gridSpan w:val="2"/>
          </w:tcPr>
          <w:p>
            <w:pPr>
              <w:ind w:left="100"/>
              <w:spacing w:after="0"/>
              <w:rPr>
                <w:sz w:val="20"/>
                <w:szCs w:val="20"/>
                <w:color w:val="auto"/>
              </w:rPr>
            </w:pPr>
            <w:r>
              <w:rPr>
                <w:rFonts w:ascii="Arial" w:cs="Arial" w:eastAsia="Arial" w:hAnsi="Arial"/>
                <w:sz w:val="14"/>
                <w:szCs w:val="14"/>
                <w:b w:val="1"/>
                <w:bCs w:val="1"/>
                <w:color w:val="auto"/>
              </w:rPr>
              <w:t>Expiry Date</w:t>
            </w:r>
          </w:p>
        </w:tc>
      </w:tr>
      <w:tr>
        <w:trPr>
          <w:trHeight w:val="201"/>
        </w:trPr>
        <w:tc>
          <w:tcPr>
            <w:tcW w:w="20" w:type="dxa"/>
            <w:vAlign w:val="bottom"/>
          </w:tcPr>
          <w:p>
            <w:pPr>
              <w:spacing w:after="0"/>
              <w:rPr>
                <w:sz w:val="17"/>
                <w:szCs w:val="17"/>
                <w:color w:val="auto"/>
              </w:rPr>
            </w:pPr>
          </w:p>
        </w:tc>
        <w:tc>
          <w:tcPr>
            <w:tcW w:w="1080" w:type="dxa"/>
            <w:vAlign w:val="bottom"/>
            <w:tcBorders>
              <w:top w:val="single" w:sz="8" w:color="auto"/>
            </w:tcBorders>
            <w:shd w:val="clear" w:color="auto" w:fill="CCEEFF"/>
          </w:tcPr>
          <w:p>
            <w:pPr>
              <w:spacing w:after="0" w:line="201" w:lineRule="exact"/>
              <w:rPr>
                <w:sz w:val="20"/>
                <w:szCs w:val="20"/>
                <w:color w:val="auto"/>
              </w:rPr>
            </w:pPr>
            <w:r>
              <w:rPr>
                <w:rFonts w:ascii="Arial" w:cs="Arial" w:eastAsia="Arial" w:hAnsi="Arial"/>
                <w:sz w:val="18"/>
                <w:szCs w:val="18"/>
                <w:color w:val="auto"/>
                <w:w w:val="94"/>
              </w:rPr>
              <w:t>Daniel Racine</w:t>
            </w:r>
          </w:p>
        </w:tc>
        <w:tc>
          <w:tcPr>
            <w:tcW w:w="2140" w:type="dxa"/>
            <w:vAlign w:val="bottom"/>
            <w:gridSpan w:val="2"/>
            <w:shd w:val="clear" w:color="auto" w:fill="CCEEFF"/>
          </w:tcPr>
          <w:p>
            <w:pPr>
              <w:spacing w:after="0"/>
              <w:rPr>
                <w:sz w:val="17"/>
                <w:szCs w:val="17"/>
                <w:color w:val="auto"/>
              </w:rPr>
            </w:pPr>
          </w:p>
        </w:tc>
        <w:tc>
          <w:tcPr>
            <w:tcW w:w="960" w:type="dxa"/>
            <w:vAlign w:val="bottom"/>
            <w:tcBorders>
              <w:top w:val="single" w:sz="8" w:color="auto"/>
            </w:tcBorders>
            <w:shd w:val="clear" w:color="auto" w:fill="CCEEFF"/>
          </w:tcPr>
          <w:p>
            <w:pPr>
              <w:jc w:val="right"/>
              <w:spacing w:after="0" w:line="201" w:lineRule="exact"/>
              <w:rPr>
                <w:sz w:val="20"/>
                <w:szCs w:val="20"/>
                <w:color w:val="auto"/>
              </w:rPr>
            </w:pPr>
            <w:r>
              <w:rPr>
                <w:rFonts w:ascii="Arial" w:cs="Arial" w:eastAsia="Arial" w:hAnsi="Arial"/>
                <w:sz w:val="18"/>
                <w:szCs w:val="18"/>
                <w:color w:val="auto"/>
              </w:rPr>
              <w:t>10,829</w:t>
            </w:r>
          </w:p>
        </w:tc>
        <w:tc>
          <w:tcPr>
            <w:tcW w:w="160" w:type="dxa"/>
            <w:vAlign w:val="bottom"/>
            <w:shd w:val="clear" w:color="auto" w:fill="CCEEFF"/>
          </w:tcPr>
          <w:p>
            <w:pPr>
              <w:spacing w:after="0"/>
              <w:rPr>
                <w:sz w:val="17"/>
                <w:szCs w:val="17"/>
                <w:color w:val="auto"/>
              </w:rPr>
            </w:pPr>
          </w:p>
        </w:tc>
        <w:tc>
          <w:tcPr>
            <w:tcW w:w="960" w:type="dxa"/>
            <w:vAlign w:val="bottom"/>
            <w:tcBorders>
              <w:top w:val="single" w:sz="8" w:color="auto"/>
            </w:tcBorders>
            <w:shd w:val="clear" w:color="auto" w:fill="CCEEFF"/>
          </w:tcPr>
          <w:p>
            <w:pPr>
              <w:jc w:val="right"/>
              <w:spacing w:after="0" w:line="201" w:lineRule="exact"/>
              <w:rPr>
                <w:sz w:val="20"/>
                <w:szCs w:val="20"/>
                <w:color w:val="auto"/>
              </w:rPr>
            </w:pPr>
            <w:r>
              <w:rPr>
                <w:rFonts w:ascii="Arial" w:cs="Arial" w:eastAsia="Arial" w:hAnsi="Arial"/>
                <w:sz w:val="18"/>
                <w:szCs w:val="18"/>
                <w:color w:val="auto"/>
              </w:rPr>
              <w:t>318,000</w:t>
            </w:r>
          </w:p>
        </w:tc>
        <w:tc>
          <w:tcPr>
            <w:tcW w:w="160" w:type="dxa"/>
            <w:vAlign w:val="bottom"/>
            <w:shd w:val="clear" w:color="auto" w:fill="CCEEFF"/>
          </w:tcPr>
          <w:p>
            <w:pPr>
              <w:spacing w:after="0"/>
              <w:rPr>
                <w:sz w:val="17"/>
                <w:szCs w:val="17"/>
                <w:color w:val="auto"/>
              </w:rPr>
            </w:pPr>
          </w:p>
        </w:tc>
        <w:tc>
          <w:tcPr>
            <w:tcW w:w="940" w:type="dxa"/>
            <w:vAlign w:val="bottom"/>
            <w:tcBorders>
              <w:top w:val="single" w:sz="8" w:color="auto"/>
            </w:tcBorders>
            <w:shd w:val="clear" w:color="auto" w:fill="CCEEFF"/>
          </w:tcPr>
          <w:p>
            <w:pPr>
              <w:jc w:val="right"/>
              <w:spacing w:after="0" w:line="201" w:lineRule="exact"/>
              <w:rPr>
                <w:sz w:val="20"/>
                <w:szCs w:val="20"/>
                <w:color w:val="auto"/>
              </w:rPr>
            </w:pPr>
            <w:r>
              <w:rPr>
                <w:rFonts w:ascii="Arial" w:cs="Arial" w:eastAsia="Arial" w:hAnsi="Arial"/>
                <w:sz w:val="18"/>
                <w:szCs w:val="18"/>
                <w:color w:val="auto"/>
              </w:rPr>
              <w:t>75,000</w:t>
            </w:r>
          </w:p>
        </w:tc>
        <w:tc>
          <w:tcPr>
            <w:tcW w:w="160" w:type="dxa"/>
            <w:vAlign w:val="bottom"/>
            <w:shd w:val="clear" w:color="auto" w:fill="CCEEFF"/>
          </w:tcPr>
          <w:p>
            <w:pPr>
              <w:spacing w:after="0"/>
              <w:rPr>
                <w:sz w:val="17"/>
                <w:szCs w:val="17"/>
                <w:color w:val="auto"/>
              </w:rPr>
            </w:pPr>
          </w:p>
        </w:tc>
        <w:tc>
          <w:tcPr>
            <w:tcW w:w="1300" w:type="dxa"/>
            <w:vAlign w:val="bottom"/>
            <w:tcBorders>
              <w:top w:val="single" w:sz="8" w:color="auto"/>
            </w:tcBorders>
            <w:shd w:val="clear" w:color="auto" w:fill="CCEEFF"/>
          </w:tcPr>
          <w:p>
            <w:pPr>
              <w:jc w:val="right"/>
              <w:spacing w:after="0" w:line="201" w:lineRule="exact"/>
              <w:rPr>
                <w:sz w:val="20"/>
                <w:szCs w:val="20"/>
                <w:color w:val="auto"/>
              </w:rPr>
            </w:pPr>
            <w:r>
              <w:rPr>
                <w:rFonts w:ascii="Arial" w:cs="Arial" w:eastAsia="Arial" w:hAnsi="Arial"/>
                <w:sz w:val="18"/>
                <w:szCs w:val="18"/>
                <w:color w:val="auto"/>
              </w:rPr>
              <w:t>56.92</w:t>
            </w:r>
          </w:p>
        </w:tc>
        <w:tc>
          <w:tcPr>
            <w:tcW w:w="160" w:type="dxa"/>
            <w:vAlign w:val="bottom"/>
            <w:shd w:val="clear" w:color="auto" w:fill="CCEEFF"/>
          </w:tcPr>
          <w:p>
            <w:pPr>
              <w:spacing w:after="0"/>
              <w:rPr>
                <w:sz w:val="17"/>
                <w:szCs w:val="17"/>
                <w:color w:val="auto"/>
              </w:rPr>
            </w:pPr>
          </w:p>
        </w:tc>
        <w:tc>
          <w:tcPr>
            <w:tcW w:w="920" w:type="dxa"/>
            <w:vAlign w:val="bottom"/>
            <w:tcBorders>
              <w:top w:val="single" w:sz="8" w:color="auto"/>
            </w:tcBorders>
            <w:shd w:val="clear" w:color="auto" w:fill="CCEEFF"/>
          </w:tcPr>
          <w:p>
            <w:pPr>
              <w:jc w:val="right"/>
              <w:spacing w:after="0" w:line="201" w:lineRule="exact"/>
              <w:rPr>
                <w:sz w:val="20"/>
                <w:szCs w:val="20"/>
                <w:color w:val="auto"/>
              </w:rPr>
            </w:pPr>
            <w:r>
              <w:rPr>
                <w:rFonts w:ascii="Arial" w:cs="Arial" w:eastAsia="Arial" w:hAnsi="Arial"/>
                <w:sz w:val="18"/>
                <w:szCs w:val="18"/>
                <w:color w:val="auto"/>
              </w:rPr>
              <w:t>1/4/2015</w:t>
            </w:r>
          </w:p>
        </w:tc>
        <w:tc>
          <w:tcPr>
            <w:tcW w:w="160" w:type="dxa"/>
            <w:vAlign w:val="bottom"/>
            <w:shd w:val="clear" w:color="auto" w:fill="CCEEFF"/>
          </w:tcPr>
          <w:p>
            <w:pPr>
              <w:spacing w:after="0"/>
              <w:rPr>
                <w:sz w:val="17"/>
                <w:szCs w:val="17"/>
                <w:color w:val="auto"/>
              </w:rPr>
            </w:pPr>
          </w:p>
        </w:tc>
      </w:tr>
      <w:tr>
        <w:trPr>
          <w:trHeight w:val="216"/>
        </w:trPr>
        <w:tc>
          <w:tcPr>
            <w:tcW w:w="20" w:type="dxa"/>
            <w:vAlign w:val="bottom"/>
          </w:tcPr>
          <w:p>
            <w:pPr>
              <w:spacing w:after="0"/>
              <w:rPr>
                <w:sz w:val="18"/>
                <w:szCs w:val="18"/>
                <w:color w:val="auto"/>
              </w:rPr>
            </w:pPr>
          </w:p>
        </w:tc>
        <w:tc>
          <w:tcPr>
            <w:tcW w:w="32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Senior Vice-President, Operations</w:t>
            </w:r>
          </w:p>
        </w:tc>
        <w:tc>
          <w:tcPr>
            <w:tcW w:w="9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75,000</w:t>
            </w:r>
          </w:p>
        </w:tc>
        <w:tc>
          <w:tcPr>
            <w:tcW w:w="1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62.77</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1/2/2014</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96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10,000</w:t>
            </w:r>
          </w:p>
        </w:tc>
        <w:tc>
          <w:tcPr>
            <w:tcW w:w="1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66.74</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6/26/2013</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96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50,000</w:t>
            </w:r>
          </w:p>
        </w:tc>
        <w:tc>
          <w:tcPr>
            <w:tcW w:w="1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54.42</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1/2/2013</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96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35,000</w:t>
            </w:r>
          </w:p>
        </w:tc>
        <w:tc>
          <w:tcPr>
            <w:tcW w:w="1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39.18</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5/8/2012</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96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40,000</w:t>
            </w:r>
          </w:p>
        </w:tc>
        <w:tc>
          <w:tcPr>
            <w:tcW w:w="1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48.09</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1/2/2012</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96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30,000</w:t>
            </w:r>
          </w:p>
        </w:tc>
        <w:tc>
          <w:tcPr>
            <w:tcW w:w="1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23.02</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1/3/2011</w:t>
            </w:r>
          </w:p>
        </w:tc>
        <w:tc>
          <w:tcPr>
            <w:tcW w:w="160" w:type="dxa"/>
            <w:vAlign w:val="bottom"/>
            <w:shd w:val="clear" w:color="auto" w:fill="CCEEFF"/>
          </w:tcPr>
          <w:p>
            <w:pPr>
              <w:spacing w:after="0"/>
              <w:rPr>
                <w:sz w:val="18"/>
                <w:szCs w:val="18"/>
                <w:color w:val="auto"/>
              </w:rPr>
            </w:pPr>
          </w:p>
        </w:tc>
      </w:tr>
      <w:tr>
        <w:trPr>
          <w:trHeight w:val="224"/>
        </w:trPr>
        <w:tc>
          <w:tcPr>
            <w:tcW w:w="20" w:type="dxa"/>
            <w:vAlign w:val="bottom"/>
          </w:tcPr>
          <w:p>
            <w:pPr>
              <w:spacing w:after="0"/>
              <w:rPr>
                <w:sz w:val="19"/>
                <w:szCs w:val="19"/>
                <w:color w:val="auto"/>
              </w:rPr>
            </w:pPr>
          </w:p>
        </w:tc>
        <w:tc>
          <w:tcPr>
            <w:tcW w:w="108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960" w:type="dxa"/>
            <w:vAlign w:val="bottom"/>
            <w:shd w:val="clear" w:color="auto" w:fill="CCEEFF"/>
          </w:tcPr>
          <w:p>
            <w:pPr>
              <w:spacing w:after="0"/>
              <w:rPr>
                <w:sz w:val="19"/>
                <w:szCs w:val="19"/>
                <w:color w:val="auto"/>
              </w:rPr>
            </w:pPr>
          </w:p>
        </w:tc>
        <w:tc>
          <w:tcPr>
            <w:tcW w:w="9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960" w:type="dxa"/>
            <w:vAlign w:val="bottom"/>
            <w:shd w:val="clear" w:color="auto" w:fill="CCEEFF"/>
          </w:tcPr>
          <w:p>
            <w:pPr>
              <w:spacing w:after="0"/>
              <w:rPr>
                <w:sz w:val="19"/>
                <w:szCs w:val="19"/>
                <w:color w:val="auto"/>
              </w:rPr>
            </w:pPr>
          </w:p>
        </w:tc>
        <w:tc>
          <w:tcPr>
            <w:tcW w:w="1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3,000</w:t>
            </w:r>
          </w:p>
        </w:tc>
        <w:tc>
          <w:tcPr>
            <w:tcW w:w="1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15.96</w:t>
            </w: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10/26/2010</w:t>
            </w:r>
          </w:p>
        </w:tc>
        <w:tc>
          <w:tcPr>
            <w:tcW w:w="160" w:type="dxa"/>
            <w:vAlign w:val="bottom"/>
            <w:shd w:val="clear" w:color="auto" w:fill="CCEEFF"/>
          </w:tcPr>
          <w:p>
            <w:pPr>
              <w:spacing w:after="0"/>
              <w:rPr>
                <w:sz w:val="19"/>
                <w:szCs w:val="19"/>
                <w:color w:val="auto"/>
              </w:rPr>
            </w:pPr>
          </w:p>
        </w:tc>
      </w:tr>
      <w:tr>
        <w:trPr>
          <w:trHeight w:val="108"/>
        </w:trPr>
        <w:tc>
          <w:tcPr>
            <w:tcW w:w="20" w:type="dxa"/>
            <w:vAlign w:val="bottom"/>
          </w:tcPr>
          <w:p>
            <w:pPr>
              <w:spacing w:after="0"/>
              <w:rPr>
                <w:sz w:val="9"/>
                <w:szCs w:val="9"/>
                <w:color w:val="auto"/>
              </w:rPr>
            </w:pPr>
          </w:p>
        </w:tc>
        <w:tc>
          <w:tcPr>
            <w:tcW w:w="1080" w:type="dxa"/>
            <w:vAlign w:val="bottom"/>
            <w:tcBorders>
              <w:bottom w:val="single" w:sz="8" w:color="auto"/>
            </w:tcBorders>
          </w:tcPr>
          <w:p>
            <w:pPr>
              <w:spacing w:after="0"/>
              <w:rPr>
                <w:sz w:val="9"/>
                <w:szCs w:val="9"/>
                <w:color w:val="auto"/>
              </w:rPr>
            </w:pPr>
          </w:p>
        </w:tc>
        <w:tc>
          <w:tcPr>
            <w:tcW w:w="180" w:type="dxa"/>
            <w:vAlign w:val="bottom"/>
            <w:tcBorders>
              <w:bottom w:val="single" w:sz="8" w:color="auto"/>
            </w:tcBorders>
          </w:tcPr>
          <w:p>
            <w:pPr>
              <w:spacing w:after="0"/>
              <w:rPr>
                <w:sz w:val="9"/>
                <w:szCs w:val="9"/>
                <w:color w:val="auto"/>
              </w:rPr>
            </w:pPr>
          </w:p>
        </w:tc>
        <w:tc>
          <w:tcPr>
            <w:tcW w:w="1960" w:type="dxa"/>
            <w:vAlign w:val="bottom"/>
          </w:tcPr>
          <w:p>
            <w:pPr>
              <w:spacing w:after="0"/>
              <w:rPr>
                <w:sz w:val="9"/>
                <w:szCs w:val="9"/>
                <w:color w:val="auto"/>
              </w:rPr>
            </w:pPr>
          </w:p>
        </w:tc>
        <w:tc>
          <w:tcPr>
            <w:tcW w:w="960" w:type="dxa"/>
            <w:vAlign w:val="bottom"/>
          </w:tcPr>
          <w:p>
            <w:pPr>
              <w:spacing w:after="0"/>
              <w:rPr>
                <w:sz w:val="9"/>
                <w:szCs w:val="9"/>
                <w:color w:val="auto"/>
              </w:rPr>
            </w:pPr>
          </w:p>
        </w:tc>
        <w:tc>
          <w:tcPr>
            <w:tcW w:w="160" w:type="dxa"/>
            <w:vAlign w:val="bottom"/>
          </w:tcPr>
          <w:p>
            <w:pPr>
              <w:spacing w:after="0"/>
              <w:rPr>
                <w:sz w:val="9"/>
                <w:szCs w:val="9"/>
                <w:color w:val="auto"/>
              </w:rPr>
            </w:pPr>
          </w:p>
        </w:tc>
        <w:tc>
          <w:tcPr>
            <w:tcW w:w="960" w:type="dxa"/>
            <w:vAlign w:val="bottom"/>
          </w:tcPr>
          <w:p>
            <w:pPr>
              <w:spacing w:after="0"/>
              <w:rPr>
                <w:sz w:val="9"/>
                <w:szCs w:val="9"/>
                <w:color w:val="auto"/>
              </w:rPr>
            </w:pPr>
          </w:p>
        </w:tc>
        <w:tc>
          <w:tcPr>
            <w:tcW w:w="160" w:type="dxa"/>
            <w:vAlign w:val="bottom"/>
          </w:tcPr>
          <w:p>
            <w:pPr>
              <w:spacing w:after="0"/>
              <w:rPr>
                <w:sz w:val="9"/>
                <w:szCs w:val="9"/>
                <w:color w:val="auto"/>
              </w:rPr>
            </w:pPr>
          </w:p>
        </w:tc>
        <w:tc>
          <w:tcPr>
            <w:tcW w:w="940" w:type="dxa"/>
            <w:vAlign w:val="bottom"/>
          </w:tcPr>
          <w:p>
            <w:pPr>
              <w:spacing w:after="0"/>
              <w:rPr>
                <w:sz w:val="9"/>
                <w:szCs w:val="9"/>
                <w:color w:val="auto"/>
              </w:rPr>
            </w:pPr>
          </w:p>
        </w:tc>
        <w:tc>
          <w:tcPr>
            <w:tcW w:w="160" w:type="dxa"/>
            <w:vAlign w:val="bottom"/>
          </w:tcPr>
          <w:p>
            <w:pPr>
              <w:spacing w:after="0"/>
              <w:rPr>
                <w:sz w:val="9"/>
                <w:szCs w:val="9"/>
                <w:color w:val="auto"/>
              </w:rPr>
            </w:pPr>
          </w:p>
        </w:tc>
        <w:tc>
          <w:tcPr>
            <w:tcW w:w="1300" w:type="dxa"/>
            <w:vAlign w:val="bottom"/>
          </w:tcPr>
          <w:p>
            <w:pPr>
              <w:spacing w:after="0"/>
              <w:rPr>
                <w:sz w:val="9"/>
                <w:szCs w:val="9"/>
                <w:color w:val="auto"/>
              </w:rPr>
            </w:pPr>
          </w:p>
        </w:tc>
        <w:tc>
          <w:tcPr>
            <w:tcW w:w="160" w:type="dxa"/>
            <w:vAlign w:val="bottom"/>
          </w:tcPr>
          <w:p>
            <w:pPr>
              <w:spacing w:after="0"/>
              <w:rPr>
                <w:sz w:val="9"/>
                <w:szCs w:val="9"/>
                <w:color w:val="auto"/>
              </w:rPr>
            </w:pPr>
          </w:p>
        </w:tc>
        <w:tc>
          <w:tcPr>
            <w:tcW w:w="920" w:type="dxa"/>
            <w:vAlign w:val="bottom"/>
          </w:tcPr>
          <w:p>
            <w:pPr>
              <w:spacing w:after="0"/>
              <w:rPr>
                <w:sz w:val="9"/>
                <w:szCs w:val="9"/>
                <w:color w:val="auto"/>
              </w:rPr>
            </w:pPr>
          </w:p>
        </w:tc>
        <w:tc>
          <w:tcPr>
            <w:tcW w:w="160" w:type="dxa"/>
            <w:vAlign w:val="bottom"/>
          </w:tcPr>
          <w:p>
            <w:pPr>
              <w:spacing w:after="0"/>
              <w:rPr>
                <w:sz w:val="9"/>
                <w:szCs w:val="9"/>
                <w:color w:val="auto"/>
              </w:rPr>
            </w:pPr>
          </w:p>
        </w:tc>
      </w:tr>
    </w:tbl>
    <w:p>
      <w:pPr>
        <w:spacing w:after="0" w:line="205" w:lineRule="exact"/>
        <w:rPr>
          <w:sz w:val="20"/>
          <w:szCs w:val="20"/>
          <w:color w:val="auto"/>
        </w:rPr>
      </w:pPr>
    </w:p>
    <w:p>
      <w:pPr>
        <w:ind w:left="1140"/>
        <w:spacing w:after="0"/>
        <w:rPr>
          <w:sz w:val="20"/>
          <w:szCs w:val="20"/>
          <w:color w:val="auto"/>
        </w:rPr>
      </w:pPr>
      <w:r>
        <w:rPr>
          <w:rFonts w:ascii="Arial" w:cs="Arial" w:eastAsia="Arial" w:hAnsi="Arial"/>
          <w:sz w:val="14"/>
          <w:szCs w:val="14"/>
          <w:color w:val="auto"/>
        </w:rPr>
        <w:t>Notes:</w:t>
      </w:r>
    </w:p>
    <w:p>
      <w:pPr>
        <w:spacing w:after="0" w:line="190" w:lineRule="exact"/>
        <w:rPr>
          <w:sz w:val="20"/>
          <w:szCs w:val="20"/>
          <w:color w:val="auto"/>
        </w:rPr>
      </w:pPr>
    </w:p>
    <w:p>
      <w:pPr>
        <w:ind w:left="1680" w:hanging="531"/>
        <w:spacing w:after="0" w:line="318" w:lineRule="auto"/>
        <w:tabs>
          <w:tab w:leader="none" w:pos="1680" w:val="left"/>
        </w:tabs>
        <w:numPr>
          <w:ilvl w:val="0"/>
          <w:numId w:val="64"/>
        </w:numPr>
        <w:rPr>
          <w:rFonts w:ascii="Arial" w:cs="Arial" w:eastAsia="Arial" w:hAnsi="Arial"/>
          <w:sz w:val="12"/>
          <w:szCs w:val="12"/>
          <w:color w:val="auto"/>
        </w:rPr>
      </w:pPr>
      <w:r>
        <w:rPr>
          <w:rFonts w:ascii="Arial" w:cs="Arial" w:eastAsia="Arial" w:hAnsi="Arial"/>
          <w:sz w:val="12"/>
          <w:szCs w:val="12"/>
          <w:color w:val="auto"/>
        </w:rPr>
        <w:t>As of March 22, 2010. In each case, shareholdings constitute less than one percent of the issued and outstanding common shares of the Company. The total number of common shares held by directors and executive officers constitutes less than 0.178% of the issued and outstanding common shares of the Company.</w:t>
      </w:r>
    </w:p>
    <w:p>
      <w:pPr>
        <w:spacing w:after="0" w:line="66" w:lineRule="exact"/>
        <w:rPr>
          <w:rFonts w:ascii="Arial" w:cs="Arial" w:eastAsia="Arial" w:hAnsi="Arial"/>
          <w:sz w:val="12"/>
          <w:szCs w:val="12"/>
          <w:color w:val="auto"/>
        </w:rPr>
      </w:pPr>
    </w:p>
    <w:p>
      <w:pPr>
        <w:ind w:left="1680" w:hanging="531"/>
        <w:spacing w:after="0"/>
        <w:tabs>
          <w:tab w:leader="none" w:pos="1680" w:val="left"/>
        </w:tabs>
        <w:numPr>
          <w:ilvl w:val="0"/>
          <w:numId w:val="64"/>
        </w:numPr>
        <w:rPr>
          <w:rFonts w:ascii="Arial" w:cs="Arial" w:eastAsia="Arial" w:hAnsi="Arial"/>
          <w:sz w:val="14"/>
          <w:szCs w:val="14"/>
          <w:color w:val="auto"/>
        </w:rPr>
      </w:pPr>
      <w:r>
        <w:rPr>
          <w:rFonts w:ascii="Arial" w:cs="Arial" w:eastAsia="Arial" w:hAnsi="Arial"/>
          <w:sz w:val="14"/>
          <w:szCs w:val="14"/>
          <w:color w:val="auto"/>
        </w:rPr>
        <w:t>As of March 22, 2010.</w:t>
      </w:r>
    </w:p>
    <w:p>
      <w:pPr>
        <w:spacing w:after="0" w:line="20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7  MAJOR SHAREHOLDERS AND RELATED PARTY TRANSACTIONS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Major Shareholders</w:t>
      </w:r>
    </w:p>
    <w:p>
      <w:pPr>
        <w:spacing w:after="0" w:line="231" w:lineRule="exact"/>
        <w:rPr>
          <w:sz w:val="20"/>
          <w:szCs w:val="20"/>
          <w:color w:val="auto"/>
        </w:rPr>
      </w:pPr>
    </w:p>
    <w:p>
      <w:pPr>
        <w:jc w:val="both"/>
        <w:ind w:firstLine="368"/>
        <w:spacing w:after="0" w:line="259" w:lineRule="auto"/>
        <w:rPr>
          <w:sz w:val="20"/>
          <w:szCs w:val="20"/>
          <w:color w:val="auto"/>
        </w:rPr>
      </w:pPr>
      <w:r>
        <w:rPr>
          <w:rFonts w:ascii="Arial" w:cs="Arial" w:eastAsia="Arial" w:hAnsi="Arial"/>
          <w:sz w:val="18"/>
          <w:szCs w:val="18"/>
          <w:color w:val="auto"/>
        </w:rPr>
        <w:t>To the knowledge of the directors and senior officers of the Company, as of March 22, 2010, no person or corporation beneficially owns or exercises control or direction over common shares of the Company carrying more than 5% of the voting rights attached to all common shares of the Company other than as set out below:</w:t>
      </w:r>
    </w:p>
    <w:p>
      <w:pPr>
        <w:spacing w:after="0" w:line="177"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2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5380" w:type="dxa"/>
            <w:vAlign w:val="bottom"/>
          </w:tcPr>
          <w:p>
            <w:pPr>
              <w:spacing w:after="0"/>
              <w:rPr>
                <w:sz w:val="14"/>
                <w:szCs w:val="14"/>
                <w:color w:val="auto"/>
              </w:rPr>
            </w:pPr>
          </w:p>
        </w:tc>
        <w:tc>
          <w:tcPr>
            <w:tcW w:w="10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24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4"/>
              </w:rPr>
              <w:t>Percentage of</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2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5380" w:type="dxa"/>
            <w:vAlign w:val="bottom"/>
          </w:tcPr>
          <w:p>
            <w:pPr>
              <w:spacing w:after="0"/>
              <w:rPr>
                <w:sz w:val="12"/>
                <w:szCs w:val="12"/>
                <w:color w:val="auto"/>
              </w:rPr>
            </w:pPr>
          </w:p>
        </w:tc>
        <w:tc>
          <w:tcPr>
            <w:tcW w:w="1080" w:type="dxa"/>
            <w:vAlign w:val="bottom"/>
          </w:tcPr>
          <w:p>
            <w:pPr>
              <w:jc w:val="right"/>
              <w:ind w:right="160"/>
              <w:spacing w:after="0" w:line="149" w:lineRule="exact"/>
              <w:rPr>
                <w:sz w:val="20"/>
                <w:szCs w:val="20"/>
                <w:color w:val="auto"/>
              </w:rPr>
            </w:pPr>
            <w:r>
              <w:rPr>
                <w:rFonts w:ascii="Arial" w:cs="Arial" w:eastAsia="Arial" w:hAnsi="Arial"/>
                <w:sz w:val="14"/>
                <w:szCs w:val="14"/>
                <w:b w:val="1"/>
                <w:bCs w:val="1"/>
                <w:color w:val="auto"/>
              </w:rPr>
              <w:t>Number of</w:t>
            </w:r>
          </w:p>
        </w:tc>
        <w:tc>
          <w:tcPr>
            <w:tcW w:w="160" w:type="dxa"/>
            <w:vAlign w:val="bottom"/>
          </w:tcPr>
          <w:p>
            <w:pPr>
              <w:spacing w:after="0"/>
              <w:rPr>
                <w:sz w:val="12"/>
                <w:szCs w:val="12"/>
                <w:color w:val="auto"/>
              </w:rPr>
            </w:pPr>
          </w:p>
        </w:tc>
        <w:tc>
          <w:tcPr>
            <w:tcW w:w="124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4"/>
              </w:rPr>
              <w:t>outstanding</w:t>
            </w:r>
          </w:p>
        </w:tc>
        <w:tc>
          <w:tcPr>
            <w:tcW w:w="0" w:type="dxa"/>
            <w:vAlign w:val="bottom"/>
          </w:tcPr>
          <w:p>
            <w:pPr>
              <w:spacing w:after="0"/>
              <w:rPr>
                <w:sz w:val="1"/>
                <w:szCs w:val="1"/>
                <w:color w:val="auto"/>
              </w:rPr>
            </w:pPr>
          </w:p>
        </w:tc>
      </w:tr>
      <w:tr>
        <w:trPr>
          <w:trHeight w:val="161"/>
        </w:trPr>
        <w:tc>
          <w:tcPr>
            <w:tcW w:w="6660" w:type="dxa"/>
            <w:vAlign w:val="bottom"/>
            <w:gridSpan w:val="4"/>
          </w:tcPr>
          <w:p>
            <w:pPr>
              <w:spacing w:after="0"/>
              <w:rPr>
                <w:sz w:val="20"/>
                <w:szCs w:val="20"/>
                <w:color w:val="auto"/>
              </w:rPr>
            </w:pPr>
            <w:r>
              <w:rPr>
                <w:rFonts w:ascii="Arial" w:cs="Arial" w:eastAsia="Arial" w:hAnsi="Arial"/>
                <w:sz w:val="14"/>
                <w:szCs w:val="14"/>
                <w:b w:val="1"/>
                <w:bCs w:val="1"/>
                <w:color w:val="auto"/>
              </w:rPr>
              <w:t>Major Shareholder</w:t>
            </w:r>
          </w:p>
        </w:tc>
        <w:tc>
          <w:tcPr>
            <w:tcW w:w="1080" w:type="dxa"/>
            <w:vAlign w:val="bottom"/>
          </w:tcPr>
          <w:p>
            <w:pPr>
              <w:jc w:val="right"/>
              <w:ind w:right="20"/>
              <w:spacing w:after="0"/>
              <w:rPr>
                <w:sz w:val="20"/>
                <w:szCs w:val="20"/>
                <w:color w:val="auto"/>
              </w:rPr>
            </w:pPr>
            <w:r>
              <w:rPr>
                <w:rFonts w:ascii="Arial" w:cs="Arial" w:eastAsia="Arial" w:hAnsi="Arial"/>
                <w:sz w:val="14"/>
                <w:szCs w:val="14"/>
                <w:b w:val="1"/>
                <w:bCs w:val="1"/>
                <w:color w:val="auto"/>
                <w:w w:val="89"/>
              </w:rPr>
              <w:t>common shares</w:t>
            </w:r>
          </w:p>
        </w:tc>
        <w:tc>
          <w:tcPr>
            <w:tcW w:w="160" w:type="dxa"/>
            <w:vAlign w:val="bottom"/>
          </w:tcPr>
          <w:p>
            <w:pPr>
              <w:spacing w:after="0"/>
              <w:rPr>
                <w:sz w:val="14"/>
                <w:szCs w:val="14"/>
                <w:color w:val="auto"/>
              </w:rPr>
            </w:pPr>
          </w:p>
        </w:tc>
        <w:tc>
          <w:tcPr>
            <w:tcW w:w="124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3"/>
              </w:rPr>
              <w:t>common shares</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122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5380" w:type="dxa"/>
            <w:vAlign w:val="bottom"/>
          </w:tcPr>
          <w:p>
            <w:pPr>
              <w:spacing w:after="0" w:line="20" w:lineRule="exact"/>
              <w:rPr>
                <w:sz w:val="1"/>
                <w:szCs w:val="1"/>
                <w:color w:val="auto"/>
              </w:rPr>
            </w:pPr>
          </w:p>
        </w:tc>
        <w:tc>
          <w:tcPr>
            <w:tcW w:w="10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20" w:type="dxa"/>
            <w:vAlign w:val="bottom"/>
            <w:vMerge w:val="continue"/>
          </w:tcPr>
          <w:p>
            <w:pPr>
              <w:spacing w:after="0"/>
              <w:rPr>
                <w:sz w:val="21"/>
                <w:szCs w:val="21"/>
                <w:color w:val="auto"/>
              </w:rPr>
            </w:pPr>
          </w:p>
        </w:tc>
        <w:tc>
          <w:tcPr>
            <w:tcW w:w="6640" w:type="dxa"/>
            <w:vAlign w:val="bottom"/>
            <w:gridSpan w:val="3"/>
            <w:shd w:val="clear" w:color="auto" w:fill="CCEEFF"/>
          </w:tcPr>
          <w:p>
            <w:pPr>
              <w:spacing w:after="0" w:line="250" w:lineRule="exact"/>
              <w:rPr>
                <w:sz w:val="20"/>
                <w:szCs w:val="20"/>
                <w:color w:val="auto"/>
              </w:rPr>
            </w:pPr>
            <w:r>
              <w:rPr>
                <w:rFonts w:ascii="Arial" w:cs="Arial" w:eastAsia="Arial" w:hAnsi="Arial"/>
                <w:sz w:val="17"/>
                <w:szCs w:val="17"/>
                <w:color w:val="auto"/>
              </w:rPr>
              <w:t>T. Rowe Price Associates, Inc.</w:t>
            </w:r>
            <w:r>
              <w:rPr>
                <w:rFonts w:ascii="Arial" w:cs="Arial" w:eastAsia="Arial" w:hAnsi="Arial"/>
                <w:sz w:val="28"/>
                <w:szCs w:val="28"/>
                <w:color w:val="auto"/>
                <w:vertAlign w:val="superscript"/>
              </w:rPr>
              <w:t>(1)</w:t>
            </w:r>
          </w:p>
        </w:tc>
        <w:tc>
          <w:tcPr>
            <w:tcW w:w="10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8,496,245</w:t>
            </w:r>
          </w:p>
        </w:tc>
        <w:tc>
          <w:tcPr>
            <w:tcW w:w="1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5.4%</w:t>
            </w:r>
          </w:p>
        </w:tc>
        <w:tc>
          <w:tcPr>
            <w:tcW w:w="16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640" w:type="dxa"/>
            <w:vAlign w:val="bottom"/>
            <w:gridSpan w:val="3"/>
          </w:tcPr>
          <w:p>
            <w:pPr>
              <w:spacing w:after="0" w:line="256" w:lineRule="exact"/>
              <w:rPr>
                <w:sz w:val="20"/>
                <w:szCs w:val="20"/>
                <w:color w:val="auto"/>
              </w:rPr>
            </w:pPr>
            <w:r>
              <w:rPr>
                <w:rFonts w:ascii="Arial" w:cs="Arial" w:eastAsia="Arial" w:hAnsi="Arial"/>
                <w:sz w:val="18"/>
                <w:szCs w:val="18"/>
                <w:color w:val="auto"/>
              </w:rPr>
              <w:t>BlackRock, Inc.</w:t>
            </w:r>
            <w:r>
              <w:rPr>
                <w:rFonts w:ascii="Arial" w:cs="Arial" w:eastAsia="Arial" w:hAnsi="Arial"/>
                <w:sz w:val="29"/>
                <w:szCs w:val="29"/>
                <w:color w:val="auto"/>
                <w:vertAlign w:val="superscript"/>
              </w:rPr>
              <w:t>(2)</w:t>
            </w:r>
          </w:p>
        </w:tc>
        <w:tc>
          <w:tcPr>
            <w:tcW w:w="1080" w:type="dxa"/>
            <w:vAlign w:val="bottom"/>
          </w:tcPr>
          <w:p>
            <w:pPr>
              <w:jc w:val="right"/>
              <w:spacing w:after="0"/>
              <w:rPr>
                <w:sz w:val="20"/>
                <w:szCs w:val="20"/>
                <w:color w:val="auto"/>
              </w:rPr>
            </w:pPr>
            <w:r>
              <w:rPr>
                <w:rFonts w:ascii="Arial" w:cs="Arial" w:eastAsia="Arial" w:hAnsi="Arial"/>
                <w:sz w:val="18"/>
                <w:szCs w:val="18"/>
                <w:color w:val="auto"/>
              </w:rPr>
              <w:t>13,615,005</w:t>
            </w:r>
          </w:p>
        </w:tc>
        <w:tc>
          <w:tcPr>
            <w:tcW w:w="1240" w:type="dxa"/>
            <w:vAlign w:val="bottom"/>
            <w:gridSpan w:val="2"/>
          </w:tcPr>
          <w:p>
            <w:pPr>
              <w:jc w:val="right"/>
              <w:spacing w:after="0"/>
              <w:rPr>
                <w:sz w:val="20"/>
                <w:szCs w:val="20"/>
                <w:color w:val="auto"/>
              </w:rPr>
            </w:pPr>
            <w:r>
              <w:rPr>
                <w:rFonts w:ascii="Arial" w:cs="Arial" w:eastAsia="Arial" w:hAnsi="Arial"/>
                <w:sz w:val="18"/>
                <w:szCs w:val="18"/>
                <w:color w:val="auto"/>
              </w:rPr>
              <w:t>8.7%</w:t>
            </w:r>
          </w:p>
        </w:tc>
        <w:tc>
          <w:tcPr>
            <w:tcW w:w="1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640" w:type="dxa"/>
            <w:vAlign w:val="bottom"/>
            <w:gridSpan w:val="3"/>
            <w:shd w:val="clear" w:color="auto" w:fill="CCEEFF"/>
          </w:tcPr>
          <w:p>
            <w:pPr>
              <w:spacing w:after="0" w:line="256" w:lineRule="exact"/>
              <w:rPr>
                <w:sz w:val="20"/>
                <w:szCs w:val="20"/>
                <w:color w:val="auto"/>
              </w:rPr>
            </w:pPr>
            <w:r>
              <w:rPr>
                <w:rFonts w:ascii="Arial" w:cs="Arial" w:eastAsia="Arial" w:hAnsi="Arial"/>
                <w:sz w:val="18"/>
                <w:szCs w:val="18"/>
                <w:color w:val="auto"/>
              </w:rPr>
              <w:t>FMR LLC</w:t>
            </w:r>
            <w:r>
              <w:rPr>
                <w:rFonts w:ascii="Arial" w:cs="Arial" w:eastAsia="Arial" w:hAnsi="Arial"/>
                <w:sz w:val="29"/>
                <w:szCs w:val="29"/>
                <w:color w:val="auto"/>
                <w:vertAlign w:val="superscript"/>
              </w:rPr>
              <w:t>(3)</w:t>
            </w:r>
          </w:p>
        </w:tc>
        <w:tc>
          <w:tcPr>
            <w:tcW w:w="10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11,277,742</w:t>
            </w:r>
          </w:p>
        </w:tc>
        <w:tc>
          <w:tcPr>
            <w:tcW w:w="1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7.2%</w:t>
            </w: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108"/>
        </w:trPr>
        <w:tc>
          <w:tcPr>
            <w:tcW w:w="20" w:type="dxa"/>
            <w:vAlign w:val="bottom"/>
          </w:tcPr>
          <w:p>
            <w:pPr>
              <w:spacing w:after="0"/>
              <w:rPr>
                <w:sz w:val="9"/>
                <w:szCs w:val="9"/>
                <w:color w:val="auto"/>
              </w:rPr>
            </w:pPr>
          </w:p>
        </w:tc>
        <w:tc>
          <w:tcPr>
            <w:tcW w:w="1220" w:type="dxa"/>
            <w:vAlign w:val="bottom"/>
            <w:tcBorders>
              <w:bottom w:val="single" w:sz="8" w:color="auto"/>
            </w:tcBorders>
          </w:tcPr>
          <w:p>
            <w:pPr>
              <w:spacing w:after="0"/>
              <w:rPr>
                <w:sz w:val="9"/>
                <w:szCs w:val="9"/>
                <w:color w:val="auto"/>
              </w:rPr>
            </w:pPr>
          </w:p>
        </w:tc>
        <w:tc>
          <w:tcPr>
            <w:tcW w:w="40" w:type="dxa"/>
            <w:vAlign w:val="bottom"/>
            <w:tcBorders>
              <w:bottom w:val="single" w:sz="8" w:color="auto"/>
            </w:tcBorders>
          </w:tcPr>
          <w:p>
            <w:pPr>
              <w:spacing w:after="0"/>
              <w:rPr>
                <w:sz w:val="9"/>
                <w:szCs w:val="9"/>
                <w:color w:val="auto"/>
              </w:rPr>
            </w:pPr>
          </w:p>
        </w:tc>
        <w:tc>
          <w:tcPr>
            <w:tcW w:w="5380" w:type="dxa"/>
            <w:vAlign w:val="bottom"/>
          </w:tcPr>
          <w:p>
            <w:pPr>
              <w:spacing w:after="0"/>
              <w:rPr>
                <w:sz w:val="9"/>
                <w:szCs w:val="9"/>
                <w:color w:val="auto"/>
              </w:rPr>
            </w:pPr>
          </w:p>
        </w:tc>
        <w:tc>
          <w:tcPr>
            <w:tcW w:w="1080" w:type="dxa"/>
            <w:vAlign w:val="bottom"/>
          </w:tcPr>
          <w:p>
            <w:pPr>
              <w:spacing w:after="0"/>
              <w:rPr>
                <w:sz w:val="9"/>
                <w:szCs w:val="9"/>
                <w:color w:val="auto"/>
              </w:rPr>
            </w:pPr>
          </w:p>
        </w:tc>
        <w:tc>
          <w:tcPr>
            <w:tcW w:w="160" w:type="dxa"/>
            <w:vAlign w:val="bottom"/>
          </w:tcPr>
          <w:p>
            <w:pPr>
              <w:spacing w:after="0"/>
              <w:rPr>
                <w:sz w:val="9"/>
                <w:szCs w:val="9"/>
                <w:color w:val="auto"/>
              </w:rPr>
            </w:pPr>
          </w:p>
        </w:tc>
        <w:tc>
          <w:tcPr>
            <w:tcW w:w="1080" w:type="dxa"/>
            <w:vAlign w:val="bottom"/>
          </w:tcPr>
          <w:p>
            <w:pPr>
              <w:spacing w:after="0"/>
              <w:rPr>
                <w:sz w:val="9"/>
                <w:szCs w:val="9"/>
                <w:color w:val="auto"/>
              </w:rPr>
            </w:pPr>
          </w:p>
        </w:tc>
        <w:tc>
          <w:tcPr>
            <w:tcW w:w="16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05" w:lineRule="exact"/>
        <w:rPr>
          <w:sz w:val="20"/>
          <w:szCs w:val="20"/>
          <w:color w:val="auto"/>
        </w:rPr>
      </w:pPr>
    </w:p>
    <w:p>
      <w:pPr>
        <w:ind w:left="1140"/>
        <w:spacing w:after="0"/>
        <w:rPr>
          <w:sz w:val="20"/>
          <w:szCs w:val="20"/>
          <w:color w:val="auto"/>
        </w:rPr>
      </w:pPr>
      <w:r>
        <w:rPr>
          <w:rFonts w:ascii="Arial" w:cs="Arial" w:eastAsia="Arial" w:hAnsi="Arial"/>
          <w:sz w:val="14"/>
          <w:szCs w:val="14"/>
          <w:color w:val="auto"/>
        </w:rPr>
        <w:t>Notes:</w:t>
      </w:r>
    </w:p>
    <w:p>
      <w:pPr>
        <w:spacing w:after="0" w:line="190" w:lineRule="exact"/>
        <w:rPr>
          <w:sz w:val="20"/>
          <w:szCs w:val="20"/>
          <w:color w:val="auto"/>
        </w:rPr>
      </w:pPr>
    </w:p>
    <w:p>
      <w:pPr>
        <w:ind w:left="1680" w:right="20" w:hanging="531"/>
        <w:spacing w:after="0" w:line="239" w:lineRule="auto"/>
        <w:tabs>
          <w:tab w:leader="none" w:pos="1680" w:val="left"/>
        </w:tabs>
        <w:numPr>
          <w:ilvl w:val="0"/>
          <w:numId w:val="65"/>
        </w:numPr>
        <w:rPr>
          <w:rFonts w:ascii="Arial" w:cs="Arial" w:eastAsia="Arial" w:hAnsi="Arial"/>
          <w:sz w:val="14"/>
          <w:szCs w:val="14"/>
          <w:color w:val="auto"/>
        </w:rPr>
      </w:pPr>
      <w:r>
        <w:rPr>
          <w:rFonts w:ascii="Arial" w:cs="Arial" w:eastAsia="Arial" w:hAnsi="Arial"/>
          <w:sz w:val="14"/>
          <w:szCs w:val="14"/>
          <w:color w:val="auto"/>
        </w:rPr>
        <w:t>Prior to filing its report with applicable securities regulators on February 12, 2010, T. Rowe Price Associates, Inc. had not previously filed a report indicating its percentage ownership of common shares of the Company.</w:t>
      </w:r>
    </w:p>
    <w:p>
      <w:pPr>
        <w:spacing w:after="0" w:line="111" w:lineRule="exact"/>
        <w:rPr>
          <w:rFonts w:ascii="Arial" w:cs="Arial" w:eastAsia="Arial" w:hAnsi="Arial"/>
          <w:sz w:val="14"/>
          <w:szCs w:val="14"/>
          <w:color w:val="auto"/>
        </w:rPr>
      </w:pPr>
    </w:p>
    <w:p>
      <w:pPr>
        <w:ind w:left="1680" w:hanging="531"/>
        <w:spacing w:after="0" w:line="239" w:lineRule="auto"/>
        <w:tabs>
          <w:tab w:leader="none" w:pos="1680" w:val="left"/>
        </w:tabs>
        <w:numPr>
          <w:ilvl w:val="0"/>
          <w:numId w:val="65"/>
        </w:numPr>
        <w:rPr>
          <w:rFonts w:ascii="Arial" w:cs="Arial" w:eastAsia="Arial" w:hAnsi="Arial"/>
          <w:sz w:val="14"/>
          <w:szCs w:val="14"/>
          <w:color w:val="auto"/>
        </w:rPr>
      </w:pPr>
      <w:r>
        <w:rPr>
          <w:rFonts w:ascii="Arial" w:cs="Arial" w:eastAsia="Arial" w:hAnsi="Arial"/>
          <w:sz w:val="14"/>
          <w:szCs w:val="14"/>
          <w:color w:val="auto"/>
        </w:rPr>
        <w:t>According to reports filed with applicable securities regulators on February 9, 2009, March 10, 2009 and January 20, 2010, the percentage ownership of common shares of the Company held by BlackRock, Inc. has varied from 5.16% to 4.88% to 8.7%, respectively.</w:t>
      </w:r>
    </w:p>
    <w:p>
      <w:pPr>
        <w:spacing w:after="0" w:line="111" w:lineRule="exact"/>
        <w:rPr>
          <w:rFonts w:ascii="Arial" w:cs="Arial" w:eastAsia="Arial" w:hAnsi="Arial"/>
          <w:sz w:val="14"/>
          <w:szCs w:val="14"/>
          <w:color w:val="auto"/>
        </w:rPr>
      </w:pPr>
    </w:p>
    <w:p>
      <w:pPr>
        <w:jc w:val="both"/>
        <w:ind w:left="1680" w:hanging="531"/>
        <w:spacing w:after="0" w:line="230" w:lineRule="auto"/>
        <w:tabs>
          <w:tab w:leader="none" w:pos="1680" w:val="left"/>
        </w:tabs>
        <w:numPr>
          <w:ilvl w:val="0"/>
          <w:numId w:val="65"/>
        </w:numPr>
        <w:rPr>
          <w:rFonts w:ascii="Arial" w:cs="Arial" w:eastAsia="Arial" w:hAnsi="Arial"/>
          <w:sz w:val="14"/>
          <w:szCs w:val="14"/>
          <w:color w:val="auto"/>
        </w:rPr>
      </w:pPr>
      <w:r>
        <w:rPr>
          <w:rFonts w:ascii="Arial" w:cs="Arial" w:eastAsia="Arial" w:hAnsi="Arial"/>
          <w:sz w:val="14"/>
          <w:szCs w:val="14"/>
          <w:color w:val="auto"/>
        </w:rPr>
        <w:t>FMR LLC and FIL Limited (collectively, "Fidelity") filed a report with applicable securities regulators on February 16, 2010 stating that, while they are of the view that they are not acting as a "group" for the purposes of Section 13(d) under the Securities Exchange Act of 1934, they have filed the report on a voluntary basis as if all of the shares are beneficially owned by them on a joint basis. Previously, FMR LLC filed reports with applicable securities regulators on September 9, 2008 and February 13, 2009 stating that Fidelity had control over 10.92% and 7.63%, respectively, of the common shares of the Company.</w:t>
      </w:r>
    </w:p>
    <w:p>
      <w:pPr>
        <w:spacing w:after="0" w:line="196" w:lineRule="exact"/>
        <w:rPr>
          <w:sz w:val="20"/>
          <w:szCs w:val="20"/>
          <w:color w:val="auto"/>
        </w:rPr>
      </w:pPr>
    </w:p>
    <w:p>
      <w:pPr>
        <w:ind w:left="360"/>
        <w:spacing w:after="0"/>
        <w:rPr>
          <w:sz w:val="20"/>
          <w:szCs w:val="20"/>
          <w:color w:val="auto"/>
        </w:rPr>
      </w:pPr>
      <w:r>
        <w:rPr>
          <w:rFonts w:ascii="Arial" w:cs="Arial" w:eastAsia="Arial" w:hAnsi="Arial"/>
          <w:sz w:val="18"/>
          <w:szCs w:val="18"/>
          <w:color w:val="auto"/>
        </w:rPr>
        <w:t>None of the Company's major shareholders have different voting rights than other holders of the Company's common shares.</w:t>
      </w:r>
    </w:p>
    <w:p>
      <w:pPr>
        <w:spacing w:after="0" w:line="225" w:lineRule="exact"/>
        <w:rPr>
          <w:sz w:val="20"/>
          <w:szCs w:val="20"/>
          <w:color w:val="auto"/>
        </w:rPr>
      </w:pPr>
    </w:p>
    <w:p>
      <w:pPr>
        <w:jc w:val="both"/>
        <w:ind w:firstLine="341"/>
        <w:spacing w:after="0" w:line="268" w:lineRule="auto"/>
        <w:rPr>
          <w:sz w:val="20"/>
          <w:szCs w:val="20"/>
          <w:color w:val="auto"/>
        </w:rPr>
      </w:pPr>
      <w:r>
        <w:rPr>
          <w:rFonts w:ascii="Arial" w:cs="Arial" w:eastAsia="Arial" w:hAnsi="Arial"/>
          <w:sz w:val="18"/>
          <w:szCs w:val="18"/>
          <w:color w:val="auto"/>
        </w:rPr>
        <w:t>As of March 22, 2010, there were 3,850 holders of record of Agnico-Eagle's 156,714,381 outstanding common shares, of which 3,248 holders of record were in the United States and held 47,772,611 common shares or about 30.48% of the outstanding common shares.</w:t>
      </w:r>
    </w:p>
    <w:p>
      <w:pPr>
        <w:spacing w:after="0" w:line="186" w:lineRule="exact"/>
        <w:rPr>
          <w:sz w:val="20"/>
          <w:szCs w:val="20"/>
          <w:color w:val="auto"/>
        </w:rPr>
      </w:pPr>
    </w:p>
    <w:p>
      <w:pPr>
        <w:jc w:val="both"/>
        <w:ind w:firstLine="478"/>
        <w:spacing w:after="0" w:line="259" w:lineRule="auto"/>
        <w:rPr>
          <w:sz w:val="20"/>
          <w:szCs w:val="20"/>
          <w:color w:val="auto"/>
        </w:rPr>
      </w:pPr>
      <w:r>
        <w:rPr>
          <w:rFonts w:ascii="Arial" w:cs="Arial" w:eastAsia="Arial" w:hAnsi="Arial"/>
          <w:sz w:val="18"/>
          <w:szCs w:val="18"/>
          <w:color w:val="auto"/>
        </w:rPr>
        <w:t>The Company is not aware of any arrangements the operation of which may at a subsequent date result in a change in control of the Company. To the knowledge of the Company, it is not directly or indirectly owned or controlled by another corporation, by any government or by any natural or legal person severally or jointly.</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14" w:right="239" w:bottom="1440" w:gutter="0" w:footer="0" w:header="0"/>
        </w:sectPr>
      </w:pPr>
    </w:p>
    <w:bookmarkStart w:id="165" w:name="page166"/>
    <w:bookmarkEnd w:id="165"/>
    <w:p>
      <w:pPr>
        <w:spacing w:after="0"/>
        <w:rPr>
          <w:sz w:val="20"/>
          <w:szCs w:val="20"/>
          <w:color w:val="auto"/>
        </w:rPr>
      </w:pPr>
      <w:r>
        <w:rPr>
          <w:rFonts w:ascii="Arial" w:cs="Arial" w:eastAsia="Arial" w:hAnsi="Arial"/>
          <w:sz w:val="18"/>
          <w:szCs w:val="18"/>
          <w:b w:val="1"/>
          <w:bCs w:val="1"/>
          <w:color w:val="auto"/>
        </w:rPr>
        <w:t>Related Party Transactions</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Company has not entered into any material related party transactions since January 1, 2009.</w:t>
      </w:r>
    </w:p>
    <w:p>
      <w:pPr>
        <w:spacing w:after="0" w:line="219" w:lineRule="exact"/>
        <w:rPr>
          <w:sz w:val="20"/>
          <w:szCs w:val="20"/>
          <w:color w:val="auto"/>
        </w:rPr>
      </w:pPr>
    </w:p>
    <w:p>
      <w:pPr>
        <w:spacing w:after="0"/>
        <w:tabs>
          <w:tab w:leader="none" w:pos="760" w:val="left"/>
        </w:tabs>
        <w:rPr>
          <w:sz w:val="20"/>
          <w:szCs w:val="20"/>
          <w:color w:val="auto"/>
        </w:rPr>
      </w:pPr>
      <w:r>
        <w:rPr>
          <w:rFonts w:ascii="Arial" w:cs="Arial" w:eastAsia="Arial" w:hAnsi="Arial"/>
          <w:sz w:val="18"/>
          <w:szCs w:val="18"/>
          <w:b w:val="1"/>
          <w:bCs w:val="1"/>
          <w:color w:val="auto"/>
        </w:rPr>
        <w:t>ITEM 8</w:t>
        <w:tab/>
        <w:t>FINANCIAL INFORMATION</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consolidated financial statements furnished pursuant to Item 18 are presented in accordance with US GAAP.</w:t>
      </w:r>
    </w:p>
    <w:p>
      <w:pPr>
        <w:spacing w:after="0" w:line="225" w:lineRule="exact"/>
        <w:rPr>
          <w:sz w:val="20"/>
          <w:szCs w:val="20"/>
          <w:color w:val="auto"/>
        </w:rPr>
      </w:pPr>
    </w:p>
    <w:p>
      <w:pPr>
        <w:ind w:left="360"/>
        <w:spacing w:after="0"/>
        <w:rPr>
          <w:sz w:val="20"/>
          <w:szCs w:val="20"/>
          <w:color w:val="auto"/>
        </w:rPr>
      </w:pPr>
      <w:r>
        <w:rPr>
          <w:rFonts w:ascii="Arial" w:cs="Arial" w:eastAsia="Arial" w:hAnsi="Arial"/>
          <w:sz w:val="18"/>
          <w:szCs w:val="18"/>
          <w:color w:val="auto"/>
        </w:rPr>
        <w:t>During the period under review, inflation has not had a significant impact on the Company's operations.</w:t>
      </w:r>
    </w:p>
    <w:p>
      <w:pPr>
        <w:spacing w:after="0" w:line="225" w:lineRule="exact"/>
        <w:rPr>
          <w:sz w:val="20"/>
          <w:szCs w:val="20"/>
          <w:color w:val="auto"/>
        </w:rPr>
      </w:pPr>
    </w:p>
    <w:p>
      <w:pPr>
        <w:jc w:val="both"/>
        <w:ind w:firstLine="443"/>
        <w:spacing w:after="0" w:line="268" w:lineRule="auto"/>
        <w:rPr>
          <w:sz w:val="20"/>
          <w:szCs w:val="20"/>
          <w:color w:val="auto"/>
        </w:rPr>
      </w:pPr>
      <w:r>
        <w:rPr>
          <w:rFonts w:ascii="Arial" w:cs="Arial" w:eastAsia="Arial" w:hAnsi="Arial"/>
          <w:sz w:val="18"/>
          <w:szCs w:val="18"/>
          <w:color w:val="auto"/>
        </w:rPr>
        <w:t>The Company is not aware of any legal or arbitration proceedings which may have, or have had in the recent past, a significant effect on the Company's financial position or profitability.</w:t>
      </w:r>
    </w:p>
    <w:p>
      <w:pPr>
        <w:spacing w:after="0" w:line="3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Dividend Policy</w:t>
      </w:r>
    </w:p>
    <w:p>
      <w:pPr>
        <w:spacing w:after="0" w:line="231" w:lineRule="exact"/>
        <w:rPr>
          <w:sz w:val="20"/>
          <w:szCs w:val="20"/>
          <w:color w:val="auto"/>
        </w:rPr>
      </w:pPr>
    </w:p>
    <w:p>
      <w:pPr>
        <w:jc w:val="both"/>
        <w:ind w:firstLine="358"/>
        <w:spacing w:after="0" w:line="291" w:lineRule="auto"/>
        <w:rPr>
          <w:sz w:val="20"/>
          <w:szCs w:val="20"/>
          <w:color w:val="auto"/>
        </w:rPr>
      </w:pPr>
      <w:r>
        <w:rPr>
          <w:rFonts w:ascii="Arial" w:cs="Arial" w:eastAsia="Arial" w:hAnsi="Arial"/>
          <w:sz w:val="16"/>
          <w:szCs w:val="16"/>
          <w:color w:val="auto"/>
        </w:rPr>
        <w:t>The Company's policy is to pay annual dividends on its common shares and, on December 16, 2009, the Company announced that it had declared a dividend of C$0.18 per common share payable on March 26, 2010. In each of 2009 and 2008, the dividend paid was C$0.18 per common share, in 2007, the dividend paid was C$0.12 per common share and, in 2006, the dividend paid was C$0.03 per common share, unchanged since 2003. Although the Company expects to continue paying an annual cash dividend, future dividends will be at the discretion of the Board and will be subject to such factors as the Company's earnings, financial condition and capital requirements. The Company's Credit Facilities each contain covenants that restrict the Company's ability to declare or pay dividends if a default under a Credit Facility has occurred or would result from the declaration or payment of the dividend.</w:t>
      </w:r>
    </w:p>
    <w:p>
      <w:pPr>
        <w:spacing w:after="0" w:line="168" w:lineRule="exact"/>
        <w:rPr>
          <w:sz w:val="20"/>
          <w:szCs w:val="20"/>
          <w:color w:val="auto"/>
        </w:rPr>
      </w:pPr>
    </w:p>
    <w:p>
      <w:pPr>
        <w:spacing w:after="0"/>
        <w:tabs>
          <w:tab w:leader="none" w:pos="760" w:val="left"/>
        </w:tabs>
        <w:rPr>
          <w:sz w:val="20"/>
          <w:szCs w:val="20"/>
          <w:color w:val="auto"/>
        </w:rPr>
      </w:pPr>
      <w:r>
        <w:rPr>
          <w:rFonts w:ascii="Arial" w:cs="Arial" w:eastAsia="Arial" w:hAnsi="Arial"/>
          <w:sz w:val="18"/>
          <w:szCs w:val="18"/>
          <w:b w:val="1"/>
          <w:bCs w:val="1"/>
          <w:color w:val="auto"/>
        </w:rPr>
        <w:t>ITEM 9</w:t>
      </w:r>
      <w:r>
        <w:rPr>
          <w:sz w:val="20"/>
          <w:szCs w:val="20"/>
          <w:color w:val="auto"/>
        </w:rPr>
        <w:tab/>
      </w:r>
      <w:r>
        <w:rPr>
          <w:rFonts w:ascii="Arial" w:cs="Arial" w:eastAsia="Arial" w:hAnsi="Arial"/>
          <w:sz w:val="16"/>
          <w:szCs w:val="16"/>
          <w:b w:val="1"/>
          <w:bCs w:val="1"/>
          <w:color w:val="auto"/>
        </w:rPr>
        <w:t>THE OFFER AND LISTING</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Market and Listing Details</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6"/>
          <w:szCs w:val="16"/>
          <w:color w:val="auto"/>
        </w:rPr>
        <w:t>The Company's common shares are listed and traded in Canada on the TSX and in the United States on the New York Stock Exchange ("NYSE").</w:t>
      </w:r>
    </w:p>
    <w:p>
      <w:pPr>
        <w:spacing w:after="0" w:line="248" w:lineRule="exact"/>
        <w:rPr>
          <w:sz w:val="20"/>
          <w:szCs w:val="20"/>
          <w:color w:val="auto"/>
        </w:rPr>
      </w:pPr>
    </w:p>
    <w:p>
      <w:pPr>
        <w:jc w:val="both"/>
        <w:ind w:right="20" w:firstLine="425"/>
        <w:spacing w:after="0" w:line="268" w:lineRule="auto"/>
        <w:rPr>
          <w:sz w:val="20"/>
          <w:szCs w:val="20"/>
          <w:color w:val="auto"/>
        </w:rPr>
      </w:pPr>
      <w:r>
        <w:rPr>
          <w:rFonts w:ascii="Arial" w:cs="Arial" w:eastAsia="Arial" w:hAnsi="Arial"/>
          <w:sz w:val="18"/>
          <w:szCs w:val="18"/>
          <w:color w:val="auto"/>
        </w:rPr>
        <w:t>The following table sets forth the high and low sale prices for Agnico-Eagle's common shares on the TSX and the NYSE for each of the five fiscal years ended December 31, 2009 and for each quarter during the two fiscal years ended December 31, 2009.</w:t>
      </w:r>
    </w:p>
    <w:p>
      <w:pPr>
        <w:spacing w:after="0" w:line="236"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160" w:type="dxa"/>
            <w:vAlign w:val="bottom"/>
          </w:tcPr>
          <w:p>
            <w:pPr>
              <w:spacing w:after="0"/>
              <w:rPr>
                <w:sz w:val="14"/>
                <w:szCs w:val="14"/>
                <w:color w:val="auto"/>
              </w:rPr>
            </w:pPr>
          </w:p>
        </w:tc>
        <w:tc>
          <w:tcPr>
            <w:tcW w:w="4120" w:type="dxa"/>
            <w:vAlign w:val="bottom"/>
          </w:tcPr>
          <w:p>
            <w:pPr>
              <w:spacing w:after="0"/>
              <w:rPr>
                <w:sz w:val="14"/>
                <w:szCs w:val="14"/>
                <w:color w:val="auto"/>
              </w:rPr>
            </w:pPr>
          </w:p>
        </w:tc>
        <w:tc>
          <w:tcPr>
            <w:tcW w:w="54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gridSpan w:val="3"/>
          </w:tcPr>
          <w:p>
            <w:pPr>
              <w:ind w:left="200"/>
              <w:spacing w:after="0"/>
              <w:rPr>
                <w:sz w:val="20"/>
                <w:szCs w:val="20"/>
                <w:color w:val="auto"/>
              </w:rPr>
            </w:pPr>
            <w:r>
              <w:rPr>
                <w:rFonts w:ascii="Arial" w:cs="Arial" w:eastAsia="Arial" w:hAnsi="Arial"/>
                <w:sz w:val="14"/>
                <w:szCs w:val="14"/>
                <w:b w:val="1"/>
                <w:bCs w:val="1"/>
                <w:color w:val="auto"/>
                <w:w w:val="92"/>
              </w:rPr>
              <w:t>TSX (C$)</w:t>
            </w:r>
          </w:p>
        </w:tc>
        <w:tc>
          <w:tcPr>
            <w:tcW w:w="90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52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gridSpan w:val="3"/>
          </w:tcPr>
          <w:p>
            <w:pPr>
              <w:ind w:left="220"/>
              <w:spacing w:after="0"/>
              <w:rPr>
                <w:sz w:val="20"/>
                <w:szCs w:val="20"/>
                <w:color w:val="auto"/>
              </w:rPr>
            </w:pPr>
            <w:r>
              <w:rPr>
                <w:rFonts w:ascii="Arial" w:cs="Arial" w:eastAsia="Arial" w:hAnsi="Arial"/>
                <w:sz w:val="14"/>
                <w:szCs w:val="14"/>
                <w:b w:val="1"/>
                <w:bCs w:val="1"/>
                <w:color w:val="auto"/>
                <w:w w:val="87"/>
              </w:rPr>
              <w:t>NYSE ($)</w:t>
            </w:r>
          </w:p>
        </w:tc>
        <w:tc>
          <w:tcPr>
            <w:tcW w:w="92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1100" w:type="dxa"/>
            <w:vAlign w:val="bottom"/>
          </w:tcPr>
          <w:p>
            <w:pPr>
              <w:spacing w:after="0"/>
              <w:rPr>
                <w:sz w:val="14"/>
                <w:szCs w:val="14"/>
                <w:color w:val="auto"/>
              </w:rPr>
            </w:pPr>
          </w:p>
        </w:tc>
      </w:tr>
      <w:tr>
        <w:trPr>
          <w:trHeight w:val="129"/>
        </w:trPr>
        <w:tc>
          <w:tcPr>
            <w:tcW w:w="1160" w:type="dxa"/>
            <w:vAlign w:val="bottom"/>
          </w:tcPr>
          <w:p>
            <w:pPr>
              <w:spacing w:after="0"/>
              <w:rPr>
                <w:sz w:val="11"/>
                <w:szCs w:val="11"/>
                <w:color w:val="auto"/>
              </w:rPr>
            </w:pPr>
          </w:p>
        </w:tc>
        <w:tc>
          <w:tcPr>
            <w:tcW w:w="412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900" w:type="dxa"/>
            <w:vAlign w:val="bottom"/>
          </w:tcPr>
          <w:p>
            <w:pPr>
              <w:jc w:val="right"/>
              <w:spacing w:after="0" w:line="129" w:lineRule="exact"/>
              <w:rPr>
                <w:sz w:val="20"/>
                <w:szCs w:val="20"/>
                <w:color w:val="auto"/>
              </w:rPr>
            </w:pPr>
            <w:r>
              <w:rPr>
                <w:rFonts w:ascii="Arial" w:cs="Arial" w:eastAsia="Arial" w:hAnsi="Arial"/>
                <w:sz w:val="14"/>
                <w:szCs w:val="14"/>
                <w:b w:val="1"/>
                <w:bCs w:val="1"/>
                <w:color w:val="auto"/>
                <w:w w:val="86"/>
              </w:rPr>
              <w:t>Average Daily</w:t>
            </w:r>
          </w:p>
        </w:tc>
        <w:tc>
          <w:tcPr>
            <w:tcW w:w="16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920" w:type="dxa"/>
            <w:vAlign w:val="bottom"/>
          </w:tcPr>
          <w:p>
            <w:pPr>
              <w:jc w:val="right"/>
              <w:ind w:right="15"/>
              <w:spacing w:after="0" w:line="129" w:lineRule="exact"/>
              <w:rPr>
                <w:sz w:val="20"/>
                <w:szCs w:val="20"/>
                <w:color w:val="auto"/>
              </w:rPr>
            </w:pPr>
            <w:r>
              <w:rPr>
                <w:rFonts w:ascii="Arial" w:cs="Arial" w:eastAsia="Arial" w:hAnsi="Arial"/>
                <w:sz w:val="14"/>
                <w:szCs w:val="14"/>
                <w:b w:val="1"/>
                <w:bCs w:val="1"/>
                <w:color w:val="auto"/>
                <w:w w:val="86"/>
              </w:rPr>
              <w:t>Average Daily</w:t>
            </w:r>
          </w:p>
        </w:tc>
        <w:tc>
          <w:tcPr>
            <w:tcW w:w="1260" w:type="dxa"/>
            <w:vAlign w:val="bottom"/>
            <w:gridSpan w:val="2"/>
          </w:tcPr>
          <w:p>
            <w:pPr>
              <w:spacing w:after="0"/>
              <w:rPr>
                <w:sz w:val="11"/>
                <w:szCs w:val="11"/>
                <w:color w:val="auto"/>
              </w:rPr>
            </w:pPr>
          </w:p>
        </w:tc>
      </w:tr>
      <w:tr>
        <w:trPr>
          <w:trHeight w:val="161"/>
        </w:trPr>
        <w:tc>
          <w:tcPr>
            <w:tcW w:w="1160" w:type="dxa"/>
            <w:vAlign w:val="bottom"/>
          </w:tcPr>
          <w:p>
            <w:pPr>
              <w:spacing w:after="0"/>
              <w:rPr>
                <w:sz w:val="14"/>
                <w:szCs w:val="14"/>
                <w:color w:val="auto"/>
              </w:rPr>
            </w:pPr>
          </w:p>
        </w:tc>
        <w:tc>
          <w:tcPr>
            <w:tcW w:w="4120" w:type="dxa"/>
            <w:vAlign w:val="bottom"/>
          </w:tcPr>
          <w:p>
            <w:pPr>
              <w:spacing w:after="0"/>
              <w:rPr>
                <w:sz w:val="14"/>
                <w:szCs w:val="14"/>
                <w:color w:val="auto"/>
              </w:rPr>
            </w:pPr>
          </w:p>
        </w:tc>
        <w:tc>
          <w:tcPr>
            <w:tcW w:w="540" w:type="dxa"/>
            <w:vAlign w:val="bottom"/>
            <w:tcBorders>
              <w:bottom w:val="single" w:sz="8" w:color="auto"/>
            </w:tcBorders>
          </w:tcPr>
          <w:p>
            <w:pPr>
              <w:ind w:left="120"/>
              <w:spacing w:after="0"/>
              <w:rPr>
                <w:sz w:val="20"/>
                <w:szCs w:val="20"/>
                <w:color w:val="auto"/>
              </w:rPr>
            </w:pPr>
            <w:r>
              <w:rPr>
                <w:rFonts w:ascii="Arial" w:cs="Arial" w:eastAsia="Arial" w:hAnsi="Arial"/>
                <w:sz w:val="14"/>
                <w:szCs w:val="14"/>
                <w:b w:val="1"/>
                <w:bCs w:val="1"/>
                <w:color w:val="auto"/>
              </w:rPr>
              <w:t>High</w:t>
            </w:r>
          </w:p>
        </w:tc>
        <w:tc>
          <w:tcPr>
            <w:tcW w:w="160" w:type="dxa"/>
            <w:vAlign w:val="bottom"/>
          </w:tcPr>
          <w:p>
            <w:pPr>
              <w:spacing w:after="0"/>
              <w:rPr>
                <w:sz w:val="14"/>
                <w:szCs w:val="14"/>
                <w:color w:val="auto"/>
              </w:rPr>
            </w:pPr>
          </w:p>
        </w:tc>
        <w:tc>
          <w:tcPr>
            <w:tcW w:w="520" w:type="dxa"/>
            <w:vAlign w:val="bottom"/>
            <w:tcBorders>
              <w:bottom w:val="single" w:sz="8" w:color="auto"/>
            </w:tcBorders>
          </w:tcPr>
          <w:p>
            <w:pPr>
              <w:ind w:left="120"/>
              <w:spacing w:after="0"/>
              <w:rPr>
                <w:sz w:val="20"/>
                <w:szCs w:val="20"/>
                <w:color w:val="auto"/>
              </w:rPr>
            </w:pPr>
            <w:r>
              <w:rPr>
                <w:rFonts w:ascii="Arial" w:cs="Arial" w:eastAsia="Arial" w:hAnsi="Arial"/>
                <w:sz w:val="14"/>
                <w:szCs w:val="14"/>
                <w:b w:val="1"/>
                <w:bCs w:val="1"/>
                <w:color w:val="auto"/>
              </w:rPr>
              <w:t>Low</w:t>
            </w:r>
          </w:p>
        </w:tc>
        <w:tc>
          <w:tcPr>
            <w:tcW w:w="1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900" w:type="dxa"/>
            <w:vAlign w:val="bottom"/>
            <w:tcBorders>
              <w:bottom w:val="single" w:sz="8" w:color="auto"/>
            </w:tcBorders>
          </w:tcPr>
          <w:p>
            <w:pPr>
              <w:jc w:val="right"/>
              <w:ind w:right="195"/>
              <w:spacing w:after="0"/>
              <w:rPr>
                <w:sz w:val="20"/>
                <w:szCs w:val="20"/>
                <w:color w:val="auto"/>
              </w:rPr>
            </w:pPr>
            <w:r>
              <w:rPr>
                <w:rFonts w:ascii="Arial" w:cs="Arial" w:eastAsia="Arial" w:hAnsi="Arial"/>
                <w:sz w:val="14"/>
                <w:szCs w:val="14"/>
                <w:b w:val="1"/>
                <w:bCs w:val="1"/>
                <w:color w:val="auto"/>
              </w:rPr>
              <w:t>Volume</w:t>
            </w:r>
          </w:p>
        </w:tc>
        <w:tc>
          <w:tcPr>
            <w:tcW w:w="160" w:type="dxa"/>
            <w:vAlign w:val="bottom"/>
          </w:tcPr>
          <w:p>
            <w:pPr>
              <w:spacing w:after="0"/>
              <w:rPr>
                <w:sz w:val="14"/>
                <w:szCs w:val="14"/>
                <w:color w:val="auto"/>
              </w:rPr>
            </w:pPr>
          </w:p>
        </w:tc>
        <w:tc>
          <w:tcPr>
            <w:tcW w:w="520" w:type="dxa"/>
            <w:vAlign w:val="bottom"/>
            <w:tcBorders>
              <w:bottom w:val="single" w:sz="8" w:color="auto"/>
            </w:tcBorders>
          </w:tcPr>
          <w:p>
            <w:pPr>
              <w:ind w:left="120"/>
              <w:spacing w:after="0"/>
              <w:rPr>
                <w:sz w:val="20"/>
                <w:szCs w:val="20"/>
                <w:color w:val="auto"/>
              </w:rPr>
            </w:pPr>
            <w:r>
              <w:rPr>
                <w:rFonts w:ascii="Arial" w:cs="Arial" w:eastAsia="Arial" w:hAnsi="Arial"/>
                <w:sz w:val="14"/>
                <w:szCs w:val="14"/>
                <w:b w:val="1"/>
                <w:bCs w:val="1"/>
                <w:color w:val="auto"/>
              </w:rPr>
              <w:t>High</w:t>
            </w:r>
          </w:p>
        </w:tc>
        <w:tc>
          <w:tcPr>
            <w:tcW w:w="160" w:type="dxa"/>
            <w:vAlign w:val="bottom"/>
          </w:tcPr>
          <w:p>
            <w:pPr>
              <w:spacing w:after="0"/>
              <w:rPr>
                <w:sz w:val="14"/>
                <w:szCs w:val="14"/>
                <w:color w:val="auto"/>
              </w:rPr>
            </w:pPr>
          </w:p>
        </w:tc>
        <w:tc>
          <w:tcPr>
            <w:tcW w:w="540" w:type="dxa"/>
            <w:vAlign w:val="bottom"/>
            <w:tcBorders>
              <w:bottom w:val="single" w:sz="8" w:color="auto"/>
            </w:tcBorders>
          </w:tcPr>
          <w:p>
            <w:pPr>
              <w:ind w:left="140"/>
              <w:spacing w:after="0"/>
              <w:rPr>
                <w:sz w:val="20"/>
                <w:szCs w:val="20"/>
                <w:color w:val="auto"/>
              </w:rPr>
            </w:pPr>
            <w:r>
              <w:rPr>
                <w:rFonts w:ascii="Arial" w:cs="Arial" w:eastAsia="Arial" w:hAnsi="Arial"/>
                <w:sz w:val="14"/>
                <w:szCs w:val="14"/>
                <w:b w:val="1"/>
                <w:bCs w:val="1"/>
                <w:color w:val="auto"/>
              </w:rPr>
              <w:t>Low</w:t>
            </w:r>
          </w:p>
        </w:tc>
        <w:tc>
          <w:tcPr>
            <w:tcW w:w="160" w:type="dxa"/>
            <w:vAlign w:val="bottom"/>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920" w:type="dxa"/>
            <w:vAlign w:val="bottom"/>
            <w:tcBorders>
              <w:bottom w:val="single" w:sz="8" w:color="auto"/>
            </w:tcBorders>
          </w:tcPr>
          <w:p>
            <w:pPr>
              <w:jc w:val="right"/>
              <w:ind w:right="195"/>
              <w:spacing w:after="0"/>
              <w:rPr>
                <w:sz w:val="20"/>
                <w:szCs w:val="20"/>
                <w:color w:val="auto"/>
              </w:rPr>
            </w:pPr>
            <w:r>
              <w:rPr>
                <w:rFonts w:ascii="Arial" w:cs="Arial" w:eastAsia="Arial" w:hAnsi="Arial"/>
                <w:sz w:val="14"/>
                <w:szCs w:val="14"/>
                <w:b w:val="1"/>
                <w:bCs w:val="1"/>
                <w:color w:val="auto"/>
              </w:rPr>
              <w:t>Volume</w:t>
            </w:r>
          </w:p>
        </w:tc>
        <w:tc>
          <w:tcPr>
            <w:tcW w:w="1260" w:type="dxa"/>
            <w:vAlign w:val="bottom"/>
            <w:gridSpan w:val="2"/>
          </w:tcPr>
          <w:p>
            <w:pPr>
              <w:spacing w:after="0"/>
              <w:rPr>
                <w:sz w:val="14"/>
                <w:szCs w:val="14"/>
                <w:color w:val="auto"/>
              </w:rPr>
            </w:pPr>
          </w:p>
        </w:tc>
      </w:tr>
      <w:tr>
        <w:trPr>
          <w:trHeight w:val="210"/>
        </w:trPr>
        <w:tc>
          <w:tcPr>
            <w:tcW w:w="1160" w:type="dxa"/>
            <w:vAlign w:val="bottom"/>
          </w:tcPr>
          <w:p>
            <w:pPr>
              <w:spacing w:after="0"/>
              <w:rPr>
                <w:sz w:val="18"/>
                <w:szCs w:val="18"/>
                <w:color w:val="auto"/>
              </w:rPr>
            </w:pPr>
          </w:p>
        </w:tc>
        <w:tc>
          <w:tcPr>
            <w:tcW w:w="4120" w:type="dxa"/>
            <w:vAlign w:val="bottom"/>
            <w:shd w:val="clear" w:color="auto" w:fill="CCEEFF"/>
          </w:tcPr>
          <w:p>
            <w:pPr>
              <w:jc w:val="right"/>
              <w:ind w:right="3692"/>
              <w:spacing w:after="0"/>
              <w:rPr>
                <w:sz w:val="20"/>
                <w:szCs w:val="20"/>
                <w:color w:val="auto"/>
              </w:rPr>
            </w:pPr>
            <w:r>
              <w:rPr>
                <w:rFonts w:ascii="Arial" w:cs="Arial" w:eastAsia="Arial" w:hAnsi="Arial"/>
                <w:sz w:val="18"/>
                <w:szCs w:val="18"/>
                <w:color w:val="auto"/>
                <w:w w:val="79"/>
              </w:rPr>
              <w:t>2005</w:t>
            </w:r>
          </w:p>
        </w:tc>
        <w:tc>
          <w:tcPr>
            <w:tcW w:w="540" w:type="dxa"/>
            <w:vAlign w:val="bottom"/>
            <w:shd w:val="clear" w:color="auto" w:fill="CCEEFF"/>
          </w:tcPr>
          <w:p>
            <w:pPr>
              <w:ind w:left="140"/>
              <w:spacing w:after="0"/>
              <w:rPr>
                <w:sz w:val="20"/>
                <w:szCs w:val="20"/>
                <w:color w:val="auto"/>
              </w:rPr>
            </w:pPr>
            <w:r>
              <w:rPr>
                <w:rFonts w:ascii="Arial" w:cs="Arial" w:eastAsia="Arial" w:hAnsi="Arial"/>
                <w:sz w:val="18"/>
                <w:szCs w:val="18"/>
                <w:color w:val="auto"/>
                <w:w w:val="84"/>
              </w:rPr>
              <w:t>23.13</w:t>
            </w:r>
          </w:p>
        </w:tc>
        <w:tc>
          <w:tcPr>
            <w:tcW w:w="160" w:type="dxa"/>
            <w:vAlign w:val="bottom"/>
            <w:shd w:val="clear" w:color="auto" w:fill="CCEEFF"/>
          </w:tcPr>
          <w:p>
            <w:pPr>
              <w:spacing w:after="0"/>
              <w:rPr>
                <w:sz w:val="18"/>
                <w:szCs w:val="18"/>
                <w:color w:val="auto"/>
              </w:rPr>
            </w:pPr>
          </w:p>
        </w:tc>
        <w:tc>
          <w:tcPr>
            <w:tcW w:w="520" w:type="dxa"/>
            <w:vAlign w:val="bottom"/>
            <w:shd w:val="clear" w:color="auto" w:fill="CCEEFF"/>
          </w:tcPr>
          <w:p>
            <w:pPr>
              <w:ind w:left="120"/>
              <w:spacing w:after="0"/>
              <w:rPr>
                <w:sz w:val="20"/>
                <w:szCs w:val="20"/>
                <w:color w:val="auto"/>
              </w:rPr>
            </w:pPr>
            <w:r>
              <w:rPr>
                <w:rFonts w:ascii="Arial" w:cs="Arial" w:eastAsia="Arial" w:hAnsi="Arial"/>
                <w:sz w:val="18"/>
                <w:szCs w:val="18"/>
                <w:color w:val="auto"/>
                <w:w w:val="84"/>
              </w:rPr>
              <w:t>13.63</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366,937</w:t>
            </w:r>
          </w:p>
        </w:tc>
        <w:tc>
          <w:tcPr>
            <w:tcW w:w="6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84"/>
              </w:rPr>
              <w:t>19.86</w:t>
            </w:r>
          </w:p>
        </w:tc>
        <w:tc>
          <w:tcPr>
            <w:tcW w:w="70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84"/>
              </w:rPr>
              <w:t>10.80</w:t>
            </w:r>
          </w:p>
        </w:tc>
        <w:tc>
          <w:tcPr>
            <w:tcW w:w="1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774,393</w:t>
            </w:r>
          </w:p>
        </w:tc>
        <w:tc>
          <w:tcPr>
            <w:tcW w:w="160" w:type="dxa"/>
            <w:vAlign w:val="bottom"/>
            <w:shd w:val="clear" w:color="auto" w:fill="CCEEFF"/>
          </w:tcPr>
          <w:p>
            <w:pPr>
              <w:spacing w:after="0"/>
              <w:rPr>
                <w:sz w:val="18"/>
                <w:szCs w:val="18"/>
                <w:color w:val="auto"/>
              </w:rPr>
            </w:pPr>
          </w:p>
        </w:tc>
        <w:tc>
          <w:tcPr>
            <w:tcW w:w="110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4120" w:type="dxa"/>
            <w:vAlign w:val="bottom"/>
          </w:tcPr>
          <w:p>
            <w:pPr>
              <w:jc w:val="right"/>
              <w:ind w:right="3692"/>
              <w:spacing w:after="0"/>
              <w:rPr>
                <w:sz w:val="20"/>
                <w:szCs w:val="20"/>
                <w:color w:val="auto"/>
              </w:rPr>
            </w:pPr>
            <w:r>
              <w:rPr>
                <w:rFonts w:ascii="Arial" w:cs="Arial" w:eastAsia="Arial" w:hAnsi="Arial"/>
                <w:sz w:val="18"/>
                <w:szCs w:val="18"/>
                <w:color w:val="auto"/>
                <w:w w:val="79"/>
              </w:rPr>
              <w:t>2006</w:t>
            </w:r>
          </w:p>
        </w:tc>
        <w:tc>
          <w:tcPr>
            <w:tcW w:w="540" w:type="dxa"/>
            <w:vAlign w:val="bottom"/>
          </w:tcPr>
          <w:p>
            <w:pPr>
              <w:ind w:left="140"/>
              <w:spacing w:after="0"/>
              <w:rPr>
                <w:sz w:val="20"/>
                <w:szCs w:val="20"/>
                <w:color w:val="auto"/>
              </w:rPr>
            </w:pPr>
            <w:r>
              <w:rPr>
                <w:rFonts w:ascii="Arial" w:cs="Arial" w:eastAsia="Arial" w:hAnsi="Arial"/>
                <w:sz w:val="18"/>
                <w:szCs w:val="18"/>
                <w:color w:val="auto"/>
                <w:w w:val="84"/>
              </w:rPr>
              <w:t>52.03</w:t>
            </w:r>
          </w:p>
        </w:tc>
        <w:tc>
          <w:tcPr>
            <w:tcW w:w="160" w:type="dxa"/>
            <w:vAlign w:val="bottom"/>
          </w:tcPr>
          <w:p>
            <w:pPr>
              <w:spacing w:after="0"/>
              <w:rPr>
                <w:sz w:val="18"/>
                <w:szCs w:val="18"/>
                <w:color w:val="auto"/>
              </w:rPr>
            </w:pPr>
          </w:p>
        </w:tc>
        <w:tc>
          <w:tcPr>
            <w:tcW w:w="520" w:type="dxa"/>
            <w:vAlign w:val="bottom"/>
          </w:tcPr>
          <w:p>
            <w:pPr>
              <w:ind w:left="120"/>
              <w:spacing w:after="0"/>
              <w:rPr>
                <w:sz w:val="20"/>
                <w:szCs w:val="20"/>
                <w:color w:val="auto"/>
              </w:rPr>
            </w:pPr>
            <w:r>
              <w:rPr>
                <w:rFonts w:ascii="Arial" w:cs="Arial" w:eastAsia="Arial" w:hAnsi="Arial"/>
                <w:sz w:val="18"/>
                <w:szCs w:val="18"/>
                <w:color w:val="auto"/>
                <w:w w:val="84"/>
              </w:rPr>
              <w:t>23.31</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911,132</w:t>
            </w:r>
          </w:p>
        </w:tc>
        <w:tc>
          <w:tcPr>
            <w:tcW w:w="680" w:type="dxa"/>
            <w:vAlign w:val="bottom"/>
            <w:gridSpan w:val="2"/>
          </w:tcPr>
          <w:p>
            <w:pPr>
              <w:ind w:left="280"/>
              <w:spacing w:after="0"/>
              <w:rPr>
                <w:sz w:val="20"/>
                <w:szCs w:val="20"/>
                <w:color w:val="auto"/>
              </w:rPr>
            </w:pPr>
            <w:r>
              <w:rPr>
                <w:rFonts w:ascii="Arial" w:cs="Arial" w:eastAsia="Arial" w:hAnsi="Arial"/>
                <w:sz w:val="18"/>
                <w:szCs w:val="18"/>
                <w:color w:val="auto"/>
                <w:w w:val="84"/>
              </w:rPr>
              <w:t>45.67</w:t>
            </w:r>
          </w:p>
        </w:tc>
        <w:tc>
          <w:tcPr>
            <w:tcW w:w="700" w:type="dxa"/>
            <w:vAlign w:val="bottom"/>
            <w:gridSpan w:val="2"/>
          </w:tcPr>
          <w:p>
            <w:pPr>
              <w:ind w:left="300"/>
              <w:spacing w:after="0"/>
              <w:rPr>
                <w:sz w:val="20"/>
                <w:szCs w:val="20"/>
                <w:color w:val="auto"/>
              </w:rPr>
            </w:pPr>
            <w:r>
              <w:rPr>
                <w:rFonts w:ascii="Arial" w:cs="Arial" w:eastAsia="Arial" w:hAnsi="Arial"/>
                <w:sz w:val="18"/>
                <w:szCs w:val="18"/>
                <w:color w:val="auto"/>
                <w:w w:val="84"/>
              </w:rPr>
              <w:t>19.94</w:t>
            </w:r>
          </w:p>
        </w:tc>
        <w:tc>
          <w:tcPr>
            <w:tcW w:w="1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2,006,680</w:t>
            </w:r>
          </w:p>
        </w:tc>
        <w:tc>
          <w:tcPr>
            <w:tcW w:w="160" w:type="dxa"/>
            <w:vAlign w:val="bottom"/>
          </w:tcPr>
          <w:p>
            <w:pPr>
              <w:spacing w:after="0"/>
              <w:rPr>
                <w:sz w:val="18"/>
                <w:szCs w:val="18"/>
                <w:color w:val="auto"/>
              </w:rPr>
            </w:pPr>
          </w:p>
        </w:tc>
        <w:tc>
          <w:tcPr>
            <w:tcW w:w="110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4120" w:type="dxa"/>
            <w:vAlign w:val="bottom"/>
            <w:shd w:val="clear" w:color="auto" w:fill="CCEEFF"/>
          </w:tcPr>
          <w:p>
            <w:pPr>
              <w:jc w:val="right"/>
              <w:ind w:right="3692"/>
              <w:spacing w:after="0"/>
              <w:rPr>
                <w:sz w:val="20"/>
                <w:szCs w:val="20"/>
                <w:color w:val="auto"/>
              </w:rPr>
            </w:pPr>
            <w:r>
              <w:rPr>
                <w:rFonts w:ascii="Arial" w:cs="Arial" w:eastAsia="Arial" w:hAnsi="Arial"/>
                <w:sz w:val="18"/>
                <w:szCs w:val="18"/>
                <w:color w:val="auto"/>
                <w:w w:val="79"/>
              </w:rPr>
              <w:t>2007</w:t>
            </w:r>
          </w:p>
        </w:tc>
        <w:tc>
          <w:tcPr>
            <w:tcW w:w="540" w:type="dxa"/>
            <w:vAlign w:val="bottom"/>
            <w:shd w:val="clear" w:color="auto" w:fill="CCEEFF"/>
          </w:tcPr>
          <w:p>
            <w:pPr>
              <w:ind w:left="140"/>
              <w:spacing w:after="0"/>
              <w:rPr>
                <w:sz w:val="20"/>
                <w:szCs w:val="20"/>
                <w:color w:val="auto"/>
              </w:rPr>
            </w:pPr>
            <w:r>
              <w:rPr>
                <w:rFonts w:ascii="Arial" w:cs="Arial" w:eastAsia="Arial" w:hAnsi="Arial"/>
                <w:sz w:val="18"/>
                <w:szCs w:val="18"/>
                <w:color w:val="auto"/>
                <w:w w:val="84"/>
              </w:rPr>
              <w:t>55.86</w:t>
            </w:r>
          </w:p>
        </w:tc>
        <w:tc>
          <w:tcPr>
            <w:tcW w:w="160" w:type="dxa"/>
            <w:vAlign w:val="bottom"/>
            <w:shd w:val="clear" w:color="auto" w:fill="CCEEFF"/>
          </w:tcPr>
          <w:p>
            <w:pPr>
              <w:spacing w:after="0"/>
              <w:rPr>
                <w:sz w:val="18"/>
                <w:szCs w:val="18"/>
                <w:color w:val="auto"/>
              </w:rPr>
            </w:pPr>
          </w:p>
        </w:tc>
        <w:tc>
          <w:tcPr>
            <w:tcW w:w="520" w:type="dxa"/>
            <w:vAlign w:val="bottom"/>
            <w:shd w:val="clear" w:color="auto" w:fill="CCEEFF"/>
          </w:tcPr>
          <w:p>
            <w:pPr>
              <w:ind w:left="120"/>
              <w:spacing w:after="0"/>
              <w:rPr>
                <w:sz w:val="20"/>
                <w:szCs w:val="20"/>
                <w:color w:val="auto"/>
              </w:rPr>
            </w:pPr>
            <w:r>
              <w:rPr>
                <w:rFonts w:ascii="Arial" w:cs="Arial" w:eastAsia="Arial" w:hAnsi="Arial"/>
                <w:sz w:val="18"/>
                <w:szCs w:val="18"/>
                <w:color w:val="auto"/>
                <w:w w:val="84"/>
              </w:rPr>
              <w:t>35.70</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913,173</w:t>
            </w:r>
          </w:p>
        </w:tc>
        <w:tc>
          <w:tcPr>
            <w:tcW w:w="6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84"/>
              </w:rPr>
              <w:t>59.45</w:t>
            </w:r>
          </w:p>
        </w:tc>
        <w:tc>
          <w:tcPr>
            <w:tcW w:w="70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84"/>
              </w:rPr>
              <w:t>33.25</w:t>
            </w:r>
          </w:p>
        </w:tc>
        <w:tc>
          <w:tcPr>
            <w:tcW w:w="1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2,076,082</w:t>
            </w:r>
          </w:p>
        </w:tc>
        <w:tc>
          <w:tcPr>
            <w:tcW w:w="160" w:type="dxa"/>
            <w:vAlign w:val="bottom"/>
            <w:shd w:val="clear" w:color="auto" w:fill="CCEEFF"/>
          </w:tcPr>
          <w:p>
            <w:pPr>
              <w:spacing w:after="0"/>
              <w:rPr>
                <w:sz w:val="18"/>
                <w:szCs w:val="18"/>
                <w:color w:val="auto"/>
              </w:rPr>
            </w:pPr>
          </w:p>
        </w:tc>
        <w:tc>
          <w:tcPr>
            <w:tcW w:w="110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4120" w:type="dxa"/>
            <w:vAlign w:val="bottom"/>
          </w:tcPr>
          <w:p>
            <w:pPr>
              <w:jc w:val="right"/>
              <w:ind w:right="3692"/>
              <w:spacing w:after="0"/>
              <w:rPr>
                <w:sz w:val="20"/>
                <w:szCs w:val="20"/>
                <w:color w:val="auto"/>
              </w:rPr>
            </w:pPr>
            <w:r>
              <w:rPr>
                <w:rFonts w:ascii="Arial" w:cs="Arial" w:eastAsia="Arial" w:hAnsi="Arial"/>
                <w:sz w:val="18"/>
                <w:szCs w:val="18"/>
                <w:color w:val="auto"/>
                <w:w w:val="79"/>
              </w:rPr>
              <w:t>2008</w:t>
            </w:r>
          </w:p>
        </w:tc>
        <w:tc>
          <w:tcPr>
            <w:tcW w:w="540" w:type="dxa"/>
            <w:vAlign w:val="bottom"/>
          </w:tcPr>
          <w:p>
            <w:pPr>
              <w:ind w:left="140"/>
              <w:spacing w:after="0"/>
              <w:rPr>
                <w:sz w:val="20"/>
                <w:szCs w:val="20"/>
                <w:color w:val="auto"/>
              </w:rPr>
            </w:pPr>
            <w:r>
              <w:rPr>
                <w:rFonts w:ascii="Arial" w:cs="Arial" w:eastAsia="Arial" w:hAnsi="Arial"/>
                <w:sz w:val="18"/>
                <w:szCs w:val="18"/>
                <w:color w:val="auto"/>
                <w:w w:val="84"/>
              </w:rPr>
              <w:t>82.80</w:t>
            </w:r>
          </w:p>
        </w:tc>
        <w:tc>
          <w:tcPr>
            <w:tcW w:w="160" w:type="dxa"/>
            <w:vAlign w:val="bottom"/>
          </w:tcPr>
          <w:p>
            <w:pPr>
              <w:spacing w:after="0"/>
              <w:rPr>
                <w:sz w:val="18"/>
                <w:szCs w:val="18"/>
                <w:color w:val="auto"/>
              </w:rPr>
            </w:pPr>
          </w:p>
        </w:tc>
        <w:tc>
          <w:tcPr>
            <w:tcW w:w="520" w:type="dxa"/>
            <w:vAlign w:val="bottom"/>
          </w:tcPr>
          <w:p>
            <w:pPr>
              <w:ind w:left="120"/>
              <w:spacing w:after="0"/>
              <w:rPr>
                <w:sz w:val="20"/>
                <w:szCs w:val="20"/>
                <w:color w:val="auto"/>
              </w:rPr>
            </w:pPr>
            <w:r>
              <w:rPr>
                <w:rFonts w:ascii="Arial" w:cs="Arial" w:eastAsia="Arial" w:hAnsi="Arial"/>
                <w:sz w:val="18"/>
                <w:szCs w:val="18"/>
                <w:color w:val="auto"/>
                <w:w w:val="84"/>
              </w:rPr>
              <w:t>26.60</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1,184,654</w:t>
            </w:r>
          </w:p>
        </w:tc>
        <w:tc>
          <w:tcPr>
            <w:tcW w:w="680" w:type="dxa"/>
            <w:vAlign w:val="bottom"/>
            <w:gridSpan w:val="2"/>
          </w:tcPr>
          <w:p>
            <w:pPr>
              <w:ind w:left="280"/>
              <w:spacing w:after="0"/>
              <w:rPr>
                <w:sz w:val="20"/>
                <w:szCs w:val="20"/>
                <w:color w:val="auto"/>
              </w:rPr>
            </w:pPr>
            <w:r>
              <w:rPr>
                <w:rFonts w:ascii="Arial" w:cs="Arial" w:eastAsia="Arial" w:hAnsi="Arial"/>
                <w:sz w:val="18"/>
                <w:szCs w:val="18"/>
                <w:color w:val="auto"/>
                <w:w w:val="84"/>
              </w:rPr>
              <w:t>83.45</w:t>
            </w:r>
          </w:p>
        </w:tc>
        <w:tc>
          <w:tcPr>
            <w:tcW w:w="700" w:type="dxa"/>
            <w:vAlign w:val="bottom"/>
            <w:gridSpan w:val="2"/>
          </w:tcPr>
          <w:p>
            <w:pPr>
              <w:ind w:left="300"/>
              <w:spacing w:after="0"/>
              <w:rPr>
                <w:sz w:val="20"/>
                <w:szCs w:val="20"/>
                <w:color w:val="auto"/>
              </w:rPr>
            </w:pPr>
            <w:r>
              <w:rPr>
                <w:rFonts w:ascii="Arial" w:cs="Arial" w:eastAsia="Arial" w:hAnsi="Arial"/>
                <w:sz w:val="18"/>
                <w:szCs w:val="18"/>
                <w:color w:val="auto"/>
                <w:w w:val="84"/>
              </w:rPr>
              <w:t>20.87</w:t>
            </w:r>
          </w:p>
        </w:tc>
        <w:tc>
          <w:tcPr>
            <w:tcW w:w="1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3,842,836</w:t>
            </w:r>
          </w:p>
        </w:tc>
        <w:tc>
          <w:tcPr>
            <w:tcW w:w="160" w:type="dxa"/>
            <w:vAlign w:val="bottom"/>
          </w:tcPr>
          <w:p>
            <w:pPr>
              <w:spacing w:after="0"/>
              <w:rPr>
                <w:sz w:val="18"/>
                <w:szCs w:val="18"/>
                <w:color w:val="auto"/>
              </w:rPr>
            </w:pPr>
          </w:p>
        </w:tc>
        <w:tc>
          <w:tcPr>
            <w:tcW w:w="110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4120" w:type="dxa"/>
            <w:vAlign w:val="bottom"/>
            <w:shd w:val="clear" w:color="auto" w:fill="CCEEFF"/>
          </w:tcPr>
          <w:p>
            <w:pPr>
              <w:jc w:val="right"/>
              <w:ind w:right="3692"/>
              <w:spacing w:after="0"/>
              <w:rPr>
                <w:sz w:val="20"/>
                <w:szCs w:val="20"/>
                <w:color w:val="auto"/>
              </w:rPr>
            </w:pPr>
            <w:r>
              <w:rPr>
                <w:rFonts w:ascii="Arial" w:cs="Arial" w:eastAsia="Arial" w:hAnsi="Arial"/>
                <w:sz w:val="18"/>
                <w:szCs w:val="18"/>
                <w:color w:val="auto"/>
                <w:w w:val="79"/>
              </w:rPr>
              <w:t>2009</w:t>
            </w:r>
          </w:p>
        </w:tc>
        <w:tc>
          <w:tcPr>
            <w:tcW w:w="540" w:type="dxa"/>
            <w:vAlign w:val="bottom"/>
            <w:shd w:val="clear" w:color="auto" w:fill="CCEEFF"/>
          </w:tcPr>
          <w:p>
            <w:pPr>
              <w:ind w:left="140"/>
              <w:spacing w:after="0"/>
              <w:rPr>
                <w:sz w:val="20"/>
                <w:szCs w:val="20"/>
                <w:color w:val="auto"/>
              </w:rPr>
            </w:pPr>
            <w:r>
              <w:rPr>
                <w:rFonts w:ascii="Arial" w:cs="Arial" w:eastAsia="Arial" w:hAnsi="Arial"/>
                <w:sz w:val="18"/>
                <w:szCs w:val="18"/>
                <w:color w:val="auto"/>
                <w:w w:val="84"/>
              </w:rPr>
              <w:t>77.32</w:t>
            </w:r>
          </w:p>
        </w:tc>
        <w:tc>
          <w:tcPr>
            <w:tcW w:w="160" w:type="dxa"/>
            <w:vAlign w:val="bottom"/>
            <w:shd w:val="clear" w:color="auto" w:fill="CCEEFF"/>
          </w:tcPr>
          <w:p>
            <w:pPr>
              <w:spacing w:after="0"/>
              <w:rPr>
                <w:sz w:val="18"/>
                <w:szCs w:val="18"/>
                <w:color w:val="auto"/>
              </w:rPr>
            </w:pPr>
          </w:p>
        </w:tc>
        <w:tc>
          <w:tcPr>
            <w:tcW w:w="520" w:type="dxa"/>
            <w:vAlign w:val="bottom"/>
            <w:shd w:val="clear" w:color="auto" w:fill="CCEEFF"/>
          </w:tcPr>
          <w:p>
            <w:pPr>
              <w:ind w:left="120"/>
              <w:spacing w:after="0"/>
              <w:rPr>
                <w:sz w:val="20"/>
                <w:szCs w:val="20"/>
                <w:color w:val="auto"/>
              </w:rPr>
            </w:pPr>
            <w:r>
              <w:rPr>
                <w:rFonts w:ascii="Arial" w:cs="Arial" w:eastAsia="Arial" w:hAnsi="Arial"/>
                <w:sz w:val="18"/>
                <w:szCs w:val="18"/>
                <w:color w:val="auto"/>
                <w:w w:val="84"/>
              </w:rPr>
              <w:t>50.80</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979,369</w:t>
            </w:r>
          </w:p>
        </w:tc>
        <w:tc>
          <w:tcPr>
            <w:tcW w:w="6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84"/>
              </w:rPr>
              <w:t>74.00</w:t>
            </w:r>
          </w:p>
        </w:tc>
        <w:tc>
          <w:tcPr>
            <w:tcW w:w="70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84"/>
              </w:rPr>
              <w:t>42.65</w:t>
            </w:r>
          </w:p>
        </w:tc>
        <w:tc>
          <w:tcPr>
            <w:tcW w:w="1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4,172,474</w:t>
            </w:r>
          </w:p>
        </w:tc>
        <w:tc>
          <w:tcPr>
            <w:tcW w:w="160" w:type="dxa"/>
            <w:vAlign w:val="bottom"/>
            <w:shd w:val="clear" w:color="auto" w:fill="CCEEFF"/>
          </w:tcPr>
          <w:p>
            <w:pPr>
              <w:spacing w:after="0"/>
              <w:rPr>
                <w:sz w:val="18"/>
                <w:szCs w:val="18"/>
                <w:color w:val="auto"/>
              </w:rPr>
            </w:pPr>
          </w:p>
        </w:tc>
        <w:tc>
          <w:tcPr>
            <w:tcW w:w="1100" w:type="dxa"/>
            <w:vAlign w:val="bottom"/>
          </w:tcPr>
          <w:p>
            <w:pPr>
              <w:spacing w:after="0"/>
              <w:rPr>
                <w:sz w:val="18"/>
                <w:szCs w:val="18"/>
                <w:color w:val="auto"/>
              </w:rPr>
            </w:pPr>
          </w:p>
        </w:tc>
      </w:tr>
      <w:tr>
        <w:trPr>
          <w:trHeight w:val="430"/>
        </w:trPr>
        <w:tc>
          <w:tcPr>
            <w:tcW w:w="5280" w:type="dxa"/>
            <w:vAlign w:val="bottom"/>
            <w:gridSpan w:val="2"/>
          </w:tcPr>
          <w:p>
            <w:pPr>
              <w:jc w:val="right"/>
              <w:ind w:right="3692"/>
              <w:spacing w:after="0"/>
              <w:rPr>
                <w:sz w:val="20"/>
                <w:szCs w:val="20"/>
                <w:color w:val="auto"/>
              </w:rPr>
            </w:pPr>
            <w:r>
              <w:rPr>
                <w:rFonts w:ascii="Arial" w:cs="Arial" w:eastAsia="Arial" w:hAnsi="Arial"/>
                <w:sz w:val="18"/>
                <w:szCs w:val="18"/>
                <w:i w:val="1"/>
                <w:iCs w:val="1"/>
                <w:color w:val="auto"/>
              </w:rPr>
              <w:t>2008</w:t>
            </w:r>
          </w:p>
        </w:tc>
        <w:tc>
          <w:tcPr>
            <w:tcW w:w="5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00" w:type="dxa"/>
            <w:vAlign w:val="bottom"/>
          </w:tcPr>
          <w:p>
            <w:pPr>
              <w:spacing w:after="0"/>
              <w:rPr>
                <w:sz w:val="24"/>
                <w:szCs w:val="24"/>
                <w:color w:val="auto"/>
              </w:rPr>
            </w:pPr>
          </w:p>
        </w:tc>
      </w:tr>
      <w:tr>
        <w:trPr>
          <w:trHeight w:val="218"/>
        </w:trPr>
        <w:tc>
          <w:tcPr>
            <w:tcW w:w="1160" w:type="dxa"/>
            <w:vAlign w:val="bottom"/>
          </w:tcPr>
          <w:p>
            <w:pPr>
              <w:spacing w:after="0"/>
              <w:rPr>
                <w:sz w:val="18"/>
                <w:szCs w:val="18"/>
                <w:color w:val="auto"/>
              </w:rPr>
            </w:pPr>
          </w:p>
        </w:tc>
        <w:tc>
          <w:tcPr>
            <w:tcW w:w="4120" w:type="dxa"/>
            <w:vAlign w:val="bottom"/>
            <w:shd w:val="clear" w:color="auto" w:fill="CCEEFF"/>
          </w:tcPr>
          <w:p>
            <w:pPr>
              <w:spacing w:after="0"/>
              <w:rPr>
                <w:sz w:val="20"/>
                <w:szCs w:val="20"/>
                <w:color w:val="auto"/>
              </w:rPr>
            </w:pPr>
            <w:r>
              <w:rPr>
                <w:rFonts w:ascii="Arial" w:cs="Arial" w:eastAsia="Arial" w:hAnsi="Arial"/>
                <w:sz w:val="18"/>
                <w:szCs w:val="18"/>
                <w:color w:val="auto"/>
              </w:rPr>
              <w:t>First Quarter</w:t>
            </w:r>
          </w:p>
        </w:tc>
        <w:tc>
          <w:tcPr>
            <w:tcW w:w="540" w:type="dxa"/>
            <w:vAlign w:val="bottom"/>
            <w:shd w:val="clear" w:color="auto" w:fill="CCEEFF"/>
          </w:tcPr>
          <w:p>
            <w:pPr>
              <w:ind w:left="140"/>
              <w:spacing w:after="0"/>
              <w:rPr>
                <w:sz w:val="20"/>
                <w:szCs w:val="20"/>
                <w:color w:val="auto"/>
              </w:rPr>
            </w:pPr>
            <w:r>
              <w:rPr>
                <w:rFonts w:ascii="Arial" w:cs="Arial" w:eastAsia="Arial" w:hAnsi="Arial"/>
                <w:sz w:val="18"/>
                <w:szCs w:val="18"/>
                <w:color w:val="auto"/>
                <w:w w:val="84"/>
              </w:rPr>
              <w:t>82.80</w:t>
            </w:r>
          </w:p>
        </w:tc>
        <w:tc>
          <w:tcPr>
            <w:tcW w:w="160" w:type="dxa"/>
            <w:vAlign w:val="bottom"/>
            <w:shd w:val="clear" w:color="auto" w:fill="CCEEFF"/>
          </w:tcPr>
          <w:p>
            <w:pPr>
              <w:spacing w:after="0"/>
              <w:rPr>
                <w:sz w:val="18"/>
                <w:szCs w:val="18"/>
                <w:color w:val="auto"/>
              </w:rPr>
            </w:pPr>
          </w:p>
        </w:tc>
        <w:tc>
          <w:tcPr>
            <w:tcW w:w="520" w:type="dxa"/>
            <w:vAlign w:val="bottom"/>
            <w:shd w:val="clear" w:color="auto" w:fill="CCEEFF"/>
          </w:tcPr>
          <w:p>
            <w:pPr>
              <w:ind w:left="120"/>
              <w:spacing w:after="0"/>
              <w:rPr>
                <w:sz w:val="20"/>
                <w:szCs w:val="20"/>
                <w:color w:val="auto"/>
              </w:rPr>
            </w:pPr>
            <w:r>
              <w:rPr>
                <w:rFonts w:ascii="Arial" w:cs="Arial" w:eastAsia="Arial" w:hAnsi="Arial"/>
                <w:sz w:val="18"/>
                <w:szCs w:val="18"/>
                <w:color w:val="auto"/>
                <w:w w:val="84"/>
              </w:rPr>
              <w:t>54.00</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1,111,563</w:t>
            </w:r>
          </w:p>
        </w:tc>
        <w:tc>
          <w:tcPr>
            <w:tcW w:w="6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84"/>
              </w:rPr>
              <w:t>83.45</w:t>
            </w:r>
          </w:p>
        </w:tc>
        <w:tc>
          <w:tcPr>
            <w:tcW w:w="70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84"/>
              </w:rPr>
              <w:t>52.81</w:t>
            </w:r>
          </w:p>
        </w:tc>
        <w:tc>
          <w:tcPr>
            <w:tcW w:w="1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3,369,910</w:t>
            </w:r>
          </w:p>
        </w:tc>
        <w:tc>
          <w:tcPr>
            <w:tcW w:w="160" w:type="dxa"/>
            <w:vAlign w:val="bottom"/>
            <w:shd w:val="clear" w:color="auto" w:fill="CCEEFF"/>
          </w:tcPr>
          <w:p>
            <w:pPr>
              <w:spacing w:after="0"/>
              <w:rPr>
                <w:sz w:val="18"/>
                <w:szCs w:val="18"/>
                <w:color w:val="auto"/>
              </w:rPr>
            </w:pPr>
          </w:p>
        </w:tc>
        <w:tc>
          <w:tcPr>
            <w:tcW w:w="110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4120" w:type="dxa"/>
            <w:vAlign w:val="bottom"/>
          </w:tcPr>
          <w:p>
            <w:pPr>
              <w:spacing w:after="0"/>
              <w:rPr>
                <w:sz w:val="20"/>
                <w:szCs w:val="20"/>
                <w:color w:val="auto"/>
              </w:rPr>
            </w:pPr>
            <w:r>
              <w:rPr>
                <w:rFonts w:ascii="Arial" w:cs="Arial" w:eastAsia="Arial" w:hAnsi="Arial"/>
                <w:sz w:val="18"/>
                <w:szCs w:val="18"/>
                <w:color w:val="auto"/>
              </w:rPr>
              <w:t>Second Quarter</w:t>
            </w:r>
          </w:p>
        </w:tc>
        <w:tc>
          <w:tcPr>
            <w:tcW w:w="540" w:type="dxa"/>
            <w:vAlign w:val="bottom"/>
          </w:tcPr>
          <w:p>
            <w:pPr>
              <w:ind w:left="140"/>
              <w:spacing w:after="0"/>
              <w:rPr>
                <w:sz w:val="20"/>
                <w:szCs w:val="20"/>
                <w:color w:val="auto"/>
              </w:rPr>
            </w:pPr>
            <w:r>
              <w:rPr>
                <w:rFonts w:ascii="Arial" w:cs="Arial" w:eastAsia="Arial" w:hAnsi="Arial"/>
                <w:sz w:val="18"/>
                <w:szCs w:val="18"/>
                <w:color w:val="auto"/>
                <w:w w:val="84"/>
              </w:rPr>
              <w:t>77.11</w:t>
            </w:r>
          </w:p>
        </w:tc>
        <w:tc>
          <w:tcPr>
            <w:tcW w:w="160" w:type="dxa"/>
            <w:vAlign w:val="bottom"/>
          </w:tcPr>
          <w:p>
            <w:pPr>
              <w:spacing w:after="0"/>
              <w:rPr>
                <w:sz w:val="18"/>
                <w:szCs w:val="18"/>
                <w:color w:val="auto"/>
              </w:rPr>
            </w:pPr>
          </w:p>
        </w:tc>
        <w:tc>
          <w:tcPr>
            <w:tcW w:w="520" w:type="dxa"/>
            <w:vAlign w:val="bottom"/>
          </w:tcPr>
          <w:p>
            <w:pPr>
              <w:ind w:left="120"/>
              <w:spacing w:after="0"/>
              <w:rPr>
                <w:sz w:val="20"/>
                <w:szCs w:val="20"/>
                <w:color w:val="auto"/>
              </w:rPr>
            </w:pPr>
            <w:r>
              <w:rPr>
                <w:rFonts w:ascii="Arial" w:cs="Arial" w:eastAsia="Arial" w:hAnsi="Arial"/>
                <w:sz w:val="18"/>
                <w:szCs w:val="18"/>
                <w:color w:val="auto"/>
                <w:w w:val="84"/>
              </w:rPr>
              <w:t>59.16</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797,764</w:t>
            </w:r>
          </w:p>
        </w:tc>
        <w:tc>
          <w:tcPr>
            <w:tcW w:w="680" w:type="dxa"/>
            <w:vAlign w:val="bottom"/>
            <w:gridSpan w:val="2"/>
          </w:tcPr>
          <w:p>
            <w:pPr>
              <w:ind w:left="280"/>
              <w:spacing w:after="0"/>
              <w:rPr>
                <w:sz w:val="20"/>
                <w:szCs w:val="20"/>
                <w:color w:val="auto"/>
              </w:rPr>
            </w:pPr>
            <w:r>
              <w:rPr>
                <w:rFonts w:ascii="Arial" w:cs="Arial" w:eastAsia="Arial" w:hAnsi="Arial"/>
                <w:sz w:val="18"/>
                <w:szCs w:val="18"/>
                <w:color w:val="auto"/>
                <w:w w:val="84"/>
              </w:rPr>
              <w:t>76.17</w:t>
            </w:r>
          </w:p>
        </w:tc>
        <w:tc>
          <w:tcPr>
            <w:tcW w:w="700" w:type="dxa"/>
            <w:vAlign w:val="bottom"/>
            <w:gridSpan w:val="2"/>
          </w:tcPr>
          <w:p>
            <w:pPr>
              <w:ind w:left="300"/>
              <w:spacing w:after="0"/>
              <w:rPr>
                <w:sz w:val="20"/>
                <w:szCs w:val="20"/>
                <w:color w:val="auto"/>
              </w:rPr>
            </w:pPr>
            <w:r>
              <w:rPr>
                <w:rFonts w:ascii="Arial" w:cs="Arial" w:eastAsia="Arial" w:hAnsi="Arial"/>
                <w:sz w:val="18"/>
                <w:szCs w:val="18"/>
                <w:color w:val="auto"/>
                <w:w w:val="84"/>
              </w:rPr>
              <w:t>58.49</w:t>
            </w:r>
          </w:p>
        </w:tc>
        <w:tc>
          <w:tcPr>
            <w:tcW w:w="1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2,438,551</w:t>
            </w:r>
          </w:p>
        </w:tc>
        <w:tc>
          <w:tcPr>
            <w:tcW w:w="160" w:type="dxa"/>
            <w:vAlign w:val="bottom"/>
          </w:tcPr>
          <w:p>
            <w:pPr>
              <w:spacing w:after="0"/>
              <w:rPr>
                <w:sz w:val="18"/>
                <w:szCs w:val="18"/>
                <w:color w:val="auto"/>
              </w:rPr>
            </w:pPr>
          </w:p>
        </w:tc>
        <w:tc>
          <w:tcPr>
            <w:tcW w:w="110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4120" w:type="dxa"/>
            <w:vAlign w:val="bottom"/>
            <w:shd w:val="clear" w:color="auto" w:fill="CCEEFF"/>
          </w:tcPr>
          <w:p>
            <w:pPr>
              <w:spacing w:after="0"/>
              <w:rPr>
                <w:sz w:val="20"/>
                <w:szCs w:val="20"/>
                <w:color w:val="auto"/>
              </w:rPr>
            </w:pPr>
            <w:r>
              <w:rPr>
                <w:rFonts w:ascii="Arial" w:cs="Arial" w:eastAsia="Arial" w:hAnsi="Arial"/>
                <w:sz w:val="18"/>
                <w:szCs w:val="18"/>
                <w:color w:val="auto"/>
              </w:rPr>
              <w:t>Third Quarter</w:t>
            </w:r>
          </w:p>
        </w:tc>
        <w:tc>
          <w:tcPr>
            <w:tcW w:w="540" w:type="dxa"/>
            <w:vAlign w:val="bottom"/>
            <w:shd w:val="clear" w:color="auto" w:fill="CCEEFF"/>
          </w:tcPr>
          <w:p>
            <w:pPr>
              <w:ind w:left="140"/>
              <w:spacing w:after="0"/>
              <w:rPr>
                <w:sz w:val="20"/>
                <w:szCs w:val="20"/>
                <w:color w:val="auto"/>
              </w:rPr>
            </w:pPr>
            <w:r>
              <w:rPr>
                <w:rFonts w:ascii="Arial" w:cs="Arial" w:eastAsia="Arial" w:hAnsi="Arial"/>
                <w:sz w:val="18"/>
                <w:szCs w:val="18"/>
                <w:color w:val="auto"/>
                <w:w w:val="84"/>
              </w:rPr>
              <w:t>80.74</w:t>
            </w:r>
          </w:p>
        </w:tc>
        <w:tc>
          <w:tcPr>
            <w:tcW w:w="160" w:type="dxa"/>
            <w:vAlign w:val="bottom"/>
            <w:shd w:val="clear" w:color="auto" w:fill="CCEEFF"/>
          </w:tcPr>
          <w:p>
            <w:pPr>
              <w:spacing w:after="0"/>
              <w:rPr>
                <w:sz w:val="18"/>
                <w:szCs w:val="18"/>
                <w:color w:val="auto"/>
              </w:rPr>
            </w:pPr>
          </w:p>
        </w:tc>
        <w:tc>
          <w:tcPr>
            <w:tcW w:w="520" w:type="dxa"/>
            <w:vAlign w:val="bottom"/>
            <w:shd w:val="clear" w:color="auto" w:fill="CCEEFF"/>
          </w:tcPr>
          <w:p>
            <w:pPr>
              <w:ind w:left="120"/>
              <w:spacing w:after="0"/>
              <w:rPr>
                <w:sz w:val="20"/>
                <w:szCs w:val="20"/>
                <w:color w:val="auto"/>
              </w:rPr>
            </w:pPr>
            <w:r>
              <w:rPr>
                <w:rFonts w:ascii="Arial" w:cs="Arial" w:eastAsia="Arial" w:hAnsi="Arial"/>
                <w:sz w:val="18"/>
                <w:szCs w:val="18"/>
                <w:color w:val="auto"/>
                <w:w w:val="84"/>
              </w:rPr>
              <w:t>54.25</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1,236,244</w:t>
            </w:r>
          </w:p>
        </w:tc>
        <w:tc>
          <w:tcPr>
            <w:tcW w:w="6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84"/>
              </w:rPr>
              <w:t>80.79</w:t>
            </w:r>
          </w:p>
        </w:tc>
        <w:tc>
          <w:tcPr>
            <w:tcW w:w="70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84"/>
              </w:rPr>
              <w:t>43.30</w:t>
            </w:r>
          </w:p>
        </w:tc>
        <w:tc>
          <w:tcPr>
            <w:tcW w:w="1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4,339,345</w:t>
            </w:r>
          </w:p>
        </w:tc>
        <w:tc>
          <w:tcPr>
            <w:tcW w:w="160" w:type="dxa"/>
            <w:vAlign w:val="bottom"/>
            <w:shd w:val="clear" w:color="auto" w:fill="CCEEFF"/>
          </w:tcPr>
          <w:p>
            <w:pPr>
              <w:spacing w:after="0"/>
              <w:rPr>
                <w:sz w:val="18"/>
                <w:szCs w:val="18"/>
                <w:color w:val="auto"/>
              </w:rPr>
            </w:pPr>
          </w:p>
        </w:tc>
        <w:tc>
          <w:tcPr>
            <w:tcW w:w="110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4120" w:type="dxa"/>
            <w:vAlign w:val="bottom"/>
          </w:tcPr>
          <w:p>
            <w:pPr>
              <w:spacing w:after="0"/>
              <w:rPr>
                <w:sz w:val="20"/>
                <w:szCs w:val="20"/>
                <w:color w:val="auto"/>
              </w:rPr>
            </w:pPr>
            <w:r>
              <w:rPr>
                <w:rFonts w:ascii="Arial" w:cs="Arial" w:eastAsia="Arial" w:hAnsi="Arial"/>
                <w:sz w:val="18"/>
                <w:szCs w:val="18"/>
                <w:color w:val="auto"/>
              </w:rPr>
              <w:t>Fourth Quarter</w:t>
            </w:r>
          </w:p>
        </w:tc>
        <w:tc>
          <w:tcPr>
            <w:tcW w:w="540" w:type="dxa"/>
            <w:vAlign w:val="bottom"/>
          </w:tcPr>
          <w:p>
            <w:pPr>
              <w:ind w:left="140"/>
              <w:spacing w:after="0"/>
              <w:rPr>
                <w:sz w:val="20"/>
                <w:szCs w:val="20"/>
                <w:color w:val="auto"/>
              </w:rPr>
            </w:pPr>
            <w:r>
              <w:rPr>
                <w:rFonts w:ascii="Arial" w:cs="Arial" w:eastAsia="Arial" w:hAnsi="Arial"/>
                <w:sz w:val="18"/>
                <w:szCs w:val="18"/>
                <w:color w:val="auto"/>
                <w:w w:val="84"/>
              </w:rPr>
              <w:t>63.15</w:t>
            </w:r>
          </w:p>
        </w:tc>
        <w:tc>
          <w:tcPr>
            <w:tcW w:w="160" w:type="dxa"/>
            <w:vAlign w:val="bottom"/>
          </w:tcPr>
          <w:p>
            <w:pPr>
              <w:spacing w:after="0"/>
              <w:rPr>
                <w:sz w:val="18"/>
                <w:szCs w:val="18"/>
                <w:color w:val="auto"/>
              </w:rPr>
            </w:pPr>
          </w:p>
        </w:tc>
        <w:tc>
          <w:tcPr>
            <w:tcW w:w="520" w:type="dxa"/>
            <w:vAlign w:val="bottom"/>
          </w:tcPr>
          <w:p>
            <w:pPr>
              <w:ind w:left="120"/>
              <w:spacing w:after="0"/>
              <w:rPr>
                <w:sz w:val="20"/>
                <w:szCs w:val="20"/>
                <w:color w:val="auto"/>
              </w:rPr>
            </w:pPr>
            <w:r>
              <w:rPr>
                <w:rFonts w:ascii="Arial" w:cs="Arial" w:eastAsia="Arial" w:hAnsi="Arial"/>
                <w:sz w:val="18"/>
                <w:szCs w:val="18"/>
                <w:color w:val="auto"/>
                <w:w w:val="84"/>
              </w:rPr>
              <w:t>26.60</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1,564,915</w:t>
            </w:r>
          </w:p>
        </w:tc>
        <w:tc>
          <w:tcPr>
            <w:tcW w:w="680" w:type="dxa"/>
            <w:vAlign w:val="bottom"/>
            <w:gridSpan w:val="2"/>
          </w:tcPr>
          <w:p>
            <w:pPr>
              <w:ind w:left="280"/>
              <w:spacing w:after="0"/>
              <w:rPr>
                <w:sz w:val="20"/>
                <w:szCs w:val="20"/>
                <w:color w:val="auto"/>
              </w:rPr>
            </w:pPr>
            <w:r>
              <w:rPr>
                <w:rFonts w:ascii="Arial" w:cs="Arial" w:eastAsia="Arial" w:hAnsi="Arial"/>
                <w:sz w:val="18"/>
                <w:szCs w:val="18"/>
                <w:color w:val="auto"/>
                <w:w w:val="84"/>
              </w:rPr>
              <w:t>58.41</w:t>
            </w:r>
          </w:p>
        </w:tc>
        <w:tc>
          <w:tcPr>
            <w:tcW w:w="700" w:type="dxa"/>
            <w:vAlign w:val="bottom"/>
            <w:gridSpan w:val="2"/>
          </w:tcPr>
          <w:p>
            <w:pPr>
              <w:ind w:left="300"/>
              <w:spacing w:after="0"/>
              <w:rPr>
                <w:sz w:val="20"/>
                <w:szCs w:val="20"/>
                <w:color w:val="auto"/>
              </w:rPr>
            </w:pPr>
            <w:r>
              <w:rPr>
                <w:rFonts w:ascii="Arial" w:cs="Arial" w:eastAsia="Arial" w:hAnsi="Arial"/>
                <w:sz w:val="18"/>
                <w:szCs w:val="18"/>
                <w:color w:val="auto"/>
                <w:w w:val="84"/>
              </w:rPr>
              <w:t>20.87</w:t>
            </w:r>
          </w:p>
        </w:tc>
        <w:tc>
          <w:tcPr>
            <w:tcW w:w="1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5,201,371</w:t>
            </w:r>
          </w:p>
        </w:tc>
        <w:tc>
          <w:tcPr>
            <w:tcW w:w="160" w:type="dxa"/>
            <w:vAlign w:val="bottom"/>
          </w:tcPr>
          <w:p>
            <w:pPr>
              <w:spacing w:after="0"/>
              <w:rPr>
                <w:sz w:val="18"/>
                <w:szCs w:val="18"/>
                <w:color w:val="auto"/>
              </w:rPr>
            </w:pPr>
          </w:p>
        </w:tc>
        <w:tc>
          <w:tcPr>
            <w:tcW w:w="1100" w:type="dxa"/>
            <w:vAlign w:val="bottom"/>
          </w:tcPr>
          <w:p>
            <w:pPr>
              <w:spacing w:after="0"/>
              <w:rPr>
                <w:sz w:val="18"/>
                <w:szCs w:val="18"/>
                <w:color w:val="auto"/>
              </w:rPr>
            </w:pPr>
          </w:p>
        </w:tc>
      </w:tr>
      <w:tr>
        <w:trPr>
          <w:trHeight w:val="432"/>
        </w:trPr>
        <w:tc>
          <w:tcPr>
            <w:tcW w:w="1160" w:type="dxa"/>
            <w:vAlign w:val="bottom"/>
          </w:tcPr>
          <w:p>
            <w:pPr>
              <w:spacing w:after="0"/>
              <w:rPr>
                <w:sz w:val="24"/>
                <w:szCs w:val="24"/>
                <w:color w:val="auto"/>
              </w:rPr>
            </w:pPr>
          </w:p>
        </w:tc>
        <w:tc>
          <w:tcPr>
            <w:tcW w:w="4120" w:type="dxa"/>
            <w:vAlign w:val="bottom"/>
            <w:shd w:val="clear" w:color="auto" w:fill="CCEEFF"/>
          </w:tcPr>
          <w:p>
            <w:pPr>
              <w:jc w:val="right"/>
              <w:ind w:right="3692"/>
              <w:spacing w:after="0"/>
              <w:rPr>
                <w:sz w:val="20"/>
                <w:szCs w:val="20"/>
                <w:color w:val="auto"/>
              </w:rPr>
            </w:pPr>
            <w:r>
              <w:rPr>
                <w:rFonts w:ascii="Arial" w:cs="Arial" w:eastAsia="Arial" w:hAnsi="Arial"/>
                <w:sz w:val="18"/>
                <w:szCs w:val="18"/>
                <w:i w:val="1"/>
                <w:iCs w:val="1"/>
                <w:color w:val="auto"/>
                <w:w w:val="79"/>
              </w:rPr>
              <w:t>2009</w:t>
            </w:r>
          </w:p>
        </w:tc>
        <w:tc>
          <w:tcPr>
            <w:tcW w:w="54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52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90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52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54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92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100" w:type="dxa"/>
            <w:vAlign w:val="bottom"/>
          </w:tcPr>
          <w:p>
            <w:pPr>
              <w:spacing w:after="0"/>
              <w:rPr>
                <w:sz w:val="24"/>
                <w:szCs w:val="24"/>
                <w:color w:val="auto"/>
              </w:rPr>
            </w:pPr>
          </w:p>
        </w:tc>
      </w:tr>
      <w:tr>
        <w:trPr>
          <w:trHeight w:val="216"/>
        </w:trPr>
        <w:tc>
          <w:tcPr>
            <w:tcW w:w="1160" w:type="dxa"/>
            <w:vAlign w:val="bottom"/>
          </w:tcPr>
          <w:p>
            <w:pPr>
              <w:spacing w:after="0"/>
              <w:rPr>
                <w:sz w:val="18"/>
                <w:szCs w:val="18"/>
                <w:color w:val="auto"/>
              </w:rPr>
            </w:pPr>
          </w:p>
        </w:tc>
        <w:tc>
          <w:tcPr>
            <w:tcW w:w="4120" w:type="dxa"/>
            <w:vAlign w:val="bottom"/>
          </w:tcPr>
          <w:p>
            <w:pPr>
              <w:spacing w:after="0"/>
              <w:rPr>
                <w:sz w:val="20"/>
                <w:szCs w:val="20"/>
                <w:color w:val="auto"/>
              </w:rPr>
            </w:pPr>
            <w:r>
              <w:rPr>
                <w:rFonts w:ascii="Arial" w:cs="Arial" w:eastAsia="Arial" w:hAnsi="Arial"/>
                <w:sz w:val="18"/>
                <w:szCs w:val="18"/>
                <w:color w:val="auto"/>
              </w:rPr>
              <w:t>First Quarter</w:t>
            </w:r>
          </w:p>
        </w:tc>
        <w:tc>
          <w:tcPr>
            <w:tcW w:w="540" w:type="dxa"/>
            <w:vAlign w:val="bottom"/>
          </w:tcPr>
          <w:p>
            <w:pPr>
              <w:ind w:left="140"/>
              <w:spacing w:after="0"/>
              <w:rPr>
                <w:sz w:val="20"/>
                <w:szCs w:val="20"/>
                <w:color w:val="auto"/>
              </w:rPr>
            </w:pPr>
            <w:r>
              <w:rPr>
                <w:rFonts w:ascii="Arial" w:cs="Arial" w:eastAsia="Arial" w:hAnsi="Arial"/>
                <w:sz w:val="18"/>
                <w:szCs w:val="18"/>
                <w:color w:val="auto"/>
                <w:w w:val="84"/>
              </w:rPr>
              <w:t>73.64</w:t>
            </w:r>
          </w:p>
        </w:tc>
        <w:tc>
          <w:tcPr>
            <w:tcW w:w="160" w:type="dxa"/>
            <w:vAlign w:val="bottom"/>
          </w:tcPr>
          <w:p>
            <w:pPr>
              <w:spacing w:after="0"/>
              <w:rPr>
                <w:sz w:val="18"/>
                <w:szCs w:val="18"/>
                <w:color w:val="auto"/>
              </w:rPr>
            </w:pPr>
          </w:p>
        </w:tc>
        <w:tc>
          <w:tcPr>
            <w:tcW w:w="520" w:type="dxa"/>
            <w:vAlign w:val="bottom"/>
          </w:tcPr>
          <w:p>
            <w:pPr>
              <w:ind w:left="120"/>
              <w:spacing w:after="0"/>
              <w:rPr>
                <w:sz w:val="20"/>
                <w:szCs w:val="20"/>
                <w:color w:val="auto"/>
              </w:rPr>
            </w:pPr>
            <w:r>
              <w:rPr>
                <w:rFonts w:ascii="Arial" w:cs="Arial" w:eastAsia="Arial" w:hAnsi="Arial"/>
                <w:sz w:val="18"/>
                <w:szCs w:val="18"/>
                <w:color w:val="auto"/>
                <w:w w:val="84"/>
              </w:rPr>
              <w:t>55.03</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1,249,427</w:t>
            </w:r>
          </w:p>
        </w:tc>
        <w:tc>
          <w:tcPr>
            <w:tcW w:w="680" w:type="dxa"/>
            <w:vAlign w:val="bottom"/>
            <w:gridSpan w:val="2"/>
          </w:tcPr>
          <w:p>
            <w:pPr>
              <w:ind w:left="280"/>
              <w:spacing w:after="0"/>
              <w:rPr>
                <w:sz w:val="20"/>
                <w:szCs w:val="20"/>
                <w:color w:val="auto"/>
              </w:rPr>
            </w:pPr>
            <w:r>
              <w:rPr>
                <w:rFonts w:ascii="Arial" w:cs="Arial" w:eastAsia="Arial" w:hAnsi="Arial"/>
                <w:sz w:val="18"/>
                <w:szCs w:val="18"/>
                <w:color w:val="auto"/>
                <w:w w:val="84"/>
              </w:rPr>
              <w:t>59.19</w:t>
            </w:r>
          </w:p>
        </w:tc>
        <w:tc>
          <w:tcPr>
            <w:tcW w:w="700" w:type="dxa"/>
            <w:vAlign w:val="bottom"/>
            <w:gridSpan w:val="2"/>
          </w:tcPr>
          <w:p>
            <w:pPr>
              <w:ind w:left="300"/>
              <w:spacing w:after="0"/>
              <w:rPr>
                <w:sz w:val="20"/>
                <w:szCs w:val="20"/>
                <w:color w:val="auto"/>
              </w:rPr>
            </w:pPr>
            <w:r>
              <w:rPr>
                <w:rFonts w:ascii="Arial" w:cs="Arial" w:eastAsia="Arial" w:hAnsi="Arial"/>
                <w:sz w:val="18"/>
                <w:szCs w:val="18"/>
                <w:color w:val="auto"/>
                <w:w w:val="84"/>
              </w:rPr>
              <w:t>44.12</w:t>
            </w:r>
          </w:p>
        </w:tc>
        <w:tc>
          <w:tcPr>
            <w:tcW w:w="1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5,523,872</w:t>
            </w:r>
          </w:p>
        </w:tc>
        <w:tc>
          <w:tcPr>
            <w:tcW w:w="160" w:type="dxa"/>
            <w:vAlign w:val="bottom"/>
          </w:tcPr>
          <w:p>
            <w:pPr>
              <w:spacing w:after="0"/>
              <w:rPr>
                <w:sz w:val="18"/>
                <w:szCs w:val="18"/>
                <w:color w:val="auto"/>
              </w:rPr>
            </w:pPr>
          </w:p>
        </w:tc>
        <w:tc>
          <w:tcPr>
            <w:tcW w:w="110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4120" w:type="dxa"/>
            <w:vAlign w:val="bottom"/>
            <w:shd w:val="clear" w:color="auto" w:fill="CCEEFF"/>
          </w:tcPr>
          <w:p>
            <w:pPr>
              <w:spacing w:after="0"/>
              <w:rPr>
                <w:sz w:val="20"/>
                <w:szCs w:val="20"/>
                <w:color w:val="auto"/>
              </w:rPr>
            </w:pPr>
            <w:r>
              <w:rPr>
                <w:rFonts w:ascii="Arial" w:cs="Arial" w:eastAsia="Arial" w:hAnsi="Arial"/>
                <w:sz w:val="18"/>
                <w:szCs w:val="18"/>
                <w:color w:val="auto"/>
              </w:rPr>
              <w:t>Second Quarter</w:t>
            </w:r>
          </w:p>
        </w:tc>
        <w:tc>
          <w:tcPr>
            <w:tcW w:w="540" w:type="dxa"/>
            <w:vAlign w:val="bottom"/>
            <w:shd w:val="clear" w:color="auto" w:fill="CCEEFF"/>
          </w:tcPr>
          <w:p>
            <w:pPr>
              <w:ind w:left="140"/>
              <w:spacing w:after="0"/>
              <w:rPr>
                <w:sz w:val="20"/>
                <w:szCs w:val="20"/>
                <w:color w:val="auto"/>
              </w:rPr>
            </w:pPr>
            <w:r>
              <w:rPr>
                <w:rFonts w:ascii="Arial" w:cs="Arial" w:eastAsia="Arial" w:hAnsi="Arial"/>
                <w:sz w:val="18"/>
                <w:szCs w:val="18"/>
                <w:color w:val="auto"/>
                <w:w w:val="84"/>
              </w:rPr>
              <w:t>73.71</w:t>
            </w:r>
          </w:p>
        </w:tc>
        <w:tc>
          <w:tcPr>
            <w:tcW w:w="160" w:type="dxa"/>
            <w:vAlign w:val="bottom"/>
            <w:shd w:val="clear" w:color="auto" w:fill="CCEEFF"/>
          </w:tcPr>
          <w:p>
            <w:pPr>
              <w:spacing w:after="0"/>
              <w:rPr>
                <w:sz w:val="18"/>
                <w:szCs w:val="18"/>
                <w:color w:val="auto"/>
              </w:rPr>
            </w:pPr>
          </w:p>
        </w:tc>
        <w:tc>
          <w:tcPr>
            <w:tcW w:w="520" w:type="dxa"/>
            <w:vAlign w:val="bottom"/>
            <w:shd w:val="clear" w:color="auto" w:fill="CCEEFF"/>
          </w:tcPr>
          <w:p>
            <w:pPr>
              <w:ind w:left="120"/>
              <w:spacing w:after="0"/>
              <w:rPr>
                <w:sz w:val="20"/>
                <w:szCs w:val="20"/>
                <w:color w:val="auto"/>
              </w:rPr>
            </w:pPr>
            <w:r>
              <w:rPr>
                <w:rFonts w:ascii="Arial" w:cs="Arial" w:eastAsia="Arial" w:hAnsi="Arial"/>
                <w:sz w:val="18"/>
                <w:szCs w:val="18"/>
                <w:color w:val="auto"/>
                <w:w w:val="84"/>
              </w:rPr>
              <w:t>50.80</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944,884</w:t>
            </w:r>
          </w:p>
        </w:tc>
        <w:tc>
          <w:tcPr>
            <w:tcW w:w="6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84"/>
              </w:rPr>
              <w:t>63.29</w:t>
            </w:r>
          </w:p>
        </w:tc>
        <w:tc>
          <w:tcPr>
            <w:tcW w:w="70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84"/>
              </w:rPr>
              <w:t>42.65</w:t>
            </w:r>
          </w:p>
        </w:tc>
        <w:tc>
          <w:tcPr>
            <w:tcW w:w="1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3,534,497</w:t>
            </w:r>
          </w:p>
        </w:tc>
        <w:tc>
          <w:tcPr>
            <w:tcW w:w="160" w:type="dxa"/>
            <w:vAlign w:val="bottom"/>
            <w:shd w:val="clear" w:color="auto" w:fill="CCEEFF"/>
          </w:tcPr>
          <w:p>
            <w:pPr>
              <w:spacing w:after="0"/>
              <w:rPr>
                <w:sz w:val="18"/>
                <w:szCs w:val="18"/>
                <w:color w:val="auto"/>
              </w:rPr>
            </w:pPr>
          </w:p>
        </w:tc>
        <w:tc>
          <w:tcPr>
            <w:tcW w:w="110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4120" w:type="dxa"/>
            <w:vAlign w:val="bottom"/>
          </w:tcPr>
          <w:p>
            <w:pPr>
              <w:spacing w:after="0"/>
              <w:rPr>
                <w:sz w:val="20"/>
                <w:szCs w:val="20"/>
                <w:color w:val="auto"/>
              </w:rPr>
            </w:pPr>
            <w:r>
              <w:rPr>
                <w:rFonts w:ascii="Arial" w:cs="Arial" w:eastAsia="Arial" w:hAnsi="Arial"/>
                <w:sz w:val="18"/>
                <w:szCs w:val="18"/>
                <w:color w:val="auto"/>
              </w:rPr>
              <w:t>Third Quarter</w:t>
            </w:r>
          </w:p>
        </w:tc>
        <w:tc>
          <w:tcPr>
            <w:tcW w:w="540" w:type="dxa"/>
            <w:vAlign w:val="bottom"/>
          </w:tcPr>
          <w:p>
            <w:pPr>
              <w:ind w:left="140"/>
              <w:spacing w:after="0"/>
              <w:rPr>
                <w:sz w:val="20"/>
                <w:szCs w:val="20"/>
                <w:color w:val="auto"/>
              </w:rPr>
            </w:pPr>
            <w:r>
              <w:rPr>
                <w:rFonts w:ascii="Arial" w:cs="Arial" w:eastAsia="Arial" w:hAnsi="Arial"/>
                <w:sz w:val="18"/>
                <w:szCs w:val="18"/>
                <w:color w:val="auto"/>
                <w:w w:val="84"/>
              </w:rPr>
              <w:t>77.32</w:t>
            </w:r>
          </w:p>
        </w:tc>
        <w:tc>
          <w:tcPr>
            <w:tcW w:w="160" w:type="dxa"/>
            <w:vAlign w:val="bottom"/>
          </w:tcPr>
          <w:p>
            <w:pPr>
              <w:spacing w:after="0"/>
              <w:rPr>
                <w:sz w:val="18"/>
                <w:szCs w:val="18"/>
                <w:color w:val="auto"/>
              </w:rPr>
            </w:pPr>
          </w:p>
        </w:tc>
        <w:tc>
          <w:tcPr>
            <w:tcW w:w="520" w:type="dxa"/>
            <w:vAlign w:val="bottom"/>
          </w:tcPr>
          <w:p>
            <w:pPr>
              <w:ind w:left="120"/>
              <w:spacing w:after="0"/>
              <w:rPr>
                <w:sz w:val="20"/>
                <w:szCs w:val="20"/>
                <w:color w:val="auto"/>
              </w:rPr>
            </w:pPr>
            <w:r>
              <w:rPr>
                <w:rFonts w:ascii="Arial" w:cs="Arial" w:eastAsia="Arial" w:hAnsi="Arial"/>
                <w:sz w:val="18"/>
                <w:szCs w:val="18"/>
                <w:color w:val="auto"/>
                <w:w w:val="84"/>
              </w:rPr>
              <w:t>55.09</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748,628</w:t>
            </w:r>
          </w:p>
        </w:tc>
        <w:tc>
          <w:tcPr>
            <w:tcW w:w="680" w:type="dxa"/>
            <w:vAlign w:val="bottom"/>
            <w:gridSpan w:val="2"/>
          </w:tcPr>
          <w:p>
            <w:pPr>
              <w:ind w:left="280"/>
              <w:spacing w:after="0"/>
              <w:rPr>
                <w:sz w:val="20"/>
                <w:szCs w:val="20"/>
                <w:color w:val="auto"/>
              </w:rPr>
            </w:pPr>
            <w:r>
              <w:rPr>
                <w:rFonts w:ascii="Arial" w:cs="Arial" w:eastAsia="Arial" w:hAnsi="Arial"/>
                <w:sz w:val="18"/>
                <w:szCs w:val="18"/>
                <w:color w:val="auto"/>
                <w:w w:val="84"/>
              </w:rPr>
              <w:t>72.32</w:t>
            </w:r>
          </w:p>
        </w:tc>
        <w:tc>
          <w:tcPr>
            <w:tcW w:w="700" w:type="dxa"/>
            <w:vAlign w:val="bottom"/>
            <w:gridSpan w:val="2"/>
          </w:tcPr>
          <w:p>
            <w:pPr>
              <w:ind w:left="300"/>
              <w:spacing w:after="0"/>
              <w:rPr>
                <w:sz w:val="20"/>
                <w:szCs w:val="20"/>
                <w:color w:val="auto"/>
              </w:rPr>
            </w:pPr>
            <w:r>
              <w:rPr>
                <w:rFonts w:ascii="Arial" w:cs="Arial" w:eastAsia="Arial" w:hAnsi="Arial"/>
                <w:sz w:val="18"/>
                <w:szCs w:val="18"/>
                <w:color w:val="auto"/>
                <w:w w:val="84"/>
              </w:rPr>
              <w:t>47.31</w:t>
            </w:r>
          </w:p>
        </w:tc>
        <w:tc>
          <w:tcPr>
            <w:tcW w:w="1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3,387,937</w:t>
            </w:r>
          </w:p>
        </w:tc>
        <w:tc>
          <w:tcPr>
            <w:tcW w:w="160" w:type="dxa"/>
            <w:vAlign w:val="bottom"/>
          </w:tcPr>
          <w:p>
            <w:pPr>
              <w:spacing w:after="0"/>
              <w:rPr>
                <w:sz w:val="18"/>
                <w:szCs w:val="18"/>
                <w:color w:val="auto"/>
              </w:rPr>
            </w:pPr>
          </w:p>
        </w:tc>
        <w:tc>
          <w:tcPr>
            <w:tcW w:w="110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4120" w:type="dxa"/>
            <w:vAlign w:val="bottom"/>
            <w:shd w:val="clear" w:color="auto" w:fill="CCEEFF"/>
          </w:tcPr>
          <w:p>
            <w:pPr>
              <w:spacing w:after="0"/>
              <w:rPr>
                <w:sz w:val="20"/>
                <w:szCs w:val="20"/>
                <w:color w:val="auto"/>
              </w:rPr>
            </w:pPr>
            <w:r>
              <w:rPr>
                <w:rFonts w:ascii="Arial" w:cs="Arial" w:eastAsia="Arial" w:hAnsi="Arial"/>
                <w:sz w:val="18"/>
                <w:szCs w:val="18"/>
                <w:color w:val="auto"/>
              </w:rPr>
              <w:t>Fourth Quarter</w:t>
            </w:r>
          </w:p>
        </w:tc>
        <w:tc>
          <w:tcPr>
            <w:tcW w:w="540" w:type="dxa"/>
            <w:vAlign w:val="bottom"/>
            <w:shd w:val="clear" w:color="auto" w:fill="CCEEFF"/>
          </w:tcPr>
          <w:p>
            <w:pPr>
              <w:ind w:left="140"/>
              <w:spacing w:after="0"/>
              <w:rPr>
                <w:sz w:val="20"/>
                <w:szCs w:val="20"/>
                <w:color w:val="auto"/>
              </w:rPr>
            </w:pPr>
            <w:r>
              <w:rPr>
                <w:rFonts w:ascii="Arial" w:cs="Arial" w:eastAsia="Arial" w:hAnsi="Arial"/>
                <w:sz w:val="18"/>
                <w:szCs w:val="18"/>
                <w:color w:val="auto"/>
                <w:w w:val="84"/>
              </w:rPr>
              <w:t>76.65</w:t>
            </w:r>
          </w:p>
        </w:tc>
        <w:tc>
          <w:tcPr>
            <w:tcW w:w="160" w:type="dxa"/>
            <w:vAlign w:val="bottom"/>
            <w:shd w:val="clear" w:color="auto" w:fill="CCEEFF"/>
          </w:tcPr>
          <w:p>
            <w:pPr>
              <w:spacing w:after="0"/>
              <w:rPr>
                <w:sz w:val="18"/>
                <w:szCs w:val="18"/>
                <w:color w:val="auto"/>
              </w:rPr>
            </w:pPr>
          </w:p>
        </w:tc>
        <w:tc>
          <w:tcPr>
            <w:tcW w:w="520" w:type="dxa"/>
            <w:vAlign w:val="bottom"/>
            <w:shd w:val="clear" w:color="auto" w:fill="CCEEFF"/>
          </w:tcPr>
          <w:p>
            <w:pPr>
              <w:ind w:left="120"/>
              <w:spacing w:after="0"/>
              <w:rPr>
                <w:sz w:val="20"/>
                <w:szCs w:val="20"/>
                <w:color w:val="auto"/>
              </w:rPr>
            </w:pPr>
            <w:r>
              <w:rPr>
                <w:rFonts w:ascii="Arial" w:cs="Arial" w:eastAsia="Arial" w:hAnsi="Arial"/>
                <w:sz w:val="18"/>
                <w:szCs w:val="18"/>
                <w:color w:val="auto"/>
                <w:w w:val="84"/>
              </w:rPr>
              <w:t>55.52</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926,079</w:t>
            </w:r>
          </w:p>
        </w:tc>
        <w:tc>
          <w:tcPr>
            <w:tcW w:w="6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84"/>
              </w:rPr>
              <w:t>74.00</w:t>
            </w:r>
          </w:p>
        </w:tc>
        <w:tc>
          <w:tcPr>
            <w:tcW w:w="70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84"/>
              </w:rPr>
              <w:t>51.38</w:t>
            </w:r>
          </w:p>
        </w:tc>
        <w:tc>
          <w:tcPr>
            <w:tcW w:w="1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4,138,909</w:t>
            </w:r>
          </w:p>
        </w:tc>
        <w:tc>
          <w:tcPr>
            <w:tcW w:w="160" w:type="dxa"/>
            <w:vAlign w:val="bottom"/>
            <w:shd w:val="clear" w:color="auto" w:fill="CCEEFF"/>
          </w:tcPr>
          <w:p>
            <w:pPr>
              <w:spacing w:after="0"/>
              <w:rPr>
                <w:sz w:val="18"/>
                <w:szCs w:val="18"/>
                <w:color w:val="auto"/>
              </w:rPr>
            </w:pPr>
          </w:p>
        </w:tc>
        <w:tc>
          <w:tcPr>
            <w:tcW w:w="1100" w:type="dxa"/>
            <w:vAlign w:val="bottom"/>
          </w:tcPr>
          <w:p>
            <w:pPr>
              <w:spacing w:after="0"/>
              <w:rPr>
                <w:sz w:val="18"/>
                <w:szCs w:val="18"/>
                <w:color w:val="auto"/>
              </w:rPr>
            </w:pPr>
          </w:p>
        </w:tc>
      </w:tr>
      <w:tr>
        <w:trPr>
          <w:trHeight w:val="430"/>
        </w:trPr>
        <w:tc>
          <w:tcPr>
            <w:tcW w:w="1160" w:type="dxa"/>
            <w:vAlign w:val="bottom"/>
          </w:tcPr>
          <w:p>
            <w:pPr>
              <w:spacing w:after="0"/>
              <w:rPr>
                <w:sz w:val="24"/>
                <w:szCs w:val="24"/>
                <w:color w:val="auto"/>
              </w:rPr>
            </w:pPr>
          </w:p>
        </w:tc>
        <w:tc>
          <w:tcPr>
            <w:tcW w:w="4120" w:type="dxa"/>
            <w:vAlign w:val="bottom"/>
          </w:tcPr>
          <w:p>
            <w:pPr>
              <w:spacing w:after="0"/>
              <w:rPr>
                <w:sz w:val="24"/>
                <w:szCs w:val="24"/>
                <w:color w:val="auto"/>
              </w:rPr>
            </w:pPr>
          </w:p>
        </w:tc>
        <w:tc>
          <w:tcPr>
            <w:tcW w:w="700" w:type="dxa"/>
            <w:vAlign w:val="bottom"/>
            <w:gridSpan w:val="2"/>
          </w:tcPr>
          <w:p>
            <w:pPr>
              <w:ind w:left="300"/>
              <w:spacing w:after="0"/>
              <w:rPr>
                <w:sz w:val="20"/>
                <w:szCs w:val="20"/>
                <w:color w:val="auto"/>
              </w:rPr>
            </w:pPr>
            <w:r>
              <w:rPr>
                <w:rFonts w:ascii="Arial" w:cs="Arial" w:eastAsia="Arial" w:hAnsi="Arial"/>
                <w:sz w:val="18"/>
                <w:szCs w:val="18"/>
                <w:color w:val="auto"/>
              </w:rPr>
              <w:t>123</w:t>
            </w:r>
          </w:p>
        </w:tc>
        <w:tc>
          <w:tcPr>
            <w:tcW w:w="5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00" w:type="dxa"/>
            <w:vAlign w:val="bottom"/>
          </w:tcPr>
          <w:p>
            <w:pPr>
              <w:spacing w:after="0"/>
              <w:rPr>
                <w:sz w:val="24"/>
                <w:szCs w:val="24"/>
                <w:color w:val="auto"/>
              </w:rPr>
            </w:pPr>
          </w:p>
        </w:tc>
      </w:tr>
      <w:tr>
        <w:trPr>
          <w:trHeight w:val="228"/>
        </w:trPr>
        <w:tc>
          <w:tcPr>
            <w:tcW w:w="1160" w:type="dxa"/>
            <w:vAlign w:val="bottom"/>
            <w:tcBorders>
              <w:bottom w:val="single" w:sz="8" w:color="808080"/>
            </w:tcBorders>
          </w:tcPr>
          <w:p>
            <w:pPr>
              <w:spacing w:after="0"/>
              <w:rPr>
                <w:sz w:val="19"/>
                <w:szCs w:val="19"/>
                <w:color w:val="auto"/>
              </w:rPr>
            </w:pPr>
          </w:p>
        </w:tc>
        <w:tc>
          <w:tcPr>
            <w:tcW w:w="4120" w:type="dxa"/>
            <w:vAlign w:val="bottom"/>
            <w:tcBorders>
              <w:bottom w:val="single" w:sz="8" w:color="808080"/>
            </w:tcBorders>
          </w:tcPr>
          <w:p>
            <w:pPr>
              <w:spacing w:after="0"/>
              <w:rPr>
                <w:sz w:val="19"/>
                <w:szCs w:val="19"/>
                <w:color w:val="auto"/>
              </w:rPr>
            </w:pPr>
          </w:p>
        </w:tc>
        <w:tc>
          <w:tcPr>
            <w:tcW w:w="54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52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80" w:type="dxa"/>
            <w:vAlign w:val="bottom"/>
            <w:tcBorders>
              <w:bottom w:val="single" w:sz="8" w:color="808080"/>
            </w:tcBorders>
          </w:tcPr>
          <w:p>
            <w:pPr>
              <w:spacing w:after="0"/>
              <w:rPr>
                <w:sz w:val="19"/>
                <w:szCs w:val="19"/>
                <w:color w:val="auto"/>
              </w:rPr>
            </w:pPr>
          </w:p>
        </w:tc>
        <w:tc>
          <w:tcPr>
            <w:tcW w:w="90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52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54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60" w:type="dxa"/>
            <w:vAlign w:val="bottom"/>
            <w:tcBorders>
              <w:bottom w:val="single" w:sz="8" w:color="808080"/>
            </w:tcBorders>
          </w:tcPr>
          <w:p>
            <w:pPr>
              <w:spacing w:after="0"/>
              <w:rPr>
                <w:sz w:val="19"/>
                <w:szCs w:val="19"/>
                <w:color w:val="auto"/>
              </w:rPr>
            </w:pPr>
          </w:p>
        </w:tc>
        <w:tc>
          <w:tcPr>
            <w:tcW w:w="92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10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166" w:name="page167"/>
    <w:bookmarkEnd w:id="166"/>
    <w:p>
      <w:pPr>
        <w:ind w:left="360"/>
        <w:spacing w:after="0"/>
        <w:rPr>
          <w:sz w:val="20"/>
          <w:szCs w:val="20"/>
          <w:color w:val="auto"/>
        </w:rPr>
      </w:pPr>
      <w:r>
        <w:rPr>
          <w:rFonts w:ascii="Arial" w:cs="Arial" w:eastAsia="Arial" w:hAnsi="Arial"/>
          <w:sz w:val="16"/>
          <w:szCs w:val="16"/>
          <w:color w:val="auto"/>
        </w:rPr>
        <w:t>The following table sets forth the high and low sale prices for the Company's common shares on the TSX and the NYSE for the last 12 months.</w:t>
      </w:r>
    </w:p>
    <w:p>
      <w:pPr>
        <w:spacing w:after="0" w:line="298"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4120" w:type="dxa"/>
            <w:vAlign w:val="bottom"/>
          </w:tcPr>
          <w:p>
            <w:pPr>
              <w:spacing w:after="0"/>
              <w:rPr>
                <w:sz w:val="14"/>
                <w:szCs w:val="14"/>
                <w:color w:val="auto"/>
              </w:rPr>
            </w:pPr>
          </w:p>
        </w:tc>
        <w:tc>
          <w:tcPr>
            <w:tcW w:w="54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gridSpan w:val="3"/>
          </w:tcPr>
          <w:p>
            <w:pPr>
              <w:ind w:left="200"/>
              <w:spacing w:after="0"/>
              <w:rPr>
                <w:sz w:val="20"/>
                <w:szCs w:val="20"/>
                <w:color w:val="auto"/>
              </w:rPr>
            </w:pPr>
            <w:r>
              <w:rPr>
                <w:rFonts w:ascii="Arial" w:cs="Arial" w:eastAsia="Arial" w:hAnsi="Arial"/>
                <w:sz w:val="14"/>
                <w:szCs w:val="14"/>
                <w:b w:val="1"/>
                <w:bCs w:val="1"/>
                <w:color w:val="auto"/>
                <w:w w:val="92"/>
              </w:rPr>
              <w:t>TSX (C$)</w:t>
            </w:r>
          </w:p>
        </w:tc>
        <w:tc>
          <w:tcPr>
            <w:tcW w:w="90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52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gridSpan w:val="3"/>
          </w:tcPr>
          <w:p>
            <w:pPr>
              <w:ind w:left="220"/>
              <w:spacing w:after="0"/>
              <w:rPr>
                <w:sz w:val="20"/>
                <w:szCs w:val="20"/>
                <w:color w:val="auto"/>
              </w:rPr>
            </w:pPr>
            <w:r>
              <w:rPr>
                <w:rFonts w:ascii="Arial" w:cs="Arial" w:eastAsia="Arial" w:hAnsi="Arial"/>
                <w:sz w:val="14"/>
                <w:szCs w:val="14"/>
                <w:b w:val="1"/>
                <w:bCs w:val="1"/>
                <w:color w:val="auto"/>
                <w:w w:val="87"/>
              </w:rPr>
              <w:t>NYSE ($)</w:t>
            </w:r>
          </w:p>
        </w:tc>
        <w:tc>
          <w:tcPr>
            <w:tcW w:w="92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r>
      <w:tr>
        <w:trPr>
          <w:trHeight w:val="129"/>
        </w:trPr>
        <w:tc>
          <w:tcPr>
            <w:tcW w:w="20" w:type="dxa"/>
            <w:vAlign w:val="bottom"/>
          </w:tcPr>
          <w:p>
            <w:pPr>
              <w:spacing w:after="0"/>
              <w:rPr>
                <w:sz w:val="11"/>
                <w:szCs w:val="11"/>
                <w:color w:val="auto"/>
              </w:rPr>
            </w:pPr>
          </w:p>
        </w:tc>
        <w:tc>
          <w:tcPr>
            <w:tcW w:w="412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900" w:type="dxa"/>
            <w:vAlign w:val="bottom"/>
          </w:tcPr>
          <w:p>
            <w:pPr>
              <w:jc w:val="right"/>
              <w:spacing w:after="0" w:line="129" w:lineRule="exact"/>
              <w:rPr>
                <w:sz w:val="20"/>
                <w:szCs w:val="20"/>
                <w:color w:val="auto"/>
              </w:rPr>
            </w:pPr>
            <w:r>
              <w:rPr>
                <w:rFonts w:ascii="Arial" w:cs="Arial" w:eastAsia="Arial" w:hAnsi="Arial"/>
                <w:sz w:val="14"/>
                <w:szCs w:val="14"/>
                <w:b w:val="1"/>
                <w:bCs w:val="1"/>
                <w:color w:val="auto"/>
                <w:w w:val="86"/>
              </w:rPr>
              <w:t>Average Daily</w:t>
            </w:r>
          </w:p>
        </w:tc>
        <w:tc>
          <w:tcPr>
            <w:tcW w:w="16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920" w:type="dxa"/>
            <w:vAlign w:val="bottom"/>
          </w:tcPr>
          <w:p>
            <w:pPr>
              <w:ind w:left="20"/>
              <w:spacing w:after="0" w:line="129" w:lineRule="exact"/>
              <w:rPr>
                <w:sz w:val="20"/>
                <w:szCs w:val="20"/>
                <w:color w:val="auto"/>
              </w:rPr>
            </w:pPr>
            <w:r>
              <w:rPr>
                <w:rFonts w:ascii="Arial" w:cs="Arial" w:eastAsia="Arial" w:hAnsi="Arial"/>
                <w:sz w:val="14"/>
                <w:szCs w:val="14"/>
                <w:b w:val="1"/>
                <w:bCs w:val="1"/>
                <w:color w:val="auto"/>
                <w:w w:val="94"/>
              </w:rPr>
              <w:t>Average Daily</w:t>
            </w:r>
          </w:p>
        </w:tc>
        <w:tc>
          <w:tcPr>
            <w:tcW w:w="160" w:type="dxa"/>
            <w:vAlign w:val="bottom"/>
          </w:tcPr>
          <w:p>
            <w:pPr>
              <w:spacing w:after="0"/>
              <w:rPr>
                <w:sz w:val="11"/>
                <w:szCs w:val="11"/>
                <w:color w:val="auto"/>
              </w:rPr>
            </w:pPr>
          </w:p>
        </w:tc>
      </w:tr>
      <w:tr>
        <w:trPr>
          <w:trHeight w:val="161"/>
        </w:trPr>
        <w:tc>
          <w:tcPr>
            <w:tcW w:w="20" w:type="dxa"/>
            <w:vAlign w:val="bottom"/>
          </w:tcPr>
          <w:p>
            <w:pPr>
              <w:spacing w:after="0"/>
              <w:rPr>
                <w:sz w:val="14"/>
                <w:szCs w:val="14"/>
                <w:color w:val="auto"/>
              </w:rPr>
            </w:pPr>
          </w:p>
        </w:tc>
        <w:tc>
          <w:tcPr>
            <w:tcW w:w="4120" w:type="dxa"/>
            <w:vAlign w:val="bottom"/>
          </w:tcPr>
          <w:p>
            <w:pPr>
              <w:spacing w:after="0"/>
              <w:rPr>
                <w:sz w:val="14"/>
                <w:szCs w:val="14"/>
                <w:color w:val="auto"/>
              </w:rPr>
            </w:pPr>
          </w:p>
        </w:tc>
        <w:tc>
          <w:tcPr>
            <w:tcW w:w="540" w:type="dxa"/>
            <w:vAlign w:val="bottom"/>
          </w:tcPr>
          <w:p>
            <w:pPr>
              <w:ind w:left="120"/>
              <w:spacing w:after="0"/>
              <w:rPr>
                <w:sz w:val="20"/>
                <w:szCs w:val="20"/>
                <w:color w:val="auto"/>
              </w:rPr>
            </w:pPr>
            <w:r>
              <w:rPr>
                <w:rFonts w:ascii="Arial" w:cs="Arial" w:eastAsia="Arial" w:hAnsi="Arial"/>
                <w:sz w:val="14"/>
                <w:szCs w:val="14"/>
                <w:b w:val="1"/>
                <w:bCs w:val="1"/>
                <w:color w:val="auto"/>
              </w:rPr>
              <w:t>High</w:t>
            </w:r>
          </w:p>
        </w:tc>
        <w:tc>
          <w:tcPr>
            <w:tcW w:w="160" w:type="dxa"/>
            <w:vAlign w:val="bottom"/>
          </w:tcPr>
          <w:p>
            <w:pPr>
              <w:spacing w:after="0"/>
              <w:rPr>
                <w:sz w:val="14"/>
                <w:szCs w:val="14"/>
                <w:color w:val="auto"/>
              </w:rPr>
            </w:pPr>
          </w:p>
        </w:tc>
        <w:tc>
          <w:tcPr>
            <w:tcW w:w="760" w:type="dxa"/>
            <w:vAlign w:val="bottom"/>
            <w:gridSpan w:val="3"/>
          </w:tcPr>
          <w:p>
            <w:pPr>
              <w:ind w:left="120"/>
              <w:spacing w:after="0"/>
              <w:rPr>
                <w:sz w:val="20"/>
                <w:szCs w:val="20"/>
                <w:color w:val="auto"/>
              </w:rPr>
            </w:pPr>
            <w:r>
              <w:rPr>
                <w:rFonts w:ascii="Arial" w:cs="Arial" w:eastAsia="Arial" w:hAnsi="Arial"/>
                <w:sz w:val="14"/>
                <w:szCs w:val="14"/>
                <w:b w:val="1"/>
                <w:bCs w:val="1"/>
                <w:color w:val="auto"/>
              </w:rPr>
              <w:t>Low</w:t>
            </w:r>
          </w:p>
        </w:tc>
        <w:tc>
          <w:tcPr>
            <w:tcW w:w="900" w:type="dxa"/>
            <w:vAlign w:val="bottom"/>
          </w:tcPr>
          <w:p>
            <w:pPr>
              <w:jc w:val="right"/>
              <w:ind w:right="195"/>
              <w:spacing w:after="0"/>
              <w:rPr>
                <w:sz w:val="20"/>
                <w:szCs w:val="20"/>
                <w:color w:val="auto"/>
              </w:rPr>
            </w:pPr>
            <w:r>
              <w:rPr>
                <w:rFonts w:ascii="Arial" w:cs="Arial" w:eastAsia="Arial" w:hAnsi="Arial"/>
                <w:sz w:val="14"/>
                <w:szCs w:val="14"/>
                <w:b w:val="1"/>
                <w:bCs w:val="1"/>
                <w:color w:val="auto"/>
              </w:rPr>
              <w:t>Volume</w:t>
            </w:r>
          </w:p>
        </w:tc>
        <w:tc>
          <w:tcPr>
            <w:tcW w:w="160" w:type="dxa"/>
            <w:vAlign w:val="bottom"/>
          </w:tcPr>
          <w:p>
            <w:pPr>
              <w:spacing w:after="0"/>
              <w:rPr>
                <w:sz w:val="14"/>
                <w:szCs w:val="14"/>
                <w:color w:val="auto"/>
              </w:rPr>
            </w:pPr>
          </w:p>
        </w:tc>
        <w:tc>
          <w:tcPr>
            <w:tcW w:w="520" w:type="dxa"/>
            <w:vAlign w:val="bottom"/>
          </w:tcPr>
          <w:p>
            <w:pPr>
              <w:ind w:left="120"/>
              <w:spacing w:after="0"/>
              <w:rPr>
                <w:sz w:val="20"/>
                <w:szCs w:val="20"/>
                <w:color w:val="auto"/>
              </w:rPr>
            </w:pPr>
            <w:r>
              <w:rPr>
                <w:rFonts w:ascii="Arial" w:cs="Arial" w:eastAsia="Arial" w:hAnsi="Arial"/>
                <w:sz w:val="14"/>
                <w:szCs w:val="14"/>
                <w:b w:val="1"/>
                <w:bCs w:val="1"/>
                <w:color w:val="auto"/>
              </w:rPr>
              <w:t>High</w:t>
            </w:r>
          </w:p>
        </w:tc>
        <w:tc>
          <w:tcPr>
            <w:tcW w:w="160" w:type="dxa"/>
            <w:vAlign w:val="bottom"/>
          </w:tcPr>
          <w:p>
            <w:pPr>
              <w:spacing w:after="0"/>
              <w:rPr>
                <w:sz w:val="14"/>
                <w:szCs w:val="14"/>
                <w:color w:val="auto"/>
              </w:rPr>
            </w:pPr>
          </w:p>
        </w:tc>
        <w:tc>
          <w:tcPr>
            <w:tcW w:w="760" w:type="dxa"/>
            <w:vAlign w:val="bottom"/>
            <w:gridSpan w:val="3"/>
          </w:tcPr>
          <w:p>
            <w:pPr>
              <w:ind w:left="140"/>
              <w:spacing w:after="0"/>
              <w:rPr>
                <w:sz w:val="20"/>
                <w:szCs w:val="20"/>
                <w:color w:val="auto"/>
              </w:rPr>
            </w:pPr>
            <w:r>
              <w:rPr>
                <w:rFonts w:ascii="Arial" w:cs="Arial" w:eastAsia="Arial" w:hAnsi="Arial"/>
                <w:sz w:val="14"/>
                <w:szCs w:val="14"/>
                <w:b w:val="1"/>
                <w:bCs w:val="1"/>
                <w:color w:val="auto"/>
              </w:rPr>
              <w:t>Low</w:t>
            </w:r>
          </w:p>
        </w:tc>
        <w:tc>
          <w:tcPr>
            <w:tcW w:w="1080" w:type="dxa"/>
            <w:vAlign w:val="bottom"/>
            <w:gridSpan w:val="2"/>
          </w:tcPr>
          <w:p>
            <w:pPr>
              <w:ind w:left="200"/>
              <w:spacing w:after="0"/>
              <w:rPr>
                <w:sz w:val="20"/>
                <w:szCs w:val="20"/>
                <w:color w:val="auto"/>
              </w:rPr>
            </w:pPr>
            <w:r>
              <w:rPr>
                <w:rFonts w:ascii="Arial" w:cs="Arial" w:eastAsia="Arial" w:hAnsi="Arial"/>
                <w:sz w:val="14"/>
                <w:szCs w:val="14"/>
                <w:b w:val="1"/>
                <w:bCs w:val="1"/>
                <w:color w:val="auto"/>
              </w:rPr>
              <w:t>Volume</w:t>
            </w:r>
          </w:p>
        </w:tc>
      </w:tr>
      <w:tr>
        <w:trPr>
          <w:trHeight w:val="210"/>
        </w:trPr>
        <w:tc>
          <w:tcPr>
            <w:tcW w:w="20" w:type="dxa"/>
            <w:vAlign w:val="bottom"/>
          </w:tcPr>
          <w:p>
            <w:pPr>
              <w:spacing w:after="0"/>
              <w:rPr>
                <w:sz w:val="18"/>
                <w:szCs w:val="18"/>
                <w:color w:val="auto"/>
              </w:rPr>
            </w:pPr>
          </w:p>
        </w:tc>
        <w:tc>
          <w:tcPr>
            <w:tcW w:w="4120" w:type="dxa"/>
            <w:vAlign w:val="bottom"/>
            <w:shd w:val="clear" w:color="auto" w:fill="CCEEFF"/>
          </w:tcPr>
          <w:p>
            <w:pPr>
              <w:jc w:val="right"/>
              <w:ind w:right="3692"/>
              <w:spacing w:after="0"/>
              <w:rPr>
                <w:sz w:val="20"/>
                <w:szCs w:val="20"/>
                <w:color w:val="auto"/>
              </w:rPr>
            </w:pPr>
            <w:r>
              <w:rPr>
                <w:rFonts w:ascii="Arial" w:cs="Arial" w:eastAsia="Arial" w:hAnsi="Arial"/>
                <w:sz w:val="18"/>
                <w:szCs w:val="18"/>
                <w:i w:val="1"/>
                <w:iCs w:val="1"/>
                <w:color w:val="auto"/>
                <w:w w:val="79"/>
              </w:rPr>
              <w:t>2009</w:t>
            </w:r>
          </w:p>
        </w:tc>
        <w:tc>
          <w:tcPr>
            <w:tcW w:w="54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52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90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52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54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0" w:type="dxa"/>
            <w:vAlign w:val="bottom"/>
            <w:tcBorders>
              <w:top w:val="single" w:sz="8" w:color="auto"/>
            </w:tcBorders>
            <w:shd w:val="clear" w:color="auto" w:fill="CCEEFF"/>
          </w:tcPr>
          <w:p>
            <w:pPr>
              <w:spacing w:after="0"/>
              <w:rPr>
                <w:sz w:val="18"/>
                <w:szCs w:val="18"/>
                <w:color w:val="auto"/>
              </w:rPr>
            </w:pPr>
          </w:p>
        </w:tc>
        <w:tc>
          <w:tcPr>
            <w:tcW w:w="92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120" w:type="dxa"/>
            <w:vAlign w:val="bottom"/>
          </w:tcPr>
          <w:p>
            <w:pPr>
              <w:spacing w:after="0"/>
              <w:rPr>
                <w:sz w:val="20"/>
                <w:szCs w:val="20"/>
                <w:color w:val="auto"/>
              </w:rPr>
            </w:pPr>
            <w:r>
              <w:rPr>
                <w:rFonts w:ascii="Arial" w:cs="Arial" w:eastAsia="Arial" w:hAnsi="Arial"/>
                <w:sz w:val="18"/>
                <w:szCs w:val="18"/>
                <w:color w:val="auto"/>
              </w:rPr>
              <w:t>March</w:t>
            </w:r>
          </w:p>
        </w:tc>
        <w:tc>
          <w:tcPr>
            <w:tcW w:w="540" w:type="dxa"/>
            <w:vAlign w:val="bottom"/>
          </w:tcPr>
          <w:p>
            <w:pPr>
              <w:ind w:left="140"/>
              <w:spacing w:after="0"/>
              <w:rPr>
                <w:sz w:val="20"/>
                <w:szCs w:val="20"/>
                <w:color w:val="auto"/>
              </w:rPr>
            </w:pPr>
            <w:r>
              <w:rPr>
                <w:rFonts w:ascii="Arial" w:cs="Arial" w:eastAsia="Arial" w:hAnsi="Arial"/>
                <w:sz w:val="18"/>
                <w:szCs w:val="18"/>
                <w:color w:val="auto"/>
                <w:w w:val="84"/>
              </w:rPr>
              <w:t>73.64</w:t>
            </w:r>
          </w:p>
        </w:tc>
        <w:tc>
          <w:tcPr>
            <w:tcW w:w="680" w:type="dxa"/>
            <w:vAlign w:val="bottom"/>
            <w:gridSpan w:val="2"/>
          </w:tcPr>
          <w:p>
            <w:pPr>
              <w:ind w:left="280"/>
              <w:spacing w:after="0"/>
              <w:rPr>
                <w:sz w:val="20"/>
                <w:szCs w:val="20"/>
                <w:color w:val="auto"/>
              </w:rPr>
            </w:pPr>
            <w:r>
              <w:rPr>
                <w:rFonts w:ascii="Arial" w:cs="Arial" w:eastAsia="Arial" w:hAnsi="Arial"/>
                <w:sz w:val="18"/>
                <w:szCs w:val="18"/>
                <w:color w:val="auto"/>
                <w:w w:val="84"/>
              </w:rPr>
              <w:t>57.70</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1,33,473</w:t>
            </w:r>
          </w:p>
        </w:tc>
        <w:tc>
          <w:tcPr>
            <w:tcW w:w="680" w:type="dxa"/>
            <w:vAlign w:val="bottom"/>
            <w:gridSpan w:val="2"/>
          </w:tcPr>
          <w:p>
            <w:pPr>
              <w:ind w:left="280"/>
              <w:spacing w:after="0"/>
              <w:rPr>
                <w:sz w:val="20"/>
                <w:szCs w:val="20"/>
                <w:color w:val="auto"/>
              </w:rPr>
            </w:pPr>
            <w:r>
              <w:rPr>
                <w:rFonts w:ascii="Arial" w:cs="Arial" w:eastAsia="Arial" w:hAnsi="Arial"/>
                <w:sz w:val="18"/>
                <w:szCs w:val="18"/>
                <w:color w:val="auto"/>
                <w:w w:val="84"/>
              </w:rPr>
              <w:t>58.89</w:t>
            </w:r>
          </w:p>
        </w:tc>
        <w:tc>
          <w:tcPr>
            <w:tcW w:w="700" w:type="dxa"/>
            <w:vAlign w:val="bottom"/>
            <w:gridSpan w:val="2"/>
          </w:tcPr>
          <w:p>
            <w:pPr>
              <w:ind w:left="300"/>
              <w:spacing w:after="0"/>
              <w:rPr>
                <w:sz w:val="20"/>
                <w:szCs w:val="20"/>
                <w:color w:val="auto"/>
              </w:rPr>
            </w:pPr>
            <w:r>
              <w:rPr>
                <w:rFonts w:ascii="Arial" w:cs="Arial" w:eastAsia="Arial" w:hAnsi="Arial"/>
                <w:sz w:val="18"/>
                <w:szCs w:val="18"/>
                <w:color w:val="auto"/>
                <w:w w:val="84"/>
              </w:rPr>
              <w:t>44.66</w:t>
            </w:r>
          </w:p>
        </w:tc>
        <w:tc>
          <w:tcPr>
            <w:tcW w:w="1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920" w:type="dxa"/>
            <w:vAlign w:val="bottom"/>
          </w:tcPr>
          <w:p>
            <w:pPr>
              <w:ind w:left="200"/>
              <w:spacing w:after="0"/>
              <w:rPr>
                <w:sz w:val="20"/>
                <w:szCs w:val="20"/>
                <w:color w:val="auto"/>
              </w:rPr>
            </w:pPr>
            <w:r>
              <w:rPr>
                <w:rFonts w:ascii="Arial" w:cs="Arial" w:eastAsia="Arial" w:hAnsi="Arial"/>
                <w:sz w:val="18"/>
                <w:szCs w:val="18"/>
                <w:color w:val="auto"/>
                <w:w w:val="87"/>
              </w:rPr>
              <w:t>4,975,051</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120" w:type="dxa"/>
            <w:vAlign w:val="bottom"/>
            <w:shd w:val="clear" w:color="auto" w:fill="CCEEFF"/>
          </w:tcPr>
          <w:p>
            <w:pPr>
              <w:spacing w:after="0"/>
              <w:rPr>
                <w:sz w:val="20"/>
                <w:szCs w:val="20"/>
                <w:color w:val="auto"/>
              </w:rPr>
            </w:pPr>
            <w:r>
              <w:rPr>
                <w:rFonts w:ascii="Arial" w:cs="Arial" w:eastAsia="Arial" w:hAnsi="Arial"/>
                <w:sz w:val="18"/>
                <w:szCs w:val="18"/>
                <w:color w:val="auto"/>
              </w:rPr>
              <w:t>April</w:t>
            </w:r>
          </w:p>
        </w:tc>
        <w:tc>
          <w:tcPr>
            <w:tcW w:w="540" w:type="dxa"/>
            <w:vAlign w:val="bottom"/>
            <w:shd w:val="clear" w:color="auto" w:fill="CCEEFF"/>
          </w:tcPr>
          <w:p>
            <w:pPr>
              <w:ind w:left="140"/>
              <w:spacing w:after="0"/>
              <w:rPr>
                <w:sz w:val="20"/>
                <w:szCs w:val="20"/>
                <w:color w:val="auto"/>
              </w:rPr>
            </w:pPr>
            <w:r>
              <w:rPr>
                <w:rFonts w:ascii="Arial" w:cs="Arial" w:eastAsia="Arial" w:hAnsi="Arial"/>
                <w:sz w:val="18"/>
                <w:szCs w:val="18"/>
                <w:color w:val="auto"/>
                <w:w w:val="84"/>
              </w:rPr>
              <w:t>73.71</w:t>
            </w:r>
          </w:p>
        </w:tc>
        <w:tc>
          <w:tcPr>
            <w:tcW w:w="6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84"/>
              </w:rPr>
              <w:t>50.80</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1,165,705</w:t>
            </w:r>
          </w:p>
        </w:tc>
        <w:tc>
          <w:tcPr>
            <w:tcW w:w="6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84"/>
              </w:rPr>
              <w:t>58.20</w:t>
            </w:r>
          </w:p>
        </w:tc>
        <w:tc>
          <w:tcPr>
            <w:tcW w:w="70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84"/>
              </w:rPr>
              <w:t>42.65</w:t>
            </w:r>
          </w:p>
        </w:tc>
        <w:tc>
          <w:tcPr>
            <w:tcW w:w="1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920" w:type="dxa"/>
            <w:vAlign w:val="bottom"/>
            <w:shd w:val="clear" w:color="auto" w:fill="CCEEFF"/>
          </w:tcPr>
          <w:p>
            <w:pPr>
              <w:ind w:left="200"/>
              <w:spacing w:after="0"/>
              <w:rPr>
                <w:sz w:val="20"/>
                <w:szCs w:val="20"/>
                <w:color w:val="auto"/>
              </w:rPr>
            </w:pPr>
            <w:r>
              <w:rPr>
                <w:rFonts w:ascii="Arial" w:cs="Arial" w:eastAsia="Arial" w:hAnsi="Arial"/>
                <w:sz w:val="18"/>
                <w:szCs w:val="18"/>
                <w:color w:val="auto"/>
                <w:w w:val="87"/>
              </w:rPr>
              <w:t>3,787,256</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120" w:type="dxa"/>
            <w:vAlign w:val="bottom"/>
          </w:tcPr>
          <w:p>
            <w:pPr>
              <w:spacing w:after="0"/>
              <w:rPr>
                <w:sz w:val="20"/>
                <w:szCs w:val="20"/>
                <w:color w:val="auto"/>
              </w:rPr>
            </w:pPr>
            <w:r>
              <w:rPr>
                <w:rFonts w:ascii="Arial" w:cs="Arial" w:eastAsia="Arial" w:hAnsi="Arial"/>
                <w:sz w:val="18"/>
                <w:szCs w:val="18"/>
                <w:color w:val="auto"/>
              </w:rPr>
              <w:t>May</w:t>
            </w:r>
          </w:p>
        </w:tc>
        <w:tc>
          <w:tcPr>
            <w:tcW w:w="540" w:type="dxa"/>
            <w:vAlign w:val="bottom"/>
          </w:tcPr>
          <w:p>
            <w:pPr>
              <w:ind w:left="140"/>
              <w:spacing w:after="0"/>
              <w:rPr>
                <w:sz w:val="20"/>
                <w:szCs w:val="20"/>
                <w:color w:val="auto"/>
              </w:rPr>
            </w:pPr>
            <w:r>
              <w:rPr>
                <w:rFonts w:ascii="Arial" w:cs="Arial" w:eastAsia="Arial" w:hAnsi="Arial"/>
                <w:sz w:val="18"/>
                <w:szCs w:val="18"/>
                <w:color w:val="auto"/>
                <w:w w:val="84"/>
              </w:rPr>
              <w:t>69.00</w:t>
            </w:r>
          </w:p>
        </w:tc>
        <w:tc>
          <w:tcPr>
            <w:tcW w:w="680" w:type="dxa"/>
            <w:vAlign w:val="bottom"/>
            <w:gridSpan w:val="2"/>
          </w:tcPr>
          <w:p>
            <w:pPr>
              <w:ind w:left="280"/>
              <w:spacing w:after="0"/>
              <w:rPr>
                <w:sz w:val="20"/>
                <w:szCs w:val="20"/>
                <w:color w:val="auto"/>
              </w:rPr>
            </w:pPr>
            <w:r>
              <w:rPr>
                <w:rFonts w:ascii="Arial" w:cs="Arial" w:eastAsia="Arial" w:hAnsi="Arial"/>
                <w:sz w:val="18"/>
                <w:szCs w:val="18"/>
                <w:color w:val="auto"/>
                <w:w w:val="84"/>
              </w:rPr>
              <w:t>51.53</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690,114</w:t>
            </w:r>
          </w:p>
        </w:tc>
        <w:tc>
          <w:tcPr>
            <w:tcW w:w="680" w:type="dxa"/>
            <w:vAlign w:val="bottom"/>
            <w:gridSpan w:val="2"/>
          </w:tcPr>
          <w:p>
            <w:pPr>
              <w:ind w:left="280"/>
              <w:spacing w:after="0"/>
              <w:rPr>
                <w:sz w:val="20"/>
                <w:szCs w:val="20"/>
                <w:color w:val="auto"/>
              </w:rPr>
            </w:pPr>
            <w:r>
              <w:rPr>
                <w:rFonts w:ascii="Arial" w:cs="Arial" w:eastAsia="Arial" w:hAnsi="Arial"/>
                <w:sz w:val="18"/>
                <w:szCs w:val="18"/>
                <w:color w:val="auto"/>
                <w:w w:val="84"/>
              </w:rPr>
              <w:t>62.92</w:t>
            </w:r>
          </w:p>
        </w:tc>
        <w:tc>
          <w:tcPr>
            <w:tcW w:w="700" w:type="dxa"/>
            <w:vAlign w:val="bottom"/>
            <w:gridSpan w:val="2"/>
          </w:tcPr>
          <w:p>
            <w:pPr>
              <w:ind w:left="300"/>
              <w:spacing w:after="0"/>
              <w:rPr>
                <w:sz w:val="20"/>
                <w:szCs w:val="20"/>
                <w:color w:val="auto"/>
              </w:rPr>
            </w:pPr>
            <w:r>
              <w:rPr>
                <w:rFonts w:ascii="Arial" w:cs="Arial" w:eastAsia="Arial" w:hAnsi="Arial"/>
                <w:sz w:val="18"/>
                <w:szCs w:val="18"/>
                <w:color w:val="auto"/>
                <w:w w:val="84"/>
              </w:rPr>
              <w:t>43.29</w:t>
            </w:r>
          </w:p>
        </w:tc>
        <w:tc>
          <w:tcPr>
            <w:tcW w:w="1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920" w:type="dxa"/>
            <w:vAlign w:val="bottom"/>
          </w:tcPr>
          <w:p>
            <w:pPr>
              <w:ind w:left="200"/>
              <w:spacing w:after="0"/>
              <w:rPr>
                <w:sz w:val="20"/>
                <w:szCs w:val="20"/>
                <w:color w:val="auto"/>
              </w:rPr>
            </w:pPr>
            <w:r>
              <w:rPr>
                <w:rFonts w:ascii="Arial" w:cs="Arial" w:eastAsia="Arial" w:hAnsi="Arial"/>
                <w:sz w:val="18"/>
                <w:szCs w:val="18"/>
                <w:color w:val="auto"/>
                <w:w w:val="87"/>
              </w:rPr>
              <w:t>3,776,486</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120" w:type="dxa"/>
            <w:vAlign w:val="bottom"/>
            <w:shd w:val="clear" w:color="auto" w:fill="CCEEFF"/>
          </w:tcPr>
          <w:p>
            <w:pPr>
              <w:spacing w:after="0"/>
              <w:rPr>
                <w:sz w:val="20"/>
                <w:szCs w:val="20"/>
                <w:color w:val="auto"/>
              </w:rPr>
            </w:pPr>
            <w:r>
              <w:rPr>
                <w:rFonts w:ascii="Arial" w:cs="Arial" w:eastAsia="Arial" w:hAnsi="Arial"/>
                <w:sz w:val="18"/>
                <w:szCs w:val="18"/>
                <w:color w:val="auto"/>
              </w:rPr>
              <w:t>June</w:t>
            </w:r>
          </w:p>
        </w:tc>
        <w:tc>
          <w:tcPr>
            <w:tcW w:w="540" w:type="dxa"/>
            <w:vAlign w:val="bottom"/>
            <w:shd w:val="clear" w:color="auto" w:fill="CCEEFF"/>
          </w:tcPr>
          <w:p>
            <w:pPr>
              <w:ind w:left="140"/>
              <w:spacing w:after="0"/>
              <w:rPr>
                <w:sz w:val="20"/>
                <w:szCs w:val="20"/>
                <w:color w:val="auto"/>
              </w:rPr>
            </w:pPr>
            <w:r>
              <w:rPr>
                <w:rFonts w:ascii="Arial" w:cs="Arial" w:eastAsia="Arial" w:hAnsi="Arial"/>
                <w:sz w:val="18"/>
                <w:szCs w:val="18"/>
                <w:color w:val="auto"/>
                <w:w w:val="84"/>
              </w:rPr>
              <w:t>68.58</w:t>
            </w:r>
          </w:p>
        </w:tc>
        <w:tc>
          <w:tcPr>
            <w:tcW w:w="6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84"/>
              </w:rPr>
              <w:t>56.07</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709,525</w:t>
            </w:r>
          </w:p>
        </w:tc>
        <w:tc>
          <w:tcPr>
            <w:tcW w:w="6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84"/>
              </w:rPr>
              <w:t>63.29</w:t>
            </w:r>
          </w:p>
        </w:tc>
        <w:tc>
          <w:tcPr>
            <w:tcW w:w="70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84"/>
              </w:rPr>
              <w:t>48.46</w:t>
            </w:r>
          </w:p>
        </w:tc>
        <w:tc>
          <w:tcPr>
            <w:tcW w:w="1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920" w:type="dxa"/>
            <w:vAlign w:val="bottom"/>
            <w:shd w:val="clear" w:color="auto" w:fill="CCEEFF"/>
          </w:tcPr>
          <w:p>
            <w:pPr>
              <w:ind w:left="200"/>
              <w:spacing w:after="0"/>
              <w:rPr>
                <w:sz w:val="20"/>
                <w:szCs w:val="20"/>
                <w:color w:val="auto"/>
              </w:rPr>
            </w:pPr>
            <w:r>
              <w:rPr>
                <w:rFonts w:ascii="Arial" w:cs="Arial" w:eastAsia="Arial" w:hAnsi="Arial"/>
                <w:sz w:val="18"/>
                <w:szCs w:val="18"/>
                <w:color w:val="auto"/>
                <w:w w:val="87"/>
              </w:rPr>
              <w:t>3,050,748</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120" w:type="dxa"/>
            <w:vAlign w:val="bottom"/>
          </w:tcPr>
          <w:p>
            <w:pPr>
              <w:spacing w:after="0"/>
              <w:rPr>
                <w:sz w:val="20"/>
                <w:szCs w:val="20"/>
                <w:color w:val="auto"/>
              </w:rPr>
            </w:pPr>
            <w:r>
              <w:rPr>
                <w:rFonts w:ascii="Arial" w:cs="Arial" w:eastAsia="Arial" w:hAnsi="Arial"/>
                <w:sz w:val="18"/>
                <w:szCs w:val="18"/>
                <w:color w:val="auto"/>
              </w:rPr>
              <w:t>July</w:t>
            </w:r>
          </w:p>
        </w:tc>
        <w:tc>
          <w:tcPr>
            <w:tcW w:w="540" w:type="dxa"/>
            <w:vAlign w:val="bottom"/>
          </w:tcPr>
          <w:p>
            <w:pPr>
              <w:ind w:left="140"/>
              <w:spacing w:after="0"/>
              <w:rPr>
                <w:sz w:val="20"/>
                <w:szCs w:val="20"/>
                <w:color w:val="auto"/>
              </w:rPr>
            </w:pPr>
            <w:r>
              <w:rPr>
                <w:rFonts w:ascii="Arial" w:cs="Arial" w:eastAsia="Arial" w:hAnsi="Arial"/>
                <w:sz w:val="18"/>
                <w:szCs w:val="18"/>
                <w:color w:val="auto"/>
                <w:w w:val="84"/>
              </w:rPr>
              <w:t>64.20</w:t>
            </w:r>
          </w:p>
        </w:tc>
        <w:tc>
          <w:tcPr>
            <w:tcW w:w="680" w:type="dxa"/>
            <w:vAlign w:val="bottom"/>
            <w:gridSpan w:val="2"/>
          </w:tcPr>
          <w:p>
            <w:pPr>
              <w:ind w:left="280"/>
              <w:spacing w:after="0"/>
              <w:rPr>
                <w:sz w:val="20"/>
                <w:szCs w:val="20"/>
                <w:color w:val="auto"/>
              </w:rPr>
            </w:pPr>
            <w:r>
              <w:rPr>
                <w:rFonts w:ascii="Arial" w:cs="Arial" w:eastAsia="Arial" w:hAnsi="Arial"/>
                <w:sz w:val="18"/>
                <w:szCs w:val="18"/>
                <w:color w:val="auto"/>
                <w:w w:val="84"/>
              </w:rPr>
              <w:t>55.09</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549,415</w:t>
            </w:r>
          </w:p>
        </w:tc>
        <w:tc>
          <w:tcPr>
            <w:tcW w:w="680" w:type="dxa"/>
            <w:vAlign w:val="bottom"/>
            <w:gridSpan w:val="2"/>
          </w:tcPr>
          <w:p>
            <w:pPr>
              <w:ind w:left="280"/>
              <w:spacing w:after="0"/>
              <w:rPr>
                <w:sz w:val="20"/>
                <w:szCs w:val="20"/>
                <w:color w:val="auto"/>
              </w:rPr>
            </w:pPr>
            <w:r>
              <w:rPr>
                <w:rFonts w:ascii="Arial" w:cs="Arial" w:eastAsia="Arial" w:hAnsi="Arial"/>
                <w:sz w:val="18"/>
                <w:szCs w:val="18"/>
                <w:color w:val="auto"/>
                <w:w w:val="84"/>
              </w:rPr>
              <w:t>59.00</w:t>
            </w:r>
          </w:p>
        </w:tc>
        <w:tc>
          <w:tcPr>
            <w:tcW w:w="700" w:type="dxa"/>
            <w:vAlign w:val="bottom"/>
            <w:gridSpan w:val="2"/>
          </w:tcPr>
          <w:p>
            <w:pPr>
              <w:ind w:left="300"/>
              <w:spacing w:after="0"/>
              <w:rPr>
                <w:sz w:val="20"/>
                <w:szCs w:val="20"/>
                <w:color w:val="auto"/>
              </w:rPr>
            </w:pPr>
            <w:r>
              <w:rPr>
                <w:rFonts w:ascii="Arial" w:cs="Arial" w:eastAsia="Arial" w:hAnsi="Arial"/>
                <w:sz w:val="18"/>
                <w:szCs w:val="18"/>
                <w:color w:val="auto"/>
                <w:w w:val="84"/>
              </w:rPr>
              <w:t>47.31</w:t>
            </w:r>
          </w:p>
        </w:tc>
        <w:tc>
          <w:tcPr>
            <w:tcW w:w="1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920" w:type="dxa"/>
            <w:vAlign w:val="bottom"/>
          </w:tcPr>
          <w:p>
            <w:pPr>
              <w:ind w:left="200"/>
              <w:spacing w:after="0"/>
              <w:rPr>
                <w:sz w:val="20"/>
                <w:szCs w:val="20"/>
                <w:color w:val="auto"/>
              </w:rPr>
            </w:pPr>
            <w:r>
              <w:rPr>
                <w:rFonts w:ascii="Arial" w:cs="Arial" w:eastAsia="Arial" w:hAnsi="Arial"/>
                <w:sz w:val="18"/>
                <w:szCs w:val="18"/>
                <w:color w:val="auto"/>
                <w:w w:val="87"/>
              </w:rPr>
              <w:t>2,254,729</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120" w:type="dxa"/>
            <w:vAlign w:val="bottom"/>
            <w:shd w:val="clear" w:color="auto" w:fill="CCEEFF"/>
          </w:tcPr>
          <w:p>
            <w:pPr>
              <w:spacing w:after="0"/>
              <w:rPr>
                <w:sz w:val="20"/>
                <w:szCs w:val="20"/>
                <w:color w:val="auto"/>
              </w:rPr>
            </w:pPr>
            <w:r>
              <w:rPr>
                <w:rFonts w:ascii="Arial" w:cs="Arial" w:eastAsia="Arial" w:hAnsi="Arial"/>
                <w:sz w:val="18"/>
                <w:szCs w:val="18"/>
                <w:color w:val="auto"/>
              </w:rPr>
              <w:t>August</w:t>
            </w:r>
          </w:p>
        </w:tc>
        <w:tc>
          <w:tcPr>
            <w:tcW w:w="540" w:type="dxa"/>
            <w:vAlign w:val="bottom"/>
            <w:shd w:val="clear" w:color="auto" w:fill="CCEEFF"/>
          </w:tcPr>
          <w:p>
            <w:pPr>
              <w:ind w:left="140"/>
              <w:spacing w:after="0"/>
              <w:rPr>
                <w:sz w:val="20"/>
                <w:szCs w:val="20"/>
                <w:color w:val="auto"/>
              </w:rPr>
            </w:pPr>
            <w:r>
              <w:rPr>
                <w:rFonts w:ascii="Arial" w:cs="Arial" w:eastAsia="Arial" w:hAnsi="Arial"/>
                <w:sz w:val="18"/>
                <w:szCs w:val="18"/>
                <w:color w:val="auto"/>
                <w:w w:val="84"/>
              </w:rPr>
              <w:t>65.75</w:t>
            </w:r>
          </w:p>
        </w:tc>
        <w:tc>
          <w:tcPr>
            <w:tcW w:w="6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84"/>
              </w:rPr>
              <w:t>58.12</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499,574</w:t>
            </w:r>
          </w:p>
        </w:tc>
        <w:tc>
          <w:tcPr>
            <w:tcW w:w="6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84"/>
              </w:rPr>
              <w:t>61.30</w:t>
            </w:r>
          </w:p>
        </w:tc>
        <w:tc>
          <w:tcPr>
            <w:tcW w:w="70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84"/>
              </w:rPr>
              <w:t>52.38</w:t>
            </w:r>
          </w:p>
        </w:tc>
        <w:tc>
          <w:tcPr>
            <w:tcW w:w="1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920" w:type="dxa"/>
            <w:vAlign w:val="bottom"/>
            <w:shd w:val="clear" w:color="auto" w:fill="CCEEFF"/>
          </w:tcPr>
          <w:p>
            <w:pPr>
              <w:ind w:left="200"/>
              <w:spacing w:after="0"/>
              <w:rPr>
                <w:sz w:val="20"/>
                <w:szCs w:val="20"/>
                <w:color w:val="auto"/>
              </w:rPr>
            </w:pPr>
            <w:r>
              <w:rPr>
                <w:rFonts w:ascii="Arial" w:cs="Arial" w:eastAsia="Arial" w:hAnsi="Arial"/>
                <w:sz w:val="18"/>
                <w:szCs w:val="18"/>
                <w:color w:val="auto"/>
                <w:w w:val="87"/>
              </w:rPr>
              <w:t>2,582,746</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120" w:type="dxa"/>
            <w:vAlign w:val="bottom"/>
          </w:tcPr>
          <w:p>
            <w:pPr>
              <w:spacing w:after="0"/>
              <w:rPr>
                <w:sz w:val="20"/>
                <w:szCs w:val="20"/>
                <w:color w:val="auto"/>
              </w:rPr>
            </w:pPr>
            <w:r>
              <w:rPr>
                <w:rFonts w:ascii="Arial" w:cs="Arial" w:eastAsia="Arial" w:hAnsi="Arial"/>
                <w:sz w:val="18"/>
                <w:szCs w:val="18"/>
                <w:color w:val="auto"/>
              </w:rPr>
              <w:t>September</w:t>
            </w:r>
          </w:p>
        </w:tc>
        <w:tc>
          <w:tcPr>
            <w:tcW w:w="540" w:type="dxa"/>
            <w:vAlign w:val="bottom"/>
          </w:tcPr>
          <w:p>
            <w:pPr>
              <w:ind w:left="140"/>
              <w:spacing w:after="0"/>
              <w:rPr>
                <w:sz w:val="20"/>
                <w:szCs w:val="20"/>
                <w:color w:val="auto"/>
              </w:rPr>
            </w:pPr>
            <w:r>
              <w:rPr>
                <w:rFonts w:ascii="Arial" w:cs="Arial" w:eastAsia="Arial" w:hAnsi="Arial"/>
                <w:sz w:val="18"/>
                <w:szCs w:val="18"/>
                <w:color w:val="auto"/>
                <w:w w:val="84"/>
              </w:rPr>
              <w:t>77.32</w:t>
            </w:r>
          </w:p>
        </w:tc>
        <w:tc>
          <w:tcPr>
            <w:tcW w:w="680" w:type="dxa"/>
            <w:vAlign w:val="bottom"/>
            <w:gridSpan w:val="2"/>
          </w:tcPr>
          <w:p>
            <w:pPr>
              <w:ind w:left="280"/>
              <w:spacing w:after="0"/>
              <w:rPr>
                <w:sz w:val="20"/>
                <w:szCs w:val="20"/>
                <w:color w:val="auto"/>
              </w:rPr>
            </w:pPr>
            <w:r>
              <w:rPr>
                <w:rFonts w:ascii="Arial" w:cs="Arial" w:eastAsia="Arial" w:hAnsi="Arial"/>
                <w:sz w:val="18"/>
                <w:szCs w:val="18"/>
                <w:color w:val="auto"/>
                <w:w w:val="84"/>
              </w:rPr>
              <w:t>61.61</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1,194,628</w:t>
            </w:r>
          </w:p>
        </w:tc>
        <w:tc>
          <w:tcPr>
            <w:tcW w:w="680" w:type="dxa"/>
            <w:vAlign w:val="bottom"/>
            <w:gridSpan w:val="2"/>
          </w:tcPr>
          <w:p>
            <w:pPr>
              <w:ind w:left="280"/>
              <w:spacing w:after="0"/>
              <w:rPr>
                <w:sz w:val="20"/>
                <w:szCs w:val="20"/>
                <w:color w:val="auto"/>
              </w:rPr>
            </w:pPr>
            <w:r>
              <w:rPr>
                <w:rFonts w:ascii="Arial" w:cs="Arial" w:eastAsia="Arial" w:hAnsi="Arial"/>
                <w:sz w:val="18"/>
                <w:szCs w:val="18"/>
                <w:color w:val="auto"/>
                <w:w w:val="84"/>
              </w:rPr>
              <w:t>72.32</w:t>
            </w:r>
          </w:p>
        </w:tc>
        <w:tc>
          <w:tcPr>
            <w:tcW w:w="700" w:type="dxa"/>
            <w:vAlign w:val="bottom"/>
            <w:gridSpan w:val="2"/>
          </w:tcPr>
          <w:p>
            <w:pPr>
              <w:ind w:left="300"/>
              <w:spacing w:after="0"/>
              <w:rPr>
                <w:sz w:val="20"/>
                <w:szCs w:val="20"/>
                <w:color w:val="auto"/>
              </w:rPr>
            </w:pPr>
            <w:r>
              <w:rPr>
                <w:rFonts w:ascii="Arial" w:cs="Arial" w:eastAsia="Arial" w:hAnsi="Arial"/>
                <w:sz w:val="18"/>
                <w:szCs w:val="18"/>
                <w:color w:val="auto"/>
                <w:w w:val="84"/>
              </w:rPr>
              <w:t>55.82</w:t>
            </w:r>
          </w:p>
        </w:tc>
        <w:tc>
          <w:tcPr>
            <w:tcW w:w="1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920" w:type="dxa"/>
            <w:vAlign w:val="bottom"/>
          </w:tcPr>
          <w:p>
            <w:pPr>
              <w:ind w:left="200"/>
              <w:spacing w:after="0"/>
              <w:rPr>
                <w:sz w:val="20"/>
                <w:szCs w:val="20"/>
                <w:color w:val="auto"/>
              </w:rPr>
            </w:pPr>
            <w:r>
              <w:rPr>
                <w:rFonts w:ascii="Arial" w:cs="Arial" w:eastAsia="Arial" w:hAnsi="Arial"/>
                <w:sz w:val="18"/>
                <w:szCs w:val="18"/>
                <w:color w:val="auto"/>
                <w:w w:val="87"/>
              </w:rPr>
              <w:t>5,341,243</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120" w:type="dxa"/>
            <w:vAlign w:val="bottom"/>
            <w:shd w:val="clear" w:color="auto" w:fill="CCEEFF"/>
          </w:tcPr>
          <w:p>
            <w:pPr>
              <w:spacing w:after="0"/>
              <w:rPr>
                <w:sz w:val="20"/>
                <w:szCs w:val="20"/>
                <w:color w:val="auto"/>
              </w:rPr>
            </w:pPr>
            <w:r>
              <w:rPr>
                <w:rFonts w:ascii="Arial" w:cs="Arial" w:eastAsia="Arial" w:hAnsi="Arial"/>
                <w:sz w:val="18"/>
                <w:szCs w:val="18"/>
                <w:color w:val="auto"/>
              </w:rPr>
              <w:t>October</w:t>
            </w:r>
          </w:p>
        </w:tc>
        <w:tc>
          <w:tcPr>
            <w:tcW w:w="540" w:type="dxa"/>
            <w:vAlign w:val="bottom"/>
            <w:shd w:val="clear" w:color="auto" w:fill="CCEEFF"/>
          </w:tcPr>
          <w:p>
            <w:pPr>
              <w:ind w:left="140"/>
              <w:spacing w:after="0"/>
              <w:rPr>
                <w:sz w:val="20"/>
                <w:szCs w:val="20"/>
                <w:color w:val="auto"/>
              </w:rPr>
            </w:pPr>
            <w:r>
              <w:rPr>
                <w:rFonts w:ascii="Arial" w:cs="Arial" w:eastAsia="Arial" w:hAnsi="Arial"/>
                <w:sz w:val="18"/>
                <w:szCs w:val="18"/>
                <w:color w:val="auto"/>
                <w:w w:val="84"/>
              </w:rPr>
              <w:t>76.65</w:t>
            </w:r>
          </w:p>
        </w:tc>
        <w:tc>
          <w:tcPr>
            <w:tcW w:w="6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84"/>
              </w:rPr>
              <w:t>55.52</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958,654</w:t>
            </w:r>
          </w:p>
        </w:tc>
        <w:tc>
          <w:tcPr>
            <w:tcW w:w="6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84"/>
              </w:rPr>
              <w:t>74.00</w:t>
            </w:r>
          </w:p>
        </w:tc>
        <w:tc>
          <w:tcPr>
            <w:tcW w:w="70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84"/>
              </w:rPr>
              <w:t>51.38</w:t>
            </w:r>
          </w:p>
        </w:tc>
        <w:tc>
          <w:tcPr>
            <w:tcW w:w="1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920" w:type="dxa"/>
            <w:vAlign w:val="bottom"/>
            <w:shd w:val="clear" w:color="auto" w:fill="CCEEFF"/>
          </w:tcPr>
          <w:p>
            <w:pPr>
              <w:ind w:left="200"/>
              <w:spacing w:after="0"/>
              <w:rPr>
                <w:sz w:val="20"/>
                <w:szCs w:val="20"/>
                <w:color w:val="auto"/>
              </w:rPr>
            </w:pPr>
            <w:r>
              <w:rPr>
                <w:rFonts w:ascii="Arial" w:cs="Arial" w:eastAsia="Arial" w:hAnsi="Arial"/>
                <w:sz w:val="18"/>
                <w:szCs w:val="18"/>
                <w:color w:val="auto"/>
                <w:w w:val="87"/>
              </w:rPr>
              <w:t>4,329,270</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120" w:type="dxa"/>
            <w:vAlign w:val="bottom"/>
          </w:tcPr>
          <w:p>
            <w:pPr>
              <w:spacing w:after="0"/>
              <w:rPr>
                <w:sz w:val="20"/>
                <w:szCs w:val="20"/>
                <w:color w:val="auto"/>
              </w:rPr>
            </w:pPr>
            <w:r>
              <w:rPr>
                <w:rFonts w:ascii="Arial" w:cs="Arial" w:eastAsia="Arial" w:hAnsi="Arial"/>
                <w:sz w:val="18"/>
                <w:szCs w:val="18"/>
                <w:color w:val="auto"/>
              </w:rPr>
              <w:t>November</w:t>
            </w:r>
          </w:p>
        </w:tc>
        <w:tc>
          <w:tcPr>
            <w:tcW w:w="540" w:type="dxa"/>
            <w:vAlign w:val="bottom"/>
          </w:tcPr>
          <w:p>
            <w:pPr>
              <w:ind w:left="140"/>
              <w:spacing w:after="0"/>
              <w:rPr>
                <w:sz w:val="20"/>
                <w:szCs w:val="20"/>
                <w:color w:val="auto"/>
              </w:rPr>
            </w:pPr>
            <w:r>
              <w:rPr>
                <w:rFonts w:ascii="Arial" w:cs="Arial" w:eastAsia="Arial" w:hAnsi="Arial"/>
                <w:sz w:val="18"/>
                <w:szCs w:val="18"/>
                <w:color w:val="auto"/>
                <w:w w:val="84"/>
              </w:rPr>
              <w:t>68.16</w:t>
            </w:r>
          </w:p>
        </w:tc>
        <w:tc>
          <w:tcPr>
            <w:tcW w:w="680" w:type="dxa"/>
            <w:vAlign w:val="bottom"/>
            <w:gridSpan w:val="2"/>
          </w:tcPr>
          <w:p>
            <w:pPr>
              <w:ind w:left="280"/>
              <w:spacing w:after="0"/>
              <w:rPr>
                <w:sz w:val="20"/>
                <w:szCs w:val="20"/>
                <w:color w:val="auto"/>
              </w:rPr>
            </w:pPr>
            <w:r>
              <w:rPr>
                <w:rFonts w:ascii="Arial" w:cs="Arial" w:eastAsia="Arial" w:hAnsi="Arial"/>
                <w:sz w:val="18"/>
                <w:szCs w:val="18"/>
                <w:color w:val="auto"/>
                <w:w w:val="84"/>
              </w:rPr>
              <w:t>57.49</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950,184</w:t>
            </w:r>
          </w:p>
        </w:tc>
        <w:tc>
          <w:tcPr>
            <w:tcW w:w="680" w:type="dxa"/>
            <w:vAlign w:val="bottom"/>
            <w:gridSpan w:val="2"/>
          </w:tcPr>
          <w:p>
            <w:pPr>
              <w:ind w:left="280"/>
              <w:spacing w:after="0"/>
              <w:rPr>
                <w:sz w:val="20"/>
                <w:szCs w:val="20"/>
                <w:color w:val="auto"/>
              </w:rPr>
            </w:pPr>
            <w:r>
              <w:rPr>
                <w:rFonts w:ascii="Arial" w:cs="Arial" w:eastAsia="Arial" w:hAnsi="Arial"/>
                <w:sz w:val="18"/>
                <w:szCs w:val="18"/>
                <w:color w:val="auto"/>
                <w:w w:val="84"/>
              </w:rPr>
              <w:t>65.12</w:t>
            </w:r>
          </w:p>
        </w:tc>
        <w:tc>
          <w:tcPr>
            <w:tcW w:w="700" w:type="dxa"/>
            <w:vAlign w:val="bottom"/>
            <w:gridSpan w:val="2"/>
          </w:tcPr>
          <w:p>
            <w:pPr>
              <w:ind w:left="300"/>
              <w:spacing w:after="0"/>
              <w:rPr>
                <w:sz w:val="20"/>
                <w:szCs w:val="20"/>
                <w:color w:val="auto"/>
              </w:rPr>
            </w:pPr>
            <w:r>
              <w:rPr>
                <w:rFonts w:ascii="Arial" w:cs="Arial" w:eastAsia="Arial" w:hAnsi="Arial"/>
                <w:sz w:val="18"/>
                <w:szCs w:val="18"/>
                <w:color w:val="auto"/>
                <w:w w:val="84"/>
              </w:rPr>
              <w:t>53.12</w:t>
            </w:r>
          </w:p>
        </w:tc>
        <w:tc>
          <w:tcPr>
            <w:tcW w:w="1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920" w:type="dxa"/>
            <w:vAlign w:val="bottom"/>
          </w:tcPr>
          <w:p>
            <w:pPr>
              <w:ind w:left="200"/>
              <w:spacing w:after="0"/>
              <w:rPr>
                <w:sz w:val="20"/>
                <w:szCs w:val="20"/>
                <w:color w:val="auto"/>
              </w:rPr>
            </w:pPr>
            <w:r>
              <w:rPr>
                <w:rFonts w:ascii="Arial" w:cs="Arial" w:eastAsia="Arial" w:hAnsi="Arial"/>
                <w:sz w:val="18"/>
                <w:szCs w:val="18"/>
                <w:color w:val="auto"/>
                <w:w w:val="87"/>
              </w:rPr>
              <w:t>4,233,996</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120" w:type="dxa"/>
            <w:vAlign w:val="bottom"/>
            <w:shd w:val="clear" w:color="auto" w:fill="CCEEFF"/>
          </w:tcPr>
          <w:p>
            <w:pPr>
              <w:spacing w:after="0"/>
              <w:rPr>
                <w:sz w:val="20"/>
                <w:szCs w:val="20"/>
                <w:color w:val="auto"/>
              </w:rPr>
            </w:pPr>
            <w:r>
              <w:rPr>
                <w:rFonts w:ascii="Arial" w:cs="Arial" w:eastAsia="Arial" w:hAnsi="Arial"/>
                <w:sz w:val="18"/>
                <w:szCs w:val="18"/>
                <w:color w:val="auto"/>
              </w:rPr>
              <w:t>December</w:t>
            </w:r>
          </w:p>
        </w:tc>
        <w:tc>
          <w:tcPr>
            <w:tcW w:w="540" w:type="dxa"/>
            <w:vAlign w:val="bottom"/>
            <w:shd w:val="clear" w:color="auto" w:fill="CCEEFF"/>
          </w:tcPr>
          <w:p>
            <w:pPr>
              <w:ind w:left="140"/>
              <w:spacing w:after="0"/>
              <w:rPr>
                <w:sz w:val="20"/>
                <w:szCs w:val="20"/>
                <w:color w:val="auto"/>
              </w:rPr>
            </w:pPr>
            <w:r>
              <w:rPr>
                <w:rFonts w:ascii="Arial" w:cs="Arial" w:eastAsia="Arial" w:hAnsi="Arial"/>
                <w:sz w:val="18"/>
                <w:szCs w:val="18"/>
                <w:color w:val="auto"/>
                <w:w w:val="84"/>
              </w:rPr>
              <w:t>71.50</w:t>
            </w:r>
          </w:p>
        </w:tc>
        <w:tc>
          <w:tcPr>
            <w:tcW w:w="6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84"/>
              </w:rPr>
              <w:t>55.60</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872,913</w:t>
            </w:r>
          </w:p>
        </w:tc>
        <w:tc>
          <w:tcPr>
            <w:tcW w:w="6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84"/>
              </w:rPr>
              <w:t>68.43</w:t>
            </w:r>
          </w:p>
        </w:tc>
        <w:tc>
          <w:tcPr>
            <w:tcW w:w="70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84"/>
              </w:rPr>
              <w:t>52.30</w:t>
            </w:r>
          </w:p>
        </w:tc>
        <w:tc>
          <w:tcPr>
            <w:tcW w:w="1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920" w:type="dxa"/>
            <w:vAlign w:val="bottom"/>
            <w:shd w:val="clear" w:color="auto" w:fill="CCEEFF"/>
          </w:tcPr>
          <w:p>
            <w:pPr>
              <w:ind w:left="200"/>
              <w:spacing w:after="0"/>
              <w:rPr>
                <w:sz w:val="20"/>
                <w:szCs w:val="20"/>
                <w:color w:val="auto"/>
              </w:rPr>
            </w:pPr>
            <w:r>
              <w:rPr>
                <w:rFonts w:ascii="Arial" w:cs="Arial" w:eastAsia="Arial" w:hAnsi="Arial"/>
                <w:sz w:val="18"/>
                <w:szCs w:val="18"/>
                <w:color w:val="auto"/>
                <w:w w:val="87"/>
              </w:rPr>
              <w:t>3,870,007</w:t>
            </w:r>
          </w:p>
        </w:tc>
        <w:tc>
          <w:tcPr>
            <w:tcW w:w="160" w:type="dxa"/>
            <w:vAlign w:val="bottom"/>
            <w:shd w:val="clear" w:color="auto" w:fill="CCEEFF"/>
          </w:tcPr>
          <w:p>
            <w:pPr>
              <w:spacing w:after="0"/>
              <w:rPr>
                <w:sz w:val="18"/>
                <w:szCs w:val="18"/>
                <w:color w:val="auto"/>
              </w:rPr>
            </w:pPr>
          </w:p>
        </w:tc>
      </w:tr>
      <w:tr>
        <w:trPr>
          <w:trHeight w:val="430"/>
        </w:trPr>
        <w:tc>
          <w:tcPr>
            <w:tcW w:w="4140" w:type="dxa"/>
            <w:vAlign w:val="bottom"/>
            <w:gridSpan w:val="2"/>
          </w:tcPr>
          <w:p>
            <w:pPr>
              <w:jc w:val="right"/>
              <w:ind w:right="3692"/>
              <w:spacing w:after="0"/>
              <w:rPr>
                <w:sz w:val="20"/>
                <w:szCs w:val="20"/>
                <w:color w:val="auto"/>
              </w:rPr>
            </w:pPr>
            <w:r>
              <w:rPr>
                <w:rFonts w:ascii="Arial" w:cs="Arial" w:eastAsia="Arial" w:hAnsi="Arial"/>
                <w:sz w:val="18"/>
                <w:szCs w:val="18"/>
                <w:i w:val="1"/>
                <w:iCs w:val="1"/>
                <w:color w:val="auto"/>
                <w:w w:val="84"/>
              </w:rPr>
              <w:t>2010</w:t>
            </w:r>
          </w:p>
        </w:tc>
        <w:tc>
          <w:tcPr>
            <w:tcW w:w="5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160" w:type="dxa"/>
            <w:vAlign w:val="bottom"/>
          </w:tcPr>
          <w:p>
            <w:pPr>
              <w:spacing w:after="0"/>
              <w:rPr>
                <w:sz w:val="24"/>
                <w:szCs w:val="24"/>
                <w:color w:val="auto"/>
              </w:rPr>
            </w:pPr>
          </w:p>
        </w:tc>
      </w:tr>
      <w:tr>
        <w:trPr>
          <w:trHeight w:val="218"/>
        </w:trPr>
        <w:tc>
          <w:tcPr>
            <w:tcW w:w="20" w:type="dxa"/>
            <w:vAlign w:val="bottom"/>
          </w:tcPr>
          <w:p>
            <w:pPr>
              <w:spacing w:after="0"/>
              <w:rPr>
                <w:sz w:val="18"/>
                <w:szCs w:val="18"/>
                <w:color w:val="auto"/>
              </w:rPr>
            </w:pPr>
          </w:p>
        </w:tc>
        <w:tc>
          <w:tcPr>
            <w:tcW w:w="4120" w:type="dxa"/>
            <w:vAlign w:val="bottom"/>
            <w:shd w:val="clear" w:color="auto" w:fill="CCEEFF"/>
          </w:tcPr>
          <w:p>
            <w:pPr>
              <w:spacing w:after="0"/>
              <w:rPr>
                <w:sz w:val="20"/>
                <w:szCs w:val="20"/>
                <w:color w:val="auto"/>
              </w:rPr>
            </w:pPr>
            <w:r>
              <w:rPr>
                <w:rFonts w:ascii="Arial" w:cs="Arial" w:eastAsia="Arial" w:hAnsi="Arial"/>
                <w:sz w:val="18"/>
                <w:szCs w:val="18"/>
                <w:color w:val="auto"/>
              </w:rPr>
              <w:t>January</w:t>
            </w:r>
          </w:p>
        </w:tc>
        <w:tc>
          <w:tcPr>
            <w:tcW w:w="540" w:type="dxa"/>
            <w:vAlign w:val="bottom"/>
            <w:shd w:val="clear" w:color="auto" w:fill="CCEEFF"/>
          </w:tcPr>
          <w:p>
            <w:pPr>
              <w:ind w:left="140"/>
              <w:spacing w:after="0"/>
              <w:rPr>
                <w:sz w:val="20"/>
                <w:szCs w:val="20"/>
                <w:color w:val="auto"/>
              </w:rPr>
            </w:pPr>
            <w:r>
              <w:rPr>
                <w:rFonts w:ascii="Arial" w:cs="Arial" w:eastAsia="Arial" w:hAnsi="Arial"/>
                <w:sz w:val="18"/>
                <w:szCs w:val="18"/>
                <w:color w:val="auto"/>
                <w:w w:val="84"/>
              </w:rPr>
              <w:t>63.10</w:t>
            </w:r>
          </w:p>
        </w:tc>
        <w:tc>
          <w:tcPr>
            <w:tcW w:w="6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84"/>
              </w:rPr>
              <w:t>54.05</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730,985</w:t>
            </w:r>
          </w:p>
        </w:tc>
        <w:tc>
          <w:tcPr>
            <w:tcW w:w="6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84"/>
              </w:rPr>
              <w:t>61.15</w:t>
            </w:r>
          </w:p>
        </w:tc>
        <w:tc>
          <w:tcPr>
            <w:tcW w:w="70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84"/>
              </w:rPr>
              <w:t>50.61</w:t>
            </w:r>
          </w:p>
        </w:tc>
        <w:tc>
          <w:tcPr>
            <w:tcW w:w="1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920" w:type="dxa"/>
            <w:vAlign w:val="bottom"/>
            <w:shd w:val="clear" w:color="auto" w:fill="CCEEFF"/>
          </w:tcPr>
          <w:p>
            <w:pPr>
              <w:ind w:left="200"/>
              <w:spacing w:after="0"/>
              <w:rPr>
                <w:sz w:val="20"/>
                <w:szCs w:val="20"/>
                <w:color w:val="auto"/>
              </w:rPr>
            </w:pPr>
            <w:r>
              <w:rPr>
                <w:rFonts w:ascii="Arial" w:cs="Arial" w:eastAsia="Arial" w:hAnsi="Arial"/>
                <w:sz w:val="18"/>
                <w:szCs w:val="18"/>
                <w:color w:val="auto"/>
                <w:w w:val="87"/>
              </w:rPr>
              <w:t>3,060,068</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120" w:type="dxa"/>
            <w:vAlign w:val="bottom"/>
          </w:tcPr>
          <w:p>
            <w:pPr>
              <w:spacing w:after="0"/>
              <w:rPr>
                <w:sz w:val="20"/>
                <w:szCs w:val="20"/>
                <w:color w:val="auto"/>
              </w:rPr>
            </w:pPr>
            <w:r>
              <w:rPr>
                <w:rFonts w:ascii="Arial" w:cs="Arial" w:eastAsia="Arial" w:hAnsi="Arial"/>
                <w:sz w:val="18"/>
                <w:szCs w:val="18"/>
                <w:color w:val="auto"/>
              </w:rPr>
              <w:t>February</w:t>
            </w:r>
          </w:p>
        </w:tc>
        <w:tc>
          <w:tcPr>
            <w:tcW w:w="540" w:type="dxa"/>
            <w:vAlign w:val="bottom"/>
          </w:tcPr>
          <w:p>
            <w:pPr>
              <w:ind w:left="140"/>
              <w:spacing w:after="0"/>
              <w:rPr>
                <w:sz w:val="20"/>
                <w:szCs w:val="20"/>
                <w:color w:val="auto"/>
              </w:rPr>
            </w:pPr>
            <w:r>
              <w:rPr>
                <w:rFonts w:ascii="Arial" w:cs="Arial" w:eastAsia="Arial" w:hAnsi="Arial"/>
                <w:sz w:val="18"/>
                <w:szCs w:val="18"/>
                <w:color w:val="auto"/>
                <w:w w:val="84"/>
              </w:rPr>
              <w:t>64.12</w:t>
            </w:r>
          </w:p>
        </w:tc>
        <w:tc>
          <w:tcPr>
            <w:tcW w:w="680" w:type="dxa"/>
            <w:vAlign w:val="bottom"/>
            <w:gridSpan w:val="2"/>
          </w:tcPr>
          <w:p>
            <w:pPr>
              <w:ind w:left="280"/>
              <w:spacing w:after="0"/>
              <w:rPr>
                <w:sz w:val="20"/>
                <w:szCs w:val="20"/>
                <w:color w:val="auto"/>
              </w:rPr>
            </w:pPr>
            <w:r>
              <w:rPr>
                <w:rFonts w:ascii="Arial" w:cs="Arial" w:eastAsia="Arial" w:hAnsi="Arial"/>
                <w:sz w:val="18"/>
                <w:szCs w:val="18"/>
                <w:color w:val="auto"/>
                <w:w w:val="84"/>
              </w:rPr>
              <w:t>53.16</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731,600</w:t>
            </w:r>
          </w:p>
        </w:tc>
        <w:tc>
          <w:tcPr>
            <w:tcW w:w="680" w:type="dxa"/>
            <w:vAlign w:val="bottom"/>
            <w:gridSpan w:val="2"/>
          </w:tcPr>
          <w:p>
            <w:pPr>
              <w:ind w:left="280"/>
              <w:spacing w:after="0"/>
              <w:rPr>
                <w:sz w:val="20"/>
                <w:szCs w:val="20"/>
                <w:color w:val="auto"/>
              </w:rPr>
            </w:pPr>
            <w:r>
              <w:rPr>
                <w:rFonts w:ascii="Arial" w:cs="Arial" w:eastAsia="Arial" w:hAnsi="Arial"/>
                <w:sz w:val="18"/>
                <w:szCs w:val="18"/>
                <w:color w:val="auto"/>
                <w:w w:val="84"/>
              </w:rPr>
              <w:t>61.53</w:t>
            </w:r>
          </w:p>
        </w:tc>
        <w:tc>
          <w:tcPr>
            <w:tcW w:w="700" w:type="dxa"/>
            <w:vAlign w:val="bottom"/>
            <w:gridSpan w:val="2"/>
          </w:tcPr>
          <w:p>
            <w:pPr>
              <w:ind w:left="300"/>
              <w:spacing w:after="0"/>
              <w:rPr>
                <w:sz w:val="20"/>
                <w:szCs w:val="20"/>
                <w:color w:val="auto"/>
              </w:rPr>
            </w:pPr>
            <w:r>
              <w:rPr>
                <w:rFonts w:ascii="Arial" w:cs="Arial" w:eastAsia="Arial" w:hAnsi="Arial"/>
                <w:sz w:val="18"/>
                <w:szCs w:val="18"/>
                <w:color w:val="auto"/>
                <w:w w:val="84"/>
              </w:rPr>
              <w:t>49.64</w:t>
            </w:r>
          </w:p>
        </w:tc>
        <w:tc>
          <w:tcPr>
            <w:tcW w:w="1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920" w:type="dxa"/>
            <w:vAlign w:val="bottom"/>
          </w:tcPr>
          <w:p>
            <w:pPr>
              <w:ind w:left="200"/>
              <w:spacing w:after="0"/>
              <w:rPr>
                <w:sz w:val="20"/>
                <w:szCs w:val="20"/>
                <w:color w:val="auto"/>
              </w:rPr>
            </w:pPr>
            <w:r>
              <w:rPr>
                <w:rFonts w:ascii="Arial" w:cs="Arial" w:eastAsia="Arial" w:hAnsi="Arial"/>
                <w:sz w:val="18"/>
                <w:szCs w:val="18"/>
                <w:color w:val="auto"/>
                <w:w w:val="87"/>
              </w:rPr>
              <w:t>3,390,753</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120" w:type="dxa"/>
            <w:vAlign w:val="bottom"/>
            <w:shd w:val="clear" w:color="auto" w:fill="CCEEFF"/>
          </w:tcPr>
          <w:p>
            <w:pPr>
              <w:spacing w:after="0"/>
              <w:rPr>
                <w:sz w:val="20"/>
                <w:szCs w:val="20"/>
                <w:color w:val="auto"/>
              </w:rPr>
            </w:pPr>
            <w:r>
              <w:rPr>
                <w:rFonts w:ascii="Arial" w:cs="Arial" w:eastAsia="Arial" w:hAnsi="Arial"/>
                <w:sz w:val="18"/>
                <w:szCs w:val="18"/>
                <w:color w:val="auto"/>
              </w:rPr>
              <w:t>March (to March 22)</w:t>
            </w:r>
          </w:p>
        </w:tc>
        <w:tc>
          <w:tcPr>
            <w:tcW w:w="540" w:type="dxa"/>
            <w:vAlign w:val="bottom"/>
            <w:shd w:val="clear" w:color="auto" w:fill="CCEEFF"/>
          </w:tcPr>
          <w:p>
            <w:pPr>
              <w:ind w:left="140"/>
              <w:spacing w:after="0"/>
              <w:rPr>
                <w:sz w:val="20"/>
                <w:szCs w:val="20"/>
                <w:color w:val="auto"/>
              </w:rPr>
            </w:pPr>
            <w:r>
              <w:rPr>
                <w:rFonts w:ascii="Arial" w:cs="Arial" w:eastAsia="Arial" w:hAnsi="Arial"/>
                <w:sz w:val="18"/>
                <w:szCs w:val="18"/>
                <w:color w:val="auto"/>
                <w:w w:val="84"/>
              </w:rPr>
              <w:t>63.45</w:t>
            </w:r>
          </w:p>
        </w:tc>
        <w:tc>
          <w:tcPr>
            <w:tcW w:w="6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84"/>
              </w:rPr>
              <w:t>57.11</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735,881</w:t>
            </w:r>
          </w:p>
        </w:tc>
        <w:tc>
          <w:tcPr>
            <w:tcW w:w="6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84"/>
              </w:rPr>
              <w:t>61.80</w:t>
            </w:r>
          </w:p>
        </w:tc>
        <w:tc>
          <w:tcPr>
            <w:tcW w:w="70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84"/>
              </w:rPr>
              <w:t>55.84</w:t>
            </w:r>
          </w:p>
        </w:tc>
        <w:tc>
          <w:tcPr>
            <w:tcW w:w="1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920" w:type="dxa"/>
            <w:vAlign w:val="bottom"/>
            <w:shd w:val="clear" w:color="auto" w:fill="CCEEFF"/>
          </w:tcPr>
          <w:p>
            <w:pPr>
              <w:ind w:left="200"/>
              <w:spacing w:after="0"/>
              <w:rPr>
                <w:sz w:val="20"/>
                <w:szCs w:val="20"/>
                <w:color w:val="auto"/>
              </w:rPr>
            </w:pPr>
            <w:r>
              <w:rPr>
                <w:rFonts w:ascii="Arial" w:cs="Arial" w:eastAsia="Arial" w:hAnsi="Arial"/>
                <w:sz w:val="18"/>
                <w:szCs w:val="18"/>
                <w:color w:val="auto"/>
                <w:w w:val="87"/>
              </w:rPr>
              <w:t>2,562,613</w:t>
            </w:r>
          </w:p>
        </w:tc>
        <w:tc>
          <w:tcPr>
            <w:tcW w:w="160" w:type="dxa"/>
            <w:vAlign w:val="bottom"/>
            <w:shd w:val="clear" w:color="auto" w:fill="CCEEFF"/>
          </w:tcPr>
          <w:p>
            <w:pPr>
              <w:spacing w:after="0"/>
              <w:rPr>
                <w:sz w:val="18"/>
                <w:szCs w:val="18"/>
                <w:color w:val="auto"/>
              </w:rPr>
            </w:pPr>
          </w:p>
        </w:tc>
      </w:tr>
    </w:tbl>
    <w:p>
      <w:pPr>
        <w:spacing w:after="0" w:line="208" w:lineRule="exact"/>
        <w:rPr>
          <w:sz w:val="20"/>
          <w:szCs w:val="20"/>
          <w:color w:val="auto"/>
        </w:rPr>
      </w:pPr>
    </w:p>
    <w:p>
      <w:pPr>
        <w:ind w:firstLine="459"/>
        <w:spacing w:after="0" w:line="268" w:lineRule="auto"/>
        <w:rPr>
          <w:sz w:val="20"/>
          <w:szCs w:val="20"/>
          <w:color w:val="auto"/>
        </w:rPr>
      </w:pPr>
      <w:r>
        <w:rPr>
          <w:rFonts w:ascii="Arial" w:cs="Arial" w:eastAsia="Arial" w:hAnsi="Arial"/>
          <w:sz w:val="18"/>
          <w:szCs w:val="18"/>
          <w:color w:val="auto"/>
        </w:rPr>
        <w:t>On March 22, 2010 the closing price of the common shares was C$58.50 on the TSX and $57.49 on the NYSE. The registrar and transfer agent for the common shares is Computershare Trust Company of Canada, Toronto, Ontario.</w:t>
      </w:r>
    </w:p>
    <w:p>
      <w:pPr>
        <w:spacing w:after="0" w:line="186" w:lineRule="exact"/>
        <w:rPr>
          <w:sz w:val="20"/>
          <w:szCs w:val="20"/>
          <w:color w:val="auto"/>
        </w:rPr>
      </w:pPr>
    </w:p>
    <w:p>
      <w:pPr>
        <w:ind w:firstLine="348"/>
        <w:spacing w:after="0" w:line="268" w:lineRule="auto"/>
        <w:rPr>
          <w:sz w:val="20"/>
          <w:szCs w:val="20"/>
          <w:color w:val="auto"/>
        </w:rPr>
      </w:pPr>
      <w:r>
        <w:rPr>
          <w:rFonts w:ascii="Arial" w:cs="Arial" w:eastAsia="Arial" w:hAnsi="Arial"/>
          <w:sz w:val="18"/>
          <w:szCs w:val="18"/>
          <w:color w:val="auto"/>
        </w:rPr>
        <w:t>The following table sets forth the high and low sale prices for the Company's common share purchase warrants (the "Warrants") on the TSX since they began trading on April 30, 2009.</w:t>
      </w:r>
    </w:p>
    <w:p>
      <w:pPr>
        <w:spacing w:after="0" w:line="236"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6620" w:type="dxa"/>
            <w:vAlign w:val="bottom"/>
          </w:tcPr>
          <w:p>
            <w:pPr>
              <w:spacing w:after="0"/>
              <w:rPr>
                <w:sz w:val="14"/>
                <w:szCs w:val="14"/>
                <w:color w:val="auto"/>
              </w:rPr>
            </w:pPr>
          </w:p>
        </w:tc>
        <w:tc>
          <w:tcPr>
            <w:tcW w:w="52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gridSpan w:val="3"/>
          </w:tcPr>
          <w:p>
            <w:pPr>
              <w:ind w:left="200"/>
              <w:spacing w:after="0"/>
              <w:rPr>
                <w:sz w:val="20"/>
                <w:szCs w:val="20"/>
                <w:color w:val="auto"/>
              </w:rPr>
            </w:pPr>
            <w:r>
              <w:rPr>
                <w:rFonts w:ascii="Arial" w:cs="Arial" w:eastAsia="Arial" w:hAnsi="Arial"/>
                <w:sz w:val="14"/>
                <w:szCs w:val="14"/>
                <w:b w:val="1"/>
                <w:bCs w:val="1"/>
                <w:color w:val="auto"/>
                <w:w w:val="92"/>
              </w:rPr>
              <w:t>TSX (C$)</w:t>
            </w:r>
          </w:p>
        </w:tc>
        <w:tc>
          <w:tcPr>
            <w:tcW w:w="90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r>
      <w:tr>
        <w:trPr>
          <w:trHeight w:val="129"/>
        </w:trPr>
        <w:tc>
          <w:tcPr>
            <w:tcW w:w="20" w:type="dxa"/>
            <w:vAlign w:val="bottom"/>
          </w:tcPr>
          <w:p>
            <w:pPr>
              <w:spacing w:after="0"/>
              <w:rPr>
                <w:sz w:val="11"/>
                <w:szCs w:val="11"/>
                <w:color w:val="auto"/>
              </w:rPr>
            </w:pPr>
          </w:p>
        </w:tc>
        <w:tc>
          <w:tcPr>
            <w:tcW w:w="662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900" w:type="dxa"/>
            <w:vAlign w:val="bottom"/>
          </w:tcPr>
          <w:p>
            <w:pPr>
              <w:jc w:val="center"/>
              <w:spacing w:after="0" w:line="129" w:lineRule="exact"/>
              <w:rPr>
                <w:sz w:val="20"/>
                <w:szCs w:val="20"/>
                <w:color w:val="auto"/>
              </w:rPr>
            </w:pPr>
            <w:r>
              <w:rPr>
                <w:rFonts w:ascii="Arial" w:cs="Arial" w:eastAsia="Arial" w:hAnsi="Arial"/>
                <w:sz w:val="14"/>
                <w:szCs w:val="14"/>
                <w:b w:val="1"/>
                <w:bCs w:val="1"/>
                <w:color w:val="auto"/>
                <w:w w:val="88"/>
              </w:rPr>
              <w:t>Average Daily</w:t>
            </w:r>
          </w:p>
        </w:tc>
        <w:tc>
          <w:tcPr>
            <w:tcW w:w="160" w:type="dxa"/>
            <w:vAlign w:val="bottom"/>
          </w:tcPr>
          <w:p>
            <w:pPr>
              <w:spacing w:after="0"/>
              <w:rPr>
                <w:sz w:val="11"/>
                <w:szCs w:val="11"/>
                <w:color w:val="auto"/>
              </w:rPr>
            </w:pPr>
          </w:p>
        </w:tc>
      </w:tr>
      <w:tr>
        <w:trPr>
          <w:trHeight w:val="161"/>
        </w:trPr>
        <w:tc>
          <w:tcPr>
            <w:tcW w:w="20" w:type="dxa"/>
            <w:vAlign w:val="bottom"/>
          </w:tcPr>
          <w:p>
            <w:pPr>
              <w:spacing w:after="0"/>
              <w:rPr>
                <w:sz w:val="14"/>
                <w:szCs w:val="14"/>
                <w:color w:val="auto"/>
              </w:rPr>
            </w:pPr>
          </w:p>
        </w:tc>
        <w:tc>
          <w:tcPr>
            <w:tcW w:w="6620" w:type="dxa"/>
            <w:vAlign w:val="bottom"/>
          </w:tcPr>
          <w:p>
            <w:pPr>
              <w:spacing w:after="0"/>
              <w:rPr>
                <w:sz w:val="14"/>
                <w:szCs w:val="14"/>
                <w:color w:val="auto"/>
              </w:rPr>
            </w:pPr>
          </w:p>
        </w:tc>
        <w:tc>
          <w:tcPr>
            <w:tcW w:w="520" w:type="dxa"/>
            <w:vAlign w:val="bottom"/>
          </w:tcPr>
          <w:p>
            <w:pPr>
              <w:ind w:left="100"/>
              <w:spacing w:after="0"/>
              <w:rPr>
                <w:sz w:val="20"/>
                <w:szCs w:val="20"/>
                <w:color w:val="auto"/>
              </w:rPr>
            </w:pPr>
            <w:r>
              <w:rPr>
                <w:rFonts w:ascii="Arial" w:cs="Arial" w:eastAsia="Arial" w:hAnsi="Arial"/>
                <w:sz w:val="14"/>
                <w:szCs w:val="14"/>
                <w:b w:val="1"/>
                <w:bCs w:val="1"/>
                <w:color w:val="auto"/>
              </w:rPr>
              <w:t>High</w:t>
            </w:r>
          </w:p>
        </w:tc>
        <w:tc>
          <w:tcPr>
            <w:tcW w:w="160" w:type="dxa"/>
            <w:vAlign w:val="bottom"/>
          </w:tcPr>
          <w:p>
            <w:pPr>
              <w:spacing w:after="0"/>
              <w:rPr>
                <w:sz w:val="14"/>
                <w:szCs w:val="14"/>
                <w:color w:val="auto"/>
              </w:rPr>
            </w:pPr>
          </w:p>
        </w:tc>
        <w:tc>
          <w:tcPr>
            <w:tcW w:w="760" w:type="dxa"/>
            <w:vAlign w:val="bottom"/>
            <w:gridSpan w:val="3"/>
          </w:tcPr>
          <w:p>
            <w:pPr>
              <w:ind w:left="140"/>
              <w:spacing w:after="0"/>
              <w:rPr>
                <w:sz w:val="20"/>
                <w:szCs w:val="20"/>
                <w:color w:val="auto"/>
              </w:rPr>
            </w:pPr>
            <w:r>
              <w:rPr>
                <w:rFonts w:ascii="Arial" w:cs="Arial" w:eastAsia="Arial" w:hAnsi="Arial"/>
                <w:sz w:val="14"/>
                <w:szCs w:val="14"/>
                <w:b w:val="1"/>
                <w:bCs w:val="1"/>
                <w:color w:val="auto"/>
              </w:rPr>
              <w:t>Low</w:t>
            </w:r>
          </w:p>
        </w:tc>
        <w:tc>
          <w:tcPr>
            <w:tcW w:w="106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82"/>
              </w:rPr>
              <w:t>Volume</w:t>
            </w:r>
          </w:p>
        </w:tc>
      </w:tr>
      <w:tr>
        <w:trPr>
          <w:trHeight w:val="210"/>
        </w:trPr>
        <w:tc>
          <w:tcPr>
            <w:tcW w:w="20" w:type="dxa"/>
            <w:vAlign w:val="bottom"/>
          </w:tcPr>
          <w:p>
            <w:pPr>
              <w:spacing w:after="0"/>
              <w:rPr>
                <w:sz w:val="18"/>
                <w:szCs w:val="18"/>
                <w:color w:val="auto"/>
              </w:rPr>
            </w:pPr>
          </w:p>
        </w:tc>
        <w:tc>
          <w:tcPr>
            <w:tcW w:w="6620" w:type="dxa"/>
            <w:vAlign w:val="bottom"/>
            <w:shd w:val="clear" w:color="auto" w:fill="CCEEFF"/>
          </w:tcPr>
          <w:p>
            <w:pPr>
              <w:spacing w:after="0"/>
              <w:rPr>
                <w:sz w:val="20"/>
                <w:szCs w:val="20"/>
                <w:color w:val="auto"/>
              </w:rPr>
            </w:pPr>
            <w:r>
              <w:rPr>
                <w:rFonts w:ascii="Arial" w:cs="Arial" w:eastAsia="Arial" w:hAnsi="Arial"/>
                <w:sz w:val="18"/>
                <w:szCs w:val="18"/>
                <w:i w:val="1"/>
                <w:iCs w:val="1"/>
                <w:color w:val="auto"/>
              </w:rPr>
              <w:t>2009</w:t>
            </w:r>
          </w:p>
        </w:tc>
        <w:tc>
          <w:tcPr>
            <w:tcW w:w="52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520" w:type="dxa"/>
            <w:vAlign w:val="bottom"/>
            <w:tcBorders>
              <w:top w:val="single" w:sz="8" w:color="auto"/>
            </w:tcBorders>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0" w:type="dxa"/>
            <w:vAlign w:val="bottom"/>
            <w:tcBorders>
              <w:top w:val="single" w:sz="8" w:color="auto"/>
            </w:tcBorders>
            <w:shd w:val="clear" w:color="auto" w:fill="CCEEFF"/>
          </w:tcPr>
          <w:p>
            <w:pPr>
              <w:spacing w:after="0"/>
              <w:rPr>
                <w:sz w:val="18"/>
                <w:szCs w:val="18"/>
                <w:color w:val="auto"/>
              </w:rPr>
            </w:pPr>
          </w:p>
        </w:tc>
        <w:tc>
          <w:tcPr>
            <w:tcW w:w="90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6620" w:type="dxa"/>
            <w:vAlign w:val="bottom"/>
          </w:tcPr>
          <w:p>
            <w:pPr>
              <w:spacing w:after="0"/>
              <w:rPr>
                <w:sz w:val="20"/>
                <w:szCs w:val="20"/>
                <w:color w:val="auto"/>
              </w:rPr>
            </w:pPr>
            <w:r>
              <w:rPr>
                <w:rFonts w:ascii="Arial" w:cs="Arial" w:eastAsia="Arial" w:hAnsi="Arial"/>
                <w:sz w:val="18"/>
                <w:szCs w:val="18"/>
                <w:color w:val="auto"/>
              </w:rPr>
              <w:t>April</w:t>
            </w:r>
          </w:p>
        </w:tc>
        <w:tc>
          <w:tcPr>
            <w:tcW w:w="520" w:type="dxa"/>
            <w:vAlign w:val="bottom"/>
          </w:tcPr>
          <w:p>
            <w:pPr>
              <w:ind w:left="120"/>
              <w:spacing w:after="0"/>
              <w:rPr>
                <w:sz w:val="20"/>
                <w:szCs w:val="20"/>
                <w:color w:val="auto"/>
              </w:rPr>
            </w:pPr>
            <w:r>
              <w:rPr>
                <w:rFonts w:ascii="Arial" w:cs="Arial" w:eastAsia="Arial" w:hAnsi="Arial"/>
                <w:sz w:val="18"/>
                <w:szCs w:val="18"/>
                <w:color w:val="auto"/>
                <w:w w:val="84"/>
              </w:rPr>
              <w:t>18.00</w:t>
            </w:r>
          </w:p>
        </w:tc>
        <w:tc>
          <w:tcPr>
            <w:tcW w:w="680" w:type="dxa"/>
            <w:vAlign w:val="bottom"/>
            <w:gridSpan w:val="2"/>
          </w:tcPr>
          <w:p>
            <w:pPr>
              <w:ind w:left="280"/>
              <w:spacing w:after="0"/>
              <w:rPr>
                <w:sz w:val="20"/>
                <w:szCs w:val="20"/>
                <w:color w:val="auto"/>
              </w:rPr>
            </w:pPr>
            <w:r>
              <w:rPr>
                <w:rFonts w:ascii="Arial" w:cs="Arial" w:eastAsia="Arial" w:hAnsi="Arial"/>
                <w:sz w:val="18"/>
                <w:szCs w:val="18"/>
                <w:color w:val="auto"/>
                <w:w w:val="84"/>
              </w:rPr>
              <w:t>16.50</w:t>
            </w:r>
          </w:p>
        </w:tc>
        <w:tc>
          <w:tcPr>
            <w:tcW w:w="1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55,531</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6620" w:type="dxa"/>
            <w:vAlign w:val="bottom"/>
            <w:shd w:val="clear" w:color="auto" w:fill="CCEEFF"/>
          </w:tcPr>
          <w:p>
            <w:pPr>
              <w:spacing w:after="0"/>
              <w:rPr>
                <w:sz w:val="20"/>
                <w:szCs w:val="20"/>
                <w:color w:val="auto"/>
              </w:rPr>
            </w:pPr>
            <w:r>
              <w:rPr>
                <w:rFonts w:ascii="Arial" w:cs="Arial" w:eastAsia="Arial" w:hAnsi="Arial"/>
                <w:sz w:val="18"/>
                <w:szCs w:val="18"/>
                <w:color w:val="auto"/>
              </w:rPr>
              <w:t>May</w:t>
            </w:r>
          </w:p>
        </w:tc>
        <w:tc>
          <w:tcPr>
            <w:tcW w:w="520" w:type="dxa"/>
            <w:vAlign w:val="bottom"/>
            <w:shd w:val="clear" w:color="auto" w:fill="CCEEFF"/>
          </w:tcPr>
          <w:p>
            <w:pPr>
              <w:ind w:left="120"/>
              <w:spacing w:after="0"/>
              <w:rPr>
                <w:sz w:val="20"/>
                <w:szCs w:val="20"/>
                <w:color w:val="auto"/>
              </w:rPr>
            </w:pPr>
            <w:r>
              <w:rPr>
                <w:rFonts w:ascii="Arial" w:cs="Arial" w:eastAsia="Arial" w:hAnsi="Arial"/>
                <w:sz w:val="18"/>
                <w:szCs w:val="18"/>
                <w:color w:val="auto"/>
                <w:w w:val="84"/>
              </w:rPr>
              <w:t>27.50</w:t>
            </w:r>
          </w:p>
        </w:tc>
        <w:tc>
          <w:tcPr>
            <w:tcW w:w="6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84"/>
              </w:rPr>
              <w:t>17.00</w:t>
            </w:r>
          </w:p>
        </w:tc>
        <w:tc>
          <w:tcPr>
            <w:tcW w:w="18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12,102</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6620" w:type="dxa"/>
            <w:vAlign w:val="bottom"/>
          </w:tcPr>
          <w:p>
            <w:pPr>
              <w:spacing w:after="0"/>
              <w:rPr>
                <w:sz w:val="20"/>
                <w:szCs w:val="20"/>
                <w:color w:val="auto"/>
              </w:rPr>
            </w:pPr>
            <w:r>
              <w:rPr>
                <w:rFonts w:ascii="Arial" w:cs="Arial" w:eastAsia="Arial" w:hAnsi="Arial"/>
                <w:sz w:val="18"/>
                <w:szCs w:val="18"/>
                <w:color w:val="auto"/>
              </w:rPr>
              <w:t>June</w:t>
            </w:r>
          </w:p>
        </w:tc>
        <w:tc>
          <w:tcPr>
            <w:tcW w:w="520" w:type="dxa"/>
            <w:vAlign w:val="bottom"/>
          </w:tcPr>
          <w:p>
            <w:pPr>
              <w:ind w:left="120"/>
              <w:spacing w:after="0"/>
              <w:rPr>
                <w:sz w:val="20"/>
                <w:szCs w:val="20"/>
                <w:color w:val="auto"/>
              </w:rPr>
            </w:pPr>
            <w:r>
              <w:rPr>
                <w:rFonts w:ascii="Arial" w:cs="Arial" w:eastAsia="Arial" w:hAnsi="Arial"/>
                <w:sz w:val="18"/>
                <w:szCs w:val="18"/>
                <w:color w:val="auto"/>
                <w:w w:val="84"/>
              </w:rPr>
              <w:t>27.00</w:t>
            </w:r>
          </w:p>
        </w:tc>
        <w:tc>
          <w:tcPr>
            <w:tcW w:w="680" w:type="dxa"/>
            <w:vAlign w:val="bottom"/>
            <w:gridSpan w:val="2"/>
          </w:tcPr>
          <w:p>
            <w:pPr>
              <w:ind w:left="280"/>
              <w:spacing w:after="0"/>
              <w:rPr>
                <w:sz w:val="20"/>
                <w:szCs w:val="20"/>
                <w:color w:val="auto"/>
              </w:rPr>
            </w:pPr>
            <w:r>
              <w:rPr>
                <w:rFonts w:ascii="Arial" w:cs="Arial" w:eastAsia="Arial" w:hAnsi="Arial"/>
                <w:sz w:val="18"/>
                <w:szCs w:val="18"/>
                <w:color w:val="auto"/>
                <w:w w:val="84"/>
              </w:rPr>
              <w:t>19.00</w:t>
            </w:r>
          </w:p>
        </w:tc>
        <w:tc>
          <w:tcPr>
            <w:tcW w:w="1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4,349</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6620" w:type="dxa"/>
            <w:vAlign w:val="bottom"/>
            <w:shd w:val="clear" w:color="auto" w:fill="CCEEFF"/>
          </w:tcPr>
          <w:p>
            <w:pPr>
              <w:spacing w:after="0"/>
              <w:rPr>
                <w:sz w:val="20"/>
                <w:szCs w:val="20"/>
                <w:color w:val="auto"/>
              </w:rPr>
            </w:pPr>
            <w:r>
              <w:rPr>
                <w:rFonts w:ascii="Arial" w:cs="Arial" w:eastAsia="Arial" w:hAnsi="Arial"/>
                <w:sz w:val="18"/>
                <w:szCs w:val="18"/>
                <w:color w:val="auto"/>
              </w:rPr>
              <w:t>July</w:t>
            </w:r>
          </w:p>
        </w:tc>
        <w:tc>
          <w:tcPr>
            <w:tcW w:w="520" w:type="dxa"/>
            <w:vAlign w:val="bottom"/>
            <w:shd w:val="clear" w:color="auto" w:fill="CCEEFF"/>
          </w:tcPr>
          <w:p>
            <w:pPr>
              <w:ind w:left="120"/>
              <w:spacing w:after="0"/>
              <w:rPr>
                <w:sz w:val="20"/>
                <w:szCs w:val="20"/>
                <w:color w:val="auto"/>
              </w:rPr>
            </w:pPr>
            <w:r>
              <w:rPr>
                <w:rFonts w:ascii="Arial" w:cs="Arial" w:eastAsia="Arial" w:hAnsi="Arial"/>
                <w:sz w:val="18"/>
                <w:szCs w:val="18"/>
                <w:color w:val="auto"/>
                <w:w w:val="84"/>
              </w:rPr>
              <w:t>25.10</w:t>
            </w:r>
          </w:p>
        </w:tc>
        <w:tc>
          <w:tcPr>
            <w:tcW w:w="6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84"/>
              </w:rPr>
              <w:t>18.50</w:t>
            </w:r>
          </w:p>
        </w:tc>
        <w:tc>
          <w:tcPr>
            <w:tcW w:w="18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18,830</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6620" w:type="dxa"/>
            <w:vAlign w:val="bottom"/>
          </w:tcPr>
          <w:p>
            <w:pPr>
              <w:spacing w:after="0"/>
              <w:rPr>
                <w:sz w:val="20"/>
                <w:szCs w:val="20"/>
                <w:color w:val="auto"/>
              </w:rPr>
            </w:pPr>
            <w:r>
              <w:rPr>
                <w:rFonts w:ascii="Arial" w:cs="Arial" w:eastAsia="Arial" w:hAnsi="Arial"/>
                <w:sz w:val="18"/>
                <w:szCs w:val="18"/>
                <w:color w:val="auto"/>
              </w:rPr>
              <w:t>August</w:t>
            </w:r>
          </w:p>
        </w:tc>
        <w:tc>
          <w:tcPr>
            <w:tcW w:w="520" w:type="dxa"/>
            <w:vAlign w:val="bottom"/>
          </w:tcPr>
          <w:p>
            <w:pPr>
              <w:ind w:left="120"/>
              <w:spacing w:after="0"/>
              <w:rPr>
                <w:sz w:val="20"/>
                <w:szCs w:val="20"/>
                <w:color w:val="auto"/>
              </w:rPr>
            </w:pPr>
            <w:r>
              <w:rPr>
                <w:rFonts w:ascii="Arial" w:cs="Arial" w:eastAsia="Arial" w:hAnsi="Arial"/>
                <w:sz w:val="18"/>
                <w:szCs w:val="18"/>
                <w:color w:val="auto"/>
                <w:w w:val="84"/>
              </w:rPr>
              <w:t>26.00</w:t>
            </w:r>
          </w:p>
        </w:tc>
        <w:tc>
          <w:tcPr>
            <w:tcW w:w="680" w:type="dxa"/>
            <w:vAlign w:val="bottom"/>
            <w:gridSpan w:val="2"/>
          </w:tcPr>
          <w:p>
            <w:pPr>
              <w:ind w:left="280"/>
              <w:spacing w:after="0"/>
              <w:rPr>
                <w:sz w:val="20"/>
                <w:szCs w:val="20"/>
                <w:color w:val="auto"/>
              </w:rPr>
            </w:pPr>
            <w:r>
              <w:rPr>
                <w:rFonts w:ascii="Arial" w:cs="Arial" w:eastAsia="Arial" w:hAnsi="Arial"/>
                <w:sz w:val="18"/>
                <w:szCs w:val="18"/>
                <w:color w:val="auto"/>
                <w:w w:val="84"/>
              </w:rPr>
              <w:t>20.25</w:t>
            </w:r>
          </w:p>
        </w:tc>
        <w:tc>
          <w:tcPr>
            <w:tcW w:w="1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2,598</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6620" w:type="dxa"/>
            <w:vAlign w:val="bottom"/>
            <w:shd w:val="clear" w:color="auto" w:fill="CCEEFF"/>
          </w:tcPr>
          <w:p>
            <w:pPr>
              <w:spacing w:after="0"/>
              <w:rPr>
                <w:sz w:val="20"/>
                <w:szCs w:val="20"/>
                <w:color w:val="auto"/>
              </w:rPr>
            </w:pPr>
            <w:r>
              <w:rPr>
                <w:rFonts w:ascii="Arial" w:cs="Arial" w:eastAsia="Arial" w:hAnsi="Arial"/>
                <w:sz w:val="18"/>
                <w:szCs w:val="18"/>
                <w:color w:val="auto"/>
              </w:rPr>
              <w:t>September</w:t>
            </w:r>
          </w:p>
        </w:tc>
        <w:tc>
          <w:tcPr>
            <w:tcW w:w="520" w:type="dxa"/>
            <w:vAlign w:val="bottom"/>
            <w:shd w:val="clear" w:color="auto" w:fill="CCEEFF"/>
          </w:tcPr>
          <w:p>
            <w:pPr>
              <w:ind w:left="120"/>
              <w:spacing w:after="0"/>
              <w:rPr>
                <w:sz w:val="20"/>
                <w:szCs w:val="20"/>
                <w:color w:val="auto"/>
              </w:rPr>
            </w:pPr>
            <w:r>
              <w:rPr>
                <w:rFonts w:ascii="Arial" w:cs="Arial" w:eastAsia="Arial" w:hAnsi="Arial"/>
                <w:sz w:val="18"/>
                <w:szCs w:val="18"/>
                <w:color w:val="auto"/>
                <w:w w:val="84"/>
              </w:rPr>
              <w:t>34.40</w:t>
            </w:r>
          </w:p>
        </w:tc>
        <w:tc>
          <w:tcPr>
            <w:tcW w:w="6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84"/>
              </w:rPr>
              <w:t>22.00</w:t>
            </w:r>
          </w:p>
        </w:tc>
        <w:tc>
          <w:tcPr>
            <w:tcW w:w="18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12,536</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6620" w:type="dxa"/>
            <w:vAlign w:val="bottom"/>
          </w:tcPr>
          <w:p>
            <w:pPr>
              <w:spacing w:after="0"/>
              <w:rPr>
                <w:sz w:val="20"/>
                <w:szCs w:val="20"/>
                <w:color w:val="auto"/>
              </w:rPr>
            </w:pPr>
            <w:r>
              <w:rPr>
                <w:rFonts w:ascii="Arial" w:cs="Arial" w:eastAsia="Arial" w:hAnsi="Arial"/>
                <w:sz w:val="18"/>
                <w:szCs w:val="18"/>
                <w:color w:val="auto"/>
              </w:rPr>
              <w:t>October</w:t>
            </w:r>
          </w:p>
        </w:tc>
        <w:tc>
          <w:tcPr>
            <w:tcW w:w="520" w:type="dxa"/>
            <w:vAlign w:val="bottom"/>
          </w:tcPr>
          <w:p>
            <w:pPr>
              <w:ind w:left="120"/>
              <w:spacing w:after="0"/>
              <w:rPr>
                <w:sz w:val="20"/>
                <w:szCs w:val="20"/>
                <w:color w:val="auto"/>
              </w:rPr>
            </w:pPr>
            <w:r>
              <w:rPr>
                <w:rFonts w:ascii="Arial" w:cs="Arial" w:eastAsia="Arial" w:hAnsi="Arial"/>
                <w:sz w:val="18"/>
                <w:szCs w:val="18"/>
                <w:color w:val="auto"/>
                <w:w w:val="84"/>
              </w:rPr>
              <w:t>35.01</w:t>
            </w:r>
          </w:p>
        </w:tc>
        <w:tc>
          <w:tcPr>
            <w:tcW w:w="680" w:type="dxa"/>
            <w:vAlign w:val="bottom"/>
            <w:gridSpan w:val="2"/>
          </w:tcPr>
          <w:p>
            <w:pPr>
              <w:ind w:left="280"/>
              <w:spacing w:after="0"/>
              <w:rPr>
                <w:sz w:val="20"/>
                <w:szCs w:val="20"/>
                <w:color w:val="auto"/>
              </w:rPr>
            </w:pPr>
            <w:r>
              <w:rPr>
                <w:rFonts w:ascii="Arial" w:cs="Arial" w:eastAsia="Arial" w:hAnsi="Arial"/>
                <w:sz w:val="18"/>
                <w:szCs w:val="18"/>
                <w:color w:val="auto"/>
                <w:w w:val="84"/>
              </w:rPr>
              <w:t>19.00</w:t>
            </w:r>
          </w:p>
        </w:tc>
        <w:tc>
          <w:tcPr>
            <w:tcW w:w="1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10,814</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6620" w:type="dxa"/>
            <w:vAlign w:val="bottom"/>
            <w:shd w:val="clear" w:color="auto" w:fill="CCEEFF"/>
          </w:tcPr>
          <w:p>
            <w:pPr>
              <w:spacing w:after="0"/>
              <w:rPr>
                <w:sz w:val="20"/>
                <w:szCs w:val="20"/>
                <w:color w:val="auto"/>
              </w:rPr>
            </w:pPr>
            <w:r>
              <w:rPr>
                <w:rFonts w:ascii="Arial" w:cs="Arial" w:eastAsia="Arial" w:hAnsi="Arial"/>
                <w:sz w:val="18"/>
                <w:szCs w:val="18"/>
                <w:color w:val="auto"/>
              </w:rPr>
              <w:t>November</w:t>
            </w:r>
          </w:p>
        </w:tc>
        <w:tc>
          <w:tcPr>
            <w:tcW w:w="520" w:type="dxa"/>
            <w:vAlign w:val="bottom"/>
            <w:shd w:val="clear" w:color="auto" w:fill="CCEEFF"/>
          </w:tcPr>
          <w:p>
            <w:pPr>
              <w:ind w:left="120"/>
              <w:spacing w:after="0"/>
              <w:rPr>
                <w:sz w:val="20"/>
                <w:szCs w:val="20"/>
                <w:color w:val="auto"/>
              </w:rPr>
            </w:pPr>
            <w:r>
              <w:rPr>
                <w:rFonts w:ascii="Arial" w:cs="Arial" w:eastAsia="Arial" w:hAnsi="Arial"/>
                <w:sz w:val="18"/>
                <w:szCs w:val="18"/>
                <w:color w:val="auto"/>
                <w:w w:val="84"/>
              </w:rPr>
              <w:t>29.60</w:t>
            </w:r>
          </w:p>
        </w:tc>
        <w:tc>
          <w:tcPr>
            <w:tcW w:w="6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84"/>
              </w:rPr>
              <w:t>21.01</w:t>
            </w:r>
          </w:p>
        </w:tc>
        <w:tc>
          <w:tcPr>
            <w:tcW w:w="18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3,857</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6620" w:type="dxa"/>
            <w:vAlign w:val="bottom"/>
          </w:tcPr>
          <w:p>
            <w:pPr>
              <w:spacing w:after="0"/>
              <w:rPr>
                <w:sz w:val="20"/>
                <w:szCs w:val="20"/>
                <w:color w:val="auto"/>
              </w:rPr>
            </w:pPr>
            <w:r>
              <w:rPr>
                <w:rFonts w:ascii="Arial" w:cs="Arial" w:eastAsia="Arial" w:hAnsi="Arial"/>
                <w:sz w:val="18"/>
                <w:szCs w:val="18"/>
                <w:color w:val="auto"/>
              </w:rPr>
              <w:t>December</w:t>
            </w:r>
          </w:p>
        </w:tc>
        <w:tc>
          <w:tcPr>
            <w:tcW w:w="520" w:type="dxa"/>
            <w:vAlign w:val="bottom"/>
          </w:tcPr>
          <w:p>
            <w:pPr>
              <w:ind w:left="120"/>
              <w:spacing w:after="0"/>
              <w:rPr>
                <w:sz w:val="20"/>
                <w:szCs w:val="20"/>
                <w:color w:val="auto"/>
              </w:rPr>
            </w:pPr>
            <w:r>
              <w:rPr>
                <w:rFonts w:ascii="Arial" w:cs="Arial" w:eastAsia="Arial" w:hAnsi="Arial"/>
                <w:sz w:val="18"/>
                <w:szCs w:val="18"/>
                <w:color w:val="auto"/>
                <w:w w:val="84"/>
              </w:rPr>
              <w:t>31.23</w:t>
            </w:r>
          </w:p>
        </w:tc>
        <w:tc>
          <w:tcPr>
            <w:tcW w:w="680" w:type="dxa"/>
            <w:vAlign w:val="bottom"/>
            <w:gridSpan w:val="2"/>
          </w:tcPr>
          <w:p>
            <w:pPr>
              <w:ind w:left="280"/>
              <w:spacing w:after="0"/>
              <w:rPr>
                <w:sz w:val="20"/>
                <w:szCs w:val="20"/>
                <w:color w:val="auto"/>
              </w:rPr>
            </w:pPr>
            <w:r>
              <w:rPr>
                <w:rFonts w:ascii="Arial" w:cs="Arial" w:eastAsia="Arial" w:hAnsi="Arial"/>
                <w:sz w:val="18"/>
                <w:szCs w:val="18"/>
                <w:color w:val="auto"/>
                <w:w w:val="84"/>
              </w:rPr>
              <w:t>19.90</w:t>
            </w:r>
          </w:p>
        </w:tc>
        <w:tc>
          <w:tcPr>
            <w:tcW w:w="1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3,992</w:t>
            </w:r>
          </w:p>
        </w:tc>
        <w:tc>
          <w:tcPr>
            <w:tcW w:w="160" w:type="dxa"/>
            <w:vAlign w:val="bottom"/>
          </w:tcPr>
          <w:p>
            <w:pPr>
              <w:spacing w:after="0"/>
              <w:rPr>
                <w:sz w:val="18"/>
                <w:szCs w:val="18"/>
                <w:color w:val="auto"/>
              </w:rPr>
            </w:pPr>
          </w:p>
        </w:tc>
      </w:tr>
      <w:tr>
        <w:trPr>
          <w:trHeight w:val="432"/>
        </w:trPr>
        <w:tc>
          <w:tcPr>
            <w:tcW w:w="20" w:type="dxa"/>
            <w:vAlign w:val="bottom"/>
          </w:tcPr>
          <w:p>
            <w:pPr>
              <w:spacing w:after="0"/>
              <w:rPr>
                <w:sz w:val="24"/>
                <w:szCs w:val="24"/>
                <w:color w:val="auto"/>
              </w:rPr>
            </w:pPr>
          </w:p>
        </w:tc>
        <w:tc>
          <w:tcPr>
            <w:tcW w:w="6620" w:type="dxa"/>
            <w:vAlign w:val="bottom"/>
            <w:shd w:val="clear" w:color="auto" w:fill="CCEEFF"/>
          </w:tcPr>
          <w:p>
            <w:pPr>
              <w:spacing w:after="0"/>
              <w:rPr>
                <w:sz w:val="20"/>
                <w:szCs w:val="20"/>
                <w:color w:val="auto"/>
              </w:rPr>
            </w:pPr>
            <w:r>
              <w:rPr>
                <w:rFonts w:ascii="Arial" w:cs="Arial" w:eastAsia="Arial" w:hAnsi="Arial"/>
                <w:sz w:val="18"/>
                <w:szCs w:val="18"/>
                <w:i w:val="1"/>
                <w:iCs w:val="1"/>
                <w:color w:val="auto"/>
              </w:rPr>
              <w:t>2010</w:t>
            </w:r>
          </w:p>
        </w:tc>
        <w:tc>
          <w:tcPr>
            <w:tcW w:w="52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52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90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r>
      <w:tr>
        <w:trPr>
          <w:trHeight w:val="216"/>
        </w:trPr>
        <w:tc>
          <w:tcPr>
            <w:tcW w:w="20" w:type="dxa"/>
            <w:vAlign w:val="bottom"/>
          </w:tcPr>
          <w:p>
            <w:pPr>
              <w:spacing w:after="0"/>
              <w:rPr>
                <w:sz w:val="18"/>
                <w:szCs w:val="18"/>
                <w:color w:val="auto"/>
              </w:rPr>
            </w:pPr>
          </w:p>
        </w:tc>
        <w:tc>
          <w:tcPr>
            <w:tcW w:w="6620" w:type="dxa"/>
            <w:vAlign w:val="bottom"/>
          </w:tcPr>
          <w:p>
            <w:pPr>
              <w:spacing w:after="0"/>
              <w:rPr>
                <w:sz w:val="20"/>
                <w:szCs w:val="20"/>
                <w:color w:val="auto"/>
              </w:rPr>
            </w:pPr>
            <w:r>
              <w:rPr>
                <w:rFonts w:ascii="Arial" w:cs="Arial" w:eastAsia="Arial" w:hAnsi="Arial"/>
                <w:sz w:val="18"/>
                <w:szCs w:val="18"/>
                <w:color w:val="auto"/>
              </w:rPr>
              <w:t>January</w:t>
            </w:r>
          </w:p>
        </w:tc>
        <w:tc>
          <w:tcPr>
            <w:tcW w:w="520" w:type="dxa"/>
            <w:vAlign w:val="bottom"/>
          </w:tcPr>
          <w:p>
            <w:pPr>
              <w:ind w:left="120"/>
              <w:spacing w:after="0"/>
              <w:rPr>
                <w:sz w:val="20"/>
                <w:szCs w:val="20"/>
                <w:color w:val="auto"/>
              </w:rPr>
            </w:pPr>
            <w:r>
              <w:rPr>
                <w:rFonts w:ascii="Arial" w:cs="Arial" w:eastAsia="Arial" w:hAnsi="Arial"/>
                <w:sz w:val="18"/>
                <w:szCs w:val="18"/>
                <w:color w:val="auto"/>
                <w:w w:val="84"/>
              </w:rPr>
              <w:t>25.50</w:t>
            </w:r>
          </w:p>
        </w:tc>
        <w:tc>
          <w:tcPr>
            <w:tcW w:w="680" w:type="dxa"/>
            <w:vAlign w:val="bottom"/>
            <w:gridSpan w:val="2"/>
          </w:tcPr>
          <w:p>
            <w:pPr>
              <w:ind w:left="280"/>
              <w:spacing w:after="0"/>
              <w:rPr>
                <w:sz w:val="20"/>
                <w:szCs w:val="20"/>
                <w:color w:val="auto"/>
              </w:rPr>
            </w:pPr>
            <w:r>
              <w:rPr>
                <w:rFonts w:ascii="Arial" w:cs="Arial" w:eastAsia="Arial" w:hAnsi="Arial"/>
                <w:sz w:val="18"/>
                <w:szCs w:val="18"/>
                <w:color w:val="auto"/>
                <w:w w:val="84"/>
              </w:rPr>
              <w:t>18.50</w:t>
            </w:r>
          </w:p>
        </w:tc>
        <w:tc>
          <w:tcPr>
            <w:tcW w:w="1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1,957</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6620" w:type="dxa"/>
            <w:vAlign w:val="bottom"/>
            <w:shd w:val="clear" w:color="auto" w:fill="CCEEFF"/>
          </w:tcPr>
          <w:p>
            <w:pPr>
              <w:spacing w:after="0"/>
              <w:rPr>
                <w:sz w:val="20"/>
                <w:szCs w:val="20"/>
                <w:color w:val="auto"/>
              </w:rPr>
            </w:pPr>
            <w:r>
              <w:rPr>
                <w:rFonts w:ascii="Arial" w:cs="Arial" w:eastAsia="Arial" w:hAnsi="Arial"/>
                <w:sz w:val="18"/>
                <w:szCs w:val="18"/>
                <w:color w:val="auto"/>
              </w:rPr>
              <w:t>February</w:t>
            </w:r>
          </w:p>
        </w:tc>
        <w:tc>
          <w:tcPr>
            <w:tcW w:w="520" w:type="dxa"/>
            <w:vAlign w:val="bottom"/>
            <w:shd w:val="clear" w:color="auto" w:fill="CCEEFF"/>
          </w:tcPr>
          <w:p>
            <w:pPr>
              <w:ind w:left="120"/>
              <w:spacing w:after="0"/>
              <w:rPr>
                <w:sz w:val="20"/>
                <w:szCs w:val="20"/>
                <w:color w:val="auto"/>
              </w:rPr>
            </w:pPr>
            <w:r>
              <w:rPr>
                <w:rFonts w:ascii="Arial" w:cs="Arial" w:eastAsia="Arial" w:hAnsi="Arial"/>
                <w:sz w:val="18"/>
                <w:szCs w:val="18"/>
                <w:color w:val="auto"/>
                <w:w w:val="84"/>
              </w:rPr>
              <w:t>25.65</w:t>
            </w:r>
          </w:p>
        </w:tc>
        <w:tc>
          <w:tcPr>
            <w:tcW w:w="6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w w:val="84"/>
              </w:rPr>
              <w:t>18.03</w:t>
            </w:r>
          </w:p>
        </w:tc>
        <w:tc>
          <w:tcPr>
            <w:tcW w:w="18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3,336</w:t>
            </w:r>
          </w:p>
        </w:tc>
        <w:tc>
          <w:tcPr>
            <w:tcW w:w="160" w:type="dxa"/>
            <w:vAlign w:val="bottom"/>
            <w:shd w:val="clear" w:color="auto" w:fill="CCEEFF"/>
          </w:tcPr>
          <w:p>
            <w:pPr>
              <w:spacing w:after="0"/>
              <w:rPr>
                <w:sz w:val="18"/>
                <w:szCs w:val="18"/>
                <w:color w:val="auto"/>
              </w:rPr>
            </w:pPr>
          </w:p>
        </w:tc>
      </w:tr>
      <w:tr>
        <w:trPr>
          <w:trHeight w:val="222"/>
        </w:trPr>
        <w:tc>
          <w:tcPr>
            <w:tcW w:w="20" w:type="dxa"/>
            <w:vAlign w:val="bottom"/>
          </w:tcPr>
          <w:p>
            <w:pPr>
              <w:spacing w:after="0"/>
              <w:rPr>
                <w:sz w:val="19"/>
                <w:szCs w:val="19"/>
                <w:color w:val="auto"/>
              </w:rPr>
            </w:pPr>
          </w:p>
        </w:tc>
        <w:tc>
          <w:tcPr>
            <w:tcW w:w="6620" w:type="dxa"/>
            <w:vAlign w:val="bottom"/>
          </w:tcPr>
          <w:p>
            <w:pPr>
              <w:spacing w:after="0"/>
              <w:rPr>
                <w:sz w:val="20"/>
                <w:szCs w:val="20"/>
                <w:color w:val="auto"/>
              </w:rPr>
            </w:pPr>
            <w:r>
              <w:rPr>
                <w:rFonts w:ascii="Arial" w:cs="Arial" w:eastAsia="Arial" w:hAnsi="Arial"/>
                <w:sz w:val="18"/>
                <w:szCs w:val="18"/>
                <w:color w:val="auto"/>
              </w:rPr>
              <w:t>March (to March 22)</w:t>
            </w:r>
          </w:p>
        </w:tc>
        <w:tc>
          <w:tcPr>
            <w:tcW w:w="520" w:type="dxa"/>
            <w:vAlign w:val="bottom"/>
          </w:tcPr>
          <w:p>
            <w:pPr>
              <w:ind w:left="120"/>
              <w:spacing w:after="0"/>
              <w:rPr>
                <w:sz w:val="20"/>
                <w:szCs w:val="20"/>
                <w:color w:val="auto"/>
              </w:rPr>
            </w:pPr>
            <w:r>
              <w:rPr>
                <w:rFonts w:ascii="Arial" w:cs="Arial" w:eastAsia="Arial" w:hAnsi="Arial"/>
                <w:sz w:val="18"/>
                <w:szCs w:val="18"/>
                <w:color w:val="auto"/>
                <w:w w:val="84"/>
              </w:rPr>
              <w:t>26.22</w:t>
            </w:r>
          </w:p>
        </w:tc>
        <w:tc>
          <w:tcPr>
            <w:tcW w:w="680" w:type="dxa"/>
            <w:vAlign w:val="bottom"/>
            <w:gridSpan w:val="2"/>
          </w:tcPr>
          <w:p>
            <w:pPr>
              <w:ind w:left="280"/>
              <w:spacing w:after="0"/>
              <w:rPr>
                <w:sz w:val="20"/>
                <w:szCs w:val="20"/>
                <w:color w:val="auto"/>
              </w:rPr>
            </w:pPr>
            <w:r>
              <w:rPr>
                <w:rFonts w:ascii="Arial" w:cs="Arial" w:eastAsia="Arial" w:hAnsi="Arial"/>
                <w:sz w:val="18"/>
                <w:szCs w:val="18"/>
                <w:color w:val="auto"/>
                <w:w w:val="84"/>
              </w:rPr>
              <w:t>22.22</w:t>
            </w:r>
          </w:p>
        </w:tc>
        <w:tc>
          <w:tcPr>
            <w:tcW w:w="18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1,370</w:t>
            </w:r>
          </w:p>
        </w:tc>
        <w:tc>
          <w:tcPr>
            <w:tcW w:w="160" w:type="dxa"/>
            <w:vAlign w:val="bottom"/>
          </w:tcPr>
          <w:p>
            <w:pPr>
              <w:spacing w:after="0"/>
              <w:rPr>
                <w:sz w:val="19"/>
                <w:szCs w:val="19"/>
                <w:color w:val="auto"/>
              </w:rPr>
            </w:pPr>
          </w:p>
        </w:tc>
      </w:tr>
    </w:tbl>
    <w:p>
      <w:pPr>
        <w:spacing w:after="0" w:line="201" w:lineRule="exact"/>
        <w:rPr>
          <w:sz w:val="20"/>
          <w:szCs w:val="20"/>
          <w:color w:val="auto"/>
        </w:rPr>
      </w:pPr>
    </w:p>
    <w:p>
      <w:pPr>
        <w:ind w:firstLine="462"/>
        <w:spacing w:after="0" w:line="268" w:lineRule="auto"/>
        <w:rPr>
          <w:sz w:val="20"/>
          <w:szCs w:val="20"/>
          <w:color w:val="auto"/>
        </w:rPr>
      </w:pPr>
      <w:r>
        <w:rPr>
          <w:rFonts w:ascii="Arial" w:cs="Arial" w:eastAsia="Arial" w:hAnsi="Arial"/>
          <w:sz w:val="18"/>
          <w:szCs w:val="18"/>
          <w:color w:val="auto"/>
        </w:rPr>
        <w:t>On March 22, 2010, the closing price of the Warrants was $23.00 on the TSX. The registrar and transfer agent for the Warrants is Computershare Trust Company of Canada, Toronto, Ontario.</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67" w:name="page168"/>
    <w:bookmarkEnd w:id="167"/>
    <w:p>
      <w:pPr>
        <w:spacing w:after="0"/>
        <w:tabs>
          <w:tab w:leader="none" w:pos="840" w:val="left"/>
        </w:tabs>
        <w:rPr>
          <w:sz w:val="20"/>
          <w:szCs w:val="20"/>
          <w:color w:val="auto"/>
        </w:rPr>
      </w:pPr>
      <w:r>
        <w:rPr>
          <w:rFonts w:ascii="Arial" w:cs="Arial" w:eastAsia="Arial" w:hAnsi="Arial"/>
          <w:sz w:val="18"/>
          <w:szCs w:val="18"/>
          <w:b w:val="1"/>
          <w:bCs w:val="1"/>
          <w:color w:val="auto"/>
        </w:rPr>
        <w:t>ITEM 10</w:t>
        <w:tab/>
        <w:t>ADDITIONAL INFORMATION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Memorandum and Articles of Incorporation</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Articles of Amendment</w:t>
      </w:r>
    </w:p>
    <w:p>
      <w:pPr>
        <w:spacing w:after="0" w:line="225" w:lineRule="exact"/>
        <w:rPr>
          <w:sz w:val="20"/>
          <w:szCs w:val="20"/>
          <w:color w:val="auto"/>
        </w:rPr>
      </w:pPr>
    </w:p>
    <w:p>
      <w:pPr>
        <w:jc w:val="both"/>
        <w:ind w:right="20" w:firstLine="460"/>
        <w:spacing w:after="0" w:line="268" w:lineRule="auto"/>
        <w:rPr>
          <w:sz w:val="20"/>
          <w:szCs w:val="20"/>
          <w:color w:val="auto"/>
        </w:rPr>
      </w:pPr>
      <w:r>
        <w:rPr>
          <w:rFonts w:ascii="Arial" w:cs="Arial" w:eastAsia="Arial" w:hAnsi="Arial"/>
          <w:sz w:val="18"/>
          <w:szCs w:val="18"/>
          <w:color w:val="auto"/>
        </w:rPr>
        <w:t>The Company's articles of incorporation do not place any restrictions on the Company's objects and purposes. For more information, see the Articles of Amendment filed as Exhibit 1.01 to this Form 20-F.</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Certain Powers of Directors</w:t>
      </w:r>
    </w:p>
    <w:p>
      <w:pPr>
        <w:spacing w:after="0" w:line="225" w:lineRule="exact"/>
        <w:rPr>
          <w:sz w:val="20"/>
          <w:szCs w:val="20"/>
          <w:color w:val="auto"/>
        </w:rPr>
      </w:pPr>
    </w:p>
    <w:p>
      <w:pPr>
        <w:jc w:val="both"/>
        <w:ind w:firstLine="432"/>
        <w:spacing w:after="0" w:line="289" w:lineRule="auto"/>
        <w:rPr>
          <w:sz w:val="20"/>
          <w:szCs w:val="20"/>
          <w:color w:val="auto"/>
        </w:rPr>
      </w:pPr>
      <w:r>
        <w:rPr>
          <w:rFonts w:ascii="Arial" w:cs="Arial" w:eastAsia="Arial" w:hAnsi="Arial"/>
          <w:sz w:val="16"/>
          <w:szCs w:val="16"/>
          <w:color w:val="auto"/>
        </w:rPr>
        <w:t xml:space="preserve">The </w:t>
      </w:r>
      <w:r>
        <w:rPr>
          <w:rFonts w:ascii="Arial" w:cs="Arial" w:eastAsia="Arial" w:hAnsi="Arial"/>
          <w:sz w:val="16"/>
          <w:szCs w:val="16"/>
          <w:i w:val="1"/>
          <w:iCs w:val="1"/>
          <w:color w:val="auto"/>
        </w:rPr>
        <w:t>Business Corporations Act</w:t>
      </w:r>
      <w:r>
        <w:rPr>
          <w:rFonts w:ascii="Arial" w:cs="Arial" w:eastAsia="Arial" w:hAnsi="Arial"/>
          <w:sz w:val="16"/>
          <w:szCs w:val="16"/>
          <w:color w:val="auto"/>
        </w:rPr>
        <w:t xml:space="preserve"> (Ontario) (the "OBCA") requires that every director who is a party to, or who is a director or officer of, or has a material interest in, any person who is a party to, a material contract or transaction or a proposed material contract or transaction with the Company, must disclose in writing to the Company or request to have entered in the minutes of the meetings of directors the nature and extent of his or her interest, and must refrain from attending any part of a meeting of directors during which the contract or transaction is discussed and from voting in respect of the contract or transaction unless the contract or transaction is: (a) one relating primarily to his or her remuneration as a director of the corporation or an affiliate; (b) one for indemnity of or insurance for directors as contemplated under the OBCA; or (c) one with an affiliate. However, a director who is prohibited by the OBCA from voting on a material contract or proposed material contract may be counted in determining whether a quorum is present for the purpose of the resolution, if the director disclosed his or her interest in accordance with the OBCA and the contract or transaction was reasonable and fair to the corporation at the time it was approved.</w:t>
      </w:r>
    </w:p>
    <w:p>
      <w:pPr>
        <w:spacing w:after="0" w:line="172" w:lineRule="exact"/>
        <w:rPr>
          <w:sz w:val="20"/>
          <w:szCs w:val="20"/>
          <w:color w:val="auto"/>
        </w:rPr>
      </w:pPr>
    </w:p>
    <w:p>
      <w:pPr>
        <w:jc w:val="both"/>
        <w:ind w:firstLine="357"/>
        <w:spacing w:after="0" w:line="298" w:lineRule="auto"/>
        <w:rPr>
          <w:sz w:val="20"/>
          <w:szCs w:val="20"/>
          <w:color w:val="auto"/>
        </w:rPr>
      </w:pPr>
      <w:r>
        <w:rPr>
          <w:rFonts w:ascii="Arial" w:cs="Arial" w:eastAsia="Arial" w:hAnsi="Arial"/>
          <w:sz w:val="16"/>
          <w:szCs w:val="16"/>
          <w:color w:val="auto"/>
        </w:rPr>
        <w:t>The Company's by-laws provide that the Board will from time to time determine the remuneration to be paid to the directors, which will be in addition to the salary paid to any officer or employee of the Company who is also a director. The directors may also, by resolution, award special remuneration to any director for undertaking any special services on the Company's behalf, other than the normal work ordinarily required of a director of the Company. The by-laws provide that confirmation of any such resolution by the Company's shareholders is not required.</w:t>
      </w:r>
    </w:p>
    <w:p>
      <w:pPr>
        <w:spacing w:after="0" w:line="167" w:lineRule="exact"/>
        <w:rPr>
          <w:sz w:val="20"/>
          <w:szCs w:val="20"/>
          <w:color w:val="auto"/>
        </w:rPr>
      </w:pPr>
    </w:p>
    <w:p>
      <w:pPr>
        <w:jc w:val="both"/>
        <w:ind w:firstLine="459"/>
        <w:spacing w:after="0" w:line="291" w:lineRule="auto"/>
        <w:rPr>
          <w:sz w:val="20"/>
          <w:szCs w:val="20"/>
          <w:color w:val="auto"/>
        </w:rPr>
      </w:pPr>
      <w:r>
        <w:rPr>
          <w:rFonts w:ascii="Arial" w:cs="Arial" w:eastAsia="Arial" w:hAnsi="Arial"/>
          <w:sz w:val="16"/>
          <w:szCs w:val="16"/>
          <w:color w:val="auto"/>
        </w:rPr>
        <w:t>The Company's by-laws also provide that the directors may: (a) borrow money upon the credit of the Company; (b) issue, reissue, sell or pledge bonds, debentures, notes or other evidences of indebtedness or guarantee of the Company, whether secured or unsecured; (c) to the extent permitted by the OBCA, give directly or indirectly financial assistance to any person by means of a loan, a guarantee on behalf of the Company to secure performance of any present or future indebtedness, liability or other obligation of any person, or otherwise; and (d) mortgage, hypothecate, pledge or otherwise create a security interest in all or any currently owned or subsequently acquired real or personal, movable or immovable, tangible or intangible property of the Company to secure any such bonds, debentures, notes or other evidences of indebtedness or guarantee or any other present or future indebtedness, liability or other obligation of the Company.</w:t>
      </w:r>
    </w:p>
    <w:p>
      <w:pPr>
        <w:spacing w:after="0" w:line="174" w:lineRule="exact"/>
        <w:rPr>
          <w:sz w:val="20"/>
          <w:szCs w:val="20"/>
          <w:color w:val="auto"/>
        </w:rPr>
      </w:pPr>
    </w:p>
    <w:p>
      <w:pPr>
        <w:jc w:val="both"/>
        <w:ind w:firstLine="449"/>
        <w:spacing w:after="0" w:line="259" w:lineRule="auto"/>
        <w:rPr>
          <w:sz w:val="20"/>
          <w:szCs w:val="20"/>
          <w:color w:val="auto"/>
        </w:rPr>
      </w:pPr>
      <w:r>
        <w:rPr>
          <w:rFonts w:ascii="Arial" w:cs="Arial" w:eastAsia="Arial" w:hAnsi="Arial"/>
          <w:sz w:val="18"/>
          <w:szCs w:val="18"/>
          <w:color w:val="auto"/>
        </w:rPr>
        <w:t>The directors may, by resolution, amend or repeal any by-laws that regulate the business or affairs of the Company. The OBCA requires the directors to submit any such amendment or repeal to the Company's shareholders at the next meeting of shareholders, and the shareholders may confirm, reject or amend the amendment or repeal.</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Retirement of Directors</w:t>
      </w:r>
    </w:p>
    <w:p>
      <w:pPr>
        <w:spacing w:after="0" w:line="225" w:lineRule="exact"/>
        <w:rPr>
          <w:sz w:val="20"/>
          <w:szCs w:val="20"/>
          <w:color w:val="auto"/>
        </w:rPr>
      </w:pPr>
    </w:p>
    <w:p>
      <w:pPr>
        <w:jc w:val="both"/>
        <w:ind w:firstLine="405"/>
        <w:spacing w:after="0" w:line="298" w:lineRule="auto"/>
        <w:rPr>
          <w:sz w:val="20"/>
          <w:szCs w:val="20"/>
          <w:color w:val="auto"/>
        </w:rPr>
      </w:pPr>
      <w:r>
        <w:rPr>
          <w:rFonts w:ascii="Arial" w:cs="Arial" w:eastAsia="Arial" w:hAnsi="Arial"/>
          <w:sz w:val="16"/>
          <w:szCs w:val="16"/>
          <w:color w:val="auto"/>
        </w:rPr>
        <w:t>Effective as of February 21, 2007, the Board discontinued the mandatory retirement policy for directors based solely on age. Due in part to the Company's practice of conducting annual Board, Committee and individual director evaluations, the Board approved and adopted a resignation policy primarily based on directors' performance, commitment, skills and experience. As set out in greater detail under "Item 6 Directors, Senior Management and Employees — Board Practices — Assessment of Directors", each director's performance is evaluated annually.</w:t>
      </w:r>
    </w:p>
    <w:p>
      <w:pPr>
        <w:spacing w:after="0" w:line="1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85" w:right="239" w:bottom="1440" w:gutter="0" w:footer="0" w:header="0"/>
        </w:sectPr>
      </w:pPr>
    </w:p>
    <w:bookmarkStart w:id="168" w:name="page169"/>
    <w:bookmarkEnd w:id="168"/>
    <w:p>
      <w:pPr>
        <w:spacing w:after="0"/>
        <w:rPr>
          <w:sz w:val="20"/>
          <w:szCs w:val="20"/>
          <w:color w:val="auto"/>
        </w:rPr>
      </w:pPr>
      <w:r>
        <w:rPr>
          <w:rFonts w:ascii="Arial" w:cs="Arial" w:eastAsia="Arial" w:hAnsi="Arial"/>
          <w:sz w:val="18"/>
          <w:szCs w:val="18"/>
          <w:b w:val="1"/>
          <w:bCs w:val="1"/>
          <w:i w:val="1"/>
          <w:iCs w:val="1"/>
          <w:color w:val="auto"/>
        </w:rPr>
        <w:t>Directors' Share Ownership</w:t>
      </w:r>
    </w:p>
    <w:p>
      <w:pPr>
        <w:spacing w:after="0" w:line="225" w:lineRule="exact"/>
        <w:rPr>
          <w:sz w:val="20"/>
          <w:szCs w:val="20"/>
          <w:color w:val="auto"/>
        </w:rPr>
      </w:pPr>
    </w:p>
    <w:p>
      <w:pPr>
        <w:jc w:val="both"/>
        <w:ind w:right="20" w:firstLine="404"/>
        <w:spacing w:after="0" w:line="259" w:lineRule="auto"/>
        <w:rPr>
          <w:sz w:val="20"/>
          <w:szCs w:val="20"/>
          <w:color w:val="auto"/>
        </w:rPr>
      </w:pPr>
      <w:r>
        <w:rPr>
          <w:rFonts w:ascii="Arial" w:cs="Arial" w:eastAsia="Arial" w:hAnsi="Arial"/>
          <w:sz w:val="18"/>
          <w:szCs w:val="18"/>
          <w:color w:val="auto"/>
        </w:rPr>
        <w:t>Directors, other than Mr. Boyd, Mr. Scherkus and Mr. Garofalo, are required to own the equivalent of at least three years of their annual retainer fee in the Company's stock. Directors have a period of three years to achieve this ownership level either through open market purchases or through participation in the Employee Share Purchase Plan.</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Meetings of Shareholders</w:t>
      </w:r>
    </w:p>
    <w:p>
      <w:pPr>
        <w:spacing w:after="0" w:line="225" w:lineRule="exact"/>
        <w:rPr>
          <w:sz w:val="20"/>
          <w:szCs w:val="20"/>
          <w:color w:val="auto"/>
        </w:rPr>
      </w:pPr>
    </w:p>
    <w:p>
      <w:pPr>
        <w:jc w:val="both"/>
        <w:ind w:firstLine="473"/>
        <w:spacing w:after="0" w:line="288" w:lineRule="auto"/>
        <w:rPr>
          <w:sz w:val="20"/>
          <w:szCs w:val="20"/>
          <w:color w:val="auto"/>
        </w:rPr>
      </w:pPr>
      <w:r>
        <w:rPr>
          <w:rFonts w:ascii="Arial" w:cs="Arial" w:eastAsia="Arial" w:hAnsi="Arial"/>
          <w:sz w:val="16"/>
          <w:szCs w:val="16"/>
          <w:color w:val="auto"/>
        </w:rPr>
        <w:t>The OBCA requires the Company to call an annual shareholders' meeting not later than 15 months after holding the last preceding annual meeting and permits the Company to call a special shareholders' meeting at any time. In addition, in accordance with the OBCA, the holders of not less than 5% of the Company's shares carrying the right to vote at a meeting sought to be held may requisition the directors to call a special shareholders' meeting for the purposes stated in the requisition. The Company is required to mail a notice of meeting and management information circular to registered shareholders not less than 21 days and not more than 50 days prior to the date of any annual or special shareholders' meeting. These materials are also filed with Canadian securities regulatory authorities and furnished to the SEC. The Company's by-laws provide that a quorum of two shareholders in person or represented by proxy holding or representing by proxy at least 25% of the Company's issued shares carrying the right to vote at the meeting is required to transact business at a shareholders' meeting. Shareholders, and their duly appointed proxies and corporate representatives, as well as the Company's auditors, are entitled to be admitted to the Company's annual and special shareholders' meetings.</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Authorized Capital</w:t>
      </w:r>
    </w:p>
    <w:p>
      <w:pPr>
        <w:spacing w:after="0" w:line="225" w:lineRule="exact"/>
        <w:rPr>
          <w:sz w:val="20"/>
          <w:szCs w:val="20"/>
          <w:color w:val="auto"/>
        </w:rPr>
      </w:pPr>
    </w:p>
    <w:p>
      <w:pPr>
        <w:jc w:val="both"/>
        <w:ind w:firstLine="407"/>
        <w:spacing w:after="0" w:line="306" w:lineRule="auto"/>
        <w:rPr>
          <w:sz w:val="20"/>
          <w:szCs w:val="20"/>
          <w:color w:val="auto"/>
        </w:rPr>
      </w:pPr>
      <w:r>
        <w:rPr>
          <w:rFonts w:ascii="Arial" w:cs="Arial" w:eastAsia="Arial" w:hAnsi="Arial"/>
          <w:sz w:val="16"/>
          <w:szCs w:val="16"/>
          <w:color w:val="auto"/>
        </w:rPr>
        <w:t>The Company's authorized capital consists of an unlimited number of shares of one class designated as common shares. The Company may not create any class or series of shares or make any modification to the provisions attaching to the Company's common shares without the affirmative vote of two-thirds of the votes cast by the holders of the common shares. The Company's common shares do not have pre-emptive rights to purchase additional shares.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Majority Voting Policy</w:t>
      </w:r>
    </w:p>
    <w:p>
      <w:pPr>
        <w:spacing w:after="0" w:line="225" w:lineRule="exact"/>
        <w:rPr>
          <w:sz w:val="20"/>
          <w:szCs w:val="20"/>
          <w:color w:val="auto"/>
        </w:rPr>
      </w:pPr>
    </w:p>
    <w:p>
      <w:pPr>
        <w:jc w:val="both"/>
        <w:ind w:firstLine="369"/>
        <w:spacing w:after="0" w:line="289" w:lineRule="auto"/>
        <w:rPr>
          <w:sz w:val="20"/>
          <w:szCs w:val="20"/>
          <w:color w:val="auto"/>
        </w:rPr>
      </w:pPr>
      <w:r>
        <w:rPr>
          <w:rFonts w:ascii="Arial" w:cs="Arial" w:eastAsia="Arial" w:hAnsi="Arial"/>
          <w:sz w:val="16"/>
          <w:szCs w:val="16"/>
          <w:color w:val="auto"/>
        </w:rPr>
        <w:t>As part of its ongoing review of corporate governance practices, on February 20, 2008, the Board adopted a policy providing that in an uncontested election of directors, any nominee who receives a greater number of votes "withheld" than votes "for" will tender his or her resignation to the Chairman of the Board promptly following the shareholders' meeting. The Corporate Governance Committee will consider the offer of resignation and will make a recommendation to the Board on whether to accept it. In considering whether or not to accept the resignation, the Corporate Governance Committee will consider all factors deemed relevant by members of such Committee. The Corporate Governance Committee will be expected to accept the resignation except in situations where the considerations would warrant the applicable director continuing to serve on the Board. The Board will make its final decision and announce it in a news release within 90 days following the shareholders' meeting. A director who tenders his or her resignation pursuant to this policy will not participate in any meeting of the Board or the Corporate Governance Committee at which the resignation is considered.</w:t>
      </w:r>
    </w:p>
    <w:p>
      <w:pPr>
        <w:spacing w:after="0" w:line="38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Disclosure of Share Ownership</w:t>
      </w:r>
    </w:p>
    <w:p>
      <w:pPr>
        <w:spacing w:after="0" w:line="231" w:lineRule="exact"/>
        <w:rPr>
          <w:sz w:val="20"/>
          <w:szCs w:val="20"/>
          <w:color w:val="auto"/>
        </w:rPr>
      </w:pPr>
    </w:p>
    <w:p>
      <w:pPr>
        <w:jc w:val="both"/>
        <w:ind w:firstLine="408"/>
        <w:spacing w:after="0" w:line="253" w:lineRule="auto"/>
        <w:rPr>
          <w:sz w:val="20"/>
          <w:szCs w:val="20"/>
          <w:color w:val="auto"/>
        </w:rPr>
      </w:pPr>
      <w:r>
        <w:rPr>
          <w:rFonts w:ascii="Arial" w:cs="Arial" w:eastAsia="Arial" w:hAnsi="Arial"/>
          <w:sz w:val="18"/>
          <w:szCs w:val="18"/>
          <w:color w:val="auto"/>
        </w:rPr>
        <w:t xml:space="preserve">The </w:t>
      </w:r>
      <w:r>
        <w:rPr>
          <w:rFonts w:ascii="Arial" w:cs="Arial" w:eastAsia="Arial" w:hAnsi="Arial"/>
          <w:sz w:val="18"/>
          <w:szCs w:val="18"/>
          <w:i w:val="1"/>
          <w:iCs w:val="1"/>
          <w:color w:val="auto"/>
        </w:rPr>
        <w:t>Securities Act</w:t>
      </w:r>
      <w:r>
        <w:rPr>
          <w:rFonts w:ascii="Arial" w:cs="Arial" w:eastAsia="Arial" w:hAnsi="Arial"/>
          <w:sz w:val="18"/>
          <w:szCs w:val="18"/>
          <w:color w:val="auto"/>
        </w:rPr>
        <w:t xml:space="preserve"> (Ontario) currently provides that the directors and officers of an issuer and its subsidiaries and any person or company that beneficially owns, directly or indirectly, voting securities of an issuer or that exercises control or direction over voting securities of an issuer or a combination of both, carrying more than 10% of the voting rights attached to all the issuer's outstanding voting securities (a "significant shareholder"), as well as the directors and officers of any significant shareholder, (each an "insider") must, within 10 days of becoming an insider, file a report in the required form effective the date on which the person became an insider, disclosing any direct or indirect beneficial ownership of, or control or direction over, securities of the reporting issuer. The </w:t>
      </w:r>
      <w:r>
        <w:rPr>
          <w:rFonts w:ascii="Arial" w:cs="Arial" w:eastAsia="Arial" w:hAnsi="Arial"/>
          <w:sz w:val="18"/>
          <w:szCs w:val="18"/>
          <w:i w:val="1"/>
          <w:iCs w:val="1"/>
          <w:color w:val="auto"/>
        </w:rPr>
        <w:t xml:space="preserve">Securities Act </w:t>
      </w:r>
      <w:r>
        <w:rPr>
          <w:rFonts w:ascii="Arial" w:cs="Arial" w:eastAsia="Arial" w:hAnsi="Arial"/>
          <w:sz w:val="18"/>
          <w:szCs w:val="18"/>
          <w:color w:val="auto"/>
        </w:rPr>
        <w:t>(Ontario) also provides for the filing of a report by an insider of a reporting issuer who acquires or transfers securities of the issuer or who enters</w:t>
      </w:r>
      <w:r>
        <w:rPr>
          <w:rFonts w:ascii="Arial" w:cs="Arial" w:eastAsia="Arial" w:hAnsi="Arial"/>
          <w:sz w:val="18"/>
          <w:szCs w:val="18"/>
          <w:i w:val="1"/>
          <w:iCs w:val="1"/>
          <w:color w:val="auto"/>
        </w:rPr>
        <w:t xml:space="preserve"> </w:t>
      </w:r>
      <w:r>
        <w:rPr>
          <w:rFonts w:ascii="Arial" w:cs="Arial" w:eastAsia="Arial" w:hAnsi="Arial"/>
          <w:sz w:val="18"/>
          <w:szCs w:val="18"/>
          <w:color w:val="auto"/>
        </w:rPr>
        <w:t>into, materially amends or</w:t>
      </w:r>
    </w:p>
    <w:p>
      <w:pPr>
        <w:spacing w:after="0" w:line="20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69" w:name="page170"/>
    <w:bookmarkEnd w:id="169"/>
    <w:p>
      <w:pPr>
        <w:jc w:val="both"/>
        <w:spacing w:after="0" w:line="255" w:lineRule="auto"/>
        <w:rPr>
          <w:sz w:val="20"/>
          <w:szCs w:val="20"/>
          <w:color w:val="auto"/>
        </w:rPr>
      </w:pPr>
      <w:r>
        <w:rPr>
          <w:rFonts w:ascii="Arial" w:cs="Arial" w:eastAsia="Arial" w:hAnsi="Arial"/>
          <w:sz w:val="18"/>
          <w:szCs w:val="18"/>
          <w:color w:val="auto"/>
        </w:rPr>
        <w:t xml:space="preserve">terminates an arrangement the effect of which is to alter the insider's economic interest in a security of the issuer or the insider's economic exposure to the issuer. These reports must be filed within ten days after the reportable event. Amendments to the insider reporting provisions of the </w:t>
      </w:r>
      <w:r>
        <w:rPr>
          <w:rFonts w:ascii="Arial" w:cs="Arial" w:eastAsia="Arial" w:hAnsi="Arial"/>
          <w:sz w:val="18"/>
          <w:szCs w:val="18"/>
          <w:i w:val="1"/>
          <w:iCs w:val="1"/>
          <w:color w:val="auto"/>
        </w:rPr>
        <w:t>Securities Act</w:t>
      </w:r>
      <w:r>
        <w:rPr>
          <w:rFonts w:ascii="Arial" w:cs="Arial" w:eastAsia="Arial" w:hAnsi="Arial"/>
          <w:sz w:val="18"/>
          <w:szCs w:val="18"/>
          <w:color w:val="auto"/>
        </w:rPr>
        <w:t xml:space="preserve"> (Ontario) anticipated to be in effect on April 30, 2010 will require these reports to be filed by reporting insiders within five days after the applicable event, though will also limit persons that must file to the Chief Executive Officer, Chief Financial Officer, Chief Operating Officer, directors, any person or company responsible for a principal business unit and significant shareholders of an issuer.</w:t>
      </w:r>
    </w:p>
    <w:p>
      <w:pPr>
        <w:spacing w:after="0" w:line="197" w:lineRule="exact"/>
        <w:rPr>
          <w:sz w:val="20"/>
          <w:szCs w:val="20"/>
          <w:color w:val="auto"/>
        </w:rPr>
      </w:pPr>
    </w:p>
    <w:p>
      <w:pPr>
        <w:jc w:val="both"/>
        <w:ind w:firstLine="372"/>
        <w:spacing w:after="0" w:line="291" w:lineRule="auto"/>
        <w:rPr>
          <w:sz w:val="20"/>
          <w:szCs w:val="20"/>
          <w:color w:val="auto"/>
        </w:rPr>
      </w:pPr>
      <w:r>
        <w:rPr>
          <w:rFonts w:ascii="Arial" w:cs="Arial" w:eastAsia="Arial" w:hAnsi="Arial"/>
          <w:sz w:val="16"/>
          <w:szCs w:val="16"/>
          <w:color w:val="auto"/>
        </w:rPr>
        <w:t xml:space="preserve">The </w:t>
      </w:r>
      <w:r>
        <w:rPr>
          <w:rFonts w:ascii="Arial" w:cs="Arial" w:eastAsia="Arial" w:hAnsi="Arial"/>
          <w:sz w:val="16"/>
          <w:szCs w:val="16"/>
          <w:i w:val="1"/>
          <w:iCs w:val="1"/>
          <w:color w:val="auto"/>
        </w:rPr>
        <w:t>Securities Act</w:t>
      </w:r>
      <w:r>
        <w:rPr>
          <w:rFonts w:ascii="Arial" w:cs="Arial" w:eastAsia="Arial" w:hAnsi="Arial"/>
          <w:sz w:val="16"/>
          <w:szCs w:val="16"/>
          <w:color w:val="auto"/>
        </w:rPr>
        <w:t xml:space="preserve"> (Ontario) also provides that a person or company that acquires (whether or not by way of a take-over bid, offer to acquire or subscription from treasury) beneficial ownership of voting or equity securities or securities convertible into voting or equity securities of a reporting issuer that, together with previously held securities brings the total holdings of such holder to 10% or more of the outstanding securities of that class, must (a) issue and file forthwith a news release containing certain prescribed information and (b) file a report within two business days containing the same information set out in the news release. The acquiring person or company must also issue a news release and file a report each time it acquires, in the aggregate, an additional 2% or more of the outstanding securities of the same class and every time there is a change to any material fact in the news release and report previously issued and filed.</w:t>
      </w:r>
    </w:p>
    <w:p>
      <w:pPr>
        <w:spacing w:after="0" w:line="174" w:lineRule="exact"/>
        <w:rPr>
          <w:sz w:val="20"/>
          <w:szCs w:val="20"/>
          <w:color w:val="auto"/>
        </w:rPr>
      </w:pPr>
    </w:p>
    <w:p>
      <w:pPr>
        <w:jc w:val="both"/>
        <w:ind w:firstLine="497"/>
        <w:spacing w:after="0" w:line="291" w:lineRule="auto"/>
        <w:rPr>
          <w:sz w:val="20"/>
          <w:szCs w:val="20"/>
          <w:color w:val="auto"/>
        </w:rPr>
      </w:pPr>
      <w:r>
        <w:rPr>
          <w:rFonts w:ascii="Arial" w:cs="Arial" w:eastAsia="Arial" w:hAnsi="Arial"/>
          <w:sz w:val="16"/>
          <w:szCs w:val="16"/>
          <w:color w:val="auto"/>
        </w:rPr>
        <w:t>The rules in the United States governing the ownership threshold above which shareholder ownership must be disclosed are more stringent than those discussed above. Section 13(d) of the Securities Exchange Act of 1934, as amended (the "Exchange Act"), imposes reporting requirements on persons who acquire beneficial ownership (as such term is defined in Rule 13d-3 under the Exchange Act) of more than 5% of a class of an equity security registered under Section 12 of the Exchange Act. In general, such persons must file, within ten days after such acquisition, a report of beneficial ownership with the SEC containing the information prescribed by the regulations under Section 13(d) of the Exchange Act and promptly file an amendment to such report to disclose any material change to the information reported, including any acquisition or disposition of 1% or more of the outstanding securities of the registered class.</w:t>
      </w:r>
    </w:p>
    <w:p>
      <w:pPr>
        <w:spacing w:after="0" w:line="3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Material Contracts</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Company believes the following contracts constitute the only material contracts to which it is a party.</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Credit Agreements</w:t>
      </w:r>
    </w:p>
    <w:p>
      <w:pPr>
        <w:spacing w:after="0" w:line="225" w:lineRule="exact"/>
        <w:rPr>
          <w:sz w:val="20"/>
          <w:szCs w:val="20"/>
          <w:color w:val="auto"/>
        </w:rPr>
      </w:pPr>
    </w:p>
    <w:p>
      <w:pPr>
        <w:jc w:val="both"/>
        <w:ind w:firstLine="382"/>
        <w:spacing w:after="0" w:line="286" w:lineRule="auto"/>
        <w:rPr>
          <w:sz w:val="20"/>
          <w:szCs w:val="20"/>
          <w:color w:val="auto"/>
        </w:rPr>
      </w:pPr>
      <w:r>
        <w:rPr>
          <w:rFonts w:ascii="Arial" w:cs="Arial" w:eastAsia="Arial" w:hAnsi="Arial"/>
          <w:sz w:val="16"/>
          <w:szCs w:val="16"/>
          <w:color w:val="auto"/>
        </w:rPr>
        <w:t>The Company entered into the First Credit Facility on June 15, 2009 with a group of financial institutions providing for a $300 million unsecured revolving bank credit facility that replaced the Company's previous secured revolving bank credit facility. The First Credit Facility matures and all indebtedness thereunder</w:t>
      </w:r>
    </w:p>
    <w:p>
      <w:pPr>
        <w:jc w:val="both"/>
        <w:spacing w:after="0" w:line="250" w:lineRule="auto"/>
        <w:rPr>
          <w:sz w:val="20"/>
          <w:szCs w:val="20"/>
          <w:color w:val="auto"/>
        </w:rPr>
      </w:pPr>
      <w:r>
        <w:rPr>
          <w:rFonts w:ascii="Arial" w:cs="Arial" w:eastAsia="Arial" w:hAnsi="Arial"/>
          <w:sz w:val="17"/>
          <w:szCs w:val="17"/>
          <w:color w:val="auto"/>
        </w:rPr>
        <w:t>is due and payable on January 10, 2013. The Company, with the consent of lenders representing at least 66</w:t>
      </w:r>
      <w:r>
        <w:rPr>
          <w:rFonts w:ascii="Arial" w:cs="Arial" w:eastAsia="Arial" w:hAnsi="Arial"/>
          <w:sz w:val="28"/>
          <w:szCs w:val="28"/>
          <w:color w:val="auto"/>
          <w:vertAlign w:val="superscript"/>
        </w:rPr>
        <w:t>2</w:t>
      </w:r>
      <w:r>
        <w:rPr>
          <w:rFonts w:ascii="Arial" w:cs="Arial" w:eastAsia="Arial" w:hAnsi="Arial"/>
          <w:sz w:val="17"/>
          <w:szCs w:val="17"/>
          <w:color w:val="auto"/>
        </w:rPr>
        <w:t>/</w:t>
      </w:r>
      <w:r>
        <w:rPr>
          <w:rFonts w:ascii="Arial" w:cs="Arial" w:eastAsia="Arial" w:hAnsi="Arial"/>
          <w:sz w:val="14"/>
          <w:szCs w:val="14"/>
          <w:color w:val="auto"/>
        </w:rPr>
        <w:t>3</w:t>
      </w:r>
      <w:r>
        <w:rPr>
          <w:rFonts w:ascii="Arial" w:cs="Arial" w:eastAsia="Arial" w:hAnsi="Arial"/>
          <w:sz w:val="17"/>
          <w:szCs w:val="17"/>
          <w:color w:val="auto"/>
        </w:rPr>
        <w:t>% of the aggregate commitments under the facility, has the option to extend the term of the facility for additional one-year terms. The First Credit Facility is available in multiple currencies through prime rate and base rate advances, priced at the applicable rate plus a margin that ranges from 2.00% to 3.00% depending on certain financial ratios and through LIBOR advances, bankers' acceptances and letters of credit, priced at the applicable rate plus a margin that ranges from 3.00% to 4.00% depending on the financial ratios. The lenders under the First Credit Facility are each paid a standby fee at a rate that ranges from 0.900% to 1.200% of the undrawn portion of the facility, depending on the financial ratios. Payment and performance of the Company's obligations under the First Credit Facility are guaranteed by certain material subsidiaries of the Company (the "Guarantors" and, together with the Company, each an "Obligor").</w:t>
      </w:r>
    </w:p>
    <w:p>
      <w:pPr>
        <w:spacing w:after="0" w:line="206" w:lineRule="exact"/>
        <w:rPr>
          <w:sz w:val="20"/>
          <w:szCs w:val="20"/>
          <w:color w:val="auto"/>
        </w:rPr>
      </w:pPr>
    </w:p>
    <w:p>
      <w:pPr>
        <w:jc w:val="both"/>
        <w:ind w:firstLine="515"/>
        <w:spacing w:after="0" w:line="291" w:lineRule="auto"/>
        <w:rPr>
          <w:sz w:val="20"/>
          <w:szCs w:val="20"/>
          <w:color w:val="auto"/>
        </w:rPr>
      </w:pPr>
      <w:r>
        <w:rPr>
          <w:rFonts w:ascii="Arial" w:cs="Arial" w:eastAsia="Arial" w:hAnsi="Arial"/>
          <w:sz w:val="16"/>
          <w:szCs w:val="16"/>
          <w:color w:val="auto"/>
        </w:rPr>
        <w:t>The Company entered into the Second Credit Facility on June 15, 2009 with a group of financial institutions providing for a $600 million unsecured revolving bank credit facility on substantially the same terms as the First Credit Facility. The Second Credit Facility matures and all indebtedness thereunder is due and payable on June 14, 2012. The Second Credit Facility is available in multiple currencies through prime rate and base rate advances, priced at the applicable rate plus a margin that ranges from 2.00% to 3.00% depending on certain financial ratios and through LIBOR advances and bankers' acceptances, priced at the applicable rate plus an applicable margin that ranges from 3.00% to 4.00% depending on the financial ratios. The lenders under the Second Credit Facility are each paid a standby fee at a rate that ranges from 0.900% to 1.200% of the undrawn</w:t>
      </w:r>
    </w:p>
    <w:p>
      <w:pPr>
        <w:spacing w:after="0" w:line="17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70" w:name="page171"/>
    <w:bookmarkEnd w:id="170"/>
    <w:p>
      <w:pPr>
        <w:jc w:val="both"/>
        <w:spacing w:after="0" w:line="268" w:lineRule="auto"/>
        <w:rPr>
          <w:sz w:val="20"/>
          <w:szCs w:val="20"/>
          <w:color w:val="auto"/>
        </w:rPr>
      </w:pPr>
      <w:r>
        <w:rPr>
          <w:rFonts w:ascii="Arial" w:cs="Arial" w:eastAsia="Arial" w:hAnsi="Arial"/>
          <w:sz w:val="18"/>
          <w:szCs w:val="18"/>
          <w:color w:val="auto"/>
        </w:rPr>
        <w:t>portion of the facility, depending on the financial ratios. Payment and performance of the Company's obligations under the Second Credit Facility are guaranteed by the Guarantors.</w:t>
      </w:r>
    </w:p>
    <w:p>
      <w:pPr>
        <w:spacing w:after="0" w:line="186" w:lineRule="exact"/>
        <w:rPr>
          <w:sz w:val="20"/>
          <w:szCs w:val="20"/>
          <w:color w:val="auto"/>
        </w:rPr>
      </w:pPr>
    </w:p>
    <w:p>
      <w:pPr>
        <w:jc w:val="both"/>
        <w:ind w:firstLine="358"/>
        <w:spacing w:after="0" w:line="291" w:lineRule="auto"/>
        <w:rPr>
          <w:sz w:val="20"/>
          <w:szCs w:val="20"/>
          <w:color w:val="auto"/>
        </w:rPr>
      </w:pPr>
      <w:r>
        <w:rPr>
          <w:rFonts w:ascii="Arial" w:cs="Arial" w:eastAsia="Arial" w:hAnsi="Arial"/>
          <w:sz w:val="16"/>
          <w:szCs w:val="16"/>
          <w:color w:val="auto"/>
        </w:rPr>
        <w:t xml:space="preserve">The Second Credit Facility contains restrictive covenants and events of default identical to those in the First Credit Facility. The Company is also required to maintain the same financial ratios as well as the same minimum tangible net worth under both facilities. Both facilities require the Company to utilize funds available under the First Credit Facility and the Second Credit Facility on a </w:t>
      </w:r>
      <w:r>
        <w:rPr>
          <w:rFonts w:ascii="Arial" w:cs="Arial" w:eastAsia="Arial" w:hAnsi="Arial"/>
          <w:sz w:val="16"/>
          <w:szCs w:val="16"/>
          <w:i w:val="1"/>
          <w:iCs w:val="1"/>
          <w:color w:val="auto"/>
        </w:rPr>
        <w:t>pro rata</w:t>
      </w:r>
      <w:r>
        <w:rPr>
          <w:rFonts w:ascii="Arial" w:cs="Arial" w:eastAsia="Arial" w:hAnsi="Arial"/>
          <w:sz w:val="16"/>
          <w:szCs w:val="16"/>
          <w:color w:val="auto"/>
        </w:rPr>
        <w:t xml:space="preserve"> basis (excluding funds advanced under the First Credit Facility by way of letters of credit or swing line advances) such that at any time the amount outstanding under either the First Credit Facility or Second Credit Facility, as a percentage of the aggregate amount available under such facility, does not differ by more than 10 percentage points of the amount outstanding under the other Credit Facility, as a percentage of the amount available thereunder.</w:t>
      </w:r>
    </w:p>
    <w:p>
      <w:pPr>
        <w:spacing w:after="0" w:line="174"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facilities contain covenants that restrict, among other things, the ability of an Obligor to:</w:t>
      </w:r>
    </w:p>
    <w:p>
      <w:pPr>
        <w:spacing w:after="0" w:line="239" w:lineRule="exact"/>
        <w:rPr>
          <w:sz w:val="20"/>
          <w:szCs w:val="20"/>
          <w:color w:val="auto"/>
        </w:rPr>
      </w:pPr>
    </w:p>
    <w:p>
      <w:pPr>
        <w:ind w:left="1080" w:hanging="532"/>
        <w:spacing w:after="0"/>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incur additional indebtedness;</w:t>
      </w:r>
    </w:p>
    <w:p>
      <w:pPr>
        <w:spacing w:after="0" w:line="25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pay or declare dividends or make other restricted distributions or payments in respect of any shares of the Company's equity securities after a default or an event of default that is continuing;</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make sales or other dispositions of material assets;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create liens on its existing or future assets;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enter into transactions with affiliates other than the Obligors, except on arm's length terms;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6"/>
        </w:numPr>
        <w:rPr>
          <w:rFonts w:ascii="Arial" w:cs="Arial" w:eastAsia="Arial" w:hAnsi="Arial"/>
          <w:sz w:val="16"/>
          <w:szCs w:val="16"/>
          <w:color w:val="auto"/>
        </w:rPr>
      </w:pPr>
      <w:r>
        <w:rPr>
          <w:rFonts w:ascii="Arial" w:cs="Arial" w:eastAsia="Arial" w:hAnsi="Arial"/>
          <w:sz w:val="16"/>
          <w:szCs w:val="16"/>
          <w:color w:val="auto"/>
        </w:rPr>
        <w:t>make any loans to or investments in businesses other than those related to mining or a business ancillary or complementary to mining;</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amalgamate or otherwise transfer its assets;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carry on business other than those related to mining or a business ancillary or complementary to mining.</w:t>
      </w:r>
    </w:p>
    <w:p>
      <w:pPr>
        <w:spacing w:after="0" w:line="225" w:lineRule="exact"/>
        <w:rPr>
          <w:sz w:val="20"/>
          <w:szCs w:val="20"/>
          <w:color w:val="auto"/>
        </w:rPr>
      </w:pPr>
    </w:p>
    <w:p>
      <w:pPr>
        <w:ind w:firstLine="456"/>
        <w:spacing w:after="0" w:line="268" w:lineRule="auto"/>
        <w:rPr>
          <w:sz w:val="20"/>
          <w:szCs w:val="20"/>
          <w:color w:val="auto"/>
        </w:rPr>
      </w:pPr>
      <w:r>
        <w:rPr>
          <w:rFonts w:ascii="Arial" w:cs="Arial" w:eastAsia="Arial" w:hAnsi="Arial"/>
          <w:sz w:val="18"/>
          <w:szCs w:val="18"/>
          <w:color w:val="auto"/>
        </w:rPr>
        <w:t>The Company is also required to maintain certain financial ratios as well as a minimum tangible net worth. Events of default under the Credit Facilities include, among other things:</w:t>
      </w:r>
    </w:p>
    <w:p>
      <w:pPr>
        <w:spacing w:after="0" w:line="199" w:lineRule="exact"/>
        <w:rPr>
          <w:sz w:val="20"/>
          <w:szCs w:val="20"/>
          <w:color w:val="auto"/>
        </w:rPr>
      </w:pPr>
    </w:p>
    <w:p>
      <w:pPr>
        <w:ind w:left="1080" w:hanging="532"/>
        <w:spacing w:after="0" w:line="268" w:lineRule="auto"/>
        <w:tabs>
          <w:tab w:leader="none" w:pos="108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failure to pay principal when due and payable or interest, fees or other amounts payable within five business days of such amounts becoming due and payable;</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breach by the Company of any financial covenant;</w:t>
      </w:r>
    </w:p>
    <w:p>
      <w:pPr>
        <w:spacing w:after="0" w:line="25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breach by any Obligor of any other term, covenant or other agreement that is not cured within 30 business days after written notice of the breach has been given to the Company;</w:t>
      </w:r>
    </w:p>
    <w:p>
      <w:pPr>
        <w:spacing w:after="0" w:line="199"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67"/>
        </w:numPr>
        <w:rPr>
          <w:rFonts w:ascii="Arial" w:cs="Arial" w:eastAsia="Arial" w:hAnsi="Arial"/>
          <w:sz w:val="18"/>
          <w:szCs w:val="18"/>
          <w:color w:val="auto"/>
        </w:rPr>
      </w:pPr>
      <w:r>
        <w:rPr>
          <w:rFonts w:ascii="Arial" w:cs="Arial" w:eastAsia="Arial" w:hAnsi="Arial"/>
          <w:sz w:val="18"/>
          <w:szCs w:val="18"/>
          <w:color w:val="auto"/>
        </w:rPr>
        <w:t>a default under any other indebtedness of the Obligors if the effect of such default is to accelerate, or to permit the acceleration of, the due date of such indebtedness in an aggregate amount of $50 million or more;</w:t>
      </w:r>
    </w:p>
    <w:p>
      <w:pPr>
        <w:spacing w:after="0" w:line="199" w:lineRule="exact"/>
        <w:rPr>
          <w:rFonts w:ascii="Arial" w:cs="Arial" w:eastAsia="Arial" w:hAnsi="Arial"/>
          <w:sz w:val="18"/>
          <w:szCs w:val="18"/>
          <w:color w:val="auto"/>
        </w:rPr>
      </w:pPr>
    </w:p>
    <w:p>
      <w:pPr>
        <w:jc w:val="both"/>
        <w:ind w:left="1080" w:hanging="532"/>
        <w:spacing w:after="0" w:line="286" w:lineRule="auto"/>
        <w:tabs>
          <w:tab w:leader="none" w:pos="1080" w:val="left"/>
        </w:tabs>
        <w:numPr>
          <w:ilvl w:val="0"/>
          <w:numId w:val="67"/>
        </w:numPr>
        <w:rPr>
          <w:rFonts w:ascii="Arial" w:cs="Arial" w:eastAsia="Arial" w:hAnsi="Arial"/>
          <w:sz w:val="16"/>
          <w:szCs w:val="16"/>
          <w:color w:val="auto"/>
        </w:rPr>
      </w:pPr>
      <w:r>
        <w:rPr>
          <w:rFonts w:ascii="Arial" w:cs="Arial" w:eastAsia="Arial" w:hAnsi="Arial"/>
          <w:sz w:val="16"/>
          <w:szCs w:val="16"/>
          <w:color w:val="auto"/>
        </w:rPr>
        <w:t>a change in control of the Company which is defined to occur upon (a) the acquisition, directly or indirectly, by any means whatsoever, by any person, or group of persons acting jointly or in concert, (collectively, an "offeror") of beneficial ownership of, or the power to exercise control or direction over, or securities convertible or exchangeable into, any securities of the Company carrying in aggregate (assuming the exercise of all such conversion or exchange rights in favour of the offeror) more than 50% of the aggregate votes represented by the voting stock then issued and outstanding or otherwise entitling the offeror to elect a majority of the board of directors of the Company, or (b) the replacement by way of election or appointment at any time of one-half or more of the total number of the then incumbent members of the board of directors of the Company, or the election or appointment of new directors comprising one-half or more of the total number of members of the board of directors in office immediately following such election or appointment; unless, in any such case, the nomination of such directors for election or their appointment is approved by the board of directors of the Company in office immediately preceding such nomination or appointment in circumstances where such nomination or appointment is made other than as a result of a dissident public proxy solicitation, whether actual or threatened; and</w:t>
      </w:r>
    </w:p>
    <w:p>
      <w:pPr>
        <w:spacing w:after="0" w:line="1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71" w:name="page172"/>
    <w:bookmarkEnd w:id="171"/>
    <w:p>
      <w:pPr>
        <w:ind w:left="1080" w:hanging="532"/>
        <w:spacing w:after="0"/>
        <w:tabs>
          <w:tab w:leader="none" w:pos="1080" w:val="left"/>
        </w:tabs>
        <w:numPr>
          <w:ilvl w:val="0"/>
          <w:numId w:val="68"/>
        </w:numPr>
        <w:rPr>
          <w:rFonts w:ascii="Arial" w:cs="Arial" w:eastAsia="Arial" w:hAnsi="Arial"/>
          <w:sz w:val="16"/>
          <w:szCs w:val="16"/>
          <w:color w:val="auto"/>
        </w:rPr>
      </w:pPr>
      <w:r>
        <w:rPr>
          <w:rFonts w:ascii="Arial" w:cs="Arial" w:eastAsia="Arial" w:hAnsi="Arial"/>
          <w:sz w:val="16"/>
          <w:szCs w:val="16"/>
          <w:color w:val="auto"/>
        </w:rPr>
        <w:t>various events relating to the bankruptcy or insolvency or winding-up, liquidation or dissolution or cessation of business of any Obligor.</w:t>
      </w:r>
    </w:p>
    <w:p>
      <w:pPr>
        <w:spacing w:after="0" w:line="248" w:lineRule="exact"/>
        <w:rPr>
          <w:sz w:val="20"/>
          <w:szCs w:val="20"/>
          <w:color w:val="auto"/>
        </w:rPr>
      </w:pPr>
    </w:p>
    <w:p>
      <w:pPr>
        <w:ind w:left="340"/>
        <w:spacing w:after="0"/>
        <w:rPr>
          <w:sz w:val="20"/>
          <w:szCs w:val="20"/>
          <w:color w:val="auto"/>
        </w:rPr>
      </w:pPr>
      <w:r>
        <w:rPr>
          <w:rFonts w:ascii="Arial" w:cs="Arial" w:eastAsia="Arial" w:hAnsi="Arial"/>
          <w:sz w:val="16"/>
          <w:szCs w:val="16"/>
          <w:color w:val="auto"/>
        </w:rPr>
        <w:t>As at March 22, 2010 there was approximately $657.5 million in the aggregate drawn under the Credit Facilities, including $22.5 million in letters of credit.</w:t>
      </w:r>
    </w:p>
    <w:p>
      <w:pPr>
        <w:spacing w:after="0" w:line="24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Warrant Indenture</w:t>
      </w:r>
    </w:p>
    <w:p>
      <w:pPr>
        <w:spacing w:after="0" w:line="225" w:lineRule="exact"/>
        <w:rPr>
          <w:sz w:val="20"/>
          <w:szCs w:val="20"/>
          <w:color w:val="auto"/>
        </w:rPr>
      </w:pPr>
    </w:p>
    <w:p>
      <w:pPr>
        <w:jc w:val="both"/>
        <w:ind w:firstLine="428"/>
        <w:spacing w:after="0" w:line="259" w:lineRule="auto"/>
        <w:rPr>
          <w:sz w:val="20"/>
          <w:szCs w:val="20"/>
          <w:color w:val="auto"/>
        </w:rPr>
      </w:pPr>
      <w:r>
        <w:rPr>
          <w:rFonts w:ascii="Arial" w:cs="Arial" w:eastAsia="Arial" w:hAnsi="Arial"/>
          <w:sz w:val="18"/>
          <w:szCs w:val="18"/>
          <w:color w:val="auto"/>
        </w:rPr>
        <w:t>The Company issued common share purchase warrants (the "Warrants") as part of a private placement on December 3, 2008. Effective April 4, 2009, the Warrants were amended and are governed by a warrant indenture (the "Indenture") between the Company and Computershare Trust Company of Canada (the "Trustee").</w:t>
      </w:r>
    </w:p>
    <w:p>
      <w:pPr>
        <w:spacing w:after="0" w:line="194" w:lineRule="exact"/>
        <w:rPr>
          <w:sz w:val="20"/>
          <w:szCs w:val="20"/>
          <w:color w:val="auto"/>
        </w:rPr>
      </w:pPr>
    </w:p>
    <w:p>
      <w:pPr>
        <w:jc w:val="both"/>
        <w:ind w:firstLine="358"/>
        <w:spacing w:after="0" w:line="306" w:lineRule="auto"/>
        <w:rPr>
          <w:sz w:val="20"/>
          <w:szCs w:val="20"/>
          <w:color w:val="auto"/>
        </w:rPr>
      </w:pPr>
      <w:r>
        <w:rPr>
          <w:rFonts w:ascii="Arial" w:cs="Arial" w:eastAsia="Arial" w:hAnsi="Arial"/>
          <w:sz w:val="16"/>
          <w:szCs w:val="16"/>
          <w:color w:val="auto"/>
        </w:rPr>
        <w:t>Each whole Warrant entitles the holder to purchase one common share of the Company at a price of $47.25, subject to adjustment as summarized below. The Warrants are exercisable at any time prior to 4:30 p.m. (Eastern Standard Time) on December 2, 2013, after which the Warrants will expire and become void and of no effect. Warrants may be surrendered for exercise or transfer at the principal office of the Trustee in Toronto.</w:t>
      </w:r>
    </w:p>
    <w:p>
      <w:pPr>
        <w:spacing w:after="0" w:line="161" w:lineRule="exact"/>
        <w:rPr>
          <w:sz w:val="20"/>
          <w:szCs w:val="20"/>
          <w:color w:val="auto"/>
        </w:rPr>
      </w:pPr>
    </w:p>
    <w:p>
      <w:pPr>
        <w:jc w:val="both"/>
        <w:ind w:firstLine="364"/>
        <w:spacing w:after="0" w:line="268" w:lineRule="auto"/>
        <w:rPr>
          <w:sz w:val="20"/>
          <w:szCs w:val="20"/>
          <w:color w:val="auto"/>
        </w:rPr>
      </w:pPr>
      <w:r>
        <w:rPr>
          <w:rFonts w:ascii="Arial" w:cs="Arial" w:eastAsia="Arial" w:hAnsi="Arial"/>
          <w:sz w:val="18"/>
          <w:szCs w:val="18"/>
          <w:color w:val="auto"/>
        </w:rPr>
        <w:t>The Indenture provides for adjustment in the number of common shares issuable on the exercise of the Warrants and/or the exercise price per Warrant on the occurrence of certain events, including:</w:t>
      </w:r>
    </w:p>
    <w:p>
      <w:pPr>
        <w:spacing w:after="0" w:line="213" w:lineRule="exact"/>
        <w:rPr>
          <w:sz w:val="20"/>
          <w:szCs w:val="20"/>
          <w:color w:val="auto"/>
        </w:rPr>
      </w:pPr>
    </w:p>
    <w:p>
      <w:pPr>
        <w:ind w:left="1080" w:hanging="532"/>
        <w:spacing w:after="0" w:line="332" w:lineRule="auto"/>
        <w:tabs>
          <w:tab w:leader="none" w:pos="1080" w:val="left"/>
        </w:tabs>
        <w:numPr>
          <w:ilvl w:val="0"/>
          <w:numId w:val="69"/>
        </w:numPr>
        <w:rPr>
          <w:rFonts w:ascii="Arial" w:cs="Arial" w:eastAsia="Arial" w:hAnsi="Arial"/>
          <w:sz w:val="16"/>
          <w:szCs w:val="16"/>
          <w:color w:val="auto"/>
        </w:rPr>
      </w:pPr>
      <w:r>
        <w:rPr>
          <w:rFonts w:ascii="Arial" w:cs="Arial" w:eastAsia="Arial" w:hAnsi="Arial"/>
          <w:sz w:val="16"/>
          <w:szCs w:val="16"/>
          <w:color w:val="auto"/>
        </w:rPr>
        <w:t>the declaration of a dividend or making of a distribution on the common shares payable in common shares or securities exchangeable for or convertible into common shares to the holders of the common shares in proportion to their respective ownership of common shares;</w:t>
      </w:r>
    </w:p>
    <w:p>
      <w:pPr>
        <w:spacing w:after="0" w:line="152" w:lineRule="exact"/>
        <w:rPr>
          <w:rFonts w:ascii="Arial" w:cs="Arial" w:eastAsia="Arial" w:hAnsi="Arial"/>
          <w:sz w:val="16"/>
          <w:szCs w:val="16"/>
          <w:color w:val="auto"/>
        </w:rPr>
      </w:pPr>
    </w:p>
    <w:p>
      <w:pPr>
        <w:ind w:left="1080" w:hanging="532"/>
        <w:spacing w:after="0"/>
        <w:tabs>
          <w:tab w:leader="none" w:pos="1080" w:val="left"/>
        </w:tabs>
        <w:numPr>
          <w:ilvl w:val="0"/>
          <w:numId w:val="69"/>
        </w:numPr>
        <w:rPr>
          <w:rFonts w:ascii="Arial" w:cs="Arial" w:eastAsia="Arial" w:hAnsi="Arial"/>
          <w:sz w:val="18"/>
          <w:szCs w:val="18"/>
          <w:color w:val="auto"/>
        </w:rPr>
      </w:pPr>
      <w:r>
        <w:rPr>
          <w:rFonts w:ascii="Arial" w:cs="Arial" w:eastAsia="Arial" w:hAnsi="Arial"/>
          <w:sz w:val="18"/>
          <w:szCs w:val="18"/>
          <w:color w:val="auto"/>
        </w:rPr>
        <w:t>the subdivision, consolidation or change of the outstanding common shares into a different number of common shares;</w:t>
      </w:r>
    </w:p>
    <w:p>
      <w:pPr>
        <w:spacing w:after="0" w:line="238" w:lineRule="exact"/>
        <w:rPr>
          <w:rFonts w:ascii="Arial" w:cs="Arial" w:eastAsia="Arial" w:hAnsi="Arial"/>
          <w:sz w:val="18"/>
          <w:szCs w:val="18"/>
          <w:color w:val="auto"/>
        </w:rPr>
      </w:pPr>
    </w:p>
    <w:p>
      <w:pPr>
        <w:jc w:val="both"/>
        <w:ind w:left="1080" w:hanging="532"/>
        <w:spacing w:after="0" w:line="298" w:lineRule="auto"/>
        <w:tabs>
          <w:tab w:leader="none" w:pos="1080" w:val="left"/>
        </w:tabs>
        <w:numPr>
          <w:ilvl w:val="0"/>
          <w:numId w:val="69"/>
        </w:numPr>
        <w:rPr>
          <w:rFonts w:ascii="Arial" w:cs="Arial" w:eastAsia="Arial" w:hAnsi="Arial"/>
          <w:sz w:val="16"/>
          <w:szCs w:val="16"/>
          <w:color w:val="auto"/>
        </w:rPr>
      </w:pPr>
      <w:r>
        <w:rPr>
          <w:rFonts w:ascii="Arial" w:cs="Arial" w:eastAsia="Arial" w:hAnsi="Arial"/>
          <w:sz w:val="16"/>
          <w:szCs w:val="16"/>
          <w:color w:val="auto"/>
        </w:rPr>
        <w:t>the fixing of a record date for the issuance of rights, options or warrants to all or substantially all of the holders of the common shares under which such holders are entitled, during a period expiring not more than 45 days after such record date, to subscribe for or purchase common shares, or securities exchangeable for or convertible into common shares, at a price per share to the holder (or at a conversion or exchange price per share) of less than 95% of the Current Market Price (as defined in the Indenture) on such record date; and</w:t>
      </w:r>
    </w:p>
    <w:p>
      <w:pPr>
        <w:spacing w:after="0" w:line="193" w:lineRule="exact"/>
        <w:rPr>
          <w:rFonts w:ascii="Arial" w:cs="Arial" w:eastAsia="Arial" w:hAnsi="Arial"/>
          <w:sz w:val="16"/>
          <w:szCs w:val="16"/>
          <w:color w:val="auto"/>
        </w:rPr>
      </w:pPr>
    </w:p>
    <w:p>
      <w:pPr>
        <w:jc w:val="both"/>
        <w:ind w:left="1080" w:hanging="532"/>
        <w:spacing w:after="0" w:line="298" w:lineRule="auto"/>
        <w:tabs>
          <w:tab w:leader="none" w:pos="1080" w:val="left"/>
        </w:tabs>
        <w:numPr>
          <w:ilvl w:val="0"/>
          <w:numId w:val="69"/>
        </w:numPr>
        <w:rPr>
          <w:rFonts w:ascii="Arial" w:cs="Arial" w:eastAsia="Arial" w:hAnsi="Arial"/>
          <w:sz w:val="16"/>
          <w:szCs w:val="16"/>
          <w:color w:val="auto"/>
        </w:rPr>
      </w:pPr>
      <w:r>
        <w:rPr>
          <w:rFonts w:ascii="Arial" w:cs="Arial" w:eastAsia="Arial" w:hAnsi="Arial"/>
          <w:sz w:val="16"/>
          <w:szCs w:val="16"/>
          <w:color w:val="auto"/>
        </w:rPr>
        <w:t>the fixing of a record date for the issue or distribution to all or substantially all of the holders of the common shares of securities of the Company (including rights, options or warrants to purchase any securities of the Company), evidences of the Company's indebtedness or any property or assets (including cash or shares of any other corporation but excluding any dividends paid in accordance with a dividend policy established by the board of directors of the Company) and such issue or distribution does not constitute an event listed in (a) to (c) above.</w:t>
      </w:r>
    </w:p>
    <w:p>
      <w:pPr>
        <w:spacing w:after="0" w:line="167" w:lineRule="exact"/>
        <w:rPr>
          <w:sz w:val="20"/>
          <w:szCs w:val="20"/>
          <w:color w:val="auto"/>
        </w:rPr>
      </w:pPr>
    </w:p>
    <w:p>
      <w:pPr>
        <w:jc w:val="both"/>
        <w:ind w:firstLine="358"/>
        <w:spacing w:after="0" w:line="288" w:lineRule="auto"/>
        <w:rPr>
          <w:sz w:val="20"/>
          <w:szCs w:val="20"/>
          <w:color w:val="auto"/>
        </w:rPr>
      </w:pPr>
      <w:r>
        <w:rPr>
          <w:rFonts w:ascii="Arial" w:cs="Arial" w:eastAsia="Arial" w:hAnsi="Arial"/>
          <w:sz w:val="16"/>
          <w:szCs w:val="16"/>
          <w:color w:val="auto"/>
        </w:rPr>
        <w:t xml:space="preserve">The Indenture also provides for adjustment in the class and/or number of securities issuable on the exercise of the Warrants and/or exercise price per security in the event of the following additional events: (i) reorganization, reclassification or other change of the common shares into other securities; (ii) consolidation, amalgamation, arrangement or merger of the Company with or into another entity (other than consolidations, amalgamations, arrangements or mergers which do not result in any reclassification of the common shares or a change of the common shares into other shares); (iii) exchange of common shares for other shares or other securities or property, including cash, pursuant to the exercise of a statutory compulsory acquisition right; or (iv) sale, conveyance or transfer of the Company's undertakings or assets as an entirety or substantially as an entirety to another corporation or other entity or the completion of a take-over bid (as such term is defined under the </w:t>
      </w:r>
      <w:r>
        <w:rPr>
          <w:rFonts w:ascii="Arial" w:cs="Arial" w:eastAsia="Arial" w:hAnsi="Arial"/>
          <w:sz w:val="16"/>
          <w:szCs w:val="16"/>
          <w:i w:val="1"/>
          <w:iCs w:val="1"/>
          <w:color w:val="auto"/>
        </w:rPr>
        <w:t>Securities Act</w:t>
      </w:r>
      <w:r>
        <w:rPr>
          <w:rFonts w:ascii="Arial" w:cs="Arial" w:eastAsia="Arial" w:hAnsi="Arial"/>
          <w:sz w:val="16"/>
          <w:szCs w:val="16"/>
          <w:color w:val="auto"/>
        </w:rPr>
        <w:t xml:space="preserve"> (Ontario)) resulting in the offeror, together with any persons acting jointly or in concert with the offeror, holding at least two-thirds of the then outstanding common shares in which the holders of common shares are entitled to receive shares, other securities or property, including cash.</w:t>
      </w:r>
    </w:p>
    <w:p>
      <w:pPr>
        <w:spacing w:after="0" w:line="174" w:lineRule="exact"/>
        <w:rPr>
          <w:sz w:val="20"/>
          <w:szCs w:val="20"/>
          <w:color w:val="auto"/>
        </w:rPr>
      </w:pPr>
    </w:p>
    <w:p>
      <w:pPr>
        <w:jc w:val="both"/>
        <w:ind w:firstLine="447"/>
        <w:spacing w:after="0" w:line="256" w:lineRule="auto"/>
        <w:rPr>
          <w:sz w:val="20"/>
          <w:szCs w:val="20"/>
          <w:color w:val="auto"/>
        </w:rPr>
      </w:pPr>
      <w:r>
        <w:rPr>
          <w:rFonts w:ascii="Arial" w:cs="Arial" w:eastAsia="Arial" w:hAnsi="Arial"/>
          <w:sz w:val="18"/>
          <w:szCs w:val="18"/>
          <w:color w:val="auto"/>
        </w:rPr>
        <w:t>No adjustment in the exercise price or the number of common shares purchasable on the exercise of the Warrants will be required to be made unless the cumulative effect of such adjustment or adjustments would change the exercise price by at least one percent or the number of common shares purchasable on exercise by at least one one-hundredth of a share; provided however, that any such adjustment that is not made will be carried forward and taken into account in any subsequent adjustment.</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45" w:right="239" w:bottom="1440" w:gutter="0" w:footer="0" w:header="0"/>
        </w:sectPr>
      </w:pPr>
    </w:p>
    <w:bookmarkStart w:id="172" w:name="page173"/>
    <w:bookmarkEnd w:id="172"/>
    <w:p>
      <w:pPr>
        <w:jc w:val="both"/>
        <w:ind w:firstLine="436"/>
        <w:spacing w:after="0" w:line="259" w:lineRule="auto"/>
        <w:rPr>
          <w:sz w:val="20"/>
          <w:szCs w:val="20"/>
          <w:color w:val="auto"/>
        </w:rPr>
      </w:pPr>
      <w:r>
        <w:rPr>
          <w:rFonts w:ascii="Arial" w:cs="Arial" w:eastAsia="Arial" w:hAnsi="Arial"/>
          <w:sz w:val="18"/>
          <w:szCs w:val="18"/>
          <w:color w:val="auto"/>
        </w:rPr>
        <w:t>The Company covenanted in the Indenture that, during the period in which the Warrants are exercisable, it will give notice to holders of Warrants of any event that requires or may require an adjustment in any of the exercise rights pursuant to any of the Warrants at least ten days prior to the record date or effective date, as the case may be, of such event.</w:t>
      </w:r>
    </w:p>
    <w:p>
      <w:pPr>
        <w:spacing w:after="0" w:line="194" w:lineRule="exact"/>
        <w:rPr>
          <w:sz w:val="20"/>
          <w:szCs w:val="20"/>
          <w:color w:val="auto"/>
        </w:rPr>
      </w:pPr>
    </w:p>
    <w:p>
      <w:pPr>
        <w:jc w:val="both"/>
        <w:ind w:firstLine="453"/>
        <w:spacing w:after="0" w:line="256" w:lineRule="auto"/>
        <w:rPr>
          <w:sz w:val="20"/>
          <w:szCs w:val="20"/>
          <w:color w:val="auto"/>
        </w:rPr>
      </w:pPr>
      <w:r>
        <w:rPr>
          <w:rFonts w:ascii="Arial" w:cs="Arial" w:eastAsia="Arial" w:hAnsi="Arial"/>
          <w:sz w:val="18"/>
          <w:szCs w:val="18"/>
          <w:color w:val="auto"/>
        </w:rPr>
        <w:t>No fractional common shares will be issuable on the exercise of any Warrants. The Company will not pay cash or other consideration to the holder of a Warrant in lieu of fractional common shares. Holders of Warrants will not have any voting rights or any other rights which a holder of common shares would have (including, without limitation, the right to receive notice of or to attend meetings of shareholders or any right to receive dividends or other distributions). Holders of Warrants will have no pre-emptive rights to acquire securities of the Company.</w:t>
      </w:r>
    </w:p>
    <w:p>
      <w:pPr>
        <w:spacing w:after="0" w:line="197" w:lineRule="exact"/>
        <w:rPr>
          <w:sz w:val="20"/>
          <w:szCs w:val="20"/>
          <w:color w:val="auto"/>
        </w:rPr>
      </w:pPr>
    </w:p>
    <w:p>
      <w:pPr>
        <w:jc w:val="both"/>
        <w:ind w:firstLine="503"/>
        <w:spacing w:after="0" w:line="301" w:lineRule="auto"/>
        <w:rPr>
          <w:sz w:val="20"/>
          <w:szCs w:val="20"/>
          <w:color w:val="auto"/>
        </w:rPr>
      </w:pPr>
      <w:r>
        <w:rPr>
          <w:rFonts w:ascii="Arial" w:cs="Arial" w:eastAsia="Arial" w:hAnsi="Arial"/>
          <w:sz w:val="15"/>
          <w:szCs w:val="15"/>
          <w:color w:val="auto"/>
        </w:rPr>
        <w:t>From time to time, the Company and the Trustee, without the consent of the holders of Warrants, may amend or supplement the Indenture for certain purposes, including curing defects or inconsistencies or making any change that, in the opinion of the Trustee, does not prejudice the rights of the Trustee or the holders of the Warrants. Any amendment or supplement to the Indenture that prejudices the interests of the holders of the Warrants may only be made by "extraordinary resolution", which is defined in the Indenture as a resolution either (i) passed at a meeting of the holders of Warrants at which there are holders of Warrants present in person or represented by proxy representing at least 25% of the then outstanding Warrants (at least 50% for any amendment that would increase the exercise price per security, decrease the number of securities issuable upon the exercise of Warrants or shorten the term of the Warrants), or such lesser percentage constituting a quorum for this purpose under the Indenture, and passed by the affirmative vote of holders of Warrants representing not less than</w:t>
      </w:r>
    </w:p>
    <w:p>
      <w:pPr>
        <w:spacing w:after="0" w:line="5" w:lineRule="exact"/>
        <w:rPr>
          <w:sz w:val="20"/>
          <w:szCs w:val="20"/>
          <w:color w:val="auto"/>
        </w:rPr>
      </w:pPr>
    </w:p>
    <w:p>
      <w:pPr>
        <w:jc w:val="both"/>
        <w:spacing w:after="0" w:line="227" w:lineRule="auto"/>
        <w:rPr>
          <w:sz w:val="20"/>
          <w:szCs w:val="20"/>
          <w:color w:val="auto"/>
        </w:rPr>
      </w:pPr>
      <w:r>
        <w:rPr>
          <w:rFonts w:ascii="Arial" w:cs="Arial" w:eastAsia="Arial" w:hAnsi="Arial"/>
          <w:sz w:val="18"/>
          <w:szCs w:val="18"/>
          <w:color w:val="auto"/>
        </w:rPr>
        <w:t>66</w:t>
      </w:r>
      <w:r>
        <w:rPr>
          <w:rFonts w:ascii="Arial" w:cs="Arial" w:eastAsia="Arial" w:hAnsi="Arial"/>
          <w:sz w:val="29"/>
          <w:szCs w:val="29"/>
          <w:color w:val="auto"/>
          <w:vertAlign w:val="superscript"/>
        </w:rPr>
        <w:t>2</w:t>
      </w:r>
      <w:r>
        <w:rPr>
          <w:rFonts w:ascii="Arial" w:cs="Arial" w:eastAsia="Arial" w:hAnsi="Arial"/>
          <w:sz w:val="18"/>
          <w:szCs w:val="18"/>
          <w:color w:val="auto"/>
        </w:rPr>
        <w:t>/</w:t>
      </w:r>
      <w:r>
        <w:rPr>
          <w:rFonts w:ascii="Arial" w:cs="Arial" w:eastAsia="Arial" w:hAnsi="Arial"/>
          <w:sz w:val="14"/>
          <w:szCs w:val="14"/>
          <w:color w:val="auto"/>
        </w:rPr>
        <w:t>3</w:t>
      </w:r>
      <w:r>
        <w:rPr>
          <w:rFonts w:ascii="Arial" w:cs="Arial" w:eastAsia="Arial" w:hAnsi="Arial"/>
          <w:sz w:val="18"/>
          <w:szCs w:val="18"/>
          <w:color w:val="auto"/>
        </w:rPr>
        <w:t>% of the then outstanding Warrants represented at the meeting and voted on the poll on such resolution; or (ii) adopted by an instrument in writing signed by the holders of Warrants representing not less than 66</w:t>
      </w:r>
      <w:r>
        <w:rPr>
          <w:rFonts w:ascii="Arial" w:cs="Arial" w:eastAsia="Arial" w:hAnsi="Arial"/>
          <w:sz w:val="29"/>
          <w:szCs w:val="29"/>
          <w:color w:val="auto"/>
          <w:vertAlign w:val="superscript"/>
        </w:rPr>
        <w:t>2</w:t>
      </w:r>
      <w:r>
        <w:rPr>
          <w:rFonts w:ascii="Arial" w:cs="Arial" w:eastAsia="Arial" w:hAnsi="Arial"/>
          <w:sz w:val="18"/>
          <w:szCs w:val="18"/>
          <w:color w:val="auto"/>
        </w:rPr>
        <w:t>/</w:t>
      </w:r>
      <w:r>
        <w:rPr>
          <w:rFonts w:ascii="Arial" w:cs="Arial" w:eastAsia="Arial" w:hAnsi="Arial"/>
          <w:sz w:val="14"/>
          <w:szCs w:val="14"/>
          <w:color w:val="auto"/>
        </w:rPr>
        <w:t>3</w:t>
      </w:r>
      <w:r>
        <w:rPr>
          <w:rFonts w:ascii="Arial" w:cs="Arial" w:eastAsia="Arial" w:hAnsi="Arial"/>
          <w:sz w:val="18"/>
          <w:szCs w:val="18"/>
          <w:color w:val="auto"/>
        </w:rPr>
        <w:t>% of the then outstanding Warrants.</w:t>
      </w:r>
    </w:p>
    <w:p>
      <w:pPr>
        <w:spacing w:after="0" w:line="92" w:lineRule="exact"/>
        <w:rPr>
          <w:sz w:val="20"/>
          <w:szCs w:val="20"/>
          <w:color w:val="auto"/>
        </w:rPr>
      </w:pPr>
    </w:p>
    <w:p>
      <w:pPr>
        <w:jc w:val="both"/>
        <w:ind w:firstLine="387"/>
        <w:spacing w:after="0" w:line="291" w:lineRule="auto"/>
        <w:rPr>
          <w:sz w:val="20"/>
          <w:szCs w:val="20"/>
          <w:color w:val="auto"/>
        </w:rPr>
      </w:pPr>
      <w:r>
        <w:rPr>
          <w:rFonts w:ascii="Arial" w:cs="Arial" w:eastAsia="Arial" w:hAnsi="Arial"/>
          <w:sz w:val="16"/>
          <w:szCs w:val="16"/>
          <w:color w:val="auto"/>
        </w:rPr>
        <w:t>The Warrants may not be exercised by or on behalf of a "U.S. Person" (a "U.S. Person"), as defined in Rule 902(k) of Regulation S under the United States Securities Act of 1933, as amended (the "U.S. Securities Act"), a person in the United States or for the account or benefit of a U.S. Person or a person in the United States (each a "Restricted Person") unless registered under the U.S. Securities Act and the securities laws of all applicable states of the United States or an exemption from such registration requirements is available. The Company does not intend to register the Warrants, or the common shares issuable upon exercise of the Warrants, in the United States. The Company and Trustee will not accept subscriptions for common shares pursuant to the exercise of Warrants from any holder of Warrants who does not certify that it is not a Restricted Person.</w:t>
      </w:r>
    </w:p>
    <w:p>
      <w:pPr>
        <w:spacing w:after="0" w:line="174" w:lineRule="exact"/>
        <w:rPr>
          <w:sz w:val="20"/>
          <w:szCs w:val="20"/>
          <w:color w:val="auto"/>
        </w:rPr>
      </w:pPr>
    </w:p>
    <w:p>
      <w:pPr>
        <w:ind w:left="360"/>
        <w:spacing w:after="0"/>
        <w:rPr>
          <w:sz w:val="20"/>
          <w:szCs w:val="20"/>
          <w:color w:val="auto"/>
        </w:rPr>
      </w:pPr>
      <w:r>
        <w:rPr>
          <w:rFonts w:ascii="Arial" w:cs="Arial" w:eastAsia="Arial" w:hAnsi="Arial"/>
          <w:sz w:val="18"/>
          <w:szCs w:val="18"/>
          <w:color w:val="auto"/>
        </w:rPr>
        <w:t>Notwithstanding the foregoing, a Warrant may be exercised by or on behalf of Restricted Person if:</w:t>
      </w:r>
    </w:p>
    <w:p>
      <w:pPr>
        <w:spacing w:after="0" w:line="239" w:lineRule="exact"/>
        <w:rPr>
          <w:sz w:val="20"/>
          <w:szCs w:val="20"/>
          <w:color w:val="auto"/>
        </w:rPr>
      </w:pPr>
    </w:p>
    <w:p>
      <w:pPr>
        <w:ind w:left="1080" w:hanging="532"/>
        <w:spacing w:after="0"/>
        <w:tabs>
          <w:tab w:leader="none" w:pos="1080" w:val="left"/>
        </w:tabs>
        <w:numPr>
          <w:ilvl w:val="0"/>
          <w:numId w:val="70"/>
        </w:numPr>
        <w:rPr>
          <w:rFonts w:ascii="Arial" w:cs="Arial" w:eastAsia="Arial" w:hAnsi="Arial"/>
          <w:sz w:val="18"/>
          <w:szCs w:val="18"/>
          <w:color w:val="auto"/>
        </w:rPr>
      </w:pPr>
      <w:r>
        <w:rPr>
          <w:rFonts w:ascii="Arial" w:cs="Arial" w:eastAsia="Arial" w:hAnsi="Arial"/>
          <w:sz w:val="18"/>
          <w:szCs w:val="18"/>
          <w:color w:val="auto"/>
        </w:rPr>
        <w:t>the Warrant is a U.S. Warrant (as defined in the Indenture) and is exercised by an Initial U.S. Holder (as defined in the Indenture);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70"/>
        </w:numPr>
        <w:rPr>
          <w:rFonts w:ascii="Arial" w:cs="Arial" w:eastAsia="Arial" w:hAnsi="Arial"/>
          <w:sz w:val="18"/>
          <w:szCs w:val="18"/>
          <w:color w:val="auto"/>
        </w:rPr>
      </w:pPr>
      <w:r>
        <w:rPr>
          <w:rFonts w:ascii="Arial" w:cs="Arial" w:eastAsia="Arial" w:hAnsi="Arial"/>
          <w:sz w:val="18"/>
          <w:szCs w:val="18"/>
          <w:color w:val="auto"/>
        </w:rPr>
        <w:t>the Warrant is a U.S. Warrant and the holder delivers a letter in the form of Schedule B to the Indenture to the Trustee; or</w:t>
      </w:r>
    </w:p>
    <w:p>
      <w:pPr>
        <w:spacing w:after="0" w:line="238" w:lineRule="exact"/>
        <w:rPr>
          <w:rFonts w:ascii="Arial" w:cs="Arial" w:eastAsia="Arial" w:hAnsi="Arial"/>
          <w:sz w:val="18"/>
          <w:szCs w:val="18"/>
          <w:color w:val="auto"/>
        </w:rPr>
      </w:pPr>
    </w:p>
    <w:p>
      <w:pPr>
        <w:jc w:val="both"/>
        <w:ind w:left="1080" w:hanging="532"/>
        <w:spacing w:after="0" w:line="306" w:lineRule="auto"/>
        <w:tabs>
          <w:tab w:leader="none" w:pos="1080" w:val="left"/>
        </w:tabs>
        <w:numPr>
          <w:ilvl w:val="0"/>
          <w:numId w:val="70"/>
        </w:numPr>
        <w:rPr>
          <w:rFonts w:ascii="Arial" w:cs="Arial" w:eastAsia="Arial" w:hAnsi="Arial"/>
          <w:sz w:val="16"/>
          <w:szCs w:val="16"/>
          <w:color w:val="auto"/>
        </w:rPr>
      </w:pPr>
      <w:r>
        <w:rPr>
          <w:rFonts w:ascii="Arial" w:cs="Arial" w:eastAsia="Arial" w:hAnsi="Arial"/>
          <w:sz w:val="16"/>
          <w:szCs w:val="16"/>
          <w:color w:val="auto"/>
        </w:rPr>
        <w:t>the holder delivers to the Trustee a written opinion of United States counsel reasonably acceptable to the Company to the effect that either the Warrants and the common shares have been registered under the U.S. Securities Act or, that upon exercise of the Warrant, the common shares may be issued to the holder without registration under the U.S. Securities Act and any applicable securities laws of any state of the United States.</w:t>
      </w:r>
    </w:p>
    <w:p>
      <w:pPr>
        <w:spacing w:after="0" w:line="161" w:lineRule="exact"/>
        <w:rPr>
          <w:sz w:val="20"/>
          <w:szCs w:val="20"/>
          <w:color w:val="auto"/>
        </w:rPr>
      </w:pPr>
    </w:p>
    <w:p>
      <w:pPr>
        <w:ind w:firstLine="382"/>
        <w:spacing w:after="0" w:line="268" w:lineRule="auto"/>
        <w:rPr>
          <w:sz w:val="20"/>
          <w:szCs w:val="20"/>
          <w:color w:val="auto"/>
        </w:rPr>
      </w:pPr>
      <w:r>
        <w:rPr>
          <w:rFonts w:ascii="Arial" w:cs="Arial" w:eastAsia="Arial" w:hAnsi="Arial"/>
          <w:sz w:val="18"/>
          <w:szCs w:val="18"/>
          <w:color w:val="auto"/>
        </w:rPr>
        <w:t>Warrants may not be transferred except under circumstances that will not result in a violation of the U.S. Securities Act, any applicable state securities laws or any applicable Canadian securities laws. Warrants may only be transferred:</w:t>
      </w:r>
    </w:p>
    <w:p>
      <w:pPr>
        <w:spacing w:after="0" w:line="199" w:lineRule="exact"/>
        <w:rPr>
          <w:sz w:val="20"/>
          <w:szCs w:val="20"/>
          <w:color w:val="auto"/>
        </w:rPr>
      </w:pPr>
    </w:p>
    <w:p>
      <w:pPr>
        <w:ind w:left="1080" w:hanging="532"/>
        <w:spacing w:after="0"/>
        <w:tabs>
          <w:tab w:leader="none" w:pos="1080" w:val="left"/>
        </w:tabs>
        <w:numPr>
          <w:ilvl w:val="0"/>
          <w:numId w:val="71"/>
        </w:numPr>
        <w:rPr>
          <w:rFonts w:ascii="Arial" w:cs="Arial" w:eastAsia="Arial" w:hAnsi="Arial"/>
          <w:sz w:val="18"/>
          <w:szCs w:val="18"/>
          <w:color w:val="auto"/>
        </w:rPr>
      </w:pPr>
      <w:r>
        <w:rPr>
          <w:rFonts w:ascii="Arial" w:cs="Arial" w:eastAsia="Arial" w:hAnsi="Arial"/>
          <w:sz w:val="18"/>
          <w:szCs w:val="18"/>
          <w:color w:val="auto"/>
        </w:rPr>
        <w:t>outside the United States in accordance with Regulation S under the U.S. Securities Act; or</w:t>
      </w:r>
    </w:p>
    <w:p>
      <w:pPr>
        <w:spacing w:after="0" w:line="25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71"/>
        </w:numPr>
        <w:rPr>
          <w:rFonts w:ascii="Arial" w:cs="Arial" w:eastAsia="Arial" w:hAnsi="Arial"/>
          <w:sz w:val="18"/>
          <w:szCs w:val="18"/>
          <w:color w:val="auto"/>
        </w:rPr>
      </w:pPr>
      <w:r>
        <w:rPr>
          <w:rFonts w:ascii="Arial" w:cs="Arial" w:eastAsia="Arial" w:hAnsi="Arial"/>
          <w:sz w:val="18"/>
          <w:szCs w:val="18"/>
          <w:color w:val="auto"/>
        </w:rPr>
        <w:t>in the United States in compliance with the exemption from registration provided by Rule 144 under the U.S. Securities Act, if available, or in another transaction that does not require registration under the U.S. Securities Act.</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3" w:name="page174"/>
    <w:bookmarkEnd w:id="173"/>
    <w:p>
      <w:pPr>
        <w:spacing w:after="0"/>
        <w:rPr>
          <w:sz w:val="20"/>
          <w:szCs w:val="20"/>
          <w:color w:val="auto"/>
        </w:rPr>
      </w:pPr>
      <w:r>
        <w:rPr>
          <w:rFonts w:ascii="Arial" w:cs="Arial" w:eastAsia="Arial" w:hAnsi="Arial"/>
          <w:sz w:val="18"/>
          <w:szCs w:val="18"/>
          <w:b w:val="1"/>
          <w:bCs w:val="1"/>
          <w:i w:val="1"/>
          <w:iCs w:val="1"/>
          <w:color w:val="auto"/>
        </w:rPr>
        <w:t>Stock Option Plan</w:t>
      </w:r>
    </w:p>
    <w:p>
      <w:pPr>
        <w:spacing w:after="0" w:line="225" w:lineRule="exact"/>
        <w:rPr>
          <w:sz w:val="20"/>
          <w:szCs w:val="20"/>
          <w:color w:val="auto"/>
        </w:rPr>
      </w:pPr>
    </w:p>
    <w:p>
      <w:pPr>
        <w:jc w:val="both"/>
        <w:ind w:firstLine="409"/>
        <w:spacing w:after="0" w:line="332" w:lineRule="auto"/>
        <w:rPr>
          <w:sz w:val="20"/>
          <w:szCs w:val="20"/>
          <w:color w:val="auto"/>
        </w:rPr>
      </w:pPr>
      <w:r>
        <w:rPr>
          <w:rFonts w:ascii="Arial" w:cs="Arial" w:eastAsia="Arial" w:hAnsi="Arial"/>
          <w:sz w:val="16"/>
          <w:szCs w:val="16"/>
          <w:color w:val="auto"/>
        </w:rPr>
        <w:t>The Company has a stock option plan for directors, officers, employees and service providers to the Company. See "Item 6 Directors, Senior Management and Employees — Compensation of Executive Officers — Stock Option Plan". A copy of the stock option plan filed as Exhibit 4.03 to this Form 20-F.</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Employee Share Purchase Plan</w:t>
      </w:r>
    </w:p>
    <w:p>
      <w:pPr>
        <w:spacing w:after="0" w:line="225" w:lineRule="exact"/>
        <w:rPr>
          <w:sz w:val="20"/>
          <w:szCs w:val="20"/>
          <w:color w:val="auto"/>
        </w:rPr>
      </w:pPr>
    </w:p>
    <w:p>
      <w:pPr>
        <w:jc w:val="both"/>
        <w:ind w:firstLine="398"/>
        <w:spacing w:after="0" w:line="259" w:lineRule="auto"/>
        <w:rPr>
          <w:sz w:val="20"/>
          <w:szCs w:val="20"/>
          <w:color w:val="auto"/>
        </w:rPr>
      </w:pPr>
      <w:r>
        <w:rPr>
          <w:rFonts w:ascii="Arial" w:cs="Arial" w:eastAsia="Arial" w:hAnsi="Arial"/>
          <w:sz w:val="18"/>
          <w:szCs w:val="18"/>
          <w:color w:val="auto"/>
        </w:rPr>
        <w:t>The Company has an Employee Share Purchase Plan for officers and full-time employees of the Company. See "Item 6 Directors, Senior Management and Employees — Compensation of Executive Officers — Employee Share Purchase Plan". A copy of the Employee Share Purchase Plan filed as Exhibit 4.04 to this Form 20-F.</w:t>
      </w:r>
    </w:p>
    <w:p>
      <w:pPr>
        <w:spacing w:after="0" w:line="200" w:lineRule="exact"/>
        <w:rPr>
          <w:sz w:val="20"/>
          <w:szCs w:val="20"/>
          <w:color w:val="auto"/>
        </w:rPr>
      </w:pPr>
    </w:p>
    <w:p>
      <w:pPr>
        <w:spacing w:after="0" w:line="20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Exchange Controls</w:t>
      </w:r>
    </w:p>
    <w:p>
      <w:pPr>
        <w:spacing w:after="0" w:line="231" w:lineRule="exact"/>
        <w:rPr>
          <w:sz w:val="20"/>
          <w:szCs w:val="20"/>
          <w:color w:val="auto"/>
        </w:rPr>
      </w:pPr>
    </w:p>
    <w:p>
      <w:pPr>
        <w:jc w:val="both"/>
        <w:ind w:firstLine="415"/>
        <w:spacing w:after="0" w:line="306" w:lineRule="auto"/>
        <w:rPr>
          <w:sz w:val="20"/>
          <w:szCs w:val="20"/>
          <w:color w:val="auto"/>
        </w:rPr>
      </w:pPr>
      <w:r>
        <w:rPr>
          <w:rFonts w:ascii="Arial" w:cs="Arial" w:eastAsia="Arial" w:hAnsi="Arial"/>
          <w:sz w:val="16"/>
          <w:szCs w:val="16"/>
          <w:color w:val="auto"/>
        </w:rPr>
        <w:t>Canada has no system of exchange controls. There are no Canadian restrictions on the repatriation of capital or earnings of a Canadian public company to non-resident investors. There are no laws in Canada or exchange restrictions affecting the remittance of dividends, profits, interest, royalties and other payments to non-resident holders of the Company's securities, except as discussed in "— Canadian Federal Income Tax Considerations" below.</w:t>
      </w:r>
    </w:p>
    <w:p>
      <w:pPr>
        <w:spacing w:after="0" w:line="37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Restrictions on Share Ownership by Non-Canadians</w:t>
      </w:r>
    </w:p>
    <w:p>
      <w:pPr>
        <w:spacing w:after="0" w:line="231" w:lineRule="exact"/>
        <w:rPr>
          <w:sz w:val="20"/>
          <w:szCs w:val="20"/>
          <w:color w:val="auto"/>
        </w:rPr>
      </w:pPr>
    </w:p>
    <w:p>
      <w:pPr>
        <w:jc w:val="both"/>
        <w:ind w:firstLine="381"/>
        <w:spacing w:after="0" w:line="255" w:lineRule="auto"/>
        <w:rPr>
          <w:sz w:val="20"/>
          <w:szCs w:val="20"/>
          <w:color w:val="auto"/>
        </w:rPr>
      </w:pPr>
      <w:r>
        <w:rPr>
          <w:rFonts w:ascii="Arial" w:cs="Arial" w:eastAsia="Arial" w:hAnsi="Arial"/>
          <w:sz w:val="18"/>
          <w:szCs w:val="18"/>
          <w:color w:val="auto"/>
        </w:rPr>
        <w:t xml:space="preserve">There are no limitations under the laws of Canada or in the constating documents of the Company on the right of foreigners to hold or vote securities of the Company, except that the </w:t>
      </w:r>
      <w:r>
        <w:rPr>
          <w:rFonts w:ascii="Arial" w:cs="Arial" w:eastAsia="Arial" w:hAnsi="Arial"/>
          <w:sz w:val="18"/>
          <w:szCs w:val="18"/>
          <w:i w:val="1"/>
          <w:iCs w:val="1"/>
          <w:color w:val="auto"/>
        </w:rPr>
        <w:t>Investment Canada Act</w:t>
      </w:r>
      <w:r>
        <w:rPr>
          <w:rFonts w:ascii="Arial" w:cs="Arial" w:eastAsia="Arial" w:hAnsi="Arial"/>
          <w:sz w:val="18"/>
          <w:szCs w:val="18"/>
          <w:color w:val="auto"/>
        </w:rPr>
        <w:t xml:space="preserve"> may require review and approval by the Minister of Industry (Canada) of certain acquisitions of "control" of the Company by a "non-Canadian". The threshold for acquisitions of "control" is generally defined as being one-third or more of the voting shares of the Company. "Non-Canadian" generally means an individual who is not a Canadian citizen or a permanent resident of Canada, or a corporation, partnership, trust or joint venture that is ultimately controlled by non-Canadians.</w:t>
      </w:r>
    </w:p>
    <w:p>
      <w:pPr>
        <w:spacing w:after="0" w:line="200" w:lineRule="exact"/>
        <w:rPr>
          <w:sz w:val="20"/>
          <w:szCs w:val="20"/>
          <w:color w:val="auto"/>
        </w:rPr>
      </w:pPr>
    </w:p>
    <w:p>
      <w:pPr>
        <w:spacing w:after="0" w:line="20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Corporate Governance</w:t>
      </w:r>
    </w:p>
    <w:p>
      <w:pPr>
        <w:spacing w:after="0" w:line="231" w:lineRule="exact"/>
        <w:rPr>
          <w:sz w:val="20"/>
          <w:szCs w:val="20"/>
          <w:color w:val="auto"/>
        </w:rPr>
      </w:pPr>
    </w:p>
    <w:p>
      <w:pPr>
        <w:jc w:val="both"/>
        <w:ind w:firstLine="453"/>
        <w:spacing w:after="0" w:line="306" w:lineRule="auto"/>
        <w:rPr>
          <w:sz w:val="20"/>
          <w:szCs w:val="20"/>
          <w:color w:val="auto"/>
        </w:rPr>
      </w:pPr>
      <w:r>
        <w:rPr>
          <w:rFonts w:ascii="Arial" w:cs="Arial" w:eastAsia="Arial" w:hAnsi="Arial"/>
          <w:sz w:val="15"/>
          <w:szCs w:val="15"/>
          <w:color w:val="auto"/>
        </w:rPr>
        <w:t>The Company is subject to a variety of corporate governance guidelines and requirements enacted by the TSX, the CSA and the NYSE and by the SEC under its rules and those mandated by SOX. Today, the Company meets and often exceeds not only corporate governance legal requirements in Canada and the United States, but also the best practices recommended by securities regulators. The Company is listed on the NYSE and, although the Company is not required to comply with the vast majority of the NYSE corporate governance requirements to which the Company would be subject if the Company were a U.S. corporation, the Company's governance practices differ from those required of U.S. domestic issuers in only the following respects. The NYSE rules for U.S. domestic issuers require shareholder approval of all equity compensation plans (as defined in the NYSE rules) regardless of whether new issuances, treasury shares or shares that the Company has purchased in the open market are used. The TSX rules require shareholder approval of share compensation arrangements involving new issuances of shares, and of certain amendments to such arrangements, but do not require such approval if the compensation arrangements involve only shares purchased by the company in the open market. The NYSE rules for U.S. domestic issuers also require shareholder approval of any transaction or series of related transactions that results in the issuance of common shares, or securities convertible into or exercisable for common shares, that has, or will have upon issuance, voting power equal to or in excess of 20% of the voting power outstanding prior to the transaction or if the issuance of common shares, or securities convertible into or exercisable for common shares, is, or will be upon issuance, equal to or in excess of 20% of the number of common shares outstanding prior to the transaction. The TSX rules require shareholder approval of acquisition transactions resulting in dilution in excess of 25%. The TSX also has broad general discretion to require shareholder approval in connection with any issuances of listed securities. The Company complies with the TSX rules.</w:t>
      </w:r>
    </w:p>
    <w:p>
      <w:pPr>
        <w:spacing w:after="0" w:line="16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4" w:name="page175"/>
    <w:bookmarkEnd w:id="174"/>
    <w:p>
      <w:pPr>
        <w:spacing w:after="0"/>
        <w:rPr>
          <w:sz w:val="20"/>
          <w:szCs w:val="20"/>
          <w:color w:val="auto"/>
        </w:rPr>
      </w:pPr>
      <w:r>
        <w:rPr>
          <w:rFonts w:ascii="Arial" w:cs="Arial" w:eastAsia="Arial" w:hAnsi="Arial"/>
          <w:sz w:val="18"/>
          <w:szCs w:val="18"/>
          <w:b w:val="1"/>
          <w:bCs w:val="1"/>
          <w:color w:val="auto"/>
        </w:rPr>
        <w:t>Canadian Federal Income Tax Considerations</w:t>
      </w:r>
    </w:p>
    <w:p>
      <w:pPr>
        <w:spacing w:after="0" w:line="231" w:lineRule="exact"/>
        <w:rPr>
          <w:sz w:val="20"/>
          <w:szCs w:val="20"/>
          <w:color w:val="auto"/>
        </w:rPr>
      </w:pPr>
    </w:p>
    <w:p>
      <w:pPr>
        <w:jc w:val="both"/>
        <w:ind w:firstLine="382"/>
        <w:spacing w:after="0" w:line="294" w:lineRule="auto"/>
        <w:rPr>
          <w:sz w:val="20"/>
          <w:szCs w:val="20"/>
          <w:color w:val="auto"/>
        </w:rPr>
      </w:pPr>
      <w:r>
        <w:rPr>
          <w:rFonts w:ascii="Arial" w:cs="Arial" w:eastAsia="Arial" w:hAnsi="Arial"/>
          <w:sz w:val="16"/>
          <w:szCs w:val="16"/>
          <w:color w:val="auto"/>
        </w:rPr>
        <w:t xml:space="preserve">The following is a brief summary of some of the principal Canadian federal income tax consequences generally applicable to a holder of common shares of the Company (a "U.S. holder") who deals at arm's length with the Company, holds the shares as capital property and who, for the purposes of the </w:t>
      </w:r>
      <w:r>
        <w:rPr>
          <w:rFonts w:ascii="Arial" w:cs="Arial" w:eastAsia="Arial" w:hAnsi="Arial"/>
          <w:sz w:val="16"/>
          <w:szCs w:val="16"/>
          <w:i w:val="1"/>
          <w:iCs w:val="1"/>
          <w:color w:val="auto"/>
        </w:rPr>
        <w:t>Income Tax Act</w:t>
      </w:r>
      <w:r>
        <w:rPr>
          <w:rFonts w:ascii="Arial" w:cs="Arial" w:eastAsia="Arial" w:hAnsi="Arial"/>
          <w:sz w:val="16"/>
          <w:szCs w:val="16"/>
          <w:color w:val="auto"/>
        </w:rPr>
        <w:t xml:space="preserve"> (Canada) (the "Act") and the Canada-United States Income Tax Convention (the "Treaty"), is at all relevant times resident in the United States, is not and is not deemed to be resident in Canada and does not use or hold and is not deemed to use or hold the shares in carrying on a business in Canada. Special rules, which are not discussed below, may apply to a U.S. holder which is an insurer that carries on business in Canada and elsewhere.</w:t>
      </w:r>
    </w:p>
    <w:p>
      <w:pPr>
        <w:spacing w:after="0" w:line="170" w:lineRule="exact"/>
        <w:rPr>
          <w:sz w:val="20"/>
          <w:szCs w:val="20"/>
          <w:color w:val="auto"/>
        </w:rPr>
      </w:pPr>
    </w:p>
    <w:p>
      <w:pPr>
        <w:jc w:val="both"/>
        <w:ind w:firstLine="381"/>
        <w:spacing w:after="0" w:line="259" w:lineRule="auto"/>
        <w:rPr>
          <w:sz w:val="20"/>
          <w:szCs w:val="20"/>
          <w:color w:val="auto"/>
        </w:rPr>
      </w:pPr>
      <w:r>
        <w:rPr>
          <w:rFonts w:ascii="Arial" w:cs="Arial" w:eastAsia="Arial" w:hAnsi="Arial"/>
          <w:sz w:val="18"/>
          <w:szCs w:val="18"/>
          <w:color w:val="auto"/>
        </w:rPr>
        <w:t>This summary is of a general nature only and is not, and should not be interpreted as, legal or tax advice to any particular U.S. holder and no representation is made with respect to the Canadian federal income tax consequences to any particular person. Accordingly, U.S. holders are advised to consult their own tax advisors with respect to their particular circumstances.</w:t>
      </w:r>
    </w:p>
    <w:p>
      <w:pPr>
        <w:spacing w:after="0" w:line="194" w:lineRule="exact"/>
        <w:rPr>
          <w:sz w:val="20"/>
          <w:szCs w:val="20"/>
          <w:color w:val="auto"/>
        </w:rPr>
      </w:pPr>
    </w:p>
    <w:p>
      <w:pPr>
        <w:jc w:val="both"/>
        <w:ind w:firstLine="491"/>
        <w:spacing w:after="0" w:line="255" w:lineRule="auto"/>
        <w:rPr>
          <w:sz w:val="20"/>
          <w:szCs w:val="20"/>
          <w:color w:val="auto"/>
        </w:rPr>
      </w:pPr>
      <w:r>
        <w:rPr>
          <w:rFonts w:ascii="Arial" w:cs="Arial" w:eastAsia="Arial" w:hAnsi="Arial"/>
          <w:sz w:val="18"/>
          <w:szCs w:val="18"/>
          <w:color w:val="auto"/>
        </w:rPr>
        <w:t>Under the Act and the Treaty, a U.S. holder of common shares (including an individual or estate) who is entitled to full benefits under the Treaty will generally be subject to a 15% withholding tax on dividends paid or credited or deemed by the Act to have been paid or credited on such shares. The dividends may be exempt from such withholding in the case of some U.S. holders such as qualifying pension funds and charities. A U.S. holder who is not entitled to full benefits under the Treaty (or to the benefits of the Dividends Article of the Treaty) will generally be subject to Canadian withholding tax at the rate of 25% on such dividends.</w:t>
      </w:r>
    </w:p>
    <w:p>
      <w:pPr>
        <w:spacing w:after="0" w:line="197" w:lineRule="exact"/>
        <w:rPr>
          <w:sz w:val="20"/>
          <w:szCs w:val="20"/>
          <w:color w:val="auto"/>
        </w:rPr>
      </w:pPr>
    </w:p>
    <w:p>
      <w:pPr>
        <w:jc w:val="both"/>
        <w:ind w:firstLine="410"/>
        <w:spacing w:after="0" w:line="289" w:lineRule="auto"/>
        <w:rPr>
          <w:sz w:val="20"/>
          <w:szCs w:val="20"/>
          <w:color w:val="auto"/>
        </w:rPr>
      </w:pPr>
      <w:r>
        <w:rPr>
          <w:rFonts w:ascii="Arial" w:cs="Arial" w:eastAsia="Arial" w:hAnsi="Arial"/>
          <w:sz w:val="16"/>
          <w:szCs w:val="16"/>
          <w:color w:val="auto"/>
        </w:rPr>
        <w:t>In general, a U.S. holder will not be subject to Canadian income tax on capital gains arising on the disposition of shares of the Company at a time that the Company's shares are listed on the TSX or the NYSE unless (i) at any time in the 60-month period immediately preceding the disposition, 25% or more of the shares of any class or series of the capital stock of the Company was owned by the U.S. holder, persons with whom the U.S. holder did not deal at arm's length or the U.S. holder and such persons and (ii) the value of the common shares of the Company at the time of the disposition derives principally from real property (as defined in the Treaty) situated in Canada. For this purpose, the Treaty defines real property situated in Canada to include rights to explore for or exploit mineral deposits and other natural resources situated in Canada, rights to amounts computed by reference to the amount or value of production from such resources, certain other rights in respect of natural resources situated in Canada and shares of a corporation the value of whose shares is derived principally from real property situated in Canada.</w:t>
      </w:r>
    </w:p>
    <w:p>
      <w:pPr>
        <w:spacing w:after="0" w:line="38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United States Federal Income Tax Considerations</w:t>
      </w:r>
    </w:p>
    <w:p>
      <w:pPr>
        <w:spacing w:after="0" w:line="231" w:lineRule="exact"/>
        <w:rPr>
          <w:sz w:val="20"/>
          <w:szCs w:val="20"/>
          <w:color w:val="auto"/>
        </w:rPr>
      </w:pPr>
    </w:p>
    <w:p>
      <w:pPr>
        <w:jc w:val="both"/>
        <w:ind w:firstLine="351"/>
        <w:spacing w:after="0" w:line="259" w:lineRule="auto"/>
        <w:rPr>
          <w:sz w:val="20"/>
          <w:szCs w:val="20"/>
          <w:color w:val="auto"/>
        </w:rPr>
      </w:pPr>
      <w:r>
        <w:rPr>
          <w:rFonts w:ascii="Arial" w:cs="Arial" w:eastAsia="Arial" w:hAnsi="Arial"/>
          <w:sz w:val="18"/>
          <w:szCs w:val="18"/>
          <w:color w:val="auto"/>
        </w:rPr>
        <w:t>The following is a brief summary of some of the principal U.S. federal income tax consequences to a holder of common shares of the Company, who deals at arm's length with the Company, holds the shares as a capital asset and who, for the purposes of the Internal Revenue Code of 1986, as amended (the "Code") and the Treaty, is at all relevant times a U.S Stockholder (as defined below).</w:t>
      </w:r>
    </w:p>
    <w:p>
      <w:pPr>
        <w:spacing w:after="0" w:line="194" w:lineRule="exact"/>
        <w:rPr>
          <w:sz w:val="20"/>
          <w:szCs w:val="20"/>
          <w:color w:val="auto"/>
        </w:rPr>
      </w:pPr>
    </w:p>
    <w:p>
      <w:pPr>
        <w:jc w:val="both"/>
        <w:ind w:firstLine="357"/>
        <w:spacing w:after="0" w:line="255" w:lineRule="auto"/>
        <w:rPr>
          <w:sz w:val="20"/>
          <w:szCs w:val="20"/>
          <w:color w:val="auto"/>
        </w:rPr>
      </w:pPr>
      <w:r>
        <w:rPr>
          <w:rFonts w:ascii="Arial" w:cs="Arial" w:eastAsia="Arial" w:hAnsi="Arial"/>
          <w:sz w:val="18"/>
          <w:szCs w:val="18"/>
          <w:color w:val="auto"/>
        </w:rPr>
        <w:t>As used herein, the term "U.S. Stockholder" means a holder of common shares of the Company who (for United States federal income tax purposes): (a) is a citizen or resident of the United States; (b) is a corporation created or organized in or under the laws of the United States or of any state therein; (c) is an estate the income of which is subject to United States federal income taxation regardless of its source; or (d) is a trust if either (i) such trust has validly elected to be treated as a U.S. person or (ii) is subject to both the primary supervision of a U.S. court and the control of one or more U.S. persons with respect to all substantial trust decisions.</w:t>
      </w:r>
    </w:p>
    <w:p>
      <w:pPr>
        <w:spacing w:after="0" w:line="197" w:lineRule="exact"/>
        <w:rPr>
          <w:sz w:val="20"/>
          <w:szCs w:val="20"/>
          <w:color w:val="auto"/>
        </w:rPr>
      </w:pPr>
    </w:p>
    <w:p>
      <w:pPr>
        <w:jc w:val="both"/>
        <w:ind w:firstLine="371"/>
        <w:spacing w:after="0" w:line="323" w:lineRule="auto"/>
        <w:rPr>
          <w:sz w:val="20"/>
          <w:szCs w:val="20"/>
          <w:color w:val="auto"/>
        </w:rPr>
      </w:pPr>
      <w:r>
        <w:rPr>
          <w:rFonts w:ascii="Arial" w:cs="Arial" w:eastAsia="Arial" w:hAnsi="Arial"/>
          <w:sz w:val="15"/>
          <w:szCs w:val="15"/>
          <w:color w:val="auto"/>
        </w:rPr>
        <w:t>This summary is based on the Code, final and temporary Treasury Regulations promulgated thereunder, United States court decisions, published rulings and administrative positions of the U.S. Internal Revenue Service (the "IRS") interpreting the Code, and the Treaty, as applicable and, in each case, as in effect and available as of the date of this Form 20-F. Any of the authorities on which this summary is based could be changed in a material and adverse manner at any time, and any such change could be applied on a retroactive basis and could affect the United States federal income tax consequences described in this summary. This</w:t>
      </w:r>
    </w:p>
    <w:p>
      <w:pPr>
        <w:spacing w:after="0" w:line="15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2" w:right="239" w:bottom="1440" w:gutter="0" w:footer="0" w:header="0"/>
        </w:sectPr>
      </w:pPr>
    </w:p>
    <w:bookmarkStart w:id="175" w:name="page176"/>
    <w:bookmarkEnd w:id="175"/>
    <w:p>
      <w:pPr>
        <w:spacing w:after="0"/>
        <w:rPr>
          <w:sz w:val="20"/>
          <w:szCs w:val="20"/>
          <w:color w:val="auto"/>
        </w:rPr>
      </w:pPr>
      <w:r>
        <w:rPr>
          <w:rFonts w:ascii="Arial" w:cs="Arial" w:eastAsia="Arial" w:hAnsi="Arial"/>
          <w:sz w:val="15"/>
          <w:szCs w:val="15"/>
          <w:color w:val="auto"/>
        </w:rPr>
        <w:t>summary does not discuss the potential effects, whether adverse or beneficial, of any proposed legislation that, if enacted, could be applied on a retroactive basis.</w:t>
      </w:r>
    </w:p>
    <w:p>
      <w:pPr>
        <w:spacing w:after="0" w:line="260" w:lineRule="exact"/>
        <w:rPr>
          <w:sz w:val="20"/>
          <w:szCs w:val="20"/>
          <w:color w:val="auto"/>
        </w:rPr>
      </w:pPr>
    </w:p>
    <w:p>
      <w:pPr>
        <w:jc w:val="both"/>
        <w:ind w:firstLine="463"/>
        <w:spacing w:after="0" w:line="287" w:lineRule="auto"/>
        <w:rPr>
          <w:sz w:val="20"/>
          <w:szCs w:val="20"/>
          <w:color w:val="auto"/>
        </w:rPr>
      </w:pPr>
      <w:r>
        <w:rPr>
          <w:rFonts w:ascii="Arial" w:cs="Arial" w:eastAsia="Arial" w:hAnsi="Arial"/>
          <w:sz w:val="16"/>
          <w:szCs w:val="16"/>
          <w:color w:val="auto"/>
        </w:rPr>
        <w:t>This summary does not describe United States federal estate and gift tax considerations, nor does it describe regional, state and local tax considerations within the United States. The following summary does not purport to be a comprehensive description of all of the possible tax considerations that may be relevant to a decision to purchase, hold or dispose of the common shares. In particular, this summary only deals with a holder who will hold the common shares as a capital asset and who does not own, directly or indirectly, 10% or more of our voting shares or of any of our direct or indirect subsidiaries. This summary does not address all of the tax consequences that may be relevant to holders in light of their particular circumstances, including but not limited to application of alternative minimum tax or rules applicable to taxpayers in special circumstances. Special rules may apply, for instance, to tax-exempt entities, banks, insurance companies, S corporations, dealers in securities or currencies, persons who will hold common shares as a position in a "straddle", hedge, constructive sale or "conversion transaction" for U.S. tax purposes, persons who have a "functional currency" other than the U.S. dollar or persons subject to U.S. taxation as expatriates. Furthermore, in general, this discussion does not address the tax consequences applicable to holders that are treated as partnerships or other pass-through entities for United States federal income tax purposes.</w:t>
      </w:r>
    </w:p>
    <w:p>
      <w:pPr>
        <w:spacing w:after="0" w:line="177" w:lineRule="exact"/>
        <w:rPr>
          <w:sz w:val="20"/>
          <w:szCs w:val="20"/>
          <w:color w:val="auto"/>
        </w:rPr>
      </w:pPr>
    </w:p>
    <w:p>
      <w:pPr>
        <w:jc w:val="both"/>
        <w:ind w:firstLine="527"/>
        <w:spacing w:after="0" w:line="259" w:lineRule="auto"/>
        <w:rPr>
          <w:sz w:val="20"/>
          <w:szCs w:val="20"/>
          <w:color w:val="auto"/>
        </w:rPr>
      </w:pPr>
      <w:r>
        <w:rPr>
          <w:rFonts w:ascii="Arial" w:cs="Arial" w:eastAsia="Arial" w:hAnsi="Arial"/>
          <w:sz w:val="18"/>
          <w:szCs w:val="18"/>
          <w:color w:val="auto"/>
        </w:rPr>
        <w:t>This summary is of a general nature only and is not, and should not be interpreted as, legal or tax advice to any particular U.S. Stockholder and no representation is made with respect to the U.S. income tax consequences to any particular person. Accordingly, U.S. Stockholders are advised to consult their own tax advisors with respect to their particular circumstances.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Dividends</w:t>
      </w:r>
    </w:p>
    <w:p>
      <w:pPr>
        <w:spacing w:after="0" w:line="225" w:lineRule="exact"/>
        <w:rPr>
          <w:sz w:val="20"/>
          <w:szCs w:val="20"/>
          <w:color w:val="auto"/>
        </w:rPr>
      </w:pPr>
    </w:p>
    <w:p>
      <w:pPr>
        <w:jc w:val="both"/>
        <w:ind w:firstLine="508"/>
        <w:spacing w:after="0" w:line="291" w:lineRule="auto"/>
        <w:rPr>
          <w:sz w:val="20"/>
          <w:szCs w:val="20"/>
          <w:color w:val="auto"/>
        </w:rPr>
      </w:pPr>
      <w:r>
        <w:rPr>
          <w:rFonts w:ascii="Arial" w:cs="Arial" w:eastAsia="Arial" w:hAnsi="Arial"/>
          <w:sz w:val="16"/>
          <w:szCs w:val="16"/>
          <w:color w:val="auto"/>
        </w:rPr>
        <w:t>For United States federal income tax purposes, the gross amount of all distributions, if any, paid with respect to the common shares out of current or accumulated earnings and profits ("E&amp;P") to a U.S. Stockholder generally will be treated as foreign source dividend income to such holder, even though the U.S. Stockholder generally receives only a portion of the gross amount (after giving effect to the Canadian withholding tax as potentially reduced by the Treaty). United States corporations that hold the common shares generally will not be entitled to the dividends received deduction that applies to dividends received from United States corporations. To the extent a distribution exceeds E&amp;P, it will be treated first as a return of capital to the extent of the U.S. Stockholder's adjusted basis and then as gain from the sale of a capital asset.</w:t>
      </w:r>
    </w:p>
    <w:p>
      <w:pPr>
        <w:spacing w:after="0" w:line="174" w:lineRule="exact"/>
        <w:rPr>
          <w:sz w:val="20"/>
          <w:szCs w:val="20"/>
          <w:color w:val="auto"/>
        </w:rPr>
      </w:pPr>
    </w:p>
    <w:p>
      <w:pPr>
        <w:jc w:val="both"/>
        <w:ind w:firstLine="392"/>
        <w:spacing w:after="0" w:line="286" w:lineRule="auto"/>
        <w:rPr>
          <w:sz w:val="20"/>
          <w:szCs w:val="20"/>
          <w:color w:val="auto"/>
        </w:rPr>
      </w:pPr>
      <w:r>
        <w:rPr>
          <w:rFonts w:ascii="Arial" w:cs="Arial" w:eastAsia="Arial" w:hAnsi="Arial"/>
          <w:sz w:val="16"/>
          <w:szCs w:val="16"/>
          <w:color w:val="auto"/>
        </w:rPr>
        <w:t>In the case of certain non-corporate U.S. Stockholders including individuals and certain estates and trusts, gains recognized prior to 2011 from the sale of a capital asset held for longer than 12 months are taxable at a maximum federal income tax rate of 15%, while gains from the sale of a capital asset that not meet such holding period are taxable at the rates applicable to ordinary income. Certain dividends paid prior to 2011 to certain non-corporate U.S. Stockholders, including individuals and certain estates and trusts, generally are also subject to the 15% maximum rate. The reduced tax rates generally are available only with respect to dividends received from U.S. corporations, and from non-U.S. corporations (a) that are eligible for the benefits of a comprehensive income tax treaty with the United States that the U.S. Treasury Department determines to be satisfactory and that contains an exchange of information program, or (b) whose stock is readily tradeable on an established securities market in the United States. In addition, the reduced tax rates are not available with respect to dividends received from a foreign corporation that was a passive foreign investment company in either the taxable year of the distribution or the preceding taxable year. Special rules may apply, however, to cause such dividends to be taxable at the higher rates applicable to ordinary income. For example, the reduced tax rates are not available with respect to a dividend on shares where the U.S. Stockholder does not continuously own such shares for more than 60 days during the 120-day period beginning 60 days before the ex-dividend date. Many other complex and special rules may apply as a condition to, or as a result of, the application of the reduced tax rate on dividends. U.S. Stockholders are advised to consult their own tax advisors.</w:t>
      </w:r>
    </w:p>
    <w:p>
      <w:pPr>
        <w:spacing w:after="0" w:line="178" w:lineRule="exact"/>
        <w:rPr>
          <w:sz w:val="20"/>
          <w:szCs w:val="20"/>
          <w:color w:val="auto"/>
        </w:rPr>
      </w:pPr>
    </w:p>
    <w:p>
      <w:pPr>
        <w:jc w:val="both"/>
        <w:ind w:firstLine="407"/>
        <w:spacing w:after="0" w:line="259" w:lineRule="auto"/>
        <w:rPr>
          <w:sz w:val="20"/>
          <w:szCs w:val="20"/>
          <w:color w:val="auto"/>
        </w:rPr>
      </w:pPr>
      <w:r>
        <w:rPr>
          <w:rFonts w:ascii="Arial" w:cs="Arial" w:eastAsia="Arial" w:hAnsi="Arial"/>
          <w:sz w:val="18"/>
          <w:szCs w:val="18"/>
          <w:color w:val="auto"/>
        </w:rPr>
        <w:t>For United States federal income tax purposes, the amount of any dividend paid in Canadian dollars will be the United States dollar value of the Canadian dollars at the exchange rate in effect on the date the dividend is properly included in income, whether or not the Canadian dollars are converted into United States dollars at</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76" w:name="page177"/>
    <w:bookmarkEnd w:id="176"/>
    <w:p>
      <w:pPr>
        <w:jc w:val="both"/>
        <w:spacing w:after="0" w:line="268" w:lineRule="auto"/>
        <w:rPr>
          <w:sz w:val="20"/>
          <w:szCs w:val="20"/>
          <w:color w:val="auto"/>
        </w:rPr>
      </w:pPr>
      <w:r>
        <w:rPr>
          <w:rFonts w:ascii="Arial" w:cs="Arial" w:eastAsia="Arial" w:hAnsi="Arial"/>
          <w:sz w:val="18"/>
          <w:szCs w:val="18"/>
          <w:color w:val="auto"/>
        </w:rPr>
        <w:t>that time. Gain or loss recognized by a U.S. Stockholder on a sale or exchange of the Canadian dollars will generally be United States source ordinary income or loss.</w:t>
      </w:r>
    </w:p>
    <w:p>
      <w:pPr>
        <w:spacing w:after="0" w:line="186" w:lineRule="exact"/>
        <w:rPr>
          <w:sz w:val="20"/>
          <w:szCs w:val="20"/>
          <w:color w:val="auto"/>
        </w:rPr>
      </w:pPr>
    </w:p>
    <w:p>
      <w:pPr>
        <w:jc w:val="both"/>
        <w:ind w:firstLine="373"/>
        <w:spacing w:after="0" w:line="254" w:lineRule="auto"/>
        <w:rPr>
          <w:sz w:val="20"/>
          <w:szCs w:val="20"/>
          <w:color w:val="auto"/>
        </w:rPr>
      </w:pPr>
      <w:r>
        <w:rPr>
          <w:rFonts w:ascii="Arial" w:cs="Arial" w:eastAsia="Arial" w:hAnsi="Arial"/>
          <w:sz w:val="18"/>
          <w:szCs w:val="18"/>
          <w:color w:val="auto"/>
        </w:rPr>
        <w:t>The withholding tax imposed by Canada generally is a creditable foreign tax for United States federal income tax purposes. Therefore, the U.S. Stockholder generally will be entitled to include the amount withheld as a foreign tax paid in computing a foreign tax credit (or in computing a deduction for foreign income taxes paid, if the holder does not elect to use the foreign tax credit provisions of the Code). The Code, however, imposes a number of limitations on the use of foreign tax credits, based on the particular facts and circumstances of each taxpayer. Investors should consult their tax advisors regarding the availability of the foreign tax credit. U.S. Stockholders that do not elect to claim foreign tax credit for a taxable year, may be eligible to deduct such withholding tax imposed by Canada.</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Capital Gains</w:t>
      </w:r>
    </w:p>
    <w:p>
      <w:pPr>
        <w:spacing w:after="0" w:line="225" w:lineRule="exact"/>
        <w:rPr>
          <w:sz w:val="20"/>
          <w:szCs w:val="20"/>
          <w:color w:val="auto"/>
        </w:rPr>
      </w:pPr>
    </w:p>
    <w:p>
      <w:pPr>
        <w:jc w:val="both"/>
        <w:ind w:firstLine="370"/>
        <w:spacing w:after="0" w:line="306" w:lineRule="auto"/>
        <w:rPr>
          <w:sz w:val="20"/>
          <w:szCs w:val="20"/>
          <w:color w:val="auto"/>
        </w:rPr>
      </w:pPr>
      <w:r>
        <w:rPr>
          <w:rFonts w:ascii="Arial" w:cs="Arial" w:eastAsia="Arial" w:hAnsi="Arial"/>
          <w:sz w:val="16"/>
          <w:szCs w:val="16"/>
          <w:color w:val="auto"/>
        </w:rPr>
        <w:t>Subject to the discussion below under the heading "— Passive Foreign Investment Company Considerations", gain or loss recognized by a U.S. Stockholder on the sale or other disposition of the common shares will be subject to United States federal income taxation as capital gain or loss in an amount equal to the difference between such U.S. Stockholder's adjusted basis in the common shares and the amount realized upon its disposition.</w:t>
      </w:r>
    </w:p>
    <w:p>
      <w:pPr>
        <w:spacing w:after="0" w:line="161" w:lineRule="exact"/>
        <w:rPr>
          <w:sz w:val="20"/>
          <w:szCs w:val="20"/>
          <w:color w:val="auto"/>
        </w:rPr>
      </w:pPr>
    </w:p>
    <w:p>
      <w:pPr>
        <w:jc w:val="both"/>
        <w:ind w:firstLine="431"/>
        <w:spacing w:after="0" w:line="256" w:lineRule="auto"/>
        <w:rPr>
          <w:sz w:val="20"/>
          <w:szCs w:val="20"/>
          <w:color w:val="auto"/>
        </w:rPr>
      </w:pPr>
      <w:r>
        <w:rPr>
          <w:rFonts w:ascii="Arial" w:cs="Arial" w:eastAsia="Arial" w:hAnsi="Arial"/>
          <w:sz w:val="18"/>
          <w:szCs w:val="18"/>
          <w:color w:val="auto"/>
        </w:rPr>
        <w:t>Gain on the sale of common shares held for more than one year by certain non-corporate U.S. Stockholders, including individuals and certain estates and trusts, will be taxable at a maximum rate of 15%. A reduced rate does not apply to capital gains realized by a U.S. Stockholder that is a corporation. Capital losses are generally deductible only against capital gains and not against ordinary income. In the case of an individual, however, unused capital losses in excess of capital gains may offset up to $3,000 annually of ordinary income.</w:t>
      </w:r>
    </w:p>
    <w:p>
      <w:pPr>
        <w:spacing w:after="0" w:line="197" w:lineRule="exact"/>
        <w:rPr>
          <w:sz w:val="20"/>
          <w:szCs w:val="20"/>
          <w:color w:val="auto"/>
        </w:rPr>
      </w:pPr>
    </w:p>
    <w:p>
      <w:pPr>
        <w:ind w:left="360"/>
        <w:spacing w:after="0"/>
        <w:rPr>
          <w:sz w:val="20"/>
          <w:szCs w:val="20"/>
          <w:color w:val="auto"/>
        </w:rPr>
      </w:pPr>
      <w:r>
        <w:rPr>
          <w:rFonts w:ascii="Arial" w:cs="Arial" w:eastAsia="Arial" w:hAnsi="Arial"/>
          <w:sz w:val="16"/>
          <w:szCs w:val="16"/>
          <w:color w:val="auto"/>
        </w:rPr>
        <w:t>Capital gain or loss recognized by a U.S. Stockholder on the sale or other disposition of common shares will generally be sourced in the United States.</w:t>
      </w:r>
    </w:p>
    <w:p>
      <w:pPr>
        <w:spacing w:after="0" w:line="24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Passive Foreign Investment Company Considerations</w:t>
      </w:r>
    </w:p>
    <w:p>
      <w:pPr>
        <w:spacing w:after="0" w:line="225" w:lineRule="exact"/>
        <w:rPr>
          <w:sz w:val="20"/>
          <w:szCs w:val="20"/>
          <w:color w:val="auto"/>
        </w:rPr>
      </w:pPr>
    </w:p>
    <w:p>
      <w:pPr>
        <w:jc w:val="both"/>
        <w:ind w:firstLine="368"/>
        <w:spacing w:after="0" w:line="298" w:lineRule="auto"/>
        <w:rPr>
          <w:sz w:val="20"/>
          <w:szCs w:val="20"/>
          <w:color w:val="auto"/>
        </w:rPr>
      </w:pPr>
      <w:r>
        <w:rPr>
          <w:rFonts w:ascii="Arial" w:cs="Arial" w:eastAsia="Arial" w:hAnsi="Arial"/>
          <w:sz w:val="16"/>
          <w:szCs w:val="16"/>
          <w:color w:val="auto"/>
        </w:rPr>
        <w:t>The Company will be classified as a passive foreign investment company (a "PFIC") for United States federal income tax purposes if either (i) 75% or more of its gross income is passive income or (ii) on average for the taxable year, 50% or more of its assets (by value) produce or are held for the production of passive income. Based on projections of the Company's income and assets and the manner in which the Company intends to manage its business, the Company expects that the Company will not be a PFIC. However, there can be no assurance that this will actually be the case.</w:t>
      </w:r>
    </w:p>
    <w:p>
      <w:pPr>
        <w:spacing w:after="0" w:line="167" w:lineRule="exact"/>
        <w:rPr>
          <w:sz w:val="20"/>
          <w:szCs w:val="20"/>
          <w:color w:val="auto"/>
        </w:rPr>
      </w:pPr>
    </w:p>
    <w:p>
      <w:pPr>
        <w:jc w:val="both"/>
        <w:ind w:firstLine="431"/>
        <w:spacing w:after="0" w:line="256" w:lineRule="auto"/>
        <w:rPr>
          <w:sz w:val="20"/>
          <w:szCs w:val="20"/>
          <w:color w:val="auto"/>
        </w:rPr>
      </w:pPr>
      <w:r>
        <w:rPr>
          <w:rFonts w:ascii="Arial" w:cs="Arial" w:eastAsia="Arial" w:hAnsi="Arial"/>
          <w:sz w:val="18"/>
          <w:szCs w:val="18"/>
          <w:color w:val="auto"/>
        </w:rPr>
        <w:t>If the Company were to be classified as a PFIC, the consequences to a U.S. Stockholder will depend in part on whether the U.S. Stockholder has made a "Mark-to-Market Election" or a "QEF Election" with respect to the Company. If the Company is a PFIC during a U.S. Stockholder's holding period and the U.S. Stockholder does not make a Mark-to-Market Election or a QEF Election, the U.S. Stockholder will generally be subject to special rules including interest charges.</w:t>
      </w:r>
    </w:p>
    <w:p>
      <w:pPr>
        <w:spacing w:after="0" w:line="197" w:lineRule="exact"/>
        <w:rPr>
          <w:sz w:val="20"/>
          <w:szCs w:val="20"/>
          <w:color w:val="auto"/>
        </w:rPr>
      </w:pPr>
    </w:p>
    <w:p>
      <w:pPr>
        <w:jc w:val="both"/>
        <w:ind w:firstLine="446"/>
        <w:spacing w:after="0" w:line="254" w:lineRule="auto"/>
        <w:rPr>
          <w:sz w:val="20"/>
          <w:szCs w:val="20"/>
          <w:color w:val="auto"/>
        </w:rPr>
      </w:pPr>
      <w:r>
        <w:rPr>
          <w:rFonts w:ascii="Arial" w:cs="Arial" w:eastAsia="Arial" w:hAnsi="Arial"/>
          <w:sz w:val="18"/>
          <w:szCs w:val="18"/>
          <w:color w:val="auto"/>
        </w:rPr>
        <w:t>If a U.S. Stockholder makes a Mark-to-Market Election, the U.S. Stockholder would generally be required to include in its income the excess of the fair market value of the common shares as of the close of each taxable year over the U.S. Stockholder's adjusted basis therein. If the U.S. Stockholder's adjusted basis in the common shares is greater than the fair market value of the common shares as of the close of the taxable year, the U.S. Stockholder may deduct such excess, but only up to the aggregate amount of ordinary income previously included as a result of the Mark-to-Market Election, reduced by any previous deduction taken. The U.S. Stockholder's adjusted basis in its common shares will be increased by the amount of income or reduced by the amount of deductions resulting from the Mark-to-Market Election.</w:t>
      </w:r>
    </w:p>
    <w:p>
      <w:pPr>
        <w:spacing w:after="0" w:line="198" w:lineRule="exact"/>
        <w:rPr>
          <w:sz w:val="20"/>
          <w:szCs w:val="20"/>
          <w:color w:val="auto"/>
        </w:rPr>
      </w:pPr>
    </w:p>
    <w:p>
      <w:pPr>
        <w:jc w:val="both"/>
        <w:ind w:firstLine="346"/>
        <w:spacing w:after="0" w:line="259" w:lineRule="auto"/>
        <w:rPr>
          <w:sz w:val="20"/>
          <w:szCs w:val="20"/>
          <w:color w:val="auto"/>
        </w:rPr>
      </w:pPr>
      <w:r>
        <w:rPr>
          <w:rFonts w:ascii="Arial" w:cs="Arial" w:eastAsia="Arial" w:hAnsi="Arial"/>
          <w:sz w:val="18"/>
          <w:szCs w:val="18"/>
          <w:color w:val="auto"/>
        </w:rPr>
        <w:t xml:space="preserve">A U.S. Stockholder who makes a QEF Election would generally be currently taxable on its </w:t>
      </w:r>
      <w:r>
        <w:rPr>
          <w:rFonts w:ascii="Arial" w:cs="Arial" w:eastAsia="Arial" w:hAnsi="Arial"/>
          <w:sz w:val="18"/>
          <w:szCs w:val="18"/>
          <w:i w:val="1"/>
          <w:iCs w:val="1"/>
          <w:color w:val="auto"/>
        </w:rPr>
        <w:t>pro rata</w:t>
      </w:r>
      <w:r>
        <w:rPr>
          <w:rFonts w:ascii="Arial" w:cs="Arial" w:eastAsia="Arial" w:hAnsi="Arial"/>
          <w:sz w:val="18"/>
          <w:szCs w:val="18"/>
          <w:color w:val="auto"/>
        </w:rPr>
        <w:t xml:space="preserve"> share of the Company's ordinary earnings and net capital gain (at ordinary income and capital gains rates, respectively) for each taxable year that the Company is classified as a PFIC, even if no dividend distributions were received.</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77" w:name="page178"/>
    <w:bookmarkEnd w:id="177"/>
    <w:p>
      <w:pPr>
        <w:jc w:val="both"/>
        <w:ind w:firstLine="645"/>
        <w:spacing w:after="0" w:line="259" w:lineRule="auto"/>
        <w:rPr>
          <w:sz w:val="20"/>
          <w:szCs w:val="20"/>
          <w:color w:val="auto"/>
        </w:rPr>
      </w:pPr>
      <w:r>
        <w:rPr>
          <w:rFonts w:ascii="Arial" w:cs="Arial" w:eastAsia="Arial" w:hAnsi="Arial"/>
          <w:sz w:val="18"/>
          <w:szCs w:val="18"/>
          <w:color w:val="auto"/>
        </w:rPr>
        <w:t>If for any year the Company determines that it is properly classified as a PFIC, it will comply with all reporting requirements necessary for a U.S. Stockholder to make a QEF Election and will, promptly following the end of such year and each year thereafter for which the Company is properly classified as a PFIC, provide to U.S. Stockholders the information required by the QEF Election.</w:t>
      </w:r>
    </w:p>
    <w:p>
      <w:pPr>
        <w:spacing w:after="0" w:line="194" w:lineRule="exact"/>
        <w:rPr>
          <w:sz w:val="20"/>
          <w:szCs w:val="20"/>
          <w:color w:val="auto"/>
        </w:rPr>
      </w:pPr>
    </w:p>
    <w:p>
      <w:pPr>
        <w:jc w:val="both"/>
        <w:ind w:firstLine="369"/>
        <w:spacing w:after="0" w:line="259" w:lineRule="auto"/>
        <w:rPr>
          <w:sz w:val="20"/>
          <w:szCs w:val="20"/>
          <w:color w:val="auto"/>
        </w:rPr>
      </w:pPr>
      <w:r>
        <w:rPr>
          <w:rFonts w:ascii="Arial" w:cs="Arial" w:eastAsia="Arial" w:hAnsi="Arial"/>
          <w:sz w:val="18"/>
          <w:szCs w:val="18"/>
          <w:color w:val="auto"/>
        </w:rPr>
        <w:t>Under current U.S. law, if the Company is a PFIC in any year, a U.S. Stockholder must file an annual return on IRS Form 8621, which describes the income received (or deemed to be received pursuant to a QEF Election) from the Company, any gain realized on a disposition of common shares and certain other information.</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Information Reporting; Backup Withholding Tax</w:t>
      </w:r>
    </w:p>
    <w:p>
      <w:pPr>
        <w:spacing w:after="0" w:line="225" w:lineRule="exact"/>
        <w:rPr>
          <w:sz w:val="20"/>
          <w:szCs w:val="20"/>
          <w:color w:val="auto"/>
        </w:rPr>
      </w:pPr>
    </w:p>
    <w:p>
      <w:pPr>
        <w:jc w:val="both"/>
        <w:ind w:firstLine="372"/>
        <w:spacing w:after="0" w:line="286" w:lineRule="auto"/>
        <w:rPr>
          <w:sz w:val="20"/>
          <w:szCs w:val="20"/>
          <w:color w:val="auto"/>
        </w:rPr>
      </w:pPr>
      <w:r>
        <w:rPr>
          <w:rFonts w:ascii="Arial" w:cs="Arial" w:eastAsia="Arial" w:hAnsi="Arial"/>
          <w:sz w:val="16"/>
          <w:szCs w:val="16"/>
          <w:color w:val="auto"/>
        </w:rPr>
        <w:t>Dividends on and proceeds arising from a sale of common shares generally will be subject to information reporting and backup withholding tax, currently at the rate of 28%, if (a) a U.S. Stockholder fails to furnish the U.S. Stockholder's correct United States taxpayer identification number (generally on Form W-9),</w:t>
      </w:r>
    </w:p>
    <w:p>
      <w:pPr>
        <w:jc w:val="both"/>
        <w:ind w:firstLine="8"/>
        <w:spacing w:after="0" w:line="288" w:lineRule="auto"/>
        <w:tabs>
          <w:tab w:leader="none" w:pos="249" w:val="left"/>
        </w:tabs>
        <w:numPr>
          <w:ilvl w:val="0"/>
          <w:numId w:val="72"/>
        </w:numPr>
        <w:rPr>
          <w:rFonts w:ascii="Arial" w:cs="Arial" w:eastAsia="Arial" w:hAnsi="Arial"/>
          <w:sz w:val="16"/>
          <w:szCs w:val="16"/>
          <w:color w:val="auto"/>
        </w:rPr>
      </w:pPr>
      <w:r>
        <w:rPr>
          <w:rFonts w:ascii="Arial" w:cs="Arial" w:eastAsia="Arial" w:hAnsi="Arial"/>
          <w:sz w:val="16"/>
          <w:szCs w:val="16"/>
          <w:color w:val="auto"/>
        </w:rPr>
        <w:t>the withholding agent is advised the U.S. Stockholder furnished an incorrect United States taxpayer identification number, (c) the withholding agent is notified by the IRS that the U.S. Stockholder has previously failed to properly report items subject to backup withholding tax, or (d) the U.S. Stockholder fails to certify, under penalty of perjury, that the U.S. Stockholder has furnished its correct U.S. taxpayer identification number and that the IRS has not notified the U.S. Stockholder that it is subject to backup withholding tax. However, U.S. Stockholders that are corporations generally are excluded from these information reporting and backup withholding tax rules. Amounts withheld as backup withholding may be credited against a U.S. Stockholder's United States federal income tax liability, and a U.S. Stockholder may obtain a refund of any excess amounts withheld under the backup withholding rules by filing the appropriate claim for refund with the IRS and furnishing any required information.</w:t>
      </w:r>
    </w:p>
    <w:p>
      <w:pPr>
        <w:spacing w:after="0" w:line="38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Audit Fees</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Fees paid to Ernst &amp; Young LLP for 2009 and 2008 are set out below.</w:t>
      </w:r>
    </w:p>
    <w:p>
      <w:pPr>
        <w:spacing w:after="0" w:line="208"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6240" w:type="dxa"/>
            <w:vAlign w:val="bottom"/>
          </w:tcPr>
          <w:p>
            <w:pPr>
              <w:spacing w:after="0"/>
              <w:rPr>
                <w:sz w:val="14"/>
                <w:szCs w:val="14"/>
                <w:color w:val="auto"/>
              </w:rPr>
            </w:pPr>
          </w:p>
        </w:tc>
        <w:tc>
          <w:tcPr>
            <w:tcW w:w="1280" w:type="dxa"/>
            <w:vAlign w:val="bottom"/>
          </w:tcPr>
          <w:p>
            <w:pPr>
              <w:jc w:val="center"/>
              <w:spacing w:after="0"/>
              <w:rPr>
                <w:sz w:val="20"/>
                <w:szCs w:val="20"/>
                <w:color w:val="auto"/>
              </w:rPr>
            </w:pPr>
            <w:r>
              <w:rPr>
                <w:rFonts w:ascii="Arial" w:cs="Arial" w:eastAsia="Arial" w:hAnsi="Arial"/>
                <w:sz w:val="14"/>
                <w:szCs w:val="14"/>
                <w:b w:val="1"/>
                <w:bCs w:val="1"/>
                <w:color w:val="auto"/>
                <w:w w:val="87"/>
              </w:rPr>
              <w:t>Year ended</w:t>
            </w:r>
          </w:p>
        </w:tc>
        <w:tc>
          <w:tcPr>
            <w:tcW w:w="160" w:type="dxa"/>
            <w:vAlign w:val="bottom"/>
          </w:tcPr>
          <w:p>
            <w:pPr>
              <w:spacing w:after="0"/>
              <w:rPr>
                <w:sz w:val="14"/>
                <w:szCs w:val="14"/>
                <w:color w:val="auto"/>
              </w:rPr>
            </w:pPr>
          </w:p>
        </w:tc>
        <w:tc>
          <w:tcPr>
            <w:tcW w:w="144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4"/>
              </w:rPr>
              <w:t>Year ended</w:t>
            </w:r>
          </w:p>
        </w:tc>
      </w:tr>
      <w:tr>
        <w:trPr>
          <w:trHeight w:val="149"/>
        </w:trPr>
        <w:tc>
          <w:tcPr>
            <w:tcW w:w="20" w:type="dxa"/>
            <w:vAlign w:val="bottom"/>
          </w:tcPr>
          <w:p>
            <w:pPr>
              <w:spacing w:after="0"/>
              <w:rPr>
                <w:sz w:val="12"/>
                <w:szCs w:val="12"/>
                <w:color w:val="auto"/>
              </w:rPr>
            </w:pPr>
          </w:p>
        </w:tc>
        <w:tc>
          <w:tcPr>
            <w:tcW w:w="6240" w:type="dxa"/>
            <w:vAlign w:val="bottom"/>
          </w:tcPr>
          <w:p>
            <w:pPr>
              <w:spacing w:after="0"/>
              <w:rPr>
                <w:sz w:val="12"/>
                <w:szCs w:val="12"/>
                <w:color w:val="auto"/>
              </w:rPr>
            </w:pPr>
          </w:p>
        </w:tc>
        <w:tc>
          <w:tcPr>
            <w:tcW w:w="12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7"/>
              </w:rPr>
              <w:t>December 31, 2009</w:t>
            </w:r>
          </w:p>
        </w:tc>
        <w:tc>
          <w:tcPr>
            <w:tcW w:w="160" w:type="dxa"/>
            <w:vAlign w:val="bottom"/>
          </w:tcPr>
          <w:p>
            <w:pPr>
              <w:spacing w:after="0"/>
              <w:rPr>
                <w:sz w:val="12"/>
                <w:szCs w:val="12"/>
                <w:color w:val="auto"/>
              </w:rPr>
            </w:pPr>
          </w:p>
        </w:tc>
        <w:tc>
          <w:tcPr>
            <w:tcW w:w="144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5"/>
              </w:rPr>
              <w:t>December 31, 2008</w:t>
            </w:r>
          </w:p>
        </w:tc>
      </w:tr>
      <w:tr>
        <w:trPr>
          <w:trHeight w:val="161"/>
        </w:trPr>
        <w:tc>
          <w:tcPr>
            <w:tcW w:w="20" w:type="dxa"/>
            <w:vAlign w:val="bottom"/>
          </w:tcPr>
          <w:p>
            <w:pPr>
              <w:spacing w:after="0"/>
              <w:rPr>
                <w:sz w:val="14"/>
                <w:szCs w:val="14"/>
                <w:color w:val="auto"/>
              </w:rPr>
            </w:pPr>
          </w:p>
        </w:tc>
        <w:tc>
          <w:tcPr>
            <w:tcW w:w="6240" w:type="dxa"/>
            <w:vAlign w:val="bottom"/>
          </w:tcPr>
          <w:p>
            <w:pPr>
              <w:spacing w:after="0"/>
              <w:rPr>
                <w:sz w:val="14"/>
                <w:szCs w:val="14"/>
                <w:color w:val="auto"/>
              </w:rPr>
            </w:pPr>
          </w:p>
        </w:tc>
        <w:tc>
          <w:tcPr>
            <w:tcW w:w="128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4"/>
              </w:rPr>
              <w:t>(C$ thousands)</w:t>
            </w:r>
          </w:p>
        </w:tc>
        <w:tc>
          <w:tcPr>
            <w:tcW w:w="160" w:type="dxa"/>
            <w:vAlign w:val="bottom"/>
          </w:tcPr>
          <w:p>
            <w:pPr>
              <w:spacing w:after="0"/>
              <w:rPr>
                <w:sz w:val="14"/>
                <w:szCs w:val="14"/>
                <w:color w:val="auto"/>
              </w:rPr>
            </w:pPr>
          </w:p>
        </w:tc>
        <w:tc>
          <w:tcPr>
            <w:tcW w:w="128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6"/>
              </w:rPr>
              <w:t>(C$ thousands)</w:t>
            </w:r>
          </w:p>
        </w:tc>
        <w:tc>
          <w:tcPr>
            <w:tcW w:w="160" w:type="dxa"/>
            <w:vAlign w:val="bottom"/>
          </w:tcPr>
          <w:p>
            <w:pPr>
              <w:spacing w:after="0"/>
              <w:rPr>
                <w:sz w:val="14"/>
                <w:szCs w:val="14"/>
                <w:color w:val="auto"/>
              </w:rPr>
            </w:pPr>
          </w:p>
        </w:tc>
      </w:tr>
      <w:tr>
        <w:trPr>
          <w:trHeight w:val="210"/>
        </w:trPr>
        <w:tc>
          <w:tcPr>
            <w:tcW w:w="20" w:type="dxa"/>
            <w:vAlign w:val="bottom"/>
          </w:tcPr>
          <w:p>
            <w:pPr>
              <w:spacing w:after="0"/>
              <w:rPr>
                <w:sz w:val="18"/>
                <w:szCs w:val="18"/>
                <w:color w:val="auto"/>
              </w:rPr>
            </w:pPr>
          </w:p>
        </w:tc>
        <w:tc>
          <w:tcPr>
            <w:tcW w:w="6240" w:type="dxa"/>
            <w:vAlign w:val="bottom"/>
            <w:shd w:val="clear" w:color="auto" w:fill="CCEEFF"/>
          </w:tcPr>
          <w:p>
            <w:pPr>
              <w:spacing w:after="0"/>
              <w:rPr>
                <w:sz w:val="20"/>
                <w:szCs w:val="20"/>
                <w:color w:val="auto"/>
              </w:rPr>
            </w:pPr>
            <w:r>
              <w:rPr>
                <w:rFonts w:ascii="Arial" w:cs="Arial" w:eastAsia="Arial" w:hAnsi="Arial"/>
                <w:sz w:val="18"/>
                <w:szCs w:val="18"/>
                <w:color w:val="auto"/>
              </w:rPr>
              <w:t>Audit fees</w:t>
            </w: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1,735</w:t>
            </w:r>
          </w:p>
        </w:tc>
        <w:tc>
          <w:tcPr>
            <w:tcW w:w="14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1,815</w:t>
            </w:r>
          </w:p>
        </w:tc>
        <w:tc>
          <w:tcPr>
            <w:tcW w:w="16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6240" w:type="dxa"/>
            <w:vAlign w:val="bottom"/>
          </w:tcPr>
          <w:p>
            <w:pPr>
              <w:spacing w:after="0"/>
              <w:rPr>
                <w:sz w:val="20"/>
                <w:szCs w:val="20"/>
                <w:color w:val="auto"/>
              </w:rPr>
            </w:pPr>
            <w:r>
              <w:rPr>
                <w:rFonts w:ascii="Arial" w:cs="Arial" w:eastAsia="Arial" w:hAnsi="Arial"/>
                <w:sz w:val="18"/>
                <w:szCs w:val="18"/>
                <w:color w:val="auto"/>
              </w:rPr>
              <w:t>Audit-related fees</w:t>
            </w:r>
          </w:p>
        </w:tc>
        <w:tc>
          <w:tcPr>
            <w:tcW w:w="1280" w:type="dxa"/>
            <w:vAlign w:val="bottom"/>
          </w:tcPr>
          <w:p>
            <w:pPr>
              <w:jc w:val="right"/>
              <w:spacing w:after="0"/>
              <w:rPr>
                <w:sz w:val="20"/>
                <w:szCs w:val="20"/>
                <w:color w:val="auto"/>
              </w:rPr>
            </w:pPr>
            <w:r>
              <w:rPr>
                <w:rFonts w:ascii="Arial" w:cs="Arial" w:eastAsia="Arial" w:hAnsi="Arial"/>
                <w:sz w:val="18"/>
                <w:szCs w:val="18"/>
                <w:color w:val="auto"/>
              </w:rPr>
              <w:t>18</w:t>
            </w:r>
          </w:p>
        </w:tc>
        <w:tc>
          <w:tcPr>
            <w:tcW w:w="1440" w:type="dxa"/>
            <w:vAlign w:val="bottom"/>
            <w:gridSpan w:val="2"/>
          </w:tcPr>
          <w:p>
            <w:pPr>
              <w:jc w:val="right"/>
              <w:spacing w:after="0"/>
              <w:rPr>
                <w:sz w:val="20"/>
                <w:szCs w:val="20"/>
                <w:color w:val="auto"/>
              </w:rPr>
            </w:pPr>
            <w:r>
              <w:rPr>
                <w:rFonts w:ascii="Arial" w:cs="Arial" w:eastAsia="Arial" w:hAnsi="Arial"/>
                <w:sz w:val="18"/>
                <w:szCs w:val="18"/>
                <w:color w:val="auto"/>
              </w:rPr>
              <w:t>35</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6240" w:type="dxa"/>
            <w:vAlign w:val="bottom"/>
            <w:shd w:val="clear" w:color="auto" w:fill="CCEEFF"/>
          </w:tcPr>
          <w:p>
            <w:pPr>
              <w:spacing w:after="0"/>
              <w:rPr>
                <w:sz w:val="20"/>
                <w:szCs w:val="20"/>
                <w:color w:val="auto"/>
              </w:rPr>
            </w:pPr>
            <w:r>
              <w:rPr>
                <w:rFonts w:ascii="Arial" w:cs="Arial" w:eastAsia="Arial" w:hAnsi="Arial"/>
                <w:sz w:val="18"/>
                <w:szCs w:val="18"/>
                <w:color w:val="auto"/>
              </w:rPr>
              <w:t>Tax consulting fees</w:t>
            </w: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233</w:t>
            </w:r>
          </w:p>
        </w:tc>
        <w:tc>
          <w:tcPr>
            <w:tcW w:w="14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721</w:t>
            </w:r>
          </w:p>
        </w:tc>
        <w:tc>
          <w:tcPr>
            <w:tcW w:w="160" w:type="dxa"/>
            <w:vAlign w:val="bottom"/>
            <w:shd w:val="clear" w:color="auto" w:fill="CCEEFF"/>
          </w:tcPr>
          <w:p>
            <w:pPr>
              <w:spacing w:after="0"/>
              <w:rPr>
                <w:sz w:val="18"/>
                <w:szCs w:val="18"/>
                <w:color w:val="auto"/>
              </w:rPr>
            </w:pPr>
          </w:p>
        </w:tc>
      </w:tr>
      <w:tr>
        <w:trPr>
          <w:trHeight w:val="222"/>
        </w:trPr>
        <w:tc>
          <w:tcPr>
            <w:tcW w:w="20" w:type="dxa"/>
            <w:vAlign w:val="bottom"/>
          </w:tcPr>
          <w:p>
            <w:pPr>
              <w:spacing w:after="0"/>
              <w:rPr>
                <w:sz w:val="19"/>
                <w:szCs w:val="19"/>
                <w:color w:val="auto"/>
              </w:rPr>
            </w:pPr>
          </w:p>
        </w:tc>
        <w:tc>
          <w:tcPr>
            <w:tcW w:w="6240" w:type="dxa"/>
            <w:vAlign w:val="bottom"/>
          </w:tcPr>
          <w:p>
            <w:pPr>
              <w:spacing w:after="0"/>
              <w:rPr>
                <w:sz w:val="20"/>
                <w:szCs w:val="20"/>
                <w:color w:val="auto"/>
              </w:rPr>
            </w:pPr>
            <w:r>
              <w:rPr>
                <w:rFonts w:ascii="Arial" w:cs="Arial" w:eastAsia="Arial" w:hAnsi="Arial"/>
                <w:sz w:val="18"/>
                <w:szCs w:val="18"/>
                <w:color w:val="auto"/>
              </w:rPr>
              <w:t>All other fees</w:t>
            </w:r>
          </w:p>
        </w:tc>
        <w:tc>
          <w:tcPr>
            <w:tcW w:w="1280" w:type="dxa"/>
            <w:vAlign w:val="bottom"/>
          </w:tcPr>
          <w:p>
            <w:pPr>
              <w:jc w:val="right"/>
              <w:spacing w:after="0"/>
              <w:rPr>
                <w:sz w:val="20"/>
                <w:szCs w:val="20"/>
                <w:color w:val="auto"/>
              </w:rPr>
            </w:pPr>
            <w:r>
              <w:rPr>
                <w:rFonts w:ascii="Arial" w:cs="Arial" w:eastAsia="Arial" w:hAnsi="Arial"/>
                <w:sz w:val="18"/>
                <w:szCs w:val="18"/>
                <w:color w:val="auto"/>
              </w:rPr>
              <w:t>64</w:t>
            </w:r>
          </w:p>
        </w:tc>
        <w:tc>
          <w:tcPr>
            <w:tcW w:w="1440" w:type="dxa"/>
            <w:vAlign w:val="bottom"/>
            <w:gridSpan w:val="2"/>
          </w:tcPr>
          <w:p>
            <w:pPr>
              <w:jc w:val="right"/>
              <w:spacing w:after="0"/>
              <w:rPr>
                <w:sz w:val="20"/>
                <w:szCs w:val="20"/>
                <w:color w:val="auto"/>
              </w:rPr>
            </w:pPr>
            <w:r>
              <w:rPr>
                <w:rFonts w:ascii="Arial" w:cs="Arial" w:eastAsia="Arial" w:hAnsi="Arial"/>
                <w:sz w:val="18"/>
                <w:szCs w:val="18"/>
                <w:color w:val="auto"/>
              </w:rPr>
              <w:t>70</w:t>
            </w:r>
          </w:p>
        </w:tc>
        <w:tc>
          <w:tcPr>
            <w:tcW w:w="160" w:type="dxa"/>
            <w:vAlign w:val="bottom"/>
          </w:tcPr>
          <w:p>
            <w:pPr>
              <w:spacing w:after="0"/>
              <w:rPr>
                <w:sz w:val="19"/>
                <w:szCs w:val="19"/>
                <w:color w:val="auto"/>
              </w:rPr>
            </w:pPr>
          </w:p>
        </w:tc>
      </w:tr>
      <w:tr>
        <w:trPr>
          <w:trHeight w:val="21"/>
        </w:trPr>
        <w:tc>
          <w:tcPr>
            <w:tcW w:w="20" w:type="dxa"/>
            <w:vAlign w:val="bottom"/>
          </w:tcPr>
          <w:p>
            <w:pPr>
              <w:spacing w:after="0" w:line="20" w:lineRule="exact"/>
              <w:rPr>
                <w:sz w:val="1"/>
                <w:szCs w:val="1"/>
                <w:color w:val="auto"/>
              </w:rPr>
            </w:pPr>
          </w:p>
        </w:tc>
        <w:tc>
          <w:tcPr>
            <w:tcW w:w="6240" w:type="dxa"/>
            <w:vAlign w:val="bottom"/>
          </w:tcPr>
          <w:p>
            <w:pPr>
              <w:spacing w:after="0" w:line="20" w:lineRule="exact"/>
              <w:rPr>
                <w:sz w:val="1"/>
                <w:szCs w:val="1"/>
                <w:color w:val="auto"/>
              </w:rPr>
            </w:pPr>
          </w:p>
        </w:tc>
        <w:tc>
          <w:tcPr>
            <w:tcW w:w="12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210"/>
        </w:trPr>
        <w:tc>
          <w:tcPr>
            <w:tcW w:w="20" w:type="dxa"/>
            <w:vAlign w:val="bottom"/>
          </w:tcPr>
          <w:p>
            <w:pPr>
              <w:spacing w:after="0"/>
              <w:rPr>
                <w:sz w:val="18"/>
                <w:szCs w:val="18"/>
                <w:color w:val="auto"/>
              </w:rPr>
            </w:pPr>
          </w:p>
        </w:tc>
        <w:tc>
          <w:tcPr>
            <w:tcW w:w="62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2,050</w:t>
            </w:r>
          </w:p>
        </w:tc>
        <w:tc>
          <w:tcPr>
            <w:tcW w:w="1440" w:type="dxa"/>
            <w:vAlign w:val="bottom"/>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rPr>
              <w:t>2,641</w:t>
            </w:r>
          </w:p>
        </w:tc>
        <w:tc>
          <w:tcPr>
            <w:tcW w:w="160" w:type="dxa"/>
            <w:vAlign w:val="bottom"/>
            <w:shd w:val="clear" w:color="auto" w:fill="CCEEFF"/>
          </w:tcPr>
          <w:p>
            <w:pPr>
              <w:spacing w:after="0"/>
              <w:rPr>
                <w:sz w:val="18"/>
                <w:szCs w:val="18"/>
                <w:color w:val="auto"/>
              </w:rPr>
            </w:pPr>
          </w:p>
        </w:tc>
      </w:tr>
      <w:tr>
        <w:trPr>
          <w:trHeight w:val="27"/>
        </w:trPr>
        <w:tc>
          <w:tcPr>
            <w:tcW w:w="20" w:type="dxa"/>
            <w:vAlign w:val="bottom"/>
          </w:tcPr>
          <w:p>
            <w:pPr>
              <w:spacing w:after="0"/>
              <w:rPr>
                <w:sz w:val="2"/>
                <w:szCs w:val="2"/>
                <w:color w:val="auto"/>
              </w:rPr>
            </w:pPr>
          </w:p>
        </w:tc>
        <w:tc>
          <w:tcPr>
            <w:tcW w:w="6240" w:type="dxa"/>
            <w:vAlign w:val="bottom"/>
          </w:tcPr>
          <w:p>
            <w:pPr>
              <w:spacing w:after="0"/>
              <w:rPr>
                <w:sz w:val="2"/>
                <w:szCs w:val="2"/>
                <w:color w:val="auto"/>
              </w:rPr>
            </w:pPr>
          </w:p>
        </w:tc>
        <w:tc>
          <w:tcPr>
            <w:tcW w:w="128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28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r>
      <w:tr>
        <w:trPr>
          <w:trHeight w:val="20"/>
        </w:trPr>
        <w:tc>
          <w:tcPr>
            <w:tcW w:w="20" w:type="dxa"/>
            <w:vAlign w:val="bottom"/>
          </w:tcPr>
          <w:p>
            <w:pPr>
              <w:spacing w:after="0" w:line="20" w:lineRule="exact"/>
              <w:rPr>
                <w:sz w:val="1"/>
                <w:szCs w:val="1"/>
                <w:color w:val="auto"/>
              </w:rPr>
            </w:pPr>
          </w:p>
        </w:tc>
        <w:tc>
          <w:tcPr>
            <w:tcW w:w="6240" w:type="dxa"/>
            <w:vAlign w:val="bottom"/>
          </w:tcPr>
          <w:p>
            <w:pPr>
              <w:spacing w:after="0" w:line="20" w:lineRule="exact"/>
              <w:rPr>
                <w:sz w:val="1"/>
                <w:szCs w:val="1"/>
                <w:color w:val="auto"/>
              </w:rPr>
            </w:pPr>
          </w:p>
        </w:tc>
        <w:tc>
          <w:tcPr>
            <w:tcW w:w="12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jc w:val="both"/>
        <w:ind w:firstLine="385"/>
        <w:spacing w:after="0" w:line="294" w:lineRule="auto"/>
        <w:rPr>
          <w:sz w:val="20"/>
          <w:szCs w:val="20"/>
          <w:color w:val="auto"/>
        </w:rPr>
      </w:pPr>
      <w:r>
        <w:rPr>
          <w:rFonts w:ascii="Arial" w:cs="Arial" w:eastAsia="Arial" w:hAnsi="Arial"/>
          <w:sz w:val="16"/>
          <w:szCs w:val="16"/>
          <w:color w:val="auto"/>
        </w:rPr>
        <w:t>Audit fees were paid for professional services rendered by the auditors for the audit of Agnico-Eagle's annual financial statements and related statutory and regulatory filings and for the quarterly review of Agnico-Eagle's interim financial statements. Audit fees also include prospectus-related fees for professional services rendered by the auditors in connection with equity financings by Agnico-Eagle during 2009. These services consisted of the audit or review, as required, of financial statements included in the prospectuses, the review of documents filed with securities regulatory authorities, correspondence with securities regulatory authorities and all other services required by regulatory authorities in connection with the filing of these documents.</w:t>
      </w:r>
    </w:p>
    <w:p>
      <w:pPr>
        <w:spacing w:after="0" w:line="170" w:lineRule="exact"/>
        <w:rPr>
          <w:sz w:val="20"/>
          <w:szCs w:val="20"/>
          <w:color w:val="auto"/>
        </w:rPr>
      </w:pPr>
    </w:p>
    <w:p>
      <w:pPr>
        <w:jc w:val="both"/>
        <w:ind w:firstLine="352"/>
        <w:spacing w:after="0" w:line="259" w:lineRule="auto"/>
        <w:rPr>
          <w:sz w:val="20"/>
          <w:szCs w:val="20"/>
          <w:color w:val="auto"/>
        </w:rPr>
      </w:pPr>
      <w:r>
        <w:rPr>
          <w:rFonts w:ascii="Arial" w:cs="Arial" w:eastAsia="Arial" w:hAnsi="Arial"/>
          <w:sz w:val="18"/>
          <w:szCs w:val="18"/>
          <w:color w:val="auto"/>
        </w:rPr>
        <w:t>Audit-related fees consist of fees paid for assurance and related services performed by the auditors that are reasonably related to the performance of the audit of the Company's financial statements. This includes consultation with respect to financial reporting, accounting standards and compliance with Section 404 of SOX.</w:t>
      </w:r>
    </w:p>
    <w:p>
      <w:pPr>
        <w:spacing w:after="0" w:line="194" w:lineRule="exact"/>
        <w:rPr>
          <w:sz w:val="20"/>
          <w:szCs w:val="20"/>
          <w:color w:val="auto"/>
        </w:rPr>
      </w:pPr>
    </w:p>
    <w:p>
      <w:pPr>
        <w:jc w:val="both"/>
        <w:ind w:firstLine="432"/>
        <w:spacing w:after="0" w:line="259" w:lineRule="auto"/>
        <w:rPr>
          <w:sz w:val="20"/>
          <w:szCs w:val="20"/>
          <w:color w:val="auto"/>
        </w:rPr>
      </w:pPr>
      <w:r>
        <w:rPr>
          <w:rFonts w:ascii="Arial" w:cs="Arial" w:eastAsia="Arial" w:hAnsi="Arial"/>
          <w:sz w:val="18"/>
          <w:szCs w:val="18"/>
          <w:color w:val="auto"/>
        </w:rPr>
        <w:t>Tax consulting fees were paid for professional services relating to tax compliance, tax advice and tax planning. These services included the review of tax returns, assistance with eligibility of expenditures under the Canadian flow-through share tax regime and tax planning and advisory services in connection with international and domestic taxation issues.</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8" w:name="page179"/>
    <w:bookmarkEnd w:id="178"/>
    <w:p>
      <w:pPr>
        <w:jc w:val="both"/>
        <w:ind w:firstLine="341"/>
        <w:spacing w:after="0" w:line="268" w:lineRule="auto"/>
        <w:rPr>
          <w:sz w:val="20"/>
          <w:szCs w:val="20"/>
          <w:color w:val="auto"/>
        </w:rPr>
      </w:pPr>
      <w:r>
        <w:rPr>
          <w:rFonts w:ascii="Arial" w:cs="Arial" w:eastAsia="Arial" w:hAnsi="Arial"/>
          <w:sz w:val="18"/>
          <w:szCs w:val="18"/>
          <w:color w:val="auto"/>
        </w:rPr>
        <w:t>All other fees were paid for services other than the fees listed above and include fees for professional services rendered by the auditors in connection with the translation of securities regulatory filings required to comply with securities laws in certain Canadian jurisdictions.</w:t>
      </w:r>
    </w:p>
    <w:p>
      <w:pPr>
        <w:spacing w:after="0" w:line="186" w:lineRule="exact"/>
        <w:rPr>
          <w:sz w:val="20"/>
          <w:szCs w:val="20"/>
          <w:color w:val="auto"/>
        </w:rPr>
      </w:pPr>
    </w:p>
    <w:p>
      <w:pPr>
        <w:ind w:left="360"/>
        <w:spacing w:after="0"/>
        <w:rPr>
          <w:sz w:val="20"/>
          <w:szCs w:val="20"/>
          <w:color w:val="auto"/>
        </w:rPr>
      </w:pPr>
      <w:r>
        <w:rPr>
          <w:rFonts w:ascii="Arial" w:cs="Arial" w:eastAsia="Arial" w:hAnsi="Arial"/>
          <w:sz w:val="18"/>
          <w:szCs w:val="18"/>
          <w:color w:val="auto"/>
        </w:rPr>
        <w:t>No other fees were paid to auditors in the previous two years.</w:t>
      </w:r>
    </w:p>
    <w:p>
      <w:pPr>
        <w:spacing w:after="0" w:line="225" w:lineRule="exact"/>
        <w:rPr>
          <w:sz w:val="20"/>
          <w:szCs w:val="20"/>
          <w:color w:val="auto"/>
        </w:rPr>
      </w:pPr>
    </w:p>
    <w:p>
      <w:pPr>
        <w:jc w:val="both"/>
        <w:ind w:right="20" w:firstLine="392"/>
        <w:spacing w:after="0" w:line="268" w:lineRule="auto"/>
        <w:rPr>
          <w:sz w:val="20"/>
          <w:szCs w:val="20"/>
          <w:color w:val="auto"/>
        </w:rPr>
      </w:pPr>
      <w:r>
        <w:rPr>
          <w:rFonts w:ascii="Arial" w:cs="Arial" w:eastAsia="Arial" w:hAnsi="Arial"/>
          <w:sz w:val="18"/>
          <w:szCs w:val="18"/>
          <w:color w:val="auto"/>
        </w:rPr>
        <w:t>The Audit Committee has adopted a policy that requires the pre-approval of all fees paid to Ernst &amp; Young LLP prior to the commencement of the specific engagement, and all fees referred to above were pre-approved in accordance with such policy.</w:t>
      </w:r>
    </w:p>
    <w:p>
      <w:pPr>
        <w:spacing w:after="0" w:line="3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Documents on Display</w:t>
      </w:r>
    </w:p>
    <w:p>
      <w:pPr>
        <w:spacing w:after="0" w:line="231" w:lineRule="exact"/>
        <w:rPr>
          <w:sz w:val="20"/>
          <w:szCs w:val="20"/>
          <w:color w:val="auto"/>
        </w:rPr>
      </w:pPr>
    </w:p>
    <w:p>
      <w:pPr>
        <w:jc w:val="both"/>
        <w:ind w:firstLine="348"/>
        <w:spacing w:after="0" w:line="298" w:lineRule="auto"/>
        <w:rPr>
          <w:sz w:val="20"/>
          <w:szCs w:val="20"/>
          <w:color w:val="auto"/>
        </w:rPr>
      </w:pPr>
      <w:r>
        <w:rPr>
          <w:rFonts w:ascii="Arial" w:cs="Arial" w:eastAsia="Arial" w:hAnsi="Arial"/>
          <w:sz w:val="16"/>
          <w:szCs w:val="16"/>
          <w:color w:val="auto"/>
        </w:rPr>
        <w:t>The Company's filings with the SEC, including exhibits and schedules filed with this Form 20-F, may be reviewed and copied at prescribed rates at the SEC's public reference room located at 100 F Street, N.E., Washington, D.C. 20549. Further information on the public reference rooms may be obtained by calling the SEC at 1-800-SEC-0330. The SEC maintains a web site (www.sec.gov) that contains reports, proxy and information statements and other information regarding registrants that file electronically with the SEC. Agnico-Eagle began to file electronically with the SEC in August 2002.</w:t>
      </w:r>
    </w:p>
    <w:p>
      <w:pPr>
        <w:spacing w:after="0" w:line="167" w:lineRule="exact"/>
        <w:rPr>
          <w:sz w:val="20"/>
          <w:szCs w:val="20"/>
          <w:color w:val="auto"/>
        </w:rPr>
      </w:pPr>
    </w:p>
    <w:p>
      <w:pPr>
        <w:jc w:val="both"/>
        <w:ind w:firstLine="410"/>
        <w:spacing w:after="0" w:line="332" w:lineRule="auto"/>
        <w:rPr>
          <w:sz w:val="20"/>
          <w:szCs w:val="20"/>
          <w:color w:val="auto"/>
        </w:rPr>
      </w:pPr>
      <w:r>
        <w:rPr>
          <w:rFonts w:ascii="Arial" w:cs="Arial" w:eastAsia="Arial" w:hAnsi="Arial"/>
          <w:sz w:val="16"/>
          <w:szCs w:val="16"/>
          <w:color w:val="auto"/>
        </w:rPr>
        <w:t>Any reports, statements or other information that the Company files with the SEC may be read at the addresses indicated above and may also be accessed electronically at the web site set forth above. These SEC filings are also available to the public from commercial document retrieval services.</w:t>
      </w:r>
    </w:p>
    <w:p>
      <w:pPr>
        <w:spacing w:after="0" w:line="139" w:lineRule="exact"/>
        <w:rPr>
          <w:sz w:val="20"/>
          <w:szCs w:val="20"/>
          <w:color w:val="auto"/>
        </w:rPr>
      </w:pPr>
    </w:p>
    <w:p>
      <w:pPr>
        <w:jc w:val="both"/>
        <w:ind w:firstLine="376"/>
        <w:spacing w:after="0" w:line="268" w:lineRule="auto"/>
        <w:rPr>
          <w:sz w:val="20"/>
          <w:szCs w:val="20"/>
          <w:color w:val="auto"/>
        </w:rPr>
      </w:pPr>
      <w:r>
        <w:rPr>
          <w:rFonts w:ascii="Arial" w:cs="Arial" w:eastAsia="Arial" w:hAnsi="Arial"/>
          <w:sz w:val="18"/>
          <w:szCs w:val="18"/>
          <w:color w:val="auto"/>
        </w:rPr>
        <w:t>The Company also files reports, statements and other information with the CSA and these can be accessed electronically at the CSA's System for Electronic Document Analysis and Retrieval web site at www.sedar.com.</w:t>
      </w:r>
    </w:p>
    <w:p>
      <w:pPr>
        <w:spacing w:after="0" w:line="186"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Company's filings with the SEC and CSA may also be accessed electronically from the Company's website at www.agnico eagle.com.</w:t>
      </w:r>
    </w:p>
    <w:p>
      <w:pPr>
        <w:spacing w:after="0" w:line="219" w:lineRule="exact"/>
        <w:rPr>
          <w:sz w:val="20"/>
          <w:szCs w:val="20"/>
          <w:color w:val="auto"/>
        </w:rPr>
      </w:pPr>
    </w:p>
    <w:p>
      <w:pPr>
        <w:spacing w:after="0"/>
        <w:tabs>
          <w:tab w:leader="none" w:pos="840" w:val="left"/>
        </w:tabs>
        <w:rPr>
          <w:sz w:val="20"/>
          <w:szCs w:val="20"/>
          <w:color w:val="auto"/>
        </w:rPr>
      </w:pPr>
      <w:r>
        <w:rPr>
          <w:rFonts w:ascii="Arial" w:cs="Arial" w:eastAsia="Arial" w:hAnsi="Arial"/>
          <w:sz w:val="18"/>
          <w:szCs w:val="18"/>
          <w:b w:val="1"/>
          <w:bCs w:val="1"/>
          <w:color w:val="auto"/>
        </w:rPr>
        <w:t>ITEM 11</w:t>
      </w:r>
      <w:r>
        <w:rPr>
          <w:sz w:val="20"/>
          <w:szCs w:val="20"/>
          <w:color w:val="auto"/>
        </w:rPr>
        <w:tab/>
      </w:r>
      <w:r>
        <w:rPr>
          <w:rFonts w:ascii="Arial" w:cs="Arial" w:eastAsia="Arial" w:hAnsi="Arial"/>
          <w:sz w:val="16"/>
          <w:szCs w:val="16"/>
          <w:b w:val="1"/>
          <w:bCs w:val="1"/>
          <w:color w:val="auto"/>
        </w:rPr>
        <w:t>QUANTITATIVE AND QUALITATIVE DISCLOSURES ABOUT MARKET RISK</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Metal Price and Foreign Currency</w:t>
      </w:r>
    </w:p>
    <w:p>
      <w:pPr>
        <w:spacing w:after="0" w:line="225" w:lineRule="exact"/>
        <w:rPr>
          <w:sz w:val="20"/>
          <w:szCs w:val="20"/>
          <w:color w:val="auto"/>
        </w:rPr>
      </w:pPr>
    </w:p>
    <w:p>
      <w:pPr>
        <w:jc w:val="both"/>
        <w:ind w:right="20" w:firstLine="422"/>
        <w:spacing w:after="0" w:line="268" w:lineRule="auto"/>
        <w:rPr>
          <w:sz w:val="20"/>
          <w:szCs w:val="20"/>
          <w:color w:val="auto"/>
        </w:rPr>
      </w:pPr>
      <w:r>
        <w:rPr>
          <w:rFonts w:ascii="Arial" w:cs="Arial" w:eastAsia="Arial" w:hAnsi="Arial"/>
          <w:sz w:val="18"/>
          <w:szCs w:val="18"/>
          <w:color w:val="auto"/>
        </w:rPr>
        <w:t>Agnico-Eagle's net income is most sensitive to metal prices and the Canadian dollar/US dollar and Euro/US dollar exchange rates. For the purpose of the sensitivities set out in the table below, Agnico-Eagle used the following metal price and exchange rate assumptions:</w:t>
      </w:r>
    </w:p>
    <w:p>
      <w:pPr>
        <w:spacing w:after="0" w:line="199" w:lineRule="exact"/>
        <w:rPr>
          <w:sz w:val="20"/>
          <w:szCs w:val="20"/>
          <w:color w:val="auto"/>
        </w:rPr>
      </w:pPr>
    </w:p>
    <w:p>
      <w:pPr>
        <w:ind w:left="1080" w:hanging="532"/>
        <w:spacing w:after="0"/>
        <w:tabs>
          <w:tab w:leader="none" w:pos="1080" w:val="left"/>
        </w:tabs>
        <w:numPr>
          <w:ilvl w:val="0"/>
          <w:numId w:val="73"/>
        </w:numPr>
        <w:rPr>
          <w:rFonts w:ascii="Arial" w:cs="Arial" w:eastAsia="Arial" w:hAnsi="Arial"/>
          <w:sz w:val="18"/>
          <w:szCs w:val="18"/>
          <w:color w:val="auto"/>
        </w:rPr>
      </w:pPr>
      <w:r>
        <w:rPr>
          <w:rFonts w:ascii="Arial" w:cs="Arial" w:eastAsia="Arial" w:hAnsi="Arial"/>
          <w:sz w:val="18"/>
          <w:szCs w:val="18"/>
          <w:color w:val="auto"/>
        </w:rPr>
        <w:t>Gold — $950 per ounce;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73"/>
        </w:numPr>
        <w:rPr>
          <w:rFonts w:ascii="Arial" w:cs="Arial" w:eastAsia="Arial" w:hAnsi="Arial"/>
          <w:sz w:val="18"/>
          <w:szCs w:val="18"/>
          <w:color w:val="auto"/>
        </w:rPr>
      </w:pPr>
      <w:r>
        <w:rPr>
          <w:rFonts w:ascii="Arial" w:cs="Arial" w:eastAsia="Arial" w:hAnsi="Arial"/>
          <w:sz w:val="18"/>
          <w:szCs w:val="18"/>
          <w:color w:val="auto"/>
        </w:rPr>
        <w:t>Silver — $14.00 per ounce;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73"/>
        </w:numPr>
        <w:rPr>
          <w:rFonts w:ascii="Arial" w:cs="Arial" w:eastAsia="Arial" w:hAnsi="Arial"/>
          <w:sz w:val="18"/>
          <w:szCs w:val="18"/>
          <w:color w:val="auto"/>
        </w:rPr>
      </w:pPr>
      <w:r>
        <w:rPr>
          <w:rFonts w:ascii="Arial" w:cs="Arial" w:eastAsia="Arial" w:hAnsi="Arial"/>
          <w:sz w:val="18"/>
          <w:szCs w:val="18"/>
          <w:color w:val="auto"/>
        </w:rPr>
        <w:t>Zinc — $1,800 per tonne;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73"/>
        </w:numPr>
        <w:rPr>
          <w:rFonts w:ascii="Arial" w:cs="Arial" w:eastAsia="Arial" w:hAnsi="Arial"/>
          <w:sz w:val="18"/>
          <w:szCs w:val="18"/>
          <w:color w:val="auto"/>
        </w:rPr>
      </w:pPr>
      <w:r>
        <w:rPr>
          <w:rFonts w:ascii="Arial" w:cs="Arial" w:eastAsia="Arial" w:hAnsi="Arial"/>
          <w:sz w:val="18"/>
          <w:szCs w:val="18"/>
          <w:color w:val="auto"/>
        </w:rPr>
        <w:t>Copper — $6,100 per tonne;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73"/>
        </w:numPr>
        <w:rPr>
          <w:rFonts w:ascii="Arial" w:cs="Arial" w:eastAsia="Arial" w:hAnsi="Arial"/>
          <w:sz w:val="18"/>
          <w:szCs w:val="18"/>
          <w:color w:val="auto"/>
        </w:rPr>
      </w:pPr>
      <w:r>
        <w:rPr>
          <w:rFonts w:ascii="Arial" w:cs="Arial" w:eastAsia="Arial" w:hAnsi="Arial"/>
          <w:sz w:val="18"/>
          <w:szCs w:val="18"/>
          <w:color w:val="auto"/>
        </w:rPr>
        <w:t>Canadian dollar/US dollar — C$1.10 per $1.00.</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73"/>
        </w:numPr>
        <w:rPr>
          <w:rFonts w:ascii="Arial" w:cs="Arial" w:eastAsia="Arial" w:hAnsi="Arial"/>
          <w:sz w:val="18"/>
          <w:szCs w:val="18"/>
          <w:color w:val="auto"/>
        </w:rPr>
      </w:pPr>
      <w:r>
        <w:rPr>
          <w:rFonts w:ascii="Arial" w:cs="Arial" w:eastAsia="Arial" w:hAnsi="Arial"/>
          <w:sz w:val="18"/>
          <w:szCs w:val="18"/>
          <w:color w:val="auto"/>
        </w:rPr>
        <w:t>Euro/US dollar — $1.40 per €1.00.</w:t>
      </w:r>
    </w:p>
    <w:p>
      <w:pPr>
        <w:spacing w:after="0" w:line="225" w:lineRule="exact"/>
        <w:rPr>
          <w:sz w:val="20"/>
          <w:szCs w:val="20"/>
          <w:color w:val="auto"/>
        </w:rPr>
      </w:pPr>
    </w:p>
    <w:p>
      <w:pPr>
        <w:jc w:val="both"/>
        <w:ind w:firstLine="388"/>
        <w:spacing w:after="0" w:line="256" w:lineRule="auto"/>
        <w:rPr>
          <w:sz w:val="20"/>
          <w:szCs w:val="20"/>
          <w:color w:val="auto"/>
        </w:rPr>
      </w:pPr>
      <w:r>
        <w:rPr>
          <w:rFonts w:ascii="Arial" w:cs="Arial" w:eastAsia="Arial" w:hAnsi="Arial"/>
          <w:sz w:val="18"/>
          <w:szCs w:val="18"/>
          <w:color w:val="auto"/>
        </w:rPr>
        <w:t>Changes in the market price of gold are due to numerous factors such as demand, global mine production levels, forward selling by producers, central bank sales and investor sentiment. Changes in the market prices of other metals are due to factors such as demand and global mine production levels. Changes in the exchange rates are due to factors such as supply and demand for currencies and economic conditions in each country or currency area. In 2009, the ranges of metal prices and exchange rates were:</w:t>
      </w:r>
    </w:p>
    <w:p>
      <w:pPr>
        <w:spacing w:after="0" w:line="211" w:lineRule="exact"/>
        <w:rPr>
          <w:sz w:val="20"/>
          <w:szCs w:val="20"/>
          <w:color w:val="auto"/>
        </w:rPr>
      </w:pPr>
    </w:p>
    <w:p>
      <w:pPr>
        <w:ind w:left="1080" w:hanging="532"/>
        <w:spacing w:after="0"/>
        <w:tabs>
          <w:tab w:leader="none" w:pos="1080" w:val="left"/>
        </w:tabs>
        <w:numPr>
          <w:ilvl w:val="0"/>
          <w:numId w:val="74"/>
        </w:numPr>
        <w:rPr>
          <w:rFonts w:ascii="Arial" w:cs="Arial" w:eastAsia="Arial" w:hAnsi="Arial"/>
          <w:sz w:val="18"/>
          <w:szCs w:val="18"/>
          <w:color w:val="auto"/>
        </w:rPr>
      </w:pPr>
      <w:r>
        <w:rPr>
          <w:rFonts w:ascii="Arial" w:cs="Arial" w:eastAsia="Arial" w:hAnsi="Arial"/>
          <w:sz w:val="18"/>
          <w:szCs w:val="18"/>
          <w:color w:val="auto"/>
        </w:rPr>
        <w:t>Gold: $810 — $1,212 per ounce averaging $972 per ounce;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74"/>
        </w:numPr>
        <w:rPr>
          <w:rFonts w:ascii="Arial" w:cs="Arial" w:eastAsia="Arial" w:hAnsi="Arial"/>
          <w:sz w:val="18"/>
          <w:szCs w:val="18"/>
          <w:color w:val="auto"/>
        </w:rPr>
      </w:pPr>
      <w:r>
        <w:rPr>
          <w:rFonts w:ascii="Arial" w:cs="Arial" w:eastAsia="Arial" w:hAnsi="Arial"/>
          <w:sz w:val="18"/>
          <w:szCs w:val="18"/>
          <w:color w:val="auto"/>
        </w:rPr>
        <w:t>Silver: $10.51 — $19.18 per ounce averaging $14.67 per ounce;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74"/>
        </w:numPr>
        <w:rPr>
          <w:rFonts w:ascii="Arial" w:cs="Arial" w:eastAsia="Arial" w:hAnsi="Arial"/>
          <w:sz w:val="18"/>
          <w:szCs w:val="18"/>
          <w:color w:val="auto"/>
        </w:rPr>
      </w:pPr>
      <w:r>
        <w:rPr>
          <w:rFonts w:ascii="Arial" w:cs="Arial" w:eastAsia="Arial" w:hAnsi="Arial"/>
          <w:sz w:val="18"/>
          <w:szCs w:val="18"/>
          <w:color w:val="auto"/>
        </w:rPr>
        <w:t>Zinc: $1,059 — $2,570 per tonne averaging $1,660 per tonne;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74"/>
        </w:numPr>
        <w:rPr>
          <w:rFonts w:ascii="Arial" w:cs="Arial" w:eastAsia="Arial" w:hAnsi="Arial"/>
          <w:sz w:val="18"/>
          <w:szCs w:val="18"/>
          <w:color w:val="auto"/>
        </w:rPr>
      </w:pPr>
      <w:r>
        <w:rPr>
          <w:rFonts w:ascii="Arial" w:cs="Arial" w:eastAsia="Arial" w:hAnsi="Arial"/>
          <w:sz w:val="18"/>
          <w:szCs w:val="18"/>
          <w:color w:val="auto"/>
        </w:rPr>
        <w:t>Copper: $3,050 — $7,372 per tonne averaging $5,162 per tonne;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74"/>
        </w:numPr>
        <w:rPr>
          <w:rFonts w:ascii="Arial" w:cs="Arial" w:eastAsia="Arial" w:hAnsi="Arial"/>
          <w:sz w:val="18"/>
          <w:szCs w:val="18"/>
          <w:color w:val="auto"/>
        </w:rPr>
      </w:pPr>
      <w:r>
        <w:rPr>
          <w:rFonts w:ascii="Arial" w:cs="Arial" w:eastAsia="Arial" w:hAnsi="Arial"/>
          <w:sz w:val="18"/>
          <w:szCs w:val="18"/>
          <w:color w:val="auto"/>
        </w:rPr>
        <w:t>Canadian dollar/US dollar: C$1.02 — C$1.3065 per $1.00 averaging C$1.1415 per $1.00;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74"/>
        </w:numPr>
        <w:rPr>
          <w:rFonts w:ascii="Arial" w:cs="Arial" w:eastAsia="Arial" w:hAnsi="Arial"/>
          <w:sz w:val="18"/>
          <w:szCs w:val="18"/>
          <w:color w:val="auto"/>
        </w:rPr>
      </w:pPr>
      <w:r>
        <w:rPr>
          <w:rFonts w:ascii="Arial" w:cs="Arial" w:eastAsia="Arial" w:hAnsi="Arial"/>
          <w:sz w:val="18"/>
          <w:szCs w:val="18"/>
          <w:color w:val="auto"/>
        </w:rPr>
        <w:t>Euro/US dollar: €0.6603 — €0.8028 per $1.00 averaging €0.7171 per $1.00.</w:t>
      </w:r>
    </w:p>
    <w:p>
      <w:pPr>
        <w:sectPr>
          <w:pgSz w:w="11900" w:h="16838" w:orient="portrait"/>
          <w:cols w:equalWidth="0" w:num="1">
            <w:col w:w="11420"/>
          </w:cols>
          <w:pgMar w:left="240" w:top="131" w:right="239" w:bottom="1440" w:gutter="0" w:footer="0" w:header="0"/>
        </w:sectPr>
      </w:pP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136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168275</wp:posOffset>
            </wp:positionV>
            <wp:extent cx="7250430" cy="2159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type w:val="continuous"/>
        </w:sectPr>
      </w:pPr>
    </w:p>
    <w:bookmarkStart w:id="179" w:name="page180"/>
    <w:bookmarkEnd w:id="179"/>
    <w:p>
      <w:pPr>
        <w:jc w:val="both"/>
        <w:ind w:firstLine="404"/>
        <w:spacing w:after="0" w:line="259" w:lineRule="auto"/>
        <w:rPr>
          <w:sz w:val="20"/>
          <w:szCs w:val="20"/>
          <w:color w:val="auto"/>
        </w:rPr>
      </w:pPr>
      <w:r>
        <w:rPr>
          <w:rFonts w:ascii="Arial" w:cs="Arial" w:eastAsia="Arial" w:hAnsi="Arial"/>
          <w:sz w:val="18"/>
          <w:szCs w:val="18"/>
          <w:color w:val="auto"/>
        </w:rPr>
        <w:t>The following table sets out the estimated impact on 2010 total cash costs per ounce of a 10% change in assumed metal prices and exchange rates. A 10% change in each variable was considered in isolation while holding all other assumptions constant. Based on historical market data and 2009 price ranges shown above, a 10% change in assumed metal prices and exchange rates is reasonably likely in 2010.</w:t>
      </w:r>
    </w:p>
    <w:p>
      <w:pPr>
        <w:spacing w:after="0" w:line="177"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260" w:type="dxa"/>
            <w:vAlign w:val="bottom"/>
          </w:tcPr>
          <w:p>
            <w:pPr>
              <w:spacing w:after="0"/>
              <w:rPr>
                <w:sz w:val="14"/>
                <w:szCs w:val="14"/>
                <w:color w:val="auto"/>
              </w:rPr>
            </w:pPr>
          </w:p>
        </w:tc>
        <w:tc>
          <w:tcPr>
            <w:tcW w:w="3600" w:type="dxa"/>
            <w:vAlign w:val="bottom"/>
          </w:tcPr>
          <w:p>
            <w:pPr>
              <w:spacing w:after="0"/>
              <w:rPr>
                <w:sz w:val="14"/>
                <w:szCs w:val="14"/>
                <w:color w:val="auto"/>
              </w:rPr>
            </w:pPr>
          </w:p>
        </w:tc>
        <w:tc>
          <w:tcPr>
            <w:tcW w:w="30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14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90"/>
              </w:rPr>
              <w:t>Impact on</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3600" w:type="dxa"/>
            <w:vAlign w:val="bottom"/>
          </w:tcPr>
          <w:p>
            <w:pPr>
              <w:spacing w:after="0"/>
              <w:rPr>
                <w:sz w:val="12"/>
                <w:szCs w:val="12"/>
                <w:color w:val="auto"/>
              </w:rPr>
            </w:pPr>
          </w:p>
        </w:tc>
        <w:tc>
          <w:tcPr>
            <w:tcW w:w="30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140" w:type="dxa"/>
            <w:vAlign w:val="bottom"/>
            <w:gridSpan w:val="2"/>
          </w:tcPr>
          <w:p>
            <w:pPr>
              <w:jc w:val="center"/>
              <w:ind w:right="280"/>
              <w:spacing w:after="0" w:line="149" w:lineRule="exact"/>
              <w:rPr>
                <w:sz w:val="20"/>
                <w:szCs w:val="20"/>
                <w:color w:val="auto"/>
              </w:rPr>
            </w:pPr>
            <w:r>
              <w:rPr>
                <w:rFonts w:ascii="Arial" w:cs="Arial" w:eastAsia="Arial" w:hAnsi="Arial"/>
                <w:sz w:val="14"/>
                <w:szCs w:val="14"/>
                <w:b w:val="1"/>
                <w:bCs w:val="1"/>
                <w:color w:val="auto"/>
                <w:w w:val="81"/>
              </w:rPr>
              <w:t>total cash costs</w:t>
            </w:r>
          </w:p>
        </w:tc>
        <w:tc>
          <w:tcPr>
            <w:tcW w:w="0" w:type="dxa"/>
            <w:vAlign w:val="bottom"/>
          </w:tcPr>
          <w:p>
            <w:pPr>
              <w:spacing w:after="0"/>
              <w:rPr>
                <w:sz w:val="1"/>
                <w:szCs w:val="1"/>
                <w:color w:val="auto"/>
              </w:rPr>
            </w:pPr>
          </w:p>
        </w:tc>
      </w:tr>
      <w:tr>
        <w:trPr>
          <w:trHeight w:val="161"/>
        </w:trPr>
        <w:tc>
          <w:tcPr>
            <w:tcW w:w="4880" w:type="dxa"/>
            <w:vAlign w:val="bottom"/>
            <w:gridSpan w:val="3"/>
          </w:tcPr>
          <w:p>
            <w:pPr>
              <w:spacing w:after="0"/>
              <w:rPr>
                <w:sz w:val="20"/>
                <w:szCs w:val="20"/>
                <w:color w:val="auto"/>
              </w:rPr>
            </w:pPr>
            <w:r>
              <w:rPr>
                <w:rFonts w:ascii="Arial" w:cs="Arial" w:eastAsia="Arial" w:hAnsi="Arial"/>
                <w:sz w:val="14"/>
                <w:szCs w:val="14"/>
                <w:b w:val="1"/>
                <w:bCs w:val="1"/>
                <w:color w:val="auto"/>
              </w:rPr>
              <w:t>Changes in variable</w:t>
            </w:r>
          </w:p>
        </w:tc>
        <w:tc>
          <w:tcPr>
            <w:tcW w:w="30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14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3"/>
              </w:rPr>
              <w:t>per ounce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1260" w:type="dxa"/>
            <w:vAlign w:val="bottom"/>
            <w:shd w:val="clear" w:color="auto" w:fill="000000"/>
          </w:tcPr>
          <w:p>
            <w:pPr>
              <w:spacing w:after="0" w:line="20" w:lineRule="exact"/>
              <w:rPr>
                <w:sz w:val="1"/>
                <w:szCs w:val="1"/>
                <w:color w:val="auto"/>
              </w:rPr>
            </w:pPr>
          </w:p>
        </w:tc>
        <w:tc>
          <w:tcPr>
            <w:tcW w:w="3600" w:type="dxa"/>
            <w:vAlign w:val="bottom"/>
          </w:tcPr>
          <w:p>
            <w:pPr>
              <w:spacing w:after="0" w:line="20" w:lineRule="exact"/>
              <w:rPr>
                <w:sz w:val="1"/>
                <w:szCs w:val="1"/>
                <w:color w:val="auto"/>
              </w:rPr>
            </w:pPr>
          </w:p>
        </w:tc>
        <w:tc>
          <w:tcPr>
            <w:tcW w:w="302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48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Canadian dollar/US dollar</w:t>
            </w:r>
          </w:p>
        </w:tc>
        <w:tc>
          <w:tcPr>
            <w:tcW w:w="31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37</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gridSpan w:val="2"/>
          </w:tcPr>
          <w:p>
            <w:pPr>
              <w:spacing w:after="0"/>
              <w:rPr>
                <w:sz w:val="20"/>
                <w:szCs w:val="20"/>
                <w:color w:val="auto"/>
              </w:rPr>
            </w:pPr>
            <w:r>
              <w:rPr>
                <w:rFonts w:ascii="Arial" w:cs="Arial" w:eastAsia="Arial" w:hAnsi="Arial"/>
                <w:sz w:val="18"/>
                <w:szCs w:val="18"/>
                <w:color w:val="auto"/>
              </w:rPr>
              <w:t>Euro/US dollar</w:t>
            </w:r>
          </w:p>
        </w:tc>
        <w:tc>
          <w:tcPr>
            <w:tcW w:w="31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80" w:type="dxa"/>
            <w:vAlign w:val="bottom"/>
          </w:tcPr>
          <w:p>
            <w:pPr>
              <w:jc w:val="right"/>
              <w:spacing w:after="0"/>
              <w:rPr>
                <w:sz w:val="20"/>
                <w:szCs w:val="20"/>
                <w:color w:val="auto"/>
              </w:rPr>
            </w:pPr>
            <w:r>
              <w:rPr>
                <w:rFonts w:ascii="Arial" w:cs="Arial" w:eastAsia="Arial" w:hAnsi="Arial"/>
                <w:sz w:val="18"/>
                <w:szCs w:val="18"/>
                <w:color w:val="auto"/>
              </w:rPr>
              <w:t>7</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Zinc</w:t>
            </w:r>
          </w:p>
        </w:tc>
        <w:tc>
          <w:tcPr>
            <w:tcW w:w="31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gridSpan w:val="2"/>
          </w:tcPr>
          <w:p>
            <w:pPr>
              <w:spacing w:after="0"/>
              <w:rPr>
                <w:sz w:val="20"/>
                <w:szCs w:val="20"/>
                <w:color w:val="auto"/>
              </w:rPr>
            </w:pPr>
            <w:r>
              <w:rPr>
                <w:rFonts w:ascii="Arial" w:cs="Arial" w:eastAsia="Arial" w:hAnsi="Arial"/>
                <w:sz w:val="18"/>
                <w:szCs w:val="18"/>
                <w:color w:val="auto"/>
              </w:rPr>
              <w:t>Silver</w:t>
            </w:r>
          </w:p>
        </w:tc>
        <w:tc>
          <w:tcPr>
            <w:tcW w:w="31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80" w:type="dxa"/>
            <w:vAlign w:val="bottom"/>
          </w:tcPr>
          <w:p>
            <w:pPr>
              <w:jc w:val="right"/>
              <w:spacing w:after="0"/>
              <w:rPr>
                <w:sz w:val="20"/>
                <w:szCs w:val="20"/>
                <w:color w:val="auto"/>
              </w:rPr>
            </w:pPr>
            <w:r>
              <w:rPr>
                <w:rFonts w:ascii="Arial" w:cs="Arial" w:eastAsia="Arial" w:hAnsi="Arial"/>
                <w:sz w:val="18"/>
                <w:szCs w:val="18"/>
                <w:color w:val="auto"/>
              </w:rPr>
              <w:t>7</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Copper</w:t>
            </w:r>
          </w:p>
        </w:tc>
        <w:tc>
          <w:tcPr>
            <w:tcW w:w="31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bl>
    <w:p>
      <w:pPr>
        <w:spacing w:after="0" w:line="208" w:lineRule="exact"/>
        <w:rPr>
          <w:sz w:val="20"/>
          <w:szCs w:val="20"/>
          <w:color w:val="auto"/>
        </w:rPr>
      </w:pPr>
    </w:p>
    <w:p>
      <w:pPr>
        <w:jc w:val="both"/>
        <w:ind w:firstLine="423"/>
        <w:spacing w:after="0" w:line="290" w:lineRule="auto"/>
        <w:rPr>
          <w:sz w:val="20"/>
          <w:szCs w:val="20"/>
          <w:color w:val="auto"/>
        </w:rPr>
      </w:pPr>
      <w:r>
        <w:rPr>
          <w:rFonts w:ascii="Arial" w:cs="Arial" w:eastAsia="Arial" w:hAnsi="Arial"/>
          <w:sz w:val="16"/>
          <w:szCs w:val="16"/>
          <w:color w:val="auto"/>
        </w:rPr>
        <w:t>In order to mitigate the impact of fluctuating precious and base metal prices, the Company occasionally enters into derivative transactions under its Metal Price Risk Management Policy, approved by the Board. The Company's policy and practice is not to sell forward its gold and silver production. However, the policy does allow the Company to use other hedging strategies where appropriate to ensure an adequate return on new projects. Agnico-Eagle occasionally buys put options and forward contracts to protect minimum base metal prices while maintaining full participation to gold and silver price increases. In 2009, the Risk Management Committee approved the strategy of using short-term call options in an attempt to enhance the realized base metal prices. During 2009, six call options were written of which two expired out of the money and the net premium loss amounted to $0.7 million. The Company will continue to monitor the market and pricing to determine appropriate months to carry on with the strategy. The Company's policy does not allow speculative trading.</w:t>
      </w:r>
    </w:p>
    <w:p>
      <w:pPr>
        <w:spacing w:after="0" w:line="172" w:lineRule="exact"/>
        <w:rPr>
          <w:sz w:val="20"/>
          <w:szCs w:val="20"/>
          <w:color w:val="auto"/>
        </w:rPr>
      </w:pPr>
    </w:p>
    <w:p>
      <w:pPr>
        <w:jc w:val="both"/>
        <w:ind w:firstLine="351"/>
        <w:spacing w:after="0" w:line="289" w:lineRule="auto"/>
        <w:rPr>
          <w:sz w:val="20"/>
          <w:szCs w:val="20"/>
          <w:color w:val="auto"/>
        </w:rPr>
      </w:pPr>
      <w:r>
        <w:rPr>
          <w:rFonts w:ascii="Arial" w:cs="Arial" w:eastAsia="Arial" w:hAnsi="Arial"/>
          <w:sz w:val="16"/>
          <w:szCs w:val="16"/>
          <w:color w:val="auto"/>
        </w:rPr>
        <w:t>The Company receives payment for all of its metal sales in US dollars and pays most of its operating and capital costs in Canadian dollars, Euros or Mexican pesos. This gives rise to significant currency risk exposure. From time to time the Company has entered into currency hedging transactions under the Company's Foreign Exchange Risk Management Policy, approved by the Board, to hedge part of its foreign currency exposure. The policy does not permit the hedging of translation exposure (that is, the gains and losses that arise from the accounting translation of Canadian dollar, Euro or Mexican peso denominated assets and liabilities into US dollars) as these do not give rise to cash exposure. The Company's foreign currency derivative strategy consisted of writing US dollar call options with short maturities to generate premiums that would, in essence, enhance the spot transaction rate received when exchanging US dollars to Canadian dollars. All of these derivative transactions expired prior to the year end such that no derivatives were outstanding on December 31, 2009. Throughout 2009, the Company's foreign currency derivative strategy generated $4.5 million in call option premiums.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Interest Rates</w:t>
      </w:r>
    </w:p>
    <w:p>
      <w:pPr>
        <w:spacing w:after="0" w:line="225" w:lineRule="exact"/>
        <w:rPr>
          <w:sz w:val="20"/>
          <w:szCs w:val="20"/>
          <w:color w:val="auto"/>
        </w:rPr>
      </w:pPr>
    </w:p>
    <w:p>
      <w:pPr>
        <w:jc w:val="both"/>
        <w:ind w:firstLine="439"/>
        <w:spacing w:after="0" w:line="294" w:lineRule="auto"/>
        <w:rPr>
          <w:sz w:val="20"/>
          <w:szCs w:val="20"/>
          <w:color w:val="auto"/>
        </w:rPr>
      </w:pPr>
      <w:r>
        <w:rPr>
          <w:rFonts w:ascii="Arial" w:cs="Arial" w:eastAsia="Arial" w:hAnsi="Arial"/>
          <w:sz w:val="16"/>
          <w:szCs w:val="16"/>
          <w:color w:val="auto"/>
        </w:rPr>
        <w:t>The Company's current exposure to market risk for changes in interest rates relates primarily to the drawdown on the Credit Facilities and its investment portfolio. Drawdowns on the Credit Facilities are used, primarily, to fund a portion of the capital expenditures related to the Company's development projects. As of December 31, 2009, the Company had drawn down $715 million on the Credit Facilities. In addition, the Company usually invests its cash in investments with short maturities or with frequent interest reset terms with a credit rating of R1-High or better. As a result, the Company's interest income fluctuates with short-term market conditions. As of December 31, 2009, short-term investments amounted to $3.3 million.</w:t>
      </w:r>
    </w:p>
    <w:p>
      <w:pPr>
        <w:spacing w:after="0" w:line="170" w:lineRule="exact"/>
        <w:rPr>
          <w:sz w:val="20"/>
          <w:szCs w:val="20"/>
          <w:color w:val="auto"/>
        </w:rPr>
      </w:pPr>
    </w:p>
    <w:p>
      <w:pPr>
        <w:jc w:val="both"/>
        <w:ind w:firstLine="423"/>
        <w:spacing w:after="0" w:line="256" w:lineRule="auto"/>
        <w:rPr>
          <w:sz w:val="20"/>
          <w:szCs w:val="20"/>
          <w:color w:val="auto"/>
        </w:rPr>
      </w:pPr>
      <w:r>
        <w:rPr>
          <w:rFonts w:ascii="Arial" w:cs="Arial" w:eastAsia="Arial" w:hAnsi="Arial"/>
          <w:sz w:val="18"/>
          <w:szCs w:val="18"/>
          <w:color w:val="auto"/>
        </w:rPr>
        <w:t>Amounts drawn under the Credit Facilities are subject to floating interest rates based on benchmark rates available in the United States and Canada or on LIBOR. In the past, the Company has entered into derivative instruments to hedge against unfavorable changes in interest rates. The Company will continue to monitor its interest rate exposure and may enter into such agreements to manage its exposure to fluctuating interest rates. In 2009, there were no interest rate derivative instruments in place.</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80" w:name="page181"/>
    <w:bookmarkEnd w:id="180"/>
    <w:p>
      <w:pPr>
        <w:spacing w:after="0"/>
        <w:rPr>
          <w:sz w:val="20"/>
          <w:szCs w:val="20"/>
          <w:color w:val="auto"/>
        </w:rPr>
      </w:pPr>
      <w:r>
        <w:rPr>
          <w:rFonts w:ascii="Arial" w:cs="Arial" w:eastAsia="Arial" w:hAnsi="Arial"/>
          <w:sz w:val="18"/>
          <w:szCs w:val="18"/>
          <w:b w:val="1"/>
          <w:bCs w:val="1"/>
          <w:i w:val="1"/>
          <w:iCs w:val="1"/>
          <w:color w:val="auto"/>
        </w:rPr>
        <w:t>Derivatives</w:t>
      </w:r>
    </w:p>
    <w:p>
      <w:pPr>
        <w:spacing w:after="0" w:line="225" w:lineRule="exact"/>
        <w:rPr>
          <w:sz w:val="20"/>
          <w:szCs w:val="20"/>
          <w:color w:val="auto"/>
        </w:rPr>
      </w:pPr>
    </w:p>
    <w:p>
      <w:pPr>
        <w:jc w:val="both"/>
        <w:ind w:firstLine="449"/>
        <w:spacing w:after="0" w:line="255" w:lineRule="auto"/>
        <w:rPr>
          <w:sz w:val="20"/>
          <w:szCs w:val="20"/>
          <w:color w:val="auto"/>
        </w:rPr>
      </w:pPr>
      <w:r>
        <w:rPr>
          <w:rFonts w:ascii="Arial" w:cs="Arial" w:eastAsia="Arial" w:hAnsi="Arial"/>
          <w:sz w:val="18"/>
          <w:szCs w:val="18"/>
          <w:color w:val="auto"/>
        </w:rPr>
        <w:t>The Company, from time to time, enters into derivative contracts to limit the risk associated with decreased byproduct metal prices. The contracts act as economic hedges of underlying exposures to byproduct metal price risk and foreign currency exchange risk and are not held for speculative purposes. Agnico-Eagle does not use complex derivative contracts to hedge exposures. The Company uses simple contracts, such as puts and calls, to mitigate downside risk yet maintain full participation to rising precious metal prices. Agnico-Eagle also enters into forward contracts to lock in exchange rates based on projected Canadian dollar operating and capital requirements.</w:t>
      </w:r>
    </w:p>
    <w:p>
      <w:pPr>
        <w:spacing w:after="0" w:line="197" w:lineRule="exact"/>
        <w:rPr>
          <w:sz w:val="20"/>
          <w:szCs w:val="20"/>
          <w:color w:val="auto"/>
        </w:rPr>
      </w:pPr>
    </w:p>
    <w:p>
      <w:pPr>
        <w:jc w:val="both"/>
        <w:ind w:firstLine="435"/>
        <w:spacing w:after="0" w:line="290" w:lineRule="auto"/>
        <w:rPr>
          <w:sz w:val="20"/>
          <w:szCs w:val="20"/>
          <w:color w:val="auto"/>
        </w:rPr>
      </w:pPr>
      <w:r>
        <w:rPr>
          <w:rFonts w:ascii="Arial" w:cs="Arial" w:eastAsia="Arial" w:hAnsi="Arial"/>
          <w:sz w:val="16"/>
          <w:szCs w:val="16"/>
          <w:color w:val="auto"/>
        </w:rPr>
        <w:t>Using derivative instruments creates various financial risks. Credit risk is the risk that the counterparties to derivative contracts will fail to perform on an obligation to the Company. Credit risk is mitigated by dealing with high quality counterparties such as major stable banks. Market liquidity risk is the risk that a derivative position cannot be liquidated quickly. The Company mitigates market liquidity risk by spreading out the maturity of derivative contracts over time, usually based on projected production levels for the specific metal being hedged, such that the relevant markets will be able to absorb the contracts. Mark-to-market risk is the risk that an adverse change in market prices for metals will affect financial condition. Since derivative contracts are used as economic hedges, for most of the contracts, changes in the mark-to-market value will affect income. For a description of the accounting treatment of derivative contracts, please see "Item 5 Operating and Financial Review and Prospects — Critical Accounting Estimates — Financial Instruments".</w:t>
      </w:r>
    </w:p>
    <w:p>
      <w:pPr>
        <w:spacing w:after="0" w:line="172" w:lineRule="exact"/>
        <w:rPr>
          <w:sz w:val="20"/>
          <w:szCs w:val="20"/>
          <w:color w:val="auto"/>
        </w:rPr>
      </w:pPr>
    </w:p>
    <w:p>
      <w:pPr>
        <w:jc w:val="both"/>
        <w:ind w:firstLine="398"/>
        <w:spacing w:after="0" w:line="289" w:lineRule="auto"/>
        <w:rPr>
          <w:sz w:val="20"/>
          <w:szCs w:val="20"/>
          <w:color w:val="auto"/>
        </w:rPr>
      </w:pPr>
      <w:r>
        <w:rPr>
          <w:rFonts w:ascii="Arial" w:cs="Arial" w:eastAsia="Arial" w:hAnsi="Arial"/>
          <w:sz w:val="16"/>
          <w:szCs w:val="16"/>
          <w:color w:val="auto"/>
        </w:rPr>
        <w:t>In addition to writing US dollar call options with short maturities to enhance the spot transaction rate when exchanging US dollars to Canadian dollars, the Company also entered into three zero cost collar contracts in October 2008. The purpose of entering into these zero cost collar contracts was to mitigate the risks associated with fluctuating foreign exchange rates by hedging the functional-currency-equivalent cash flows associated with the Canadian dollar capital expenditures on the Meadowbank mine project. The purchase of US dollar put options was financed through selling US dollar call options at higher exercise prices such that the net premium payable to the different counterparties by the Company is nil. The hedged items represent monthly forecasted Canadian dollar cash outflows pertaining to its Canadian projects during 2009. The cash flow hedging relationship meets all requirements of ASC 815 — Derivatives and Hedging (Prior authoritative literature: FASB Statement No. 133, "Accounting for Derivative Instruments and Hedging Activities"), to be perfectly effective, while unrealized gains and losses are recognized within other comprehensive income. There were no outstanding zero cost collar contracts as of December 31, 2009.</w:t>
      </w:r>
    </w:p>
    <w:p>
      <w:pPr>
        <w:spacing w:after="0" w:line="172" w:lineRule="exact"/>
        <w:rPr>
          <w:sz w:val="20"/>
          <w:szCs w:val="20"/>
          <w:color w:val="auto"/>
        </w:rPr>
      </w:pPr>
    </w:p>
    <w:p>
      <w:pPr>
        <w:jc w:val="both"/>
        <w:ind w:firstLine="358"/>
        <w:spacing w:after="0" w:line="256" w:lineRule="auto"/>
        <w:rPr>
          <w:sz w:val="20"/>
          <w:szCs w:val="20"/>
          <w:color w:val="auto"/>
        </w:rPr>
      </w:pPr>
      <w:r>
        <w:rPr>
          <w:rFonts w:ascii="Arial" w:cs="Arial" w:eastAsia="Arial" w:hAnsi="Arial"/>
          <w:sz w:val="18"/>
          <w:szCs w:val="18"/>
          <w:color w:val="auto"/>
        </w:rPr>
        <w:t>The risk hedged in 2009 was the variability in expected future cash flows arising from changes in foreign currency exchange risk below and above the levels of C$1.1546 and C$1.2095 per US$. The hedged items represented C$15 million of unhedged forecast Canadian dollar denominated cash outflows per month arising from Canadian dollar denominated capital expenditures in 2009. As of December 31, 2009, all positions had expired and the strategy resulted in an overall realized gain of C$7.4 million which was applied to reduce capital expenditures.</w:t>
      </w:r>
    </w:p>
    <w:p>
      <w:pPr>
        <w:spacing w:after="0" w:line="197" w:lineRule="exact"/>
        <w:rPr>
          <w:sz w:val="20"/>
          <w:szCs w:val="20"/>
          <w:color w:val="auto"/>
        </w:rPr>
      </w:pPr>
    </w:p>
    <w:p>
      <w:pPr>
        <w:jc w:val="both"/>
        <w:ind w:firstLine="500"/>
        <w:spacing w:after="0" w:line="294" w:lineRule="auto"/>
        <w:rPr>
          <w:sz w:val="20"/>
          <w:szCs w:val="20"/>
          <w:color w:val="auto"/>
        </w:rPr>
      </w:pPr>
      <w:r>
        <w:rPr>
          <w:rFonts w:ascii="Arial" w:cs="Arial" w:eastAsia="Arial" w:hAnsi="Arial"/>
          <w:sz w:val="16"/>
          <w:szCs w:val="16"/>
          <w:color w:val="auto"/>
        </w:rPr>
        <w:t>Also during 2009, the Company sold call options against the shares and warrants of Goldcorp to hedge its price exposure to the Goldcorp shares and warrants it acquired in connection with Goldcorp's acquisition of Gold Eagle. As of December 31, 2009, the Company had outstanding written call option contracts in respect of its Goldcorp warrants at a strike price of C$46 per share and a March 2010 expiration date. These call option contracts generated approximately $0.7 million in premium proceeds net of the mark-to-market adjustment during 2009 and upon expiration will be recognized in the "Interest and sundry income" line item of the Consolidated Statements of Income and Comprehensive Income.</w:t>
      </w:r>
    </w:p>
    <w:p>
      <w:pPr>
        <w:spacing w:after="0" w:line="170" w:lineRule="exact"/>
        <w:rPr>
          <w:sz w:val="20"/>
          <w:szCs w:val="20"/>
          <w:color w:val="auto"/>
        </w:rPr>
      </w:pPr>
    </w:p>
    <w:p>
      <w:pPr>
        <w:jc w:val="both"/>
        <w:ind w:firstLine="369"/>
        <w:spacing w:after="0" w:line="268" w:lineRule="auto"/>
        <w:rPr>
          <w:sz w:val="20"/>
          <w:szCs w:val="20"/>
          <w:color w:val="auto"/>
        </w:rPr>
      </w:pPr>
      <w:r>
        <w:rPr>
          <w:rFonts w:ascii="Arial" w:cs="Arial" w:eastAsia="Arial" w:hAnsi="Arial"/>
          <w:sz w:val="18"/>
          <w:szCs w:val="18"/>
          <w:color w:val="auto"/>
        </w:rPr>
        <w:t>Since the Company's holdings of Goldcorp shares were liquidated in 2009 and only the warrants remain, the Company expects the total premiums generated by writing call options on these holdings will be significantly less in 2010 as compared to 2009.</w:t>
      </w:r>
    </w:p>
    <w:p>
      <w:pPr>
        <w:spacing w:after="0" w:line="180" w:lineRule="exact"/>
        <w:rPr>
          <w:sz w:val="20"/>
          <w:szCs w:val="20"/>
          <w:color w:val="auto"/>
        </w:rPr>
      </w:pPr>
    </w:p>
    <w:p>
      <w:pPr>
        <w:spacing w:after="0"/>
        <w:tabs>
          <w:tab w:leader="none" w:pos="860" w:val="left"/>
        </w:tabs>
        <w:rPr>
          <w:sz w:val="20"/>
          <w:szCs w:val="20"/>
          <w:color w:val="auto"/>
        </w:rPr>
      </w:pPr>
      <w:r>
        <w:rPr>
          <w:rFonts w:ascii="Arial" w:cs="Arial" w:eastAsia="Arial" w:hAnsi="Arial"/>
          <w:sz w:val="18"/>
          <w:szCs w:val="18"/>
          <w:b w:val="1"/>
          <w:bCs w:val="1"/>
          <w:color w:val="auto"/>
        </w:rPr>
        <w:t>ITEM 12</w:t>
      </w:r>
      <w:r>
        <w:rPr>
          <w:sz w:val="20"/>
          <w:szCs w:val="20"/>
          <w:color w:val="auto"/>
        </w:rPr>
        <w:tab/>
      </w:r>
      <w:r>
        <w:rPr>
          <w:rFonts w:ascii="Arial" w:cs="Arial" w:eastAsia="Arial" w:hAnsi="Arial"/>
          <w:sz w:val="16"/>
          <w:szCs w:val="16"/>
          <w:b w:val="1"/>
          <w:bCs w:val="1"/>
          <w:color w:val="auto"/>
        </w:rPr>
        <w:t>DESCRIPTION OF SECURITIES OTHER THAN EQUITY SECURITIES</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None/not applicable.</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81" w:name="page182"/>
    <w:bookmarkEnd w:id="181"/>
    <w:p>
      <w:pPr>
        <w:ind w:left="5380"/>
        <w:spacing w:after="0"/>
        <w:rPr>
          <w:sz w:val="20"/>
          <w:szCs w:val="20"/>
          <w:color w:val="auto"/>
        </w:rPr>
      </w:pPr>
      <w:r>
        <w:rPr>
          <w:rFonts w:ascii="Arial" w:cs="Arial" w:eastAsia="Arial" w:hAnsi="Arial"/>
          <w:sz w:val="18"/>
          <w:szCs w:val="18"/>
          <w:b w:val="1"/>
          <w:bCs w:val="1"/>
          <w:color w:val="auto"/>
        </w:rPr>
        <w:t>PART II</w:t>
      </w:r>
    </w:p>
    <w:p>
      <w:pPr>
        <w:spacing w:after="0" w:line="225" w:lineRule="exact"/>
        <w:rPr>
          <w:sz w:val="20"/>
          <w:szCs w:val="20"/>
          <w:color w:val="auto"/>
        </w:rPr>
      </w:pPr>
    </w:p>
    <w:p>
      <w:pPr>
        <w:spacing w:after="0"/>
        <w:tabs>
          <w:tab w:leader="none" w:pos="860" w:val="left"/>
        </w:tabs>
        <w:rPr>
          <w:sz w:val="20"/>
          <w:szCs w:val="20"/>
          <w:color w:val="auto"/>
        </w:rPr>
      </w:pPr>
      <w:r>
        <w:rPr>
          <w:rFonts w:ascii="Arial" w:cs="Arial" w:eastAsia="Arial" w:hAnsi="Arial"/>
          <w:sz w:val="18"/>
          <w:szCs w:val="18"/>
          <w:b w:val="1"/>
          <w:bCs w:val="1"/>
          <w:color w:val="auto"/>
        </w:rPr>
        <w:t>ITEM 13</w:t>
      </w:r>
      <w:r>
        <w:rPr>
          <w:sz w:val="20"/>
          <w:szCs w:val="20"/>
          <w:color w:val="auto"/>
        </w:rPr>
        <w:tab/>
      </w:r>
      <w:r>
        <w:rPr>
          <w:rFonts w:ascii="Arial" w:cs="Arial" w:eastAsia="Arial" w:hAnsi="Arial"/>
          <w:sz w:val="16"/>
          <w:szCs w:val="16"/>
          <w:b w:val="1"/>
          <w:bCs w:val="1"/>
          <w:color w:val="auto"/>
        </w:rPr>
        <w:t>DEFAULTS, DIVIDEND ARREARAGES AND DELINQUENCIES</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None/not applicable.</w:t>
      </w:r>
    </w:p>
    <w:p>
      <w:pPr>
        <w:spacing w:after="0" w:line="219" w:lineRule="exact"/>
        <w:rPr>
          <w:sz w:val="20"/>
          <w:szCs w:val="20"/>
          <w:color w:val="auto"/>
        </w:rPr>
      </w:pPr>
    </w:p>
    <w:p>
      <w:pPr>
        <w:spacing w:after="0"/>
        <w:tabs>
          <w:tab w:leader="none" w:pos="860" w:val="left"/>
        </w:tabs>
        <w:rPr>
          <w:sz w:val="20"/>
          <w:szCs w:val="20"/>
          <w:color w:val="auto"/>
        </w:rPr>
      </w:pPr>
      <w:r>
        <w:rPr>
          <w:rFonts w:ascii="Arial" w:cs="Arial" w:eastAsia="Arial" w:hAnsi="Arial"/>
          <w:sz w:val="18"/>
          <w:szCs w:val="18"/>
          <w:b w:val="1"/>
          <w:bCs w:val="1"/>
          <w:color w:val="auto"/>
        </w:rPr>
        <w:t>ITEM 14</w:t>
      </w:r>
      <w:r>
        <w:rPr>
          <w:sz w:val="20"/>
          <w:szCs w:val="20"/>
          <w:color w:val="auto"/>
        </w:rPr>
        <w:tab/>
      </w:r>
      <w:r>
        <w:rPr>
          <w:rFonts w:ascii="Arial" w:cs="Arial" w:eastAsia="Arial" w:hAnsi="Arial"/>
          <w:sz w:val="16"/>
          <w:szCs w:val="16"/>
          <w:b w:val="1"/>
          <w:bCs w:val="1"/>
          <w:color w:val="auto"/>
        </w:rPr>
        <w:t>MATERIAL MODIFICATIONS TO THE RIGHTS OF SECURITY HOLDERS AND USE OF PROCEEDS</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None/not applicable.</w:t>
      </w:r>
    </w:p>
    <w:p>
      <w:pPr>
        <w:spacing w:after="0" w:line="219" w:lineRule="exact"/>
        <w:rPr>
          <w:sz w:val="20"/>
          <w:szCs w:val="20"/>
          <w:color w:val="auto"/>
        </w:rPr>
      </w:pPr>
    </w:p>
    <w:p>
      <w:pPr>
        <w:spacing w:after="0"/>
        <w:tabs>
          <w:tab w:leader="none" w:pos="860" w:val="left"/>
        </w:tabs>
        <w:rPr>
          <w:sz w:val="20"/>
          <w:szCs w:val="20"/>
          <w:color w:val="auto"/>
        </w:rPr>
      </w:pPr>
      <w:r>
        <w:rPr>
          <w:rFonts w:ascii="Arial" w:cs="Arial" w:eastAsia="Arial" w:hAnsi="Arial"/>
          <w:sz w:val="18"/>
          <w:szCs w:val="18"/>
          <w:b w:val="1"/>
          <w:bCs w:val="1"/>
          <w:color w:val="auto"/>
        </w:rPr>
        <w:t>ITEM 15</w:t>
      </w:r>
      <w:r>
        <w:rPr>
          <w:sz w:val="20"/>
          <w:szCs w:val="20"/>
          <w:color w:val="auto"/>
        </w:rPr>
        <w:tab/>
      </w:r>
      <w:r>
        <w:rPr>
          <w:rFonts w:ascii="Arial" w:cs="Arial" w:eastAsia="Arial" w:hAnsi="Arial"/>
          <w:sz w:val="16"/>
          <w:szCs w:val="16"/>
          <w:b w:val="1"/>
          <w:bCs w:val="1"/>
          <w:color w:val="auto"/>
        </w:rPr>
        <w:t>CONTROLS AND PROCEDURES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Evaluation of disclosure controls and procedures</w:t>
      </w:r>
    </w:p>
    <w:p>
      <w:pPr>
        <w:spacing w:after="0" w:line="231" w:lineRule="exact"/>
        <w:rPr>
          <w:sz w:val="20"/>
          <w:szCs w:val="20"/>
          <w:color w:val="auto"/>
        </w:rPr>
      </w:pPr>
    </w:p>
    <w:p>
      <w:pPr>
        <w:jc w:val="both"/>
        <w:ind w:firstLine="356"/>
        <w:spacing w:after="0" w:line="294" w:lineRule="auto"/>
        <w:rPr>
          <w:sz w:val="20"/>
          <w:szCs w:val="20"/>
          <w:color w:val="auto"/>
        </w:rPr>
      </w:pPr>
      <w:r>
        <w:rPr>
          <w:rFonts w:ascii="Arial" w:cs="Arial" w:eastAsia="Arial" w:hAnsi="Arial"/>
          <w:sz w:val="16"/>
          <w:szCs w:val="16"/>
          <w:color w:val="auto"/>
        </w:rPr>
        <w:t>The Company's management, with the participation of the Company's Chief Executive Officer and Chief Financial Officer, evaluated the effectiveness of the Company's disclosure controls and procedures pursuant to Rule 13a-15 under the Exchange Act. In designing and evaluating the disclosure controls and procedures, management recognizes that any controls and procedures, no matter how well designed and operated, can provide only reasonable assurance of achieving the desired control objectives. In addition, the design of disclosure controls and procedures must reflect the fact that there are resource constraints and that management is required to apply its judgment in evaluating the benefits of possible controls and procedures relative to their costs.</w:t>
      </w:r>
    </w:p>
    <w:p>
      <w:pPr>
        <w:spacing w:after="0" w:line="170" w:lineRule="exact"/>
        <w:rPr>
          <w:sz w:val="20"/>
          <w:szCs w:val="20"/>
          <w:color w:val="auto"/>
        </w:rPr>
      </w:pPr>
    </w:p>
    <w:p>
      <w:pPr>
        <w:jc w:val="both"/>
        <w:ind w:firstLine="455"/>
        <w:spacing w:after="0" w:line="294" w:lineRule="auto"/>
        <w:rPr>
          <w:sz w:val="20"/>
          <w:szCs w:val="20"/>
          <w:color w:val="auto"/>
        </w:rPr>
      </w:pPr>
      <w:r>
        <w:rPr>
          <w:rFonts w:ascii="Arial" w:cs="Arial" w:eastAsia="Arial" w:hAnsi="Arial"/>
          <w:sz w:val="16"/>
          <w:szCs w:val="16"/>
          <w:color w:val="auto"/>
        </w:rPr>
        <w:t>Based on such evaluation, the Company's Chief Executive Officer and Chief Financial Officer concluded that, as of December 31, 2009, the Company's disclosure controls and procedures are designed at a reasonable assurance level and are effective to provide reasonable assurance that information the Company is required to disclose in reports that the Company files or submits under the Exchange Act is recorded, processed, summarized and reported within the time periods specified in SEC rules and forms, and that such information is accumulated and communicated to the Company's management, including the Company's Chief Executive Officer and Chief Financial Officer, as appropriate, to allow timely decisions regarding required disclosure.</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Management's report on internal control over financial reporting</w:t>
      </w:r>
    </w:p>
    <w:p>
      <w:pPr>
        <w:spacing w:after="0" w:line="231" w:lineRule="exact"/>
        <w:rPr>
          <w:sz w:val="20"/>
          <w:szCs w:val="20"/>
          <w:color w:val="auto"/>
        </w:rPr>
      </w:pPr>
    </w:p>
    <w:p>
      <w:pPr>
        <w:jc w:val="both"/>
        <w:ind w:firstLine="542"/>
        <w:spacing w:after="0" w:line="291" w:lineRule="auto"/>
        <w:rPr>
          <w:sz w:val="20"/>
          <w:szCs w:val="20"/>
          <w:color w:val="auto"/>
        </w:rPr>
      </w:pPr>
      <w:r>
        <w:rPr>
          <w:rFonts w:ascii="Arial" w:cs="Arial" w:eastAsia="Arial" w:hAnsi="Arial"/>
          <w:sz w:val="16"/>
          <w:szCs w:val="16"/>
          <w:color w:val="auto"/>
        </w:rPr>
        <w:t>Management of the Company is responsible for establishing and maintaining adequate internal control over financial reporting. Internal control over financial reporting is a process designed by, or under the supervision of, the Company's Chief Executive Officer and Chief Financial Officer and effected by the Company's Board, management and other personnel to provide reasonable assurance regarding the reliability of financial reporting and the preparation of financial statements for external purposes in accordance with generally accepted accounting principles. Because of its inherent limitations, internal control over financial reporting may not prevent or detect misstatements. Also, projections of any evaluation of effectiveness to future periods are subject to risk that controls may become inadequate because of changes in conditions, or that the degree of compliance with the policies or procedures may deteriorate.</w:t>
      </w:r>
    </w:p>
    <w:p>
      <w:pPr>
        <w:spacing w:after="0" w:line="174" w:lineRule="exact"/>
        <w:rPr>
          <w:sz w:val="20"/>
          <w:szCs w:val="20"/>
          <w:color w:val="auto"/>
        </w:rPr>
      </w:pPr>
    </w:p>
    <w:p>
      <w:pPr>
        <w:jc w:val="both"/>
        <w:ind w:firstLine="444"/>
        <w:spacing w:after="0" w:line="298" w:lineRule="auto"/>
        <w:rPr>
          <w:sz w:val="20"/>
          <w:szCs w:val="20"/>
          <w:color w:val="auto"/>
        </w:rPr>
      </w:pPr>
      <w:r>
        <w:rPr>
          <w:rFonts w:ascii="Arial" w:cs="Arial" w:eastAsia="Arial" w:hAnsi="Arial"/>
          <w:sz w:val="16"/>
          <w:szCs w:val="16"/>
          <w:color w:val="auto"/>
        </w:rPr>
        <w:t xml:space="preserve">The Company's management, including the Company's Chief Executive Officer and Chief Financial Officer, assessed the effectiveness of the Company's internal control over financial reporting as of December 31, 2009. In making this assessment, the Company's management used the criteria set forth by the Committee of Sponsoring Organizations of the Treadway Commission in </w:t>
      </w:r>
      <w:r>
        <w:rPr>
          <w:rFonts w:ascii="Arial" w:cs="Arial" w:eastAsia="Arial" w:hAnsi="Arial"/>
          <w:sz w:val="16"/>
          <w:szCs w:val="16"/>
          <w:i w:val="1"/>
          <w:iCs w:val="1"/>
          <w:color w:val="auto"/>
        </w:rPr>
        <w:t>Internal Control-Integrated Framework</w:t>
      </w:r>
      <w:r>
        <w:rPr>
          <w:rFonts w:ascii="Arial" w:cs="Arial" w:eastAsia="Arial" w:hAnsi="Arial"/>
          <w:sz w:val="16"/>
          <w:szCs w:val="16"/>
          <w:color w:val="auto"/>
        </w:rPr>
        <w:t>. Based upon its assessment, management concluded that, as of December 31, 2009, the Company's internal control over financial reporting was effective.</w:t>
      </w:r>
    </w:p>
    <w:p>
      <w:pPr>
        <w:spacing w:after="0" w:line="167" w:lineRule="exact"/>
        <w:rPr>
          <w:sz w:val="20"/>
          <w:szCs w:val="20"/>
          <w:color w:val="auto"/>
        </w:rPr>
      </w:pPr>
    </w:p>
    <w:p>
      <w:pPr>
        <w:jc w:val="both"/>
        <w:ind w:right="20" w:firstLine="554"/>
        <w:spacing w:after="0" w:line="268" w:lineRule="auto"/>
        <w:rPr>
          <w:sz w:val="20"/>
          <w:szCs w:val="20"/>
          <w:color w:val="auto"/>
        </w:rPr>
      </w:pPr>
      <w:r>
        <w:rPr>
          <w:rFonts w:ascii="Arial" w:cs="Arial" w:eastAsia="Arial" w:hAnsi="Arial"/>
          <w:sz w:val="18"/>
          <w:szCs w:val="18"/>
          <w:color w:val="auto"/>
        </w:rPr>
        <w:t>The effectiveness of the Company's internal control over financial reporting as of December 31, 2009 has been audited by Ernst &amp; Young LLP, an independent registered public accounting firm, as stated in their report which appears herein.</w:t>
      </w:r>
    </w:p>
    <w:p>
      <w:pPr>
        <w:spacing w:after="0" w:line="186" w:lineRule="exact"/>
        <w:rPr>
          <w:sz w:val="20"/>
          <w:szCs w:val="20"/>
          <w:color w:val="auto"/>
        </w:rPr>
      </w:pPr>
    </w:p>
    <w:p>
      <w:pPr>
        <w:jc w:val="both"/>
        <w:ind w:firstLine="529"/>
        <w:spacing w:after="0" w:line="268" w:lineRule="auto"/>
        <w:rPr>
          <w:sz w:val="20"/>
          <w:szCs w:val="20"/>
          <w:color w:val="auto"/>
        </w:rPr>
      </w:pPr>
      <w:r>
        <w:rPr>
          <w:rFonts w:ascii="Arial" w:cs="Arial" w:eastAsia="Arial" w:hAnsi="Arial"/>
          <w:sz w:val="18"/>
          <w:szCs w:val="18"/>
          <w:color w:val="auto"/>
        </w:rPr>
        <w:t>The Company will continue to periodically review its disclosure controls and procedures and internal control over financial reporting and may make modifications from time to time as considered necessary or desirable.</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182" w:name="page183"/>
    <w:bookmarkEnd w:id="182"/>
    <w:p>
      <w:pPr>
        <w:spacing w:after="0"/>
        <w:rPr>
          <w:sz w:val="20"/>
          <w:szCs w:val="20"/>
          <w:color w:val="auto"/>
        </w:rPr>
      </w:pPr>
      <w:r>
        <w:rPr>
          <w:rFonts w:ascii="Arial" w:cs="Arial" w:eastAsia="Arial" w:hAnsi="Arial"/>
          <w:sz w:val="18"/>
          <w:szCs w:val="18"/>
          <w:b w:val="1"/>
          <w:bCs w:val="1"/>
          <w:color w:val="auto"/>
        </w:rPr>
        <w:t>Attestation report of the registered public accounting firm</w:t>
      </w:r>
    </w:p>
    <w:p>
      <w:pPr>
        <w:spacing w:after="0" w:line="231" w:lineRule="exact"/>
        <w:rPr>
          <w:sz w:val="20"/>
          <w:szCs w:val="20"/>
          <w:color w:val="auto"/>
        </w:rPr>
      </w:pPr>
    </w:p>
    <w:p>
      <w:pPr>
        <w:jc w:val="both"/>
        <w:ind w:firstLine="395"/>
        <w:spacing w:after="0" w:line="268" w:lineRule="auto"/>
        <w:rPr>
          <w:sz w:val="20"/>
          <w:szCs w:val="20"/>
          <w:color w:val="auto"/>
        </w:rPr>
      </w:pPr>
      <w:r>
        <w:rPr>
          <w:rFonts w:ascii="Arial" w:cs="Arial" w:eastAsia="Arial" w:hAnsi="Arial"/>
          <w:sz w:val="18"/>
          <w:szCs w:val="18"/>
          <w:color w:val="auto"/>
        </w:rPr>
        <w:t>Please see "Item 18 Financial Statements — Report of Independent Registered Public Accounting Firm" included in the Company's Consolidated Financial Statements.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Changes in internal control over financial reporting</w:t>
      </w:r>
    </w:p>
    <w:p>
      <w:pPr>
        <w:spacing w:after="0" w:line="231" w:lineRule="exact"/>
        <w:rPr>
          <w:sz w:val="20"/>
          <w:szCs w:val="20"/>
          <w:color w:val="auto"/>
        </w:rPr>
      </w:pPr>
    </w:p>
    <w:p>
      <w:pPr>
        <w:jc w:val="both"/>
        <w:ind w:firstLine="359"/>
        <w:spacing w:after="0" w:line="259" w:lineRule="auto"/>
        <w:rPr>
          <w:sz w:val="20"/>
          <w:szCs w:val="20"/>
          <w:color w:val="auto"/>
        </w:rPr>
      </w:pPr>
      <w:r>
        <w:rPr>
          <w:rFonts w:ascii="Arial" w:cs="Arial" w:eastAsia="Arial" w:hAnsi="Arial"/>
          <w:sz w:val="18"/>
          <w:szCs w:val="18"/>
          <w:color w:val="auto"/>
        </w:rPr>
        <w:t>Management regularly reviews its system of internal control over financial reporting and makes changes to the Company's processes and systems to improve controls and increase efficiency, while ensuring that the Company maintains an effective internal control environment. Changes may include such activities as implementing new, more efficient systems, consolidating activities, and migrating processes.</w:t>
      </w:r>
    </w:p>
    <w:p>
      <w:pPr>
        <w:spacing w:after="0" w:line="194" w:lineRule="exact"/>
        <w:rPr>
          <w:sz w:val="20"/>
          <w:szCs w:val="20"/>
          <w:color w:val="auto"/>
        </w:rPr>
      </w:pPr>
    </w:p>
    <w:p>
      <w:pPr>
        <w:jc w:val="both"/>
        <w:ind w:right="20" w:firstLine="358"/>
        <w:spacing w:after="0" w:line="332" w:lineRule="auto"/>
        <w:rPr>
          <w:sz w:val="20"/>
          <w:szCs w:val="20"/>
          <w:color w:val="auto"/>
        </w:rPr>
      </w:pPr>
      <w:r>
        <w:rPr>
          <w:rFonts w:ascii="Arial" w:cs="Arial" w:eastAsia="Arial" w:hAnsi="Arial"/>
          <w:sz w:val="16"/>
          <w:szCs w:val="16"/>
          <w:color w:val="auto"/>
        </w:rPr>
        <w:t>There was no change in the Company's internal control over financial reporting that occurred during the period covered by this Annual Report on Form 20-F that was materially affected, or is reasonably likely to materially affect, the Company's internal control over financial reporting.</w:t>
      </w:r>
    </w:p>
    <w:p>
      <w:pPr>
        <w:spacing w:after="0" w:line="133" w:lineRule="exact"/>
        <w:rPr>
          <w:sz w:val="20"/>
          <w:szCs w:val="20"/>
          <w:color w:val="auto"/>
        </w:rPr>
      </w:pPr>
    </w:p>
    <w:p>
      <w:pPr>
        <w:spacing w:after="0"/>
        <w:tabs>
          <w:tab w:leader="none" w:pos="960" w:val="left"/>
        </w:tabs>
        <w:rPr>
          <w:sz w:val="20"/>
          <w:szCs w:val="20"/>
          <w:color w:val="auto"/>
        </w:rPr>
      </w:pPr>
      <w:r>
        <w:rPr>
          <w:rFonts w:ascii="Arial" w:cs="Arial" w:eastAsia="Arial" w:hAnsi="Arial"/>
          <w:sz w:val="18"/>
          <w:szCs w:val="18"/>
          <w:b w:val="1"/>
          <w:bCs w:val="1"/>
          <w:color w:val="auto"/>
        </w:rPr>
        <w:t>ITEM 15T</w:t>
      </w:r>
      <w:r>
        <w:rPr>
          <w:sz w:val="20"/>
          <w:szCs w:val="20"/>
          <w:color w:val="auto"/>
        </w:rPr>
        <w:tab/>
      </w:r>
      <w:r>
        <w:rPr>
          <w:rFonts w:ascii="Arial" w:cs="Arial" w:eastAsia="Arial" w:hAnsi="Arial"/>
          <w:sz w:val="16"/>
          <w:szCs w:val="16"/>
          <w:b w:val="1"/>
          <w:bCs w:val="1"/>
          <w:color w:val="auto"/>
        </w:rPr>
        <w:t>CONTROLS AND PROCEDURES</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Not applicable.</w:t>
      </w:r>
    </w:p>
    <w:p>
      <w:pPr>
        <w:spacing w:after="0" w:line="219" w:lineRule="exact"/>
        <w:rPr>
          <w:sz w:val="20"/>
          <w:szCs w:val="20"/>
          <w:color w:val="auto"/>
        </w:rPr>
      </w:pPr>
    </w:p>
    <w:p>
      <w:pPr>
        <w:spacing w:after="0"/>
        <w:tabs>
          <w:tab w:leader="none" w:pos="960" w:val="left"/>
        </w:tabs>
        <w:rPr>
          <w:sz w:val="20"/>
          <w:szCs w:val="20"/>
          <w:color w:val="auto"/>
        </w:rPr>
      </w:pPr>
      <w:r>
        <w:rPr>
          <w:rFonts w:ascii="Arial" w:cs="Arial" w:eastAsia="Arial" w:hAnsi="Arial"/>
          <w:sz w:val="18"/>
          <w:szCs w:val="18"/>
          <w:b w:val="1"/>
          <w:bCs w:val="1"/>
          <w:color w:val="auto"/>
        </w:rPr>
        <w:t>ITEM 16A</w:t>
        <w:tab/>
        <w:t>AUDIT COMMITTEE FINANCIAL EXPERT</w:t>
      </w:r>
    </w:p>
    <w:p>
      <w:pPr>
        <w:spacing w:after="0" w:line="231" w:lineRule="exact"/>
        <w:rPr>
          <w:sz w:val="20"/>
          <w:szCs w:val="20"/>
          <w:color w:val="auto"/>
        </w:rPr>
      </w:pPr>
    </w:p>
    <w:p>
      <w:pPr>
        <w:jc w:val="both"/>
        <w:ind w:firstLine="469"/>
        <w:spacing w:after="0" w:line="259" w:lineRule="auto"/>
        <w:rPr>
          <w:sz w:val="20"/>
          <w:szCs w:val="20"/>
          <w:color w:val="auto"/>
        </w:rPr>
      </w:pPr>
      <w:r>
        <w:rPr>
          <w:rFonts w:ascii="Arial" w:cs="Arial" w:eastAsia="Arial" w:hAnsi="Arial"/>
          <w:sz w:val="18"/>
          <w:szCs w:val="18"/>
          <w:color w:val="auto"/>
        </w:rPr>
        <w:t>The Board has determined that the Company shall have at least one "audit committee financial expert" (as defined in Item 16A of Form 20-F) and that Messrs. Bernie Kraft and Mel Leiderman are the Company's "audit committee financial experts" serving on the Audit Committee of the Board. Each of the Audit Committee financial experts is "independent" under applicable listing standards.</w:t>
      </w:r>
    </w:p>
    <w:p>
      <w:pPr>
        <w:spacing w:after="0" w:line="188" w:lineRule="exact"/>
        <w:rPr>
          <w:sz w:val="20"/>
          <w:szCs w:val="20"/>
          <w:color w:val="auto"/>
        </w:rPr>
      </w:pPr>
    </w:p>
    <w:p>
      <w:pPr>
        <w:spacing w:after="0"/>
        <w:tabs>
          <w:tab w:leader="none" w:pos="960" w:val="left"/>
        </w:tabs>
        <w:rPr>
          <w:sz w:val="20"/>
          <w:szCs w:val="20"/>
          <w:color w:val="auto"/>
        </w:rPr>
      </w:pPr>
      <w:r>
        <w:rPr>
          <w:rFonts w:ascii="Arial" w:cs="Arial" w:eastAsia="Arial" w:hAnsi="Arial"/>
          <w:sz w:val="18"/>
          <w:szCs w:val="18"/>
          <w:b w:val="1"/>
          <w:bCs w:val="1"/>
          <w:color w:val="auto"/>
        </w:rPr>
        <w:t>ITEM 16B</w:t>
      </w:r>
      <w:r>
        <w:rPr>
          <w:sz w:val="20"/>
          <w:szCs w:val="20"/>
          <w:color w:val="auto"/>
        </w:rPr>
        <w:tab/>
      </w:r>
      <w:r>
        <w:rPr>
          <w:rFonts w:ascii="Arial" w:cs="Arial" w:eastAsia="Arial" w:hAnsi="Arial"/>
          <w:sz w:val="16"/>
          <w:szCs w:val="16"/>
          <w:b w:val="1"/>
          <w:bCs w:val="1"/>
          <w:color w:val="auto"/>
        </w:rPr>
        <w:t>CODE OF ETHICS</w:t>
      </w:r>
    </w:p>
    <w:p>
      <w:pPr>
        <w:spacing w:after="0" w:line="231" w:lineRule="exact"/>
        <w:rPr>
          <w:sz w:val="20"/>
          <w:szCs w:val="20"/>
          <w:color w:val="auto"/>
        </w:rPr>
      </w:pPr>
    </w:p>
    <w:p>
      <w:pPr>
        <w:jc w:val="both"/>
        <w:ind w:firstLine="453"/>
        <w:spacing w:after="0" w:line="298" w:lineRule="auto"/>
        <w:rPr>
          <w:sz w:val="20"/>
          <w:szCs w:val="20"/>
          <w:color w:val="auto"/>
        </w:rPr>
      </w:pPr>
      <w:r>
        <w:rPr>
          <w:rFonts w:ascii="Arial" w:cs="Arial" w:eastAsia="Arial" w:hAnsi="Arial"/>
          <w:sz w:val="16"/>
          <w:szCs w:val="16"/>
          <w:color w:val="auto"/>
        </w:rPr>
        <w:t xml:space="preserve">The Company has adopted a "code of ethics" (as defined in Item 16B of Form 20-F) that applies to its Chief Executive Officer, Chief Financial Officer, principal accounting officer, controller and persons performing similar functions. A copy of this code of ethics was filed as Exhibit 2 to the Form 6-K filed on December 13, 2005 and is incorporated by reference hereto. The code of ethics is available on the Company's website at </w:t>
      </w:r>
      <w:r>
        <w:rPr>
          <w:rFonts w:ascii="Arial" w:cs="Arial" w:eastAsia="Arial" w:hAnsi="Arial"/>
          <w:sz w:val="16"/>
          <w:szCs w:val="16"/>
          <w:u w:val="single" w:color="auto"/>
          <w:color w:val="auto"/>
        </w:rPr>
        <w:t>www.agnico-eagle.com</w:t>
      </w:r>
      <w:r>
        <w:rPr>
          <w:rFonts w:ascii="Arial" w:cs="Arial" w:eastAsia="Arial" w:hAnsi="Arial"/>
          <w:sz w:val="16"/>
          <w:szCs w:val="16"/>
          <w:color w:val="auto"/>
        </w:rPr>
        <w:t xml:space="preserve"> or by request from the Corporate Secretary, Agnico-Eagle Mines Limited, Suite 400, 145 King Street East, Toronto, Ontario M5C 2Y7 (telephone 416-947-1212).</w:t>
      </w:r>
    </w:p>
    <w:p>
      <w:pPr>
        <w:spacing w:after="0" w:line="161" w:lineRule="exact"/>
        <w:rPr>
          <w:sz w:val="20"/>
          <w:szCs w:val="20"/>
          <w:color w:val="auto"/>
        </w:rPr>
      </w:pPr>
    </w:p>
    <w:p>
      <w:pPr>
        <w:spacing w:after="0"/>
        <w:tabs>
          <w:tab w:leader="none" w:pos="980" w:val="left"/>
        </w:tabs>
        <w:rPr>
          <w:sz w:val="20"/>
          <w:szCs w:val="20"/>
          <w:color w:val="auto"/>
        </w:rPr>
      </w:pPr>
      <w:r>
        <w:rPr>
          <w:rFonts w:ascii="Arial" w:cs="Arial" w:eastAsia="Arial" w:hAnsi="Arial"/>
          <w:sz w:val="18"/>
          <w:szCs w:val="18"/>
          <w:b w:val="1"/>
          <w:bCs w:val="1"/>
          <w:color w:val="auto"/>
        </w:rPr>
        <w:t>ITEM 16C</w:t>
      </w:r>
      <w:r>
        <w:rPr>
          <w:sz w:val="20"/>
          <w:szCs w:val="20"/>
          <w:color w:val="auto"/>
        </w:rPr>
        <w:tab/>
      </w:r>
      <w:r>
        <w:rPr>
          <w:rFonts w:ascii="Arial" w:cs="Arial" w:eastAsia="Arial" w:hAnsi="Arial"/>
          <w:sz w:val="16"/>
          <w:szCs w:val="16"/>
          <w:b w:val="1"/>
          <w:bCs w:val="1"/>
          <w:color w:val="auto"/>
        </w:rPr>
        <w:t>PRINCIPAL ACCOUNTANT FEES AND SERVICES</w:t>
      </w:r>
    </w:p>
    <w:p>
      <w:pPr>
        <w:spacing w:after="0" w:line="231" w:lineRule="exact"/>
        <w:rPr>
          <w:sz w:val="20"/>
          <w:szCs w:val="20"/>
          <w:color w:val="auto"/>
        </w:rPr>
      </w:pPr>
    </w:p>
    <w:p>
      <w:pPr>
        <w:jc w:val="both"/>
        <w:ind w:firstLine="456"/>
        <w:spacing w:after="0" w:line="290" w:lineRule="auto"/>
        <w:rPr>
          <w:sz w:val="20"/>
          <w:szCs w:val="20"/>
          <w:color w:val="auto"/>
        </w:rPr>
      </w:pPr>
      <w:r>
        <w:rPr>
          <w:rFonts w:ascii="Arial" w:cs="Arial" w:eastAsia="Arial" w:hAnsi="Arial"/>
          <w:sz w:val="16"/>
          <w:szCs w:val="16"/>
          <w:color w:val="auto"/>
        </w:rPr>
        <w:t>The Audit Committee establishes the independent auditors' compensation. In 2003, the Audit Committee established a policy to pre-approve all services provided by the Company's independent public accountant, Ernst &amp; Young LLP. The Audit Committee determines which non-audit services the independent auditors are prohibited from providing and authorizes permitted non-audit services to be performed by the independent auditors to the extent those services are permitted by SOX and other applicable legislation. A summary of all fees paid to Ernst &amp; Young LLP for the fiscal years ended December 31, 2009 and 2008 can be found under "Item 10 Additional Information — Audit Fees". All fees paid to Ernst &amp; Young LLP in 2009 were pre-approved by the Audit Committee. Ernst &amp; Young LLP has served as the Company's independent public accountant for each of the fiscal years in the three-year period ended December 31, 2009 for which audited financial statements appear in this Annual Report on Form 20-F.</w:t>
      </w:r>
    </w:p>
    <w:p>
      <w:pPr>
        <w:spacing w:after="0" w:line="166" w:lineRule="exact"/>
        <w:rPr>
          <w:sz w:val="20"/>
          <w:szCs w:val="20"/>
          <w:color w:val="auto"/>
        </w:rPr>
      </w:pPr>
    </w:p>
    <w:p>
      <w:pPr>
        <w:spacing w:after="0"/>
        <w:tabs>
          <w:tab w:leader="none" w:pos="980" w:val="left"/>
        </w:tabs>
        <w:rPr>
          <w:sz w:val="20"/>
          <w:szCs w:val="20"/>
          <w:color w:val="auto"/>
        </w:rPr>
      </w:pPr>
      <w:r>
        <w:rPr>
          <w:rFonts w:ascii="Arial" w:cs="Arial" w:eastAsia="Arial" w:hAnsi="Arial"/>
          <w:sz w:val="18"/>
          <w:szCs w:val="18"/>
          <w:b w:val="1"/>
          <w:bCs w:val="1"/>
          <w:color w:val="auto"/>
        </w:rPr>
        <w:t>ITEM 16D</w:t>
      </w:r>
      <w:r>
        <w:rPr>
          <w:sz w:val="20"/>
          <w:szCs w:val="20"/>
          <w:color w:val="auto"/>
        </w:rPr>
        <w:tab/>
      </w:r>
      <w:r>
        <w:rPr>
          <w:rFonts w:ascii="Arial" w:cs="Arial" w:eastAsia="Arial" w:hAnsi="Arial"/>
          <w:sz w:val="16"/>
          <w:szCs w:val="16"/>
          <w:b w:val="1"/>
          <w:bCs w:val="1"/>
          <w:color w:val="auto"/>
        </w:rPr>
        <w:t>EXEMPTIONS FROM THE LISTING STANDARDS FOR AUDIT COMMITTEES</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None/Not applicable.</w:t>
      </w:r>
    </w:p>
    <w:p>
      <w:pPr>
        <w:spacing w:after="0" w:line="219" w:lineRule="exact"/>
        <w:rPr>
          <w:sz w:val="20"/>
          <w:szCs w:val="20"/>
          <w:color w:val="auto"/>
        </w:rPr>
      </w:pPr>
    </w:p>
    <w:p>
      <w:pPr>
        <w:spacing w:after="0"/>
        <w:tabs>
          <w:tab w:leader="none" w:pos="960" w:val="left"/>
        </w:tabs>
        <w:rPr>
          <w:sz w:val="20"/>
          <w:szCs w:val="20"/>
          <w:color w:val="auto"/>
        </w:rPr>
      </w:pPr>
      <w:r>
        <w:rPr>
          <w:rFonts w:ascii="Arial" w:cs="Arial" w:eastAsia="Arial" w:hAnsi="Arial"/>
          <w:sz w:val="18"/>
          <w:szCs w:val="18"/>
          <w:b w:val="1"/>
          <w:bCs w:val="1"/>
          <w:color w:val="auto"/>
        </w:rPr>
        <w:t>ITEM 16E</w:t>
      </w:r>
      <w:r>
        <w:rPr>
          <w:sz w:val="20"/>
          <w:szCs w:val="20"/>
          <w:color w:val="auto"/>
        </w:rPr>
        <w:tab/>
      </w:r>
      <w:r>
        <w:rPr>
          <w:rFonts w:ascii="Arial" w:cs="Arial" w:eastAsia="Arial" w:hAnsi="Arial"/>
          <w:sz w:val="16"/>
          <w:szCs w:val="16"/>
          <w:b w:val="1"/>
          <w:bCs w:val="1"/>
          <w:color w:val="auto"/>
        </w:rPr>
        <w:t>PURCHASES OF EQUITY SECURITIES BY THE ISSUER AND AFFILIATED PURCHASERS</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None/Not applicable.</w:t>
      </w:r>
    </w:p>
    <w:p>
      <w:pPr>
        <w:spacing w:after="0" w:line="219" w:lineRule="exact"/>
        <w:rPr>
          <w:sz w:val="20"/>
          <w:szCs w:val="20"/>
          <w:color w:val="auto"/>
        </w:rPr>
      </w:pPr>
    </w:p>
    <w:p>
      <w:pPr>
        <w:spacing w:after="0"/>
        <w:tabs>
          <w:tab w:leader="none" w:pos="960" w:val="left"/>
        </w:tabs>
        <w:rPr>
          <w:sz w:val="20"/>
          <w:szCs w:val="20"/>
          <w:color w:val="auto"/>
        </w:rPr>
      </w:pPr>
      <w:r>
        <w:rPr>
          <w:rFonts w:ascii="Arial" w:cs="Arial" w:eastAsia="Arial" w:hAnsi="Arial"/>
          <w:sz w:val="18"/>
          <w:szCs w:val="18"/>
          <w:b w:val="1"/>
          <w:bCs w:val="1"/>
          <w:color w:val="auto"/>
        </w:rPr>
        <w:t>ITEM 16F</w:t>
      </w:r>
      <w:r>
        <w:rPr>
          <w:sz w:val="20"/>
          <w:szCs w:val="20"/>
          <w:color w:val="auto"/>
        </w:rPr>
        <w:tab/>
      </w:r>
      <w:r>
        <w:rPr>
          <w:rFonts w:ascii="Arial" w:cs="Arial" w:eastAsia="Arial" w:hAnsi="Arial"/>
          <w:sz w:val="16"/>
          <w:szCs w:val="16"/>
          <w:b w:val="1"/>
          <w:bCs w:val="1"/>
          <w:color w:val="auto"/>
        </w:rPr>
        <w:t>CHANGES IN REGISTRANT'S CERTIFYING ACCOUNTANT</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None/Not applicable.</w:t>
      </w:r>
    </w:p>
    <w:p>
      <w:pPr>
        <w:spacing w:after="0" w:line="219" w:lineRule="exact"/>
        <w:rPr>
          <w:sz w:val="20"/>
          <w:szCs w:val="20"/>
          <w:color w:val="auto"/>
        </w:rPr>
      </w:pPr>
    </w:p>
    <w:p>
      <w:pPr>
        <w:spacing w:after="0"/>
        <w:tabs>
          <w:tab w:leader="none" w:pos="980" w:val="left"/>
        </w:tabs>
        <w:rPr>
          <w:sz w:val="20"/>
          <w:szCs w:val="20"/>
          <w:color w:val="auto"/>
        </w:rPr>
      </w:pPr>
      <w:r>
        <w:rPr>
          <w:rFonts w:ascii="Arial" w:cs="Arial" w:eastAsia="Arial" w:hAnsi="Arial"/>
          <w:sz w:val="18"/>
          <w:szCs w:val="18"/>
          <w:b w:val="1"/>
          <w:bCs w:val="1"/>
          <w:color w:val="auto"/>
        </w:rPr>
        <w:t>ITEM 16G</w:t>
      </w:r>
      <w:r>
        <w:rPr>
          <w:sz w:val="20"/>
          <w:szCs w:val="20"/>
          <w:color w:val="auto"/>
        </w:rPr>
        <w:tab/>
      </w:r>
      <w:r>
        <w:rPr>
          <w:rFonts w:ascii="Arial" w:cs="Arial" w:eastAsia="Arial" w:hAnsi="Arial"/>
          <w:sz w:val="16"/>
          <w:szCs w:val="16"/>
          <w:b w:val="1"/>
          <w:bCs w:val="1"/>
          <w:color w:val="auto"/>
        </w:rPr>
        <w:t>CORPORATE GOVERNANCE</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See "Item 10 Additional Information — Corporate Governance" which is incorporated by reference into this Item 16G.</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25" w:right="239" w:bottom="1440" w:gutter="0" w:footer="0" w:header="0"/>
        </w:sectPr>
      </w:pPr>
    </w:p>
    <w:bookmarkStart w:id="183" w:name="page184"/>
    <w:bookmarkEnd w:id="183"/>
    <w:p>
      <w:pPr>
        <w:jc w:val="center"/>
        <w:ind w:right="-39"/>
        <w:spacing w:after="0"/>
        <w:rPr>
          <w:sz w:val="20"/>
          <w:szCs w:val="20"/>
          <w:color w:val="auto"/>
        </w:rPr>
      </w:pPr>
      <w:r>
        <w:rPr>
          <w:rFonts w:ascii="Arial" w:cs="Arial" w:eastAsia="Arial" w:hAnsi="Arial"/>
          <w:sz w:val="18"/>
          <w:szCs w:val="18"/>
          <w:b w:val="1"/>
          <w:bCs w:val="1"/>
          <w:color w:val="auto"/>
        </w:rPr>
        <w:t>PART III</w:t>
      </w:r>
    </w:p>
    <w:p>
      <w:pPr>
        <w:spacing w:after="0" w:line="225" w:lineRule="exact"/>
        <w:rPr>
          <w:sz w:val="20"/>
          <w:szCs w:val="20"/>
          <w:color w:val="auto"/>
        </w:rPr>
      </w:pPr>
    </w:p>
    <w:p>
      <w:pPr>
        <w:spacing w:after="0"/>
        <w:tabs>
          <w:tab w:leader="none" w:pos="860" w:val="left"/>
        </w:tabs>
        <w:rPr>
          <w:sz w:val="20"/>
          <w:szCs w:val="20"/>
          <w:color w:val="auto"/>
        </w:rPr>
      </w:pPr>
      <w:r>
        <w:rPr>
          <w:rFonts w:ascii="Arial" w:cs="Arial" w:eastAsia="Arial" w:hAnsi="Arial"/>
          <w:sz w:val="18"/>
          <w:szCs w:val="18"/>
          <w:b w:val="1"/>
          <w:bCs w:val="1"/>
          <w:color w:val="auto"/>
        </w:rPr>
        <w:t>ITEM 17</w:t>
      </w:r>
      <w:r>
        <w:rPr>
          <w:sz w:val="20"/>
          <w:szCs w:val="20"/>
          <w:color w:val="auto"/>
        </w:rPr>
        <w:tab/>
      </w:r>
      <w:r>
        <w:rPr>
          <w:rFonts w:ascii="Arial" w:cs="Arial" w:eastAsia="Arial" w:hAnsi="Arial"/>
          <w:sz w:val="16"/>
          <w:szCs w:val="16"/>
          <w:b w:val="1"/>
          <w:bCs w:val="1"/>
          <w:color w:val="auto"/>
        </w:rPr>
        <w:t>FINANCIAL STATEMENTS</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Company has elected to provide financial statements and related information pursuant to Item 18.</w:t>
      </w:r>
    </w:p>
    <w:p>
      <w:pPr>
        <w:spacing w:after="0" w:line="219" w:lineRule="exact"/>
        <w:rPr>
          <w:sz w:val="20"/>
          <w:szCs w:val="20"/>
          <w:color w:val="auto"/>
        </w:rPr>
      </w:pPr>
    </w:p>
    <w:p>
      <w:pPr>
        <w:spacing w:after="0"/>
        <w:tabs>
          <w:tab w:leader="none" w:pos="860" w:val="left"/>
        </w:tabs>
        <w:rPr>
          <w:sz w:val="20"/>
          <w:szCs w:val="20"/>
          <w:color w:val="auto"/>
        </w:rPr>
      </w:pPr>
      <w:r>
        <w:rPr>
          <w:rFonts w:ascii="Arial" w:cs="Arial" w:eastAsia="Arial" w:hAnsi="Arial"/>
          <w:sz w:val="18"/>
          <w:szCs w:val="18"/>
          <w:b w:val="1"/>
          <w:bCs w:val="1"/>
          <w:color w:val="auto"/>
        </w:rPr>
        <w:t>ITEM 18</w:t>
      </w:r>
      <w:r>
        <w:rPr>
          <w:sz w:val="20"/>
          <w:szCs w:val="20"/>
          <w:color w:val="auto"/>
        </w:rPr>
        <w:tab/>
      </w:r>
      <w:r>
        <w:rPr>
          <w:rFonts w:ascii="Arial" w:cs="Arial" w:eastAsia="Arial" w:hAnsi="Arial"/>
          <w:sz w:val="16"/>
          <w:szCs w:val="16"/>
          <w:b w:val="1"/>
          <w:bCs w:val="1"/>
          <w:color w:val="auto"/>
        </w:rPr>
        <w:t>FINANCIAL STATEMENTS</w:t>
      </w:r>
    </w:p>
    <w:p>
      <w:pPr>
        <w:spacing w:after="0" w:line="231" w:lineRule="exact"/>
        <w:rPr>
          <w:sz w:val="20"/>
          <w:szCs w:val="20"/>
          <w:color w:val="auto"/>
        </w:rPr>
      </w:pPr>
    </w:p>
    <w:p>
      <w:pPr>
        <w:jc w:val="center"/>
        <w:ind w:left="300"/>
        <w:spacing w:after="0"/>
        <w:rPr>
          <w:sz w:val="20"/>
          <w:szCs w:val="20"/>
          <w:color w:val="auto"/>
        </w:rPr>
      </w:pPr>
      <w:r>
        <w:rPr>
          <w:rFonts w:ascii="Arial" w:cs="Arial" w:eastAsia="Arial" w:hAnsi="Arial"/>
          <w:sz w:val="15"/>
          <w:szCs w:val="15"/>
          <w:color w:val="auto"/>
        </w:rPr>
        <w:t>Pursuant to General Instruction E(c) of Form 20-F, the registrant has elected to provide the financial statements and related information specified in Item 18.</w:t>
      </w:r>
    </w:p>
    <w:p>
      <w:pPr>
        <w:spacing w:after="0" w:line="260"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341" w:right="299" w:bottom="1440" w:gutter="0" w:footer="0" w:header="0"/>
        </w:sectPr>
      </w:pPr>
    </w:p>
    <w:bookmarkStart w:id="184" w:name="page185"/>
    <w:bookmarkEnd w:id="184"/>
    <w:p>
      <w:pPr>
        <w:ind w:left="2680"/>
        <w:spacing w:after="0"/>
        <w:rPr>
          <w:sz w:val="20"/>
          <w:szCs w:val="20"/>
          <w:color w:val="auto"/>
        </w:rPr>
      </w:pPr>
      <w:r>
        <w:rPr>
          <w:rFonts w:ascii="Arial" w:cs="Arial" w:eastAsia="Arial" w:hAnsi="Arial"/>
          <w:sz w:val="18"/>
          <w:szCs w:val="18"/>
          <w:b w:val="1"/>
          <w:bCs w:val="1"/>
          <w:color w:val="auto"/>
        </w:rPr>
        <w:t>REPORT OF INDEPENDENT REGISTERED PUBLIC ACCOUNTING FIRM</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The Board of Directors and Shareholders of Agnico-Eagle Mines Limited:</w:t>
      </w:r>
    </w:p>
    <w:p>
      <w:pPr>
        <w:spacing w:after="0" w:line="225" w:lineRule="exact"/>
        <w:rPr>
          <w:sz w:val="20"/>
          <w:szCs w:val="20"/>
          <w:color w:val="auto"/>
        </w:rPr>
      </w:pPr>
    </w:p>
    <w:p>
      <w:pPr>
        <w:jc w:val="both"/>
        <w:ind w:firstLine="460"/>
        <w:spacing w:after="0" w:line="294" w:lineRule="auto"/>
        <w:rPr>
          <w:sz w:val="20"/>
          <w:szCs w:val="20"/>
          <w:color w:val="auto"/>
        </w:rPr>
      </w:pPr>
      <w:r>
        <w:rPr>
          <w:rFonts w:ascii="Arial" w:cs="Arial" w:eastAsia="Arial" w:hAnsi="Arial"/>
          <w:sz w:val="16"/>
          <w:szCs w:val="16"/>
          <w:color w:val="auto"/>
        </w:rPr>
        <w:t>We have audited the effectiveness of Agnico-Eagle Mines Limited's internal control over financial reporting as of December 31, 2009, based on criteria established in Internal Control — Integrated Framework issued by the Committee of Sponsoring Organizations of the Treadway Commission (the COSO criteria). Agnico-Eagle Mines Limited's management is responsible for maintaining effective internal control over financial reporting, and for its assessment of the effectiveness of internal control over financial reporting included in the accompanying Management's report on internal control over financial reporting. Our responsibility is to express an opinion on the company's internal control over financial reporting based on our audit.</w:t>
      </w:r>
    </w:p>
    <w:p>
      <w:pPr>
        <w:spacing w:after="0" w:line="170" w:lineRule="exact"/>
        <w:rPr>
          <w:sz w:val="20"/>
          <w:szCs w:val="20"/>
          <w:color w:val="auto"/>
        </w:rPr>
      </w:pPr>
    </w:p>
    <w:p>
      <w:pPr>
        <w:jc w:val="both"/>
        <w:ind w:firstLine="385"/>
        <w:spacing w:after="0" w:line="294" w:lineRule="auto"/>
        <w:rPr>
          <w:sz w:val="20"/>
          <w:szCs w:val="20"/>
          <w:color w:val="auto"/>
        </w:rPr>
      </w:pPr>
      <w:r>
        <w:rPr>
          <w:rFonts w:ascii="Arial" w:cs="Arial" w:eastAsia="Arial" w:hAnsi="Arial"/>
          <w:sz w:val="16"/>
          <w:szCs w:val="16"/>
          <w:color w:val="auto"/>
        </w:rPr>
        <w:t>We conducted our audit in accordance with the standards of the Public Company Accounting Oversight Board (United States). Those standards require that we plan and perform the audit to obtain reasonable assurance about whether effective internal control over financial reporting was maintained in all material respects. Our audit included obtaining an understanding of internal control over financial reporting, assessing the risk that a material weakness exists, testing and evaluating the design and operating effectiveness of internal control based on the assessed risk, and performing such other procedures as we considered necessary in the circumstances. We believe that our audit provides a reasonable basis for our opinion.</w:t>
      </w:r>
    </w:p>
    <w:p>
      <w:pPr>
        <w:spacing w:after="0" w:line="170" w:lineRule="exact"/>
        <w:rPr>
          <w:sz w:val="20"/>
          <w:szCs w:val="20"/>
          <w:color w:val="auto"/>
        </w:rPr>
      </w:pPr>
    </w:p>
    <w:p>
      <w:pPr>
        <w:jc w:val="both"/>
        <w:ind w:firstLine="423"/>
        <w:spacing w:after="0" w:line="290" w:lineRule="auto"/>
        <w:rPr>
          <w:sz w:val="20"/>
          <w:szCs w:val="20"/>
          <w:color w:val="auto"/>
        </w:rPr>
      </w:pPr>
      <w:r>
        <w:rPr>
          <w:rFonts w:ascii="Arial" w:cs="Arial" w:eastAsia="Arial" w:hAnsi="Arial"/>
          <w:sz w:val="16"/>
          <w:szCs w:val="16"/>
          <w:color w:val="auto"/>
        </w:rPr>
        <w:t>A company's internal control over financial reporting is a process designed to provide reasonable assurance regarding the reliability of financial reporting and the preparation of financial statements for external purposes in accordance with generally accepted accounting principles. A company's internal control over financial reporting includes those policies and procedures that (1) pertain to the maintenance of records that, in reasonable detail, accurately and fairly reflect the transactions and dispositions of the assets of the company; (2) provide reasonable assurance that transactions are recorded as necessary to permit preparation of financial statements in accordance with generally accepted accounting principles, and that receipts and expenditures of the company are being made only in accordance with authorizations of management and directors of the company; and (3) provide reasonable assurance regarding prevention or timely detection of unauthorized acquisition, use, or disposition of the company's assets that could have a material effect on the financial statements.</w:t>
      </w:r>
    </w:p>
    <w:p>
      <w:pPr>
        <w:spacing w:after="0" w:line="172" w:lineRule="exact"/>
        <w:rPr>
          <w:sz w:val="20"/>
          <w:szCs w:val="20"/>
          <w:color w:val="auto"/>
        </w:rPr>
      </w:pPr>
    </w:p>
    <w:p>
      <w:pPr>
        <w:jc w:val="both"/>
        <w:ind w:firstLine="400"/>
        <w:spacing w:after="0" w:line="259" w:lineRule="auto"/>
        <w:rPr>
          <w:sz w:val="20"/>
          <w:szCs w:val="20"/>
          <w:color w:val="auto"/>
        </w:rPr>
      </w:pPr>
      <w:r>
        <w:rPr>
          <w:rFonts w:ascii="Arial" w:cs="Arial" w:eastAsia="Arial" w:hAnsi="Arial"/>
          <w:sz w:val="18"/>
          <w:szCs w:val="18"/>
          <w:color w:val="auto"/>
        </w:rPr>
        <w:t>Because of its inherent limitations, internal control over financial reporting may not prevent or detect misstatements. Also, projections of any evaluation of effectiveness to future periods are subject to the risk that controls may become inadequate because of changes in conditions, or that the degree of compliance with the policies or procedures may deteriorate.</w:t>
      </w:r>
    </w:p>
    <w:p>
      <w:pPr>
        <w:spacing w:after="0" w:line="194" w:lineRule="exact"/>
        <w:rPr>
          <w:sz w:val="20"/>
          <w:szCs w:val="20"/>
          <w:color w:val="auto"/>
        </w:rPr>
      </w:pPr>
    </w:p>
    <w:p>
      <w:pPr>
        <w:jc w:val="both"/>
        <w:ind w:firstLine="362"/>
        <w:spacing w:after="0" w:line="268" w:lineRule="auto"/>
        <w:rPr>
          <w:sz w:val="20"/>
          <w:szCs w:val="20"/>
          <w:color w:val="auto"/>
        </w:rPr>
      </w:pPr>
      <w:r>
        <w:rPr>
          <w:rFonts w:ascii="Arial" w:cs="Arial" w:eastAsia="Arial" w:hAnsi="Arial"/>
          <w:sz w:val="18"/>
          <w:szCs w:val="18"/>
          <w:color w:val="auto"/>
        </w:rPr>
        <w:t>In our opinion, Agnico-Eagle Mines Limited maintained, in all material respects, effective internal control over financial reporting as of December 31, 2009, based on the COSO criteria.</w:t>
      </w:r>
    </w:p>
    <w:p>
      <w:pPr>
        <w:spacing w:after="0" w:line="186" w:lineRule="exact"/>
        <w:rPr>
          <w:sz w:val="20"/>
          <w:szCs w:val="20"/>
          <w:color w:val="auto"/>
        </w:rPr>
      </w:pPr>
    </w:p>
    <w:p>
      <w:pPr>
        <w:jc w:val="both"/>
        <w:ind w:firstLine="363"/>
        <w:spacing w:after="0" w:line="256" w:lineRule="auto"/>
        <w:rPr>
          <w:sz w:val="20"/>
          <w:szCs w:val="20"/>
          <w:color w:val="auto"/>
        </w:rPr>
      </w:pPr>
      <w:r>
        <w:rPr>
          <w:rFonts w:ascii="Arial" w:cs="Arial" w:eastAsia="Arial" w:hAnsi="Arial"/>
          <w:sz w:val="18"/>
          <w:szCs w:val="18"/>
          <w:color w:val="auto"/>
        </w:rPr>
        <w:t>We have also audited, in accordance with the standards of the Public Company Accounting Oversight Board (United States), the consolidated balance sheets of Agnico-Eagle Mines Limited as of December 31, 2009 and 2008, and the related consolidated statements of income and comprehensive income, shareholders' equity and cash flows for each of the three years in the period ended December 31, 2009, and our report dated March 26, 2010, expressed an unqualified opinion thereon.</w:t>
      </w:r>
    </w:p>
    <w:p>
      <w:pPr>
        <w:spacing w:after="0" w:line="346"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3940" w:type="dxa"/>
            <w:vAlign w:val="bottom"/>
          </w:tcPr>
          <w:p>
            <w:pPr>
              <w:ind w:left="1140"/>
              <w:spacing w:after="0"/>
              <w:rPr>
                <w:sz w:val="20"/>
                <w:szCs w:val="20"/>
                <w:color w:val="auto"/>
              </w:rPr>
            </w:pPr>
            <w:r>
              <w:rPr>
                <w:rFonts w:ascii="Arial" w:cs="Arial" w:eastAsia="Arial" w:hAnsi="Arial"/>
                <w:sz w:val="18"/>
                <w:szCs w:val="18"/>
                <w:color w:val="auto"/>
              </w:rPr>
              <w:t>Toronto, Canada</w:t>
            </w:r>
          </w:p>
        </w:tc>
        <w:tc>
          <w:tcPr>
            <w:tcW w:w="7480" w:type="dxa"/>
            <w:vAlign w:val="bottom"/>
          </w:tcPr>
          <w:p>
            <w:pPr>
              <w:jc w:val="right"/>
              <w:ind w:right="1052"/>
              <w:spacing w:after="0"/>
              <w:rPr>
                <w:sz w:val="20"/>
                <w:szCs w:val="20"/>
                <w:color w:val="auto"/>
              </w:rPr>
            </w:pPr>
            <w:r>
              <w:rPr>
                <w:rFonts w:ascii="Arial" w:cs="Arial" w:eastAsia="Arial" w:hAnsi="Arial"/>
                <w:sz w:val="18"/>
                <w:szCs w:val="18"/>
                <w:color w:val="auto"/>
              </w:rPr>
              <w:t>/s/ ERNST &amp; YOUNG LLP</w:t>
            </w:r>
          </w:p>
        </w:tc>
      </w:tr>
      <w:tr>
        <w:trPr>
          <w:trHeight w:val="216"/>
        </w:trPr>
        <w:tc>
          <w:tcPr>
            <w:tcW w:w="3940" w:type="dxa"/>
            <w:vAlign w:val="bottom"/>
          </w:tcPr>
          <w:p>
            <w:pPr>
              <w:ind w:left="1140"/>
              <w:spacing w:after="0"/>
              <w:rPr>
                <w:sz w:val="20"/>
                <w:szCs w:val="20"/>
                <w:color w:val="auto"/>
              </w:rPr>
            </w:pPr>
            <w:r>
              <w:rPr>
                <w:rFonts w:ascii="Arial" w:cs="Arial" w:eastAsia="Arial" w:hAnsi="Arial"/>
                <w:sz w:val="18"/>
                <w:szCs w:val="18"/>
                <w:color w:val="auto"/>
              </w:rPr>
              <w:t>March 26, 2010</w:t>
            </w:r>
          </w:p>
        </w:tc>
        <w:tc>
          <w:tcPr>
            <w:tcW w:w="7480" w:type="dxa"/>
            <w:vAlign w:val="bottom"/>
          </w:tcPr>
          <w:p>
            <w:pPr>
              <w:jc w:val="right"/>
              <w:ind w:right="1052"/>
              <w:spacing w:after="0"/>
              <w:rPr>
                <w:sz w:val="20"/>
                <w:szCs w:val="20"/>
                <w:color w:val="auto"/>
              </w:rPr>
            </w:pPr>
            <w:r>
              <w:rPr>
                <w:rFonts w:ascii="Arial" w:cs="Arial" w:eastAsia="Arial" w:hAnsi="Arial"/>
                <w:sz w:val="18"/>
                <w:szCs w:val="18"/>
                <w:color w:val="auto"/>
              </w:rPr>
              <w:t>Chartered Accountants</w:t>
            </w:r>
          </w:p>
        </w:tc>
      </w:tr>
      <w:tr>
        <w:trPr>
          <w:trHeight w:val="222"/>
        </w:trPr>
        <w:tc>
          <w:tcPr>
            <w:tcW w:w="3940" w:type="dxa"/>
            <w:vAlign w:val="bottom"/>
          </w:tcPr>
          <w:p>
            <w:pPr>
              <w:spacing w:after="0"/>
              <w:rPr>
                <w:sz w:val="19"/>
                <w:szCs w:val="19"/>
                <w:color w:val="auto"/>
              </w:rPr>
            </w:pPr>
          </w:p>
        </w:tc>
        <w:tc>
          <w:tcPr>
            <w:tcW w:w="7480" w:type="dxa"/>
            <w:vAlign w:val="bottom"/>
          </w:tcPr>
          <w:p>
            <w:pPr>
              <w:jc w:val="right"/>
              <w:ind w:right="1052"/>
              <w:spacing w:after="0"/>
              <w:rPr>
                <w:sz w:val="20"/>
                <w:szCs w:val="20"/>
                <w:color w:val="auto"/>
              </w:rPr>
            </w:pPr>
            <w:r>
              <w:rPr>
                <w:rFonts w:ascii="Arial" w:cs="Arial" w:eastAsia="Arial" w:hAnsi="Arial"/>
                <w:sz w:val="18"/>
                <w:szCs w:val="18"/>
                <w:color w:val="auto"/>
              </w:rPr>
              <w:t>Licensed Public Accountants</w:t>
            </w:r>
          </w:p>
        </w:tc>
      </w:tr>
      <w:tr>
        <w:trPr>
          <w:trHeight w:val="432"/>
        </w:trPr>
        <w:tc>
          <w:tcPr>
            <w:tcW w:w="3940" w:type="dxa"/>
            <w:vAlign w:val="bottom"/>
          </w:tcPr>
          <w:p>
            <w:pPr>
              <w:spacing w:after="0"/>
              <w:rPr>
                <w:sz w:val="24"/>
                <w:szCs w:val="24"/>
                <w:color w:val="auto"/>
              </w:rPr>
            </w:pPr>
          </w:p>
        </w:tc>
        <w:tc>
          <w:tcPr>
            <w:tcW w:w="7480" w:type="dxa"/>
            <w:vAlign w:val="bottom"/>
          </w:tcPr>
          <w:p>
            <w:pPr>
              <w:jc w:val="right"/>
              <w:ind w:right="5492"/>
              <w:spacing w:after="0"/>
              <w:rPr>
                <w:sz w:val="20"/>
                <w:szCs w:val="20"/>
                <w:color w:val="auto"/>
              </w:rPr>
            </w:pPr>
            <w:r>
              <w:rPr>
                <w:rFonts w:ascii="Arial" w:cs="Arial" w:eastAsia="Arial" w:hAnsi="Arial"/>
                <w:sz w:val="18"/>
                <w:szCs w:val="18"/>
                <w:color w:val="auto"/>
              </w:rPr>
              <w:t>142</w:t>
            </w:r>
          </w:p>
        </w:tc>
      </w:tr>
      <w:tr>
        <w:trPr>
          <w:trHeight w:val="228"/>
        </w:trPr>
        <w:tc>
          <w:tcPr>
            <w:tcW w:w="3940" w:type="dxa"/>
            <w:vAlign w:val="bottom"/>
            <w:tcBorders>
              <w:bottom w:val="single" w:sz="8" w:color="808080"/>
            </w:tcBorders>
          </w:tcPr>
          <w:p>
            <w:pPr>
              <w:spacing w:after="0"/>
              <w:rPr>
                <w:sz w:val="19"/>
                <w:szCs w:val="19"/>
                <w:color w:val="auto"/>
              </w:rPr>
            </w:pPr>
          </w:p>
        </w:tc>
        <w:tc>
          <w:tcPr>
            <w:tcW w:w="748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185" w:name="page186"/>
    <w:bookmarkEnd w:id="185"/>
    <w:p>
      <w:pPr>
        <w:jc w:val="center"/>
        <w:ind w:right="40"/>
        <w:spacing w:after="0"/>
        <w:rPr>
          <w:sz w:val="20"/>
          <w:szCs w:val="20"/>
          <w:color w:val="auto"/>
        </w:rPr>
      </w:pPr>
      <w:r>
        <w:rPr>
          <w:rFonts w:ascii="Arial" w:cs="Arial" w:eastAsia="Arial" w:hAnsi="Arial"/>
          <w:sz w:val="18"/>
          <w:szCs w:val="18"/>
          <w:b w:val="1"/>
          <w:bCs w:val="1"/>
          <w:color w:val="auto"/>
        </w:rPr>
        <w:t>MANAGEMENT CERTIFICATION</w:t>
      </w:r>
    </w:p>
    <w:p>
      <w:pPr>
        <w:spacing w:after="0" w:line="231" w:lineRule="exact"/>
        <w:rPr>
          <w:sz w:val="20"/>
          <w:szCs w:val="20"/>
          <w:color w:val="auto"/>
        </w:rPr>
      </w:pPr>
    </w:p>
    <w:p>
      <w:pPr>
        <w:jc w:val="both"/>
        <w:ind w:firstLine="507"/>
        <w:spacing w:after="0" w:line="253" w:lineRule="auto"/>
        <w:rPr>
          <w:sz w:val="20"/>
          <w:szCs w:val="20"/>
          <w:color w:val="auto"/>
        </w:rPr>
      </w:pPr>
      <w:r>
        <w:rPr>
          <w:rFonts w:ascii="Arial" w:cs="Arial" w:eastAsia="Arial" w:hAnsi="Arial"/>
          <w:sz w:val="18"/>
          <w:szCs w:val="18"/>
          <w:color w:val="auto"/>
        </w:rPr>
        <w:t>Management of Agnico-Eagle Mines Limited (the "Company") is responsible for establishing and maintaining adequate internal control over financial reporting. Internal control over financial reporting is a process designed by, or under the supervision of, the Company's Chief Executive Officer and Chief Financial Officer and effected by the Company's Board of Directors, management and other personnel, to provide reasonable assurance regarding the reliability of financial reporting and the preparation of financial statements for external purposes in accordance with generally accepted accounting principles. Because of its inherent limitations, internal control over financial reporting may not prevent or detect misstatements. Also, projections of any evaluation of effectiveness to future periods are subject to risk that controls may become inadequate because of changes in conditions, or that the degree of compliance with the policies or procedures may deteriorate.</w:t>
      </w:r>
    </w:p>
    <w:p>
      <w:pPr>
        <w:spacing w:after="0" w:line="201" w:lineRule="exact"/>
        <w:rPr>
          <w:sz w:val="20"/>
          <w:szCs w:val="20"/>
          <w:color w:val="auto"/>
        </w:rPr>
      </w:pPr>
    </w:p>
    <w:p>
      <w:pPr>
        <w:jc w:val="both"/>
        <w:ind w:firstLine="444"/>
        <w:spacing w:after="0" w:line="298" w:lineRule="auto"/>
        <w:rPr>
          <w:sz w:val="20"/>
          <w:szCs w:val="20"/>
          <w:color w:val="auto"/>
        </w:rPr>
      </w:pPr>
      <w:r>
        <w:rPr>
          <w:rFonts w:ascii="Arial" w:cs="Arial" w:eastAsia="Arial" w:hAnsi="Arial"/>
          <w:sz w:val="16"/>
          <w:szCs w:val="16"/>
          <w:color w:val="auto"/>
        </w:rPr>
        <w:t xml:space="preserve">The Company's management, including the Company's Chief Executive Officer and Chief Financial Officer, assessed the effectiveness of the Company's internal control over financial reporting as of December 31, 2009. In making this assessment, the Company's management used the criteria set forth by the Committee of Sponsoring Organizations of the Treadway Commission in </w:t>
      </w:r>
      <w:r>
        <w:rPr>
          <w:rFonts w:ascii="Arial" w:cs="Arial" w:eastAsia="Arial" w:hAnsi="Arial"/>
          <w:sz w:val="16"/>
          <w:szCs w:val="16"/>
          <w:i w:val="1"/>
          <w:iCs w:val="1"/>
          <w:color w:val="auto"/>
        </w:rPr>
        <w:t>Internal Control-Integrated Framework</w:t>
      </w:r>
      <w:r>
        <w:rPr>
          <w:rFonts w:ascii="Arial" w:cs="Arial" w:eastAsia="Arial" w:hAnsi="Arial"/>
          <w:sz w:val="16"/>
          <w:szCs w:val="16"/>
          <w:color w:val="auto"/>
        </w:rPr>
        <w:t>. Based upon its assessment, management concluded that, as of December 31, 2009, the Company's internal control over financial reporting was effective.</w:t>
      </w:r>
    </w:p>
    <w:p>
      <w:pPr>
        <w:spacing w:after="0" w:line="167" w:lineRule="exact"/>
        <w:rPr>
          <w:sz w:val="20"/>
          <w:szCs w:val="20"/>
          <w:color w:val="auto"/>
        </w:rPr>
      </w:pPr>
    </w:p>
    <w:p>
      <w:pPr>
        <w:jc w:val="both"/>
        <w:ind w:right="20" w:firstLine="554"/>
        <w:spacing w:after="0" w:line="268" w:lineRule="auto"/>
        <w:rPr>
          <w:sz w:val="20"/>
          <w:szCs w:val="20"/>
          <w:color w:val="auto"/>
        </w:rPr>
      </w:pPr>
      <w:r>
        <w:rPr>
          <w:rFonts w:ascii="Arial" w:cs="Arial" w:eastAsia="Arial" w:hAnsi="Arial"/>
          <w:sz w:val="18"/>
          <w:szCs w:val="18"/>
          <w:color w:val="auto"/>
        </w:rPr>
        <w:t>The effectiveness of the Company's internal control over financial reporting as of December 31, 2009 has been audited by Ernst &amp; Young LLP, an independent registered public accounting firm, as stated in their report which appears herein.</w:t>
      </w:r>
    </w:p>
    <w:p>
      <w:pPr>
        <w:spacing w:after="0" w:line="200" w:lineRule="exact"/>
        <w:rPr>
          <w:sz w:val="20"/>
          <w:szCs w:val="20"/>
          <w:color w:val="auto"/>
        </w:rPr>
      </w:pPr>
    </w:p>
    <w:p>
      <w:pPr>
        <w:spacing w:after="0" w:line="229" w:lineRule="exact"/>
        <w:rPr>
          <w:sz w:val="20"/>
          <w:szCs w:val="20"/>
          <w:color w:val="auto"/>
        </w:rPr>
      </w:pPr>
    </w:p>
    <w:tbl>
      <w:tblPr>
        <w:tblLayout w:type="fixed"/>
        <w:tblInd w:w="0" w:type="dxa"/>
        <w:tblCellMar>
          <w:top w:w="0" w:type="dxa"/>
          <w:left w:w="0" w:type="dxa"/>
          <w:bottom w:w="0" w:type="dxa"/>
          <w:right w:w="0" w:type="dxa"/>
        </w:tblCellMar>
      </w:tblPr>
      <w:tr>
        <w:trPr>
          <w:trHeight w:val="222"/>
        </w:trPr>
        <w:tc>
          <w:tcPr>
            <w:tcW w:w="6020" w:type="dxa"/>
            <w:vAlign w:val="bottom"/>
          </w:tcPr>
          <w:p>
            <w:pPr>
              <w:ind w:left="5480"/>
              <w:spacing w:after="0"/>
              <w:rPr>
                <w:sz w:val="20"/>
                <w:szCs w:val="20"/>
                <w:color w:val="auto"/>
              </w:rPr>
            </w:pPr>
            <w:r>
              <w:rPr>
                <w:rFonts w:ascii="Arial" w:cs="Arial" w:eastAsia="Arial" w:hAnsi="Arial"/>
                <w:sz w:val="18"/>
                <w:szCs w:val="18"/>
                <w:color w:val="auto"/>
              </w:rPr>
              <w:t>By:</w:t>
            </w:r>
          </w:p>
        </w:tc>
        <w:tc>
          <w:tcPr>
            <w:tcW w:w="5400" w:type="dxa"/>
            <w:vAlign w:val="bottom"/>
            <w:gridSpan w:val="2"/>
          </w:tcPr>
          <w:p>
            <w:pPr>
              <w:spacing w:after="0"/>
              <w:rPr>
                <w:sz w:val="20"/>
                <w:szCs w:val="20"/>
                <w:color w:val="auto"/>
              </w:rPr>
            </w:pPr>
            <w:r>
              <w:rPr>
                <w:rFonts w:ascii="Arial" w:cs="Arial" w:eastAsia="Arial" w:hAnsi="Arial"/>
                <w:sz w:val="18"/>
                <w:szCs w:val="18"/>
                <w:color w:val="auto"/>
              </w:rPr>
              <w:t>/s/ SEAN BOYD</w:t>
            </w:r>
          </w:p>
        </w:tc>
      </w:tr>
      <w:tr>
        <w:trPr>
          <w:trHeight w:val="97"/>
        </w:trPr>
        <w:tc>
          <w:tcPr>
            <w:tcW w:w="6020" w:type="dxa"/>
            <w:vAlign w:val="bottom"/>
          </w:tcPr>
          <w:p>
            <w:pPr>
              <w:spacing w:after="0"/>
              <w:rPr>
                <w:sz w:val="8"/>
                <w:szCs w:val="8"/>
                <w:color w:val="auto"/>
              </w:rPr>
            </w:pPr>
          </w:p>
        </w:tc>
        <w:tc>
          <w:tcPr>
            <w:tcW w:w="4320" w:type="dxa"/>
            <w:vAlign w:val="bottom"/>
            <w:tcBorders>
              <w:bottom w:val="single" w:sz="8" w:color="auto"/>
            </w:tcBorders>
          </w:tcPr>
          <w:p>
            <w:pPr>
              <w:spacing w:after="0"/>
              <w:rPr>
                <w:sz w:val="8"/>
                <w:szCs w:val="8"/>
                <w:color w:val="auto"/>
              </w:rPr>
            </w:pPr>
          </w:p>
        </w:tc>
        <w:tc>
          <w:tcPr>
            <w:tcW w:w="1080" w:type="dxa"/>
            <w:vAlign w:val="bottom"/>
          </w:tcPr>
          <w:p>
            <w:pPr>
              <w:spacing w:after="0"/>
              <w:rPr>
                <w:sz w:val="8"/>
                <w:szCs w:val="8"/>
                <w:color w:val="auto"/>
              </w:rPr>
            </w:pPr>
          </w:p>
        </w:tc>
      </w:tr>
      <w:tr>
        <w:trPr>
          <w:trHeight w:val="282"/>
        </w:trPr>
        <w:tc>
          <w:tcPr>
            <w:tcW w:w="6020" w:type="dxa"/>
            <w:vAlign w:val="bottom"/>
          </w:tcPr>
          <w:p>
            <w:pPr>
              <w:ind w:left="1140"/>
              <w:spacing w:after="0"/>
              <w:rPr>
                <w:sz w:val="20"/>
                <w:szCs w:val="20"/>
                <w:color w:val="auto"/>
              </w:rPr>
            </w:pPr>
            <w:r>
              <w:rPr>
                <w:rFonts w:ascii="Arial" w:cs="Arial" w:eastAsia="Arial" w:hAnsi="Arial"/>
                <w:sz w:val="18"/>
                <w:szCs w:val="18"/>
                <w:color w:val="auto"/>
              </w:rPr>
              <w:t>Toronto, Canada</w:t>
            </w:r>
          </w:p>
        </w:tc>
        <w:tc>
          <w:tcPr>
            <w:tcW w:w="5400" w:type="dxa"/>
            <w:vAlign w:val="bottom"/>
            <w:gridSpan w:val="2"/>
          </w:tcPr>
          <w:p>
            <w:pPr>
              <w:spacing w:after="0"/>
              <w:rPr>
                <w:sz w:val="20"/>
                <w:szCs w:val="20"/>
                <w:color w:val="auto"/>
              </w:rPr>
            </w:pPr>
            <w:r>
              <w:rPr>
                <w:rFonts w:ascii="Arial" w:cs="Arial" w:eastAsia="Arial" w:hAnsi="Arial"/>
                <w:sz w:val="18"/>
                <w:szCs w:val="18"/>
                <w:color w:val="auto"/>
              </w:rPr>
              <w:t>Sean Boyd</w:t>
            </w:r>
          </w:p>
        </w:tc>
      </w:tr>
      <w:tr>
        <w:trPr>
          <w:trHeight w:val="222"/>
        </w:trPr>
        <w:tc>
          <w:tcPr>
            <w:tcW w:w="6020" w:type="dxa"/>
            <w:vAlign w:val="bottom"/>
          </w:tcPr>
          <w:p>
            <w:pPr>
              <w:ind w:left="1140"/>
              <w:spacing w:after="0"/>
              <w:rPr>
                <w:sz w:val="20"/>
                <w:szCs w:val="20"/>
                <w:color w:val="auto"/>
              </w:rPr>
            </w:pPr>
            <w:r>
              <w:rPr>
                <w:rFonts w:ascii="Arial" w:cs="Arial" w:eastAsia="Arial" w:hAnsi="Arial"/>
                <w:sz w:val="18"/>
                <w:szCs w:val="18"/>
                <w:color w:val="auto"/>
              </w:rPr>
              <w:t>March 26, 2010</w:t>
            </w:r>
          </w:p>
        </w:tc>
        <w:tc>
          <w:tcPr>
            <w:tcW w:w="5400" w:type="dxa"/>
            <w:vAlign w:val="bottom"/>
            <w:gridSpan w:val="2"/>
          </w:tcPr>
          <w:p>
            <w:pPr>
              <w:spacing w:after="0"/>
              <w:rPr>
                <w:sz w:val="20"/>
                <w:szCs w:val="20"/>
                <w:color w:val="auto"/>
              </w:rPr>
            </w:pPr>
            <w:r>
              <w:rPr>
                <w:rFonts w:ascii="Arial" w:cs="Arial" w:eastAsia="Arial" w:hAnsi="Arial"/>
                <w:sz w:val="18"/>
                <w:szCs w:val="18"/>
                <w:i w:val="1"/>
                <w:iCs w:val="1"/>
                <w:color w:val="auto"/>
              </w:rPr>
              <w:t>Vice Chairman and Chief Executive Officer</w:t>
            </w:r>
          </w:p>
        </w:tc>
      </w:tr>
      <w:tr>
        <w:trPr>
          <w:trHeight w:val="459"/>
        </w:trPr>
        <w:tc>
          <w:tcPr>
            <w:tcW w:w="6020" w:type="dxa"/>
            <w:vAlign w:val="bottom"/>
          </w:tcPr>
          <w:p>
            <w:pPr>
              <w:ind w:left="5480"/>
              <w:spacing w:after="0"/>
              <w:rPr>
                <w:sz w:val="20"/>
                <w:szCs w:val="20"/>
                <w:color w:val="auto"/>
              </w:rPr>
            </w:pPr>
            <w:r>
              <w:rPr>
                <w:rFonts w:ascii="Arial" w:cs="Arial" w:eastAsia="Arial" w:hAnsi="Arial"/>
                <w:sz w:val="18"/>
                <w:szCs w:val="18"/>
                <w:color w:val="auto"/>
              </w:rPr>
              <w:t>By:</w:t>
            </w:r>
          </w:p>
        </w:tc>
        <w:tc>
          <w:tcPr>
            <w:tcW w:w="5400" w:type="dxa"/>
            <w:vAlign w:val="bottom"/>
            <w:gridSpan w:val="2"/>
          </w:tcPr>
          <w:p>
            <w:pPr>
              <w:spacing w:after="0"/>
              <w:rPr>
                <w:sz w:val="20"/>
                <w:szCs w:val="20"/>
                <w:color w:val="auto"/>
              </w:rPr>
            </w:pPr>
            <w:r>
              <w:rPr>
                <w:rFonts w:ascii="Arial" w:cs="Arial" w:eastAsia="Arial" w:hAnsi="Arial"/>
                <w:sz w:val="18"/>
                <w:szCs w:val="18"/>
                <w:color w:val="auto"/>
              </w:rPr>
              <w:t>/s/ DAVID GAROFALO</w:t>
            </w:r>
          </w:p>
        </w:tc>
      </w:tr>
      <w:tr>
        <w:trPr>
          <w:trHeight w:val="97"/>
        </w:trPr>
        <w:tc>
          <w:tcPr>
            <w:tcW w:w="6020" w:type="dxa"/>
            <w:vAlign w:val="bottom"/>
          </w:tcPr>
          <w:p>
            <w:pPr>
              <w:spacing w:after="0"/>
              <w:rPr>
                <w:sz w:val="8"/>
                <w:szCs w:val="8"/>
                <w:color w:val="auto"/>
              </w:rPr>
            </w:pPr>
          </w:p>
        </w:tc>
        <w:tc>
          <w:tcPr>
            <w:tcW w:w="4320" w:type="dxa"/>
            <w:vAlign w:val="bottom"/>
            <w:tcBorders>
              <w:bottom w:val="single" w:sz="8" w:color="auto"/>
            </w:tcBorders>
          </w:tcPr>
          <w:p>
            <w:pPr>
              <w:spacing w:after="0"/>
              <w:rPr>
                <w:sz w:val="8"/>
                <w:szCs w:val="8"/>
                <w:color w:val="auto"/>
              </w:rPr>
            </w:pPr>
          </w:p>
        </w:tc>
        <w:tc>
          <w:tcPr>
            <w:tcW w:w="1080" w:type="dxa"/>
            <w:vAlign w:val="bottom"/>
          </w:tcPr>
          <w:p>
            <w:pPr>
              <w:spacing w:after="0"/>
              <w:rPr>
                <w:sz w:val="8"/>
                <w:szCs w:val="8"/>
                <w:color w:val="auto"/>
              </w:rPr>
            </w:pPr>
          </w:p>
        </w:tc>
      </w:tr>
      <w:tr>
        <w:trPr>
          <w:trHeight w:val="282"/>
        </w:trPr>
        <w:tc>
          <w:tcPr>
            <w:tcW w:w="6020" w:type="dxa"/>
            <w:vAlign w:val="bottom"/>
          </w:tcPr>
          <w:p>
            <w:pPr>
              <w:spacing w:after="0"/>
              <w:rPr>
                <w:sz w:val="24"/>
                <w:szCs w:val="24"/>
                <w:color w:val="auto"/>
              </w:rPr>
            </w:pPr>
          </w:p>
        </w:tc>
        <w:tc>
          <w:tcPr>
            <w:tcW w:w="5400" w:type="dxa"/>
            <w:vAlign w:val="bottom"/>
            <w:gridSpan w:val="2"/>
          </w:tcPr>
          <w:p>
            <w:pPr>
              <w:spacing w:after="0"/>
              <w:rPr>
                <w:sz w:val="20"/>
                <w:szCs w:val="20"/>
                <w:color w:val="auto"/>
              </w:rPr>
            </w:pPr>
            <w:r>
              <w:rPr>
                <w:rFonts w:ascii="Arial" w:cs="Arial" w:eastAsia="Arial" w:hAnsi="Arial"/>
                <w:sz w:val="18"/>
                <w:szCs w:val="18"/>
                <w:color w:val="auto"/>
              </w:rPr>
              <w:t>David Garofalo</w:t>
            </w:r>
          </w:p>
        </w:tc>
      </w:tr>
      <w:tr>
        <w:trPr>
          <w:trHeight w:val="216"/>
        </w:trPr>
        <w:tc>
          <w:tcPr>
            <w:tcW w:w="6020" w:type="dxa"/>
            <w:vAlign w:val="bottom"/>
          </w:tcPr>
          <w:p>
            <w:pPr>
              <w:spacing w:after="0"/>
              <w:rPr>
                <w:sz w:val="18"/>
                <w:szCs w:val="18"/>
                <w:color w:val="auto"/>
              </w:rPr>
            </w:pPr>
          </w:p>
        </w:tc>
        <w:tc>
          <w:tcPr>
            <w:tcW w:w="5400" w:type="dxa"/>
            <w:vAlign w:val="bottom"/>
            <w:gridSpan w:val="2"/>
          </w:tcPr>
          <w:p>
            <w:pPr>
              <w:spacing w:after="0"/>
              <w:rPr>
                <w:sz w:val="20"/>
                <w:szCs w:val="20"/>
                <w:color w:val="auto"/>
              </w:rPr>
            </w:pPr>
            <w:r>
              <w:rPr>
                <w:rFonts w:ascii="Arial" w:cs="Arial" w:eastAsia="Arial" w:hAnsi="Arial"/>
                <w:sz w:val="18"/>
                <w:szCs w:val="18"/>
                <w:i w:val="1"/>
                <w:iCs w:val="1"/>
                <w:color w:val="auto"/>
              </w:rPr>
              <w:t>Senior Vice-President, Finance and</w:t>
            </w:r>
          </w:p>
        </w:tc>
      </w:tr>
      <w:tr>
        <w:trPr>
          <w:trHeight w:val="222"/>
        </w:trPr>
        <w:tc>
          <w:tcPr>
            <w:tcW w:w="6020" w:type="dxa"/>
            <w:vAlign w:val="bottom"/>
          </w:tcPr>
          <w:p>
            <w:pPr>
              <w:spacing w:after="0"/>
              <w:rPr>
                <w:sz w:val="19"/>
                <w:szCs w:val="19"/>
                <w:color w:val="auto"/>
              </w:rPr>
            </w:pPr>
          </w:p>
        </w:tc>
        <w:tc>
          <w:tcPr>
            <w:tcW w:w="5400" w:type="dxa"/>
            <w:vAlign w:val="bottom"/>
            <w:gridSpan w:val="2"/>
          </w:tcPr>
          <w:p>
            <w:pPr>
              <w:spacing w:after="0"/>
              <w:rPr>
                <w:sz w:val="20"/>
                <w:szCs w:val="20"/>
                <w:color w:val="auto"/>
              </w:rPr>
            </w:pPr>
            <w:r>
              <w:rPr>
                <w:rFonts w:ascii="Arial" w:cs="Arial" w:eastAsia="Arial" w:hAnsi="Arial"/>
                <w:sz w:val="18"/>
                <w:szCs w:val="18"/>
                <w:i w:val="1"/>
                <w:iCs w:val="1"/>
                <w:color w:val="auto"/>
              </w:rPr>
              <w:t>Chief Financial Officer</w:t>
            </w:r>
          </w:p>
        </w:tc>
      </w:tr>
      <w:tr>
        <w:trPr>
          <w:trHeight w:val="432"/>
        </w:trPr>
        <w:tc>
          <w:tcPr>
            <w:tcW w:w="6020" w:type="dxa"/>
            <w:vAlign w:val="bottom"/>
          </w:tcPr>
          <w:p>
            <w:pPr>
              <w:ind w:left="5580"/>
              <w:spacing w:after="0"/>
              <w:rPr>
                <w:sz w:val="20"/>
                <w:szCs w:val="20"/>
                <w:color w:val="auto"/>
              </w:rPr>
            </w:pPr>
            <w:r>
              <w:rPr>
                <w:rFonts w:ascii="Arial" w:cs="Arial" w:eastAsia="Arial" w:hAnsi="Arial"/>
                <w:sz w:val="18"/>
                <w:szCs w:val="18"/>
                <w:color w:val="auto"/>
              </w:rPr>
              <w:t>143</w:t>
            </w:r>
          </w:p>
        </w:tc>
        <w:tc>
          <w:tcPr>
            <w:tcW w:w="4320" w:type="dxa"/>
            <w:vAlign w:val="bottom"/>
          </w:tcPr>
          <w:p>
            <w:pPr>
              <w:spacing w:after="0"/>
              <w:rPr>
                <w:sz w:val="24"/>
                <w:szCs w:val="24"/>
                <w:color w:val="auto"/>
              </w:rPr>
            </w:pPr>
          </w:p>
        </w:tc>
        <w:tc>
          <w:tcPr>
            <w:tcW w:w="1080" w:type="dxa"/>
            <w:vAlign w:val="bottom"/>
          </w:tcPr>
          <w:p>
            <w:pPr>
              <w:spacing w:after="0"/>
              <w:rPr>
                <w:sz w:val="24"/>
                <w:szCs w:val="24"/>
                <w:color w:val="auto"/>
              </w:rPr>
            </w:pPr>
          </w:p>
        </w:tc>
      </w:tr>
      <w:tr>
        <w:trPr>
          <w:trHeight w:val="228"/>
        </w:trPr>
        <w:tc>
          <w:tcPr>
            <w:tcW w:w="6020" w:type="dxa"/>
            <w:vAlign w:val="bottom"/>
            <w:tcBorders>
              <w:bottom w:val="single" w:sz="8" w:color="808080"/>
            </w:tcBorders>
          </w:tcPr>
          <w:p>
            <w:pPr>
              <w:spacing w:after="0"/>
              <w:rPr>
                <w:sz w:val="19"/>
                <w:szCs w:val="19"/>
                <w:color w:val="auto"/>
              </w:rPr>
            </w:pPr>
          </w:p>
        </w:tc>
        <w:tc>
          <w:tcPr>
            <w:tcW w:w="4320" w:type="dxa"/>
            <w:vAlign w:val="bottom"/>
            <w:tcBorders>
              <w:bottom w:val="single" w:sz="8" w:color="808080"/>
            </w:tcBorders>
          </w:tcPr>
          <w:p>
            <w:pPr>
              <w:spacing w:after="0"/>
              <w:rPr>
                <w:sz w:val="19"/>
                <w:szCs w:val="19"/>
                <w:color w:val="auto"/>
              </w:rPr>
            </w:pPr>
          </w:p>
        </w:tc>
        <w:tc>
          <w:tcPr>
            <w:tcW w:w="108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186" w:name="page187"/>
    <w:bookmarkEnd w:id="186"/>
    <w:p>
      <w:pPr>
        <w:ind w:left="2680"/>
        <w:spacing w:after="0"/>
        <w:rPr>
          <w:sz w:val="20"/>
          <w:szCs w:val="20"/>
          <w:color w:val="auto"/>
        </w:rPr>
      </w:pPr>
      <w:r>
        <w:rPr>
          <w:rFonts w:ascii="Arial" w:cs="Arial" w:eastAsia="Arial" w:hAnsi="Arial"/>
          <w:sz w:val="18"/>
          <w:szCs w:val="18"/>
          <w:b w:val="1"/>
          <w:bCs w:val="1"/>
          <w:color w:val="auto"/>
        </w:rPr>
        <w:t>REPORT OF INDEPENDENT REGISTERED PUBLIC ACCOUNTING FIRM</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To the Board of Directors and Shareholders of Agnico-Eagle Mines Limited:</w:t>
      </w:r>
    </w:p>
    <w:p>
      <w:pPr>
        <w:spacing w:after="0" w:line="225" w:lineRule="exact"/>
        <w:rPr>
          <w:sz w:val="20"/>
          <w:szCs w:val="20"/>
          <w:color w:val="auto"/>
        </w:rPr>
      </w:pPr>
    </w:p>
    <w:p>
      <w:pPr>
        <w:jc w:val="both"/>
        <w:ind w:firstLine="534"/>
        <w:spacing w:after="0" w:line="256" w:lineRule="auto"/>
        <w:rPr>
          <w:sz w:val="20"/>
          <w:szCs w:val="20"/>
          <w:color w:val="auto"/>
        </w:rPr>
      </w:pPr>
      <w:r>
        <w:rPr>
          <w:rFonts w:ascii="Arial" w:cs="Arial" w:eastAsia="Arial" w:hAnsi="Arial"/>
          <w:sz w:val="18"/>
          <w:szCs w:val="18"/>
          <w:color w:val="auto"/>
        </w:rPr>
        <w:t>We have audited the accompanying consolidated balance sheets of Agnico-Eagle Mines Limited as of December 31, 2009 and 2008, and the related consolidated statements of income and comprehensive income, shareholders' equity and cash flows for each of the years in the three-year period ended December 31, 2009. These financial statements are the responsibility of the Company's management. Our responsibility is to express an opinion on these financial statements based on our audits.</w:t>
      </w:r>
    </w:p>
    <w:p>
      <w:pPr>
        <w:spacing w:after="0" w:line="197" w:lineRule="exact"/>
        <w:rPr>
          <w:sz w:val="20"/>
          <w:szCs w:val="20"/>
          <w:color w:val="auto"/>
        </w:rPr>
      </w:pPr>
    </w:p>
    <w:p>
      <w:pPr>
        <w:jc w:val="both"/>
        <w:ind w:firstLine="367"/>
        <w:spacing w:after="0" w:line="255" w:lineRule="auto"/>
        <w:rPr>
          <w:sz w:val="20"/>
          <w:szCs w:val="20"/>
          <w:color w:val="auto"/>
        </w:rPr>
      </w:pPr>
      <w:r>
        <w:rPr>
          <w:rFonts w:ascii="Arial" w:cs="Arial" w:eastAsia="Arial" w:hAnsi="Arial"/>
          <w:sz w:val="18"/>
          <w:szCs w:val="18"/>
          <w:color w:val="auto"/>
        </w:rPr>
        <w:t>We conducted our audits in accordance with the standards of the Public Company Accounting Oversight Board (United States). Those standards require that we plan and perform the audit to obtain reasonable assurance about whether the financial statements are free of material misstatement. An audit includes examining, on a test basis, evidence supporting the amounts and disclosures in the financial statements. An audit also includes assessing the accounting principles used and significant estimates made by management, as well as evaluating the overall financial statement presentation. We believe that our audits provide a reasonable basis for our opinion.</w:t>
      </w:r>
    </w:p>
    <w:p>
      <w:pPr>
        <w:spacing w:after="0" w:line="197" w:lineRule="exact"/>
        <w:rPr>
          <w:sz w:val="20"/>
          <w:szCs w:val="20"/>
          <w:color w:val="auto"/>
        </w:rPr>
      </w:pPr>
    </w:p>
    <w:p>
      <w:pPr>
        <w:jc w:val="both"/>
        <w:ind w:firstLine="415"/>
        <w:spacing w:after="0" w:line="259" w:lineRule="auto"/>
        <w:rPr>
          <w:sz w:val="20"/>
          <w:szCs w:val="20"/>
          <w:color w:val="auto"/>
        </w:rPr>
      </w:pPr>
      <w:r>
        <w:rPr>
          <w:rFonts w:ascii="Arial" w:cs="Arial" w:eastAsia="Arial" w:hAnsi="Arial"/>
          <w:sz w:val="18"/>
          <w:szCs w:val="18"/>
          <w:color w:val="auto"/>
        </w:rPr>
        <w:t>In our opinion, the financial statements referred to above present fairly, in all material respects, the consolidated financial position of Agnico-Eagle Mines Limited at December 31, 2009 and 2008, and the consolidated results of its operations and its cash flows for each of the years in the three-year period ended December 31, 2009, in conformity with United States generally accepted accounting principles.</w:t>
      </w:r>
    </w:p>
    <w:p>
      <w:pPr>
        <w:spacing w:after="0" w:line="194" w:lineRule="exact"/>
        <w:rPr>
          <w:sz w:val="20"/>
          <w:szCs w:val="20"/>
          <w:color w:val="auto"/>
        </w:rPr>
      </w:pPr>
    </w:p>
    <w:p>
      <w:pPr>
        <w:jc w:val="both"/>
        <w:ind w:firstLine="423"/>
        <w:spacing w:after="0" w:line="256" w:lineRule="auto"/>
        <w:rPr>
          <w:sz w:val="20"/>
          <w:szCs w:val="20"/>
          <w:color w:val="auto"/>
        </w:rPr>
      </w:pPr>
      <w:r>
        <w:rPr>
          <w:rFonts w:ascii="Arial" w:cs="Arial" w:eastAsia="Arial" w:hAnsi="Arial"/>
          <w:sz w:val="18"/>
          <w:szCs w:val="18"/>
          <w:color w:val="auto"/>
        </w:rPr>
        <w:t>We have also audited, in accordance with the standards of the Public Company Accounting Oversight Board (United States), the effectiveness of Agnico-Eagle Mines Limited's internal control over financial reporting as of December 31, 2009, based on criteria established in Internal Control — Integrated Framework issued by the Committee of Sponsoring Organizations of the Treadway Commission and our report dated March 26, 2010 expressed an unqualified opinion thereon.</w:t>
      </w:r>
    </w:p>
    <w:p>
      <w:pPr>
        <w:spacing w:after="0" w:line="346"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3940" w:type="dxa"/>
            <w:vAlign w:val="bottom"/>
          </w:tcPr>
          <w:p>
            <w:pPr>
              <w:ind w:left="1140"/>
              <w:spacing w:after="0"/>
              <w:rPr>
                <w:sz w:val="20"/>
                <w:szCs w:val="20"/>
                <w:color w:val="auto"/>
              </w:rPr>
            </w:pPr>
            <w:r>
              <w:rPr>
                <w:rFonts w:ascii="Arial" w:cs="Arial" w:eastAsia="Arial" w:hAnsi="Arial"/>
                <w:sz w:val="18"/>
                <w:szCs w:val="18"/>
                <w:color w:val="auto"/>
              </w:rPr>
              <w:t>Toronto, Canada</w:t>
            </w:r>
          </w:p>
        </w:tc>
        <w:tc>
          <w:tcPr>
            <w:tcW w:w="7480" w:type="dxa"/>
            <w:vAlign w:val="bottom"/>
          </w:tcPr>
          <w:p>
            <w:pPr>
              <w:jc w:val="right"/>
              <w:ind w:right="1052"/>
              <w:spacing w:after="0"/>
              <w:rPr>
                <w:sz w:val="20"/>
                <w:szCs w:val="20"/>
                <w:color w:val="auto"/>
              </w:rPr>
            </w:pPr>
            <w:r>
              <w:rPr>
                <w:rFonts w:ascii="Arial" w:cs="Arial" w:eastAsia="Arial" w:hAnsi="Arial"/>
                <w:sz w:val="18"/>
                <w:szCs w:val="18"/>
                <w:color w:val="auto"/>
              </w:rPr>
              <w:t>/s/ ERNST &amp; YOUNG LLP</w:t>
            </w:r>
          </w:p>
        </w:tc>
      </w:tr>
      <w:tr>
        <w:trPr>
          <w:trHeight w:val="216"/>
        </w:trPr>
        <w:tc>
          <w:tcPr>
            <w:tcW w:w="3940" w:type="dxa"/>
            <w:vAlign w:val="bottom"/>
          </w:tcPr>
          <w:p>
            <w:pPr>
              <w:ind w:left="1140"/>
              <w:spacing w:after="0"/>
              <w:rPr>
                <w:sz w:val="20"/>
                <w:szCs w:val="20"/>
                <w:color w:val="auto"/>
              </w:rPr>
            </w:pPr>
            <w:r>
              <w:rPr>
                <w:rFonts w:ascii="Arial" w:cs="Arial" w:eastAsia="Arial" w:hAnsi="Arial"/>
                <w:sz w:val="18"/>
                <w:szCs w:val="18"/>
                <w:color w:val="auto"/>
              </w:rPr>
              <w:t>March 26, 2010</w:t>
            </w:r>
          </w:p>
        </w:tc>
        <w:tc>
          <w:tcPr>
            <w:tcW w:w="7480" w:type="dxa"/>
            <w:vAlign w:val="bottom"/>
          </w:tcPr>
          <w:p>
            <w:pPr>
              <w:jc w:val="right"/>
              <w:ind w:right="1052"/>
              <w:spacing w:after="0"/>
              <w:rPr>
                <w:sz w:val="20"/>
                <w:szCs w:val="20"/>
                <w:color w:val="auto"/>
              </w:rPr>
            </w:pPr>
            <w:r>
              <w:rPr>
                <w:rFonts w:ascii="Arial" w:cs="Arial" w:eastAsia="Arial" w:hAnsi="Arial"/>
                <w:sz w:val="18"/>
                <w:szCs w:val="18"/>
                <w:color w:val="auto"/>
              </w:rPr>
              <w:t>Chartered Accountants</w:t>
            </w:r>
          </w:p>
        </w:tc>
      </w:tr>
      <w:tr>
        <w:trPr>
          <w:trHeight w:val="222"/>
        </w:trPr>
        <w:tc>
          <w:tcPr>
            <w:tcW w:w="3940" w:type="dxa"/>
            <w:vAlign w:val="bottom"/>
          </w:tcPr>
          <w:p>
            <w:pPr>
              <w:spacing w:after="0"/>
              <w:rPr>
                <w:sz w:val="19"/>
                <w:szCs w:val="19"/>
                <w:color w:val="auto"/>
              </w:rPr>
            </w:pPr>
          </w:p>
        </w:tc>
        <w:tc>
          <w:tcPr>
            <w:tcW w:w="7480" w:type="dxa"/>
            <w:vAlign w:val="bottom"/>
          </w:tcPr>
          <w:p>
            <w:pPr>
              <w:jc w:val="right"/>
              <w:ind w:right="1052"/>
              <w:spacing w:after="0"/>
              <w:rPr>
                <w:sz w:val="20"/>
                <w:szCs w:val="20"/>
                <w:color w:val="auto"/>
              </w:rPr>
            </w:pPr>
            <w:r>
              <w:rPr>
                <w:rFonts w:ascii="Arial" w:cs="Arial" w:eastAsia="Arial" w:hAnsi="Arial"/>
                <w:sz w:val="18"/>
                <w:szCs w:val="18"/>
                <w:color w:val="auto"/>
              </w:rPr>
              <w:t>Licensed Public Accountants</w:t>
            </w:r>
          </w:p>
        </w:tc>
      </w:tr>
      <w:tr>
        <w:trPr>
          <w:trHeight w:val="432"/>
        </w:trPr>
        <w:tc>
          <w:tcPr>
            <w:tcW w:w="3940" w:type="dxa"/>
            <w:vAlign w:val="bottom"/>
          </w:tcPr>
          <w:p>
            <w:pPr>
              <w:spacing w:after="0"/>
              <w:rPr>
                <w:sz w:val="24"/>
                <w:szCs w:val="24"/>
                <w:color w:val="auto"/>
              </w:rPr>
            </w:pPr>
          </w:p>
        </w:tc>
        <w:tc>
          <w:tcPr>
            <w:tcW w:w="7480" w:type="dxa"/>
            <w:vAlign w:val="bottom"/>
          </w:tcPr>
          <w:p>
            <w:pPr>
              <w:jc w:val="right"/>
              <w:ind w:right="5492"/>
              <w:spacing w:after="0"/>
              <w:rPr>
                <w:sz w:val="20"/>
                <w:szCs w:val="20"/>
                <w:color w:val="auto"/>
              </w:rPr>
            </w:pPr>
            <w:r>
              <w:rPr>
                <w:rFonts w:ascii="Arial" w:cs="Arial" w:eastAsia="Arial" w:hAnsi="Arial"/>
                <w:sz w:val="18"/>
                <w:szCs w:val="18"/>
                <w:color w:val="auto"/>
              </w:rPr>
              <w:t>144</w:t>
            </w:r>
          </w:p>
        </w:tc>
      </w:tr>
      <w:tr>
        <w:trPr>
          <w:trHeight w:val="228"/>
        </w:trPr>
        <w:tc>
          <w:tcPr>
            <w:tcW w:w="3940" w:type="dxa"/>
            <w:vAlign w:val="bottom"/>
            <w:tcBorders>
              <w:bottom w:val="single" w:sz="8" w:color="808080"/>
            </w:tcBorders>
          </w:tcPr>
          <w:p>
            <w:pPr>
              <w:spacing w:after="0"/>
              <w:rPr>
                <w:sz w:val="19"/>
                <w:szCs w:val="19"/>
                <w:color w:val="auto"/>
              </w:rPr>
            </w:pPr>
          </w:p>
        </w:tc>
        <w:tc>
          <w:tcPr>
            <w:tcW w:w="748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187" w:name="page188"/>
    <w:bookmarkEnd w:id="187"/>
    <w:p>
      <w:pPr>
        <w:jc w:val="center"/>
        <w:ind w:right="40"/>
        <w:spacing w:after="0"/>
        <w:rPr>
          <w:sz w:val="20"/>
          <w:szCs w:val="20"/>
          <w:color w:val="auto"/>
        </w:rPr>
      </w:pPr>
      <w:r>
        <w:rPr>
          <w:rFonts w:ascii="Arial" w:cs="Arial" w:eastAsia="Arial" w:hAnsi="Arial"/>
          <w:sz w:val="18"/>
          <w:szCs w:val="18"/>
          <w:b w:val="1"/>
          <w:bCs w:val="1"/>
          <w:color w:val="auto"/>
        </w:rPr>
        <w:t>SUMMARY OF SIGNIFICANT ACCOUNTING POLICIES</w:t>
      </w:r>
    </w:p>
    <w:p>
      <w:pPr>
        <w:spacing w:after="0" w:line="231" w:lineRule="exact"/>
        <w:rPr>
          <w:sz w:val="20"/>
          <w:szCs w:val="20"/>
          <w:color w:val="auto"/>
        </w:rPr>
      </w:pPr>
    </w:p>
    <w:p>
      <w:pPr>
        <w:jc w:val="both"/>
        <w:ind w:firstLine="435"/>
        <w:spacing w:after="0" w:line="254" w:lineRule="auto"/>
        <w:rPr>
          <w:sz w:val="20"/>
          <w:szCs w:val="20"/>
          <w:color w:val="auto"/>
        </w:rPr>
      </w:pPr>
      <w:r>
        <w:rPr>
          <w:rFonts w:ascii="Arial" w:cs="Arial" w:eastAsia="Arial" w:hAnsi="Arial"/>
          <w:sz w:val="18"/>
          <w:szCs w:val="18"/>
          <w:color w:val="auto"/>
        </w:rPr>
        <w:t>These consolidated financial statements of Agnico-Eagle Mines Limited ("Agnico-Eagle" or the "Company") are expressed in thousands of United States dollars ("US dollars", "US$" or "$"), except where noted, and have been prepared in accordance with United States generally accepted accounting principles ("US GAAP"). Since a precise determination of assets and liabilities depends on future events, the preparation of consolidated financial statements for a period necessarily involves the use of estimates and approximations. Actual results may differ from such estimates and approximations. The consolidated financial statements have, in management's opinion, been prepared within reasonable limits of materiality and within the framework of the significant accounting policies referred to below.</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Basis of consolidation</w:t>
      </w:r>
    </w:p>
    <w:p>
      <w:pPr>
        <w:spacing w:after="0" w:line="231" w:lineRule="exact"/>
        <w:rPr>
          <w:sz w:val="20"/>
          <w:szCs w:val="20"/>
          <w:color w:val="auto"/>
        </w:rPr>
      </w:pPr>
    </w:p>
    <w:p>
      <w:pPr>
        <w:jc w:val="both"/>
        <w:ind w:firstLine="434"/>
        <w:spacing w:after="0" w:line="256" w:lineRule="auto"/>
        <w:rPr>
          <w:sz w:val="20"/>
          <w:szCs w:val="20"/>
          <w:color w:val="auto"/>
        </w:rPr>
      </w:pPr>
      <w:r>
        <w:rPr>
          <w:rFonts w:ascii="Arial" w:cs="Arial" w:eastAsia="Arial" w:hAnsi="Arial"/>
          <w:sz w:val="18"/>
          <w:szCs w:val="18"/>
          <w:color w:val="auto"/>
        </w:rPr>
        <w:t>These consolidated financial statements include the accounts of the Company and its wholly-owned subsidiaries and entities in which it has a controlling financial interest after the elimination of intercompany accounts and transactions. The Company has a controlling financial interest if it owns a majority of the outstanding voting common stock or has significant control over an entity through contractual or economic interests of which the Company is the primary beneficiary.</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Cash and cash equivalents</w:t>
      </w:r>
    </w:p>
    <w:p>
      <w:pPr>
        <w:spacing w:after="0" w:line="231" w:lineRule="exact"/>
        <w:rPr>
          <w:sz w:val="20"/>
          <w:szCs w:val="20"/>
          <w:color w:val="auto"/>
        </w:rPr>
      </w:pPr>
    </w:p>
    <w:p>
      <w:pPr>
        <w:jc w:val="both"/>
        <w:ind w:firstLine="387"/>
        <w:spacing w:after="0" w:line="323" w:lineRule="auto"/>
        <w:rPr>
          <w:sz w:val="20"/>
          <w:szCs w:val="20"/>
          <w:color w:val="auto"/>
        </w:rPr>
      </w:pPr>
      <w:r>
        <w:rPr>
          <w:rFonts w:ascii="Arial" w:cs="Arial" w:eastAsia="Arial" w:hAnsi="Arial"/>
          <w:sz w:val="15"/>
          <w:szCs w:val="15"/>
          <w:color w:val="auto"/>
        </w:rPr>
        <w:t>Cash and cash equivalents include cash on hand and short-term investments in money market instruments with remaining maturities of three months or less at the date of purchase. Short-term investments are designated as held to maturity for accounting purposes and are carried at amortized cost, which approximates market value given the short-term nature of these investments. Agnico-Eagle places its cash and cash equivalents and short-term investments in high quality securities issued by government agencies, financial institutions and major corporations and limits the amount of credit exposure by diversifying its holdings.</w:t>
      </w:r>
    </w:p>
    <w:p>
      <w:pPr>
        <w:spacing w:after="0" w:line="14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Inventories</w:t>
      </w:r>
    </w:p>
    <w:p>
      <w:pPr>
        <w:spacing w:after="0" w:line="231" w:lineRule="exact"/>
        <w:rPr>
          <w:sz w:val="20"/>
          <w:szCs w:val="20"/>
          <w:color w:val="auto"/>
        </w:rPr>
      </w:pPr>
    </w:p>
    <w:p>
      <w:pPr>
        <w:jc w:val="both"/>
        <w:ind w:firstLine="441"/>
        <w:spacing w:after="0" w:line="306" w:lineRule="auto"/>
        <w:rPr>
          <w:sz w:val="20"/>
          <w:szCs w:val="20"/>
          <w:color w:val="auto"/>
        </w:rPr>
      </w:pPr>
      <w:r>
        <w:rPr>
          <w:rFonts w:ascii="Arial" w:cs="Arial" w:eastAsia="Arial" w:hAnsi="Arial"/>
          <w:sz w:val="16"/>
          <w:szCs w:val="16"/>
          <w:color w:val="auto"/>
        </w:rPr>
        <w:t>Inventories consist of ore stockpiles, concentrates, gold dore bars and supplies. Amounts are removed from inventory based on average cost. The current portion of stockpiles, ore on leach pads and inventories is determined based on the expected amounts to be processed within the next 12 months. Stockpiles, ore on leach pads and inventories not expected to be processed within the next 12 months are classified as long-term.</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Stockpiles</w:t>
      </w:r>
    </w:p>
    <w:p>
      <w:pPr>
        <w:spacing w:after="0" w:line="225" w:lineRule="exact"/>
        <w:rPr>
          <w:sz w:val="20"/>
          <w:szCs w:val="20"/>
          <w:color w:val="auto"/>
        </w:rPr>
      </w:pPr>
    </w:p>
    <w:p>
      <w:pPr>
        <w:jc w:val="both"/>
        <w:ind w:firstLine="368"/>
        <w:spacing w:after="0" w:line="291" w:lineRule="auto"/>
        <w:rPr>
          <w:sz w:val="20"/>
          <w:szCs w:val="20"/>
          <w:color w:val="auto"/>
        </w:rPr>
      </w:pPr>
      <w:r>
        <w:rPr>
          <w:rFonts w:ascii="Arial" w:cs="Arial" w:eastAsia="Arial" w:hAnsi="Arial"/>
          <w:sz w:val="16"/>
          <w:szCs w:val="16"/>
          <w:color w:val="auto"/>
        </w:rPr>
        <w:t>Stockpiles consist of coarse ore that has been mined and hoisted from underground or delivered from the open pit that is available for further processing and in-stope ore inventory in the form of drilled and blasted stopes ready to be mucked and hoisted to the surface. The stockpiles are measured by estimating the tonnage, contained ounces (based on assays) and recovery percentages (based on actual recovery rates achieved for processing similar ore). Specific tonnages are verified and compared to original estimates once the stockpile is milled. The ore stockpile is valued at the lower of net realizable value and mining costs incurred up to the point of stockpiling the ore. The net realizable value of stockpiled ore is assessed by comparing the sum of the carrying value plus future processing and selling costs to the expected revenue to be earned, which is based on the estimated volume and grade of stockpiled material.</w:t>
      </w:r>
    </w:p>
    <w:p>
      <w:pPr>
        <w:spacing w:after="0" w:line="174" w:lineRule="exact"/>
        <w:rPr>
          <w:sz w:val="20"/>
          <w:szCs w:val="20"/>
          <w:color w:val="auto"/>
        </w:rPr>
      </w:pPr>
    </w:p>
    <w:p>
      <w:pPr>
        <w:jc w:val="both"/>
        <w:ind w:firstLine="417"/>
        <w:spacing w:after="0" w:line="290" w:lineRule="auto"/>
        <w:rPr>
          <w:sz w:val="20"/>
          <w:szCs w:val="20"/>
          <w:color w:val="auto"/>
        </w:rPr>
      </w:pPr>
      <w:r>
        <w:rPr>
          <w:rFonts w:ascii="Arial" w:cs="Arial" w:eastAsia="Arial" w:hAnsi="Arial"/>
          <w:sz w:val="16"/>
          <w:szCs w:val="16"/>
          <w:color w:val="auto"/>
        </w:rPr>
        <w:t>Mining costs include all costs associated with mining operations and are allocated to each tonne of stockpiled ore. Fully absorbed costs include direct and indirect materials and consumables, direct labour, utilities and amortization of mining assets incurred up to the point of stockpiling the ore. Royalty expenses and production taxes are included in production costs, but are not capitalized into inventory. Stockpiles are not intended to be long-term inventory items and are generally processed within twelve months of extraction with the exception of the Goldex Mine ore stockpile. Due to the structure of the Goldex Mine ore body, a significant amount of drilling and blasting is incurred in the early years of its mine life resulting in a long-term stockpile. The decision to process stockpiled ore is based on a net smelter return analysis. The Company processes its stockpiled ore if its estimated revenue, on a per tonne basis and net of estimated smelting and refining costs, is greater than the related mining and milling costs. The Company has never elected to not process stockpiled ore</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188" w:name="page189"/>
    <w:bookmarkEnd w:id="188"/>
    <w:p>
      <w:pPr>
        <w:jc w:val="both"/>
        <w:ind w:right="20"/>
        <w:spacing w:after="0" w:line="268" w:lineRule="auto"/>
        <w:rPr>
          <w:sz w:val="20"/>
          <w:szCs w:val="20"/>
          <w:color w:val="auto"/>
        </w:rPr>
      </w:pPr>
      <w:r>
        <w:rPr>
          <w:rFonts w:ascii="Arial" w:cs="Arial" w:eastAsia="Arial" w:hAnsi="Arial"/>
          <w:sz w:val="18"/>
          <w:szCs w:val="18"/>
          <w:color w:val="auto"/>
        </w:rPr>
        <w:t>and does not anticipate departing from this practice in the future. Stockpiled ore on the surface is exposed to the elements, but the Company does not expect its condition to deteriorate significantly as a result.</w:t>
      </w:r>
    </w:p>
    <w:p>
      <w:pPr>
        <w:spacing w:after="0" w:line="186" w:lineRule="exact"/>
        <w:rPr>
          <w:sz w:val="20"/>
          <w:szCs w:val="20"/>
          <w:color w:val="auto"/>
        </w:rPr>
      </w:pPr>
    </w:p>
    <w:p>
      <w:pPr>
        <w:jc w:val="both"/>
        <w:ind w:firstLine="370"/>
        <w:spacing w:after="0" w:line="294" w:lineRule="auto"/>
        <w:rPr>
          <w:sz w:val="20"/>
          <w:szCs w:val="20"/>
          <w:color w:val="auto"/>
        </w:rPr>
      </w:pPr>
      <w:r>
        <w:rPr>
          <w:rFonts w:ascii="Arial" w:cs="Arial" w:eastAsia="Arial" w:hAnsi="Arial"/>
          <w:sz w:val="16"/>
          <w:szCs w:val="16"/>
          <w:color w:val="auto"/>
        </w:rPr>
        <w:t xml:space="preserve">Pre-production stripping costs are capitalized until an "other than </w:t>
      </w:r>
      <w:r>
        <w:rPr>
          <w:rFonts w:ascii="Arial" w:cs="Arial" w:eastAsia="Arial" w:hAnsi="Arial"/>
          <w:sz w:val="16"/>
          <w:szCs w:val="16"/>
          <w:i w:val="1"/>
          <w:iCs w:val="1"/>
          <w:color w:val="auto"/>
        </w:rPr>
        <w:t>de minimis</w:t>
      </w:r>
      <w:r>
        <w:rPr>
          <w:rFonts w:ascii="Arial" w:cs="Arial" w:eastAsia="Arial" w:hAnsi="Arial"/>
          <w:sz w:val="16"/>
          <w:szCs w:val="16"/>
          <w:color w:val="auto"/>
        </w:rPr>
        <w:t xml:space="preserve">" level of mineral is produced, after which time such costs are either capitalized to inventory or expensed. The Company considers various relevant criteria to assess when an "other than </w:t>
      </w:r>
      <w:r>
        <w:rPr>
          <w:rFonts w:ascii="Arial" w:cs="Arial" w:eastAsia="Arial" w:hAnsi="Arial"/>
          <w:sz w:val="16"/>
          <w:szCs w:val="16"/>
          <w:i w:val="1"/>
          <w:iCs w:val="1"/>
          <w:color w:val="auto"/>
        </w:rPr>
        <w:t>de minimis</w:t>
      </w:r>
      <w:r>
        <w:rPr>
          <w:rFonts w:ascii="Arial" w:cs="Arial" w:eastAsia="Arial" w:hAnsi="Arial"/>
          <w:sz w:val="16"/>
          <w:szCs w:val="16"/>
          <w:color w:val="auto"/>
        </w:rPr>
        <w:t>" level of mineral is produced. The criteria considered include: (1) the number of ounces mined compared to total ounces in mineral reserves; (2) the quantity of ore mined compared to the total quantity of ore expected to be mined over the life of the mine; (3) the current stripping ratio compared to the expected stripping ratio over the life of the mine; and (4) the ore grade compared to the expected ore grade over the life of the mine.</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Concentrates and dore bars</w:t>
      </w:r>
    </w:p>
    <w:p>
      <w:pPr>
        <w:spacing w:after="0" w:line="225" w:lineRule="exact"/>
        <w:rPr>
          <w:sz w:val="20"/>
          <w:szCs w:val="20"/>
          <w:color w:val="auto"/>
        </w:rPr>
      </w:pPr>
    </w:p>
    <w:p>
      <w:pPr>
        <w:jc w:val="both"/>
        <w:ind w:firstLine="351"/>
        <w:spacing w:after="0" w:line="259" w:lineRule="auto"/>
        <w:rPr>
          <w:sz w:val="20"/>
          <w:szCs w:val="20"/>
          <w:color w:val="auto"/>
        </w:rPr>
      </w:pPr>
      <w:r>
        <w:rPr>
          <w:rFonts w:ascii="Arial" w:cs="Arial" w:eastAsia="Arial" w:hAnsi="Arial"/>
          <w:sz w:val="18"/>
          <w:szCs w:val="18"/>
          <w:color w:val="auto"/>
        </w:rPr>
        <w:t>Concentrates and dore bar inventories consist of concentrates and dore bars for which legal title has not yet passed to custom smelters. Concentrates and dore bar inventories are measured based on assays of the processed concentrates and are valued based on the lower of net realizable value and the fully absorbed mining and milling costs associated with extracting and processing the ore.</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Supplies</w:t>
      </w:r>
    </w:p>
    <w:p>
      <w:pPr>
        <w:spacing w:after="0" w:line="225" w:lineRule="exact"/>
        <w:rPr>
          <w:sz w:val="20"/>
          <w:szCs w:val="20"/>
          <w:color w:val="auto"/>
        </w:rPr>
      </w:pPr>
    </w:p>
    <w:p>
      <w:pPr>
        <w:ind w:left="360"/>
        <w:spacing w:after="0"/>
        <w:rPr>
          <w:sz w:val="20"/>
          <w:szCs w:val="20"/>
          <w:color w:val="auto"/>
        </w:rPr>
      </w:pPr>
      <w:r>
        <w:rPr>
          <w:rFonts w:ascii="Arial" w:cs="Arial" w:eastAsia="Arial" w:hAnsi="Arial"/>
          <w:sz w:val="18"/>
          <w:szCs w:val="18"/>
          <w:color w:val="auto"/>
        </w:rPr>
        <w:t>Supplies, consisting of mine stores inventory, are valued at the lower of average cost and replacement cost.</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Mining properties, plant and equipment and mine development costs</w:t>
      </w:r>
    </w:p>
    <w:p>
      <w:pPr>
        <w:spacing w:after="0" w:line="231" w:lineRule="exact"/>
        <w:rPr>
          <w:sz w:val="20"/>
          <w:szCs w:val="20"/>
          <w:color w:val="auto"/>
        </w:rPr>
      </w:pPr>
    </w:p>
    <w:p>
      <w:pPr>
        <w:jc w:val="both"/>
        <w:ind w:firstLine="405"/>
        <w:spacing w:after="0" w:line="306" w:lineRule="auto"/>
        <w:rPr>
          <w:sz w:val="20"/>
          <w:szCs w:val="20"/>
          <w:color w:val="auto"/>
        </w:rPr>
      </w:pPr>
      <w:r>
        <w:rPr>
          <w:rFonts w:ascii="Arial" w:cs="Arial" w:eastAsia="Arial" w:hAnsi="Arial"/>
          <w:sz w:val="16"/>
          <w:szCs w:val="16"/>
          <w:color w:val="auto"/>
        </w:rPr>
        <w:t>Significant payments related to the acquisition of land and mineral rights are capitalized as mining properties at cost. If a mineable ore body is discovered, such costs are amortized to income when production begins, using the unit-of-production method, based on estimated proven and probable reserves. If no mineable ore body is discovered, such costs are expensed in the period in which it is determined the property has no future economic value.</w:t>
      </w:r>
    </w:p>
    <w:p>
      <w:pPr>
        <w:spacing w:after="0" w:line="161" w:lineRule="exact"/>
        <w:rPr>
          <w:sz w:val="20"/>
          <w:szCs w:val="20"/>
          <w:color w:val="auto"/>
        </w:rPr>
      </w:pPr>
    </w:p>
    <w:p>
      <w:pPr>
        <w:jc w:val="both"/>
        <w:ind w:firstLine="365"/>
        <w:spacing w:after="0" w:line="268" w:lineRule="auto"/>
        <w:rPr>
          <w:sz w:val="20"/>
          <w:szCs w:val="20"/>
          <w:color w:val="auto"/>
        </w:rPr>
      </w:pPr>
      <w:r>
        <w:rPr>
          <w:rFonts w:ascii="Arial" w:cs="Arial" w:eastAsia="Arial" w:hAnsi="Arial"/>
          <w:sz w:val="18"/>
          <w:szCs w:val="18"/>
          <w:color w:val="auto"/>
        </w:rPr>
        <w:t>Expenditures for new facilities and improvements that can extend the useful lives of existing facilities are capitalized as plant and equipment at cost. Interest costs incurred for the construction of projects are capitalized.</w:t>
      </w:r>
    </w:p>
    <w:p>
      <w:pPr>
        <w:spacing w:after="0" w:line="186" w:lineRule="exact"/>
        <w:rPr>
          <w:sz w:val="20"/>
          <w:szCs w:val="20"/>
          <w:color w:val="auto"/>
        </w:rPr>
      </w:pPr>
    </w:p>
    <w:p>
      <w:pPr>
        <w:jc w:val="both"/>
        <w:ind w:firstLine="379"/>
        <w:spacing w:after="0" w:line="259" w:lineRule="auto"/>
        <w:rPr>
          <w:sz w:val="20"/>
          <w:szCs w:val="20"/>
          <w:color w:val="auto"/>
        </w:rPr>
      </w:pPr>
      <w:r>
        <w:rPr>
          <w:rFonts w:ascii="Arial" w:cs="Arial" w:eastAsia="Arial" w:hAnsi="Arial"/>
          <w:sz w:val="18"/>
          <w:szCs w:val="18"/>
          <w:color w:val="auto"/>
        </w:rPr>
        <w:t>Mine development costs incurred after the commencement of production are capitalized or deferred to the extent that these costs benefit the entire ore body. Costs incurred to access single ore blocks are expensed as incurred; otherwise, such vertical and horizontal developments are classified as mine development costs.</w:t>
      </w:r>
    </w:p>
    <w:p>
      <w:pPr>
        <w:spacing w:after="0" w:line="194" w:lineRule="exact"/>
        <w:rPr>
          <w:sz w:val="20"/>
          <w:szCs w:val="20"/>
          <w:color w:val="auto"/>
        </w:rPr>
      </w:pPr>
    </w:p>
    <w:p>
      <w:pPr>
        <w:jc w:val="both"/>
        <w:ind w:firstLine="410"/>
        <w:spacing w:after="0" w:line="259" w:lineRule="auto"/>
        <w:rPr>
          <w:sz w:val="20"/>
          <w:szCs w:val="20"/>
          <w:color w:val="auto"/>
        </w:rPr>
      </w:pPr>
      <w:r>
        <w:rPr>
          <w:rFonts w:ascii="Arial" w:cs="Arial" w:eastAsia="Arial" w:hAnsi="Arial"/>
          <w:sz w:val="18"/>
          <w:szCs w:val="18"/>
          <w:color w:val="auto"/>
        </w:rPr>
        <w:t>Agnico-Eagle records depreciation on both plant and equipment and mine development costs used in commercial production on a unit-of-production basis based on the estimated proven and probable ore reserves of the mine. The unit-of-production method defines the denominator as the total proven and probable tonnes of reserves.</w:t>
      </w:r>
    </w:p>
    <w:p>
      <w:pPr>
        <w:spacing w:after="0" w:line="194" w:lineRule="exact"/>
        <w:rPr>
          <w:sz w:val="20"/>
          <w:szCs w:val="20"/>
          <w:color w:val="auto"/>
        </w:rPr>
      </w:pPr>
    </w:p>
    <w:p>
      <w:pPr>
        <w:jc w:val="both"/>
        <w:ind w:firstLine="549"/>
        <w:spacing w:after="0" w:line="259" w:lineRule="auto"/>
        <w:rPr>
          <w:sz w:val="20"/>
          <w:szCs w:val="20"/>
          <w:color w:val="auto"/>
        </w:rPr>
      </w:pPr>
      <w:r>
        <w:rPr>
          <w:rFonts w:ascii="Arial" w:cs="Arial" w:eastAsia="Arial" w:hAnsi="Arial"/>
          <w:sz w:val="18"/>
          <w:szCs w:val="18"/>
          <w:color w:val="auto"/>
        </w:rPr>
        <w:t>Repairs and maintenance expenditures are charged to income as production costs. Assets under construction are not depreciated until the end of the construction period. Upon commencement of commercial production, the capitalized construction costs are transferred to the various categories of plant and equipment.</w:t>
      </w:r>
    </w:p>
    <w:p>
      <w:pPr>
        <w:spacing w:after="0" w:line="194" w:lineRule="exact"/>
        <w:rPr>
          <w:sz w:val="20"/>
          <w:szCs w:val="20"/>
          <w:color w:val="auto"/>
        </w:rPr>
      </w:pPr>
    </w:p>
    <w:p>
      <w:pPr>
        <w:jc w:val="both"/>
        <w:ind w:firstLine="413"/>
        <w:spacing w:after="0" w:line="291" w:lineRule="auto"/>
        <w:rPr>
          <w:sz w:val="20"/>
          <w:szCs w:val="20"/>
          <w:color w:val="auto"/>
        </w:rPr>
      </w:pPr>
      <w:r>
        <w:rPr>
          <w:rFonts w:ascii="Arial" w:cs="Arial" w:eastAsia="Arial" w:hAnsi="Arial"/>
          <w:sz w:val="16"/>
          <w:szCs w:val="16"/>
          <w:color w:val="auto"/>
        </w:rPr>
        <w:t>Mineral exploration costs are charged to income in the year in which they are incurred. When it is determined that a mining property can be economically developed as a result of established proven and probable reserves, the costs of further exploration and development to further delineate the ore body on such property are capitalized. The establishment of proven and probable reserves is based on results of final feasibility studies, which indicate whether a property is economically feasible. Upon commencement of the commercial production of a development project, these costs are transferred to the appropriate asset category and are amortized to income using the unit-of-production method mentioned above. Mine development costs, net of salvage values, relating to a property which is abandoned or considered uneconomic for the foreseeable future are written off.</w:t>
      </w:r>
    </w:p>
    <w:p>
      <w:pPr>
        <w:spacing w:after="0" w:line="174" w:lineRule="exact"/>
        <w:rPr>
          <w:sz w:val="20"/>
          <w:szCs w:val="20"/>
          <w:color w:val="auto"/>
        </w:rPr>
      </w:pPr>
    </w:p>
    <w:p>
      <w:pPr>
        <w:jc w:val="both"/>
        <w:ind w:firstLine="433"/>
        <w:spacing w:after="0" w:line="259" w:lineRule="auto"/>
        <w:rPr>
          <w:sz w:val="20"/>
          <w:szCs w:val="20"/>
          <w:color w:val="auto"/>
        </w:rPr>
      </w:pPr>
      <w:r>
        <w:rPr>
          <w:rFonts w:ascii="Arial" w:cs="Arial" w:eastAsia="Arial" w:hAnsi="Arial"/>
          <w:sz w:val="18"/>
          <w:szCs w:val="18"/>
          <w:color w:val="auto"/>
        </w:rPr>
        <w:t>The carrying values of mining properties, plant and equipment and mine development costs are reviewed periodically, when impairment factors exist, for possible impairment, based on the future undiscounted net cash flows of the operating mine or development property. If it is determined that the estimated net recoverable</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1" w:right="239" w:bottom="1440" w:gutter="0" w:footer="0" w:header="0"/>
        </w:sectPr>
      </w:pPr>
    </w:p>
    <w:bookmarkStart w:id="189" w:name="page190"/>
    <w:bookmarkEnd w:id="189"/>
    <w:p>
      <w:pPr>
        <w:jc w:val="both"/>
        <w:spacing w:after="0" w:line="291" w:lineRule="auto"/>
        <w:rPr>
          <w:sz w:val="20"/>
          <w:szCs w:val="20"/>
          <w:color w:val="auto"/>
        </w:rPr>
      </w:pPr>
      <w:r>
        <w:rPr>
          <w:rFonts w:ascii="Arial" w:cs="Arial" w:eastAsia="Arial" w:hAnsi="Arial"/>
          <w:sz w:val="16"/>
          <w:szCs w:val="16"/>
          <w:color w:val="auto"/>
        </w:rPr>
        <w:t>amount is less than the carrying value, then a write down to the estimated fair value amount is made with a charge to income. Estimated future cash flows of an operating mine and development properties include estimates of recoverable ounces of gold based on the proven and probable reserves. To the extent economic value exists beyond the proven and probable reserves of an operating mine or development property, this value is included as part of the estimated future cash flows. Estimated future cash flows also involve estimates regarding metal prices (considering current and historical prices, price trends and related factors), production levels, capital and reclamation costs, and related income and mining taxes, all based on detailed engineering life-of-mine plans. Cash flows are subject to risks and uncertainties and changes in the estimates of the cash flows may affect the recoverability of long-lived assets.</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Financial instruments</w:t>
      </w:r>
    </w:p>
    <w:p>
      <w:pPr>
        <w:spacing w:after="0" w:line="231" w:lineRule="exact"/>
        <w:rPr>
          <w:sz w:val="20"/>
          <w:szCs w:val="20"/>
          <w:color w:val="auto"/>
        </w:rPr>
      </w:pPr>
    </w:p>
    <w:p>
      <w:pPr>
        <w:jc w:val="both"/>
        <w:ind w:firstLine="519"/>
        <w:spacing w:after="0" w:line="259" w:lineRule="auto"/>
        <w:rPr>
          <w:sz w:val="20"/>
          <w:szCs w:val="20"/>
          <w:color w:val="auto"/>
        </w:rPr>
      </w:pPr>
      <w:r>
        <w:rPr>
          <w:rFonts w:ascii="Arial" w:cs="Arial" w:eastAsia="Arial" w:hAnsi="Arial"/>
          <w:sz w:val="18"/>
          <w:szCs w:val="18"/>
          <w:color w:val="auto"/>
        </w:rPr>
        <w:t>From time to time, Agnico-Eagle uses derivative financial instruments, primarily option and forward contracts, to manage exposure to fluctuations in byproduct metal prices, interest rates and foreign currency exchange rates. Agnico-Eagle does not hold financial instruments or derivative financial instruments for trading purposes.</w:t>
      </w:r>
    </w:p>
    <w:p>
      <w:pPr>
        <w:spacing w:after="0" w:line="194" w:lineRule="exact"/>
        <w:rPr>
          <w:sz w:val="20"/>
          <w:szCs w:val="20"/>
          <w:color w:val="auto"/>
        </w:rPr>
      </w:pPr>
    </w:p>
    <w:p>
      <w:pPr>
        <w:jc w:val="both"/>
        <w:ind w:firstLine="456"/>
        <w:spacing w:after="0" w:line="294" w:lineRule="auto"/>
        <w:rPr>
          <w:sz w:val="20"/>
          <w:szCs w:val="20"/>
          <w:color w:val="auto"/>
        </w:rPr>
      </w:pPr>
      <w:r>
        <w:rPr>
          <w:rFonts w:ascii="Arial" w:cs="Arial" w:eastAsia="Arial" w:hAnsi="Arial"/>
          <w:sz w:val="16"/>
          <w:szCs w:val="16"/>
          <w:color w:val="auto"/>
        </w:rPr>
        <w:t>The Company recognizes all derivative financial instruments in the consolidated financial statements at fair value regardless of the purpose or intent for holding the instrument. Changes in the fair value of derivative financial instruments are either recognized periodically in the consolidated statement of income or in shareholders' equity as a component of accumulated other comprehensive income (loss), depending on the nature of the derivative financial instrument and whether it qualifies for hedge accounting. Financial instruments designated as hedges are tested for effectiveness on a quarterly basis. Gains and losses on those contracts that are proven to be effective are reported as a component of the related transaction.</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Revenue recognition</w:t>
      </w:r>
    </w:p>
    <w:p>
      <w:pPr>
        <w:spacing w:after="0" w:line="231" w:lineRule="exact"/>
        <w:rPr>
          <w:sz w:val="20"/>
          <w:szCs w:val="20"/>
          <w:color w:val="auto"/>
        </w:rPr>
      </w:pPr>
    </w:p>
    <w:p>
      <w:pPr>
        <w:ind w:left="360"/>
        <w:spacing w:after="0"/>
        <w:rPr>
          <w:sz w:val="20"/>
          <w:szCs w:val="20"/>
          <w:color w:val="auto"/>
        </w:rPr>
      </w:pPr>
      <w:r>
        <w:rPr>
          <w:rFonts w:ascii="Arial" w:cs="Arial" w:eastAsia="Arial" w:hAnsi="Arial"/>
          <w:sz w:val="18"/>
          <w:szCs w:val="18"/>
          <w:color w:val="auto"/>
        </w:rPr>
        <w:t>Revenue is recognized when the following conditions are met:</w:t>
      </w:r>
    </w:p>
    <w:p>
      <w:pPr>
        <w:spacing w:after="0" w:line="239" w:lineRule="exact"/>
        <w:rPr>
          <w:sz w:val="20"/>
          <w:szCs w:val="20"/>
          <w:color w:val="auto"/>
        </w:rPr>
      </w:pPr>
    </w:p>
    <w:p>
      <w:pPr>
        <w:ind w:left="1620" w:hanging="532"/>
        <w:spacing w:after="0"/>
        <w:tabs>
          <w:tab w:leader="none" w:pos="1620" w:val="left"/>
        </w:tabs>
        <w:numPr>
          <w:ilvl w:val="0"/>
          <w:numId w:val="75"/>
        </w:numPr>
        <w:rPr>
          <w:rFonts w:ascii="Arial" w:cs="Arial" w:eastAsia="Arial" w:hAnsi="Arial"/>
          <w:sz w:val="18"/>
          <w:szCs w:val="18"/>
          <w:color w:val="auto"/>
        </w:rPr>
      </w:pPr>
      <w:r>
        <w:rPr>
          <w:rFonts w:ascii="Arial" w:cs="Arial" w:eastAsia="Arial" w:hAnsi="Arial"/>
          <w:sz w:val="18"/>
          <w:szCs w:val="18"/>
          <w:color w:val="auto"/>
        </w:rPr>
        <w:t>persuasive evidence of an arrangement to purchase exists;</w:t>
      </w:r>
    </w:p>
    <w:p>
      <w:pPr>
        <w:spacing w:after="0" w:line="252" w:lineRule="exact"/>
        <w:rPr>
          <w:rFonts w:ascii="Arial" w:cs="Arial" w:eastAsia="Arial" w:hAnsi="Arial"/>
          <w:sz w:val="18"/>
          <w:szCs w:val="18"/>
          <w:color w:val="auto"/>
        </w:rPr>
      </w:pPr>
    </w:p>
    <w:p>
      <w:pPr>
        <w:ind w:left="1620" w:hanging="532"/>
        <w:spacing w:after="0"/>
        <w:tabs>
          <w:tab w:leader="none" w:pos="1620" w:val="left"/>
        </w:tabs>
        <w:numPr>
          <w:ilvl w:val="0"/>
          <w:numId w:val="75"/>
        </w:numPr>
        <w:rPr>
          <w:rFonts w:ascii="Arial" w:cs="Arial" w:eastAsia="Arial" w:hAnsi="Arial"/>
          <w:sz w:val="18"/>
          <w:szCs w:val="18"/>
          <w:color w:val="auto"/>
        </w:rPr>
      </w:pPr>
      <w:r>
        <w:rPr>
          <w:rFonts w:ascii="Arial" w:cs="Arial" w:eastAsia="Arial" w:hAnsi="Arial"/>
          <w:sz w:val="18"/>
          <w:szCs w:val="18"/>
          <w:color w:val="auto"/>
        </w:rPr>
        <w:t>the price is determinable;</w:t>
      </w:r>
    </w:p>
    <w:p>
      <w:pPr>
        <w:spacing w:after="0" w:line="238" w:lineRule="exact"/>
        <w:rPr>
          <w:rFonts w:ascii="Arial" w:cs="Arial" w:eastAsia="Arial" w:hAnsi="Arial"/>
          <w:sz w:val="18"/>
          <w:szCs w:val="18"/>
          <w:color w:val="auto"/>
        </w:rPr>
      </w:pPr>
    </w:p>
    <w:p>
      <w:pPr>
        <w:ind w:left="1620" w:hanging="532"/>
        <w:spacing w:after="0"/>
        <w:tabs>
          <w:tab w:leader="none" w:pos="1620" w:val="left"/>
        </w:tabs>
        <w:numPr>
          <w:ilvl w:val="0"/>
          <w:numId w:val="75"/>
        </w:numPr>
        <w:rPr>
          <w:rFonts w:ascii="Arial" w:cs="Arial" w:eastAsia="Arial" w:hAnsi="Arial"/>
          <w:sz w:val="18"/>
          <w:szCs w:val="18"/>
          <w:color w:val="auto"/>
        </w:rPr>
      </w:pPr>
      <w:r>
        <w:rPr>
          <w:rFonts w:ascii="Arial" w:cs="Arial" w:eastAsia="Arial" w:hAnsi="Arial"/>
          <w:sz w:val="18"/>
          <w:szCs w:val="18"/>
          <w:color w:val="auto"/>
        </w:rPr>
        <w:t>the product has been delivered; and</w:t>
      </w:r>
    </w:p>
    <w:p>
      <w:pPr>
        <w:spacing w:after="0" w:line="238" w:lineRule="exact"/>
        <w:rPr>
          <w:rFonts w:ascii="Arial" w:cs="Arial" w:eastAsia="Arial" w:hAnsi="Arial"/>
          <w:sz w:val="18"/>
          <w:szCs w:val="18"/>
          <w:color w:val="auto"/>
        </w:rPr>
      </w:pPr>
    </w:p>
    <w:p>
      <w:pPr>
        <w:ind w:left="1620" w:hanging="532"/>
        <w:spacing w:after="0"/>
        <w:tabs>
          <w:tab w:leader="none" w:pos="1620" w:val="left"/>
        </w:tabs>
        <w:numPr>
          <w:ilvl w:val="0"/>
          <w:numId w:val="75"/>
        </w:numPr>
        <w:rPr>
          <w:rFonts w:ascii="Arial" w:cs="Arial" w:eastAsia="Arial" w:hAnsi="Arial"/>
          <w:sz w:val="18"/>
          <w:szCs w:val="18"/>
          <w:color w:val="auto"/>
        </w:rPr>
      </w:pPr>
      <w:r>
        <w:rPr>
          <w:rFonts w:ascii="Arial" w:cs="Arial" w:eastAsia="Arial" w:hAnsi="Arial"/>
          <w:sz w:val="18"/>
          <w:szCs w:val="18"/>
          <w:color w:val="auto"/>
        </w:rPr>
        <w:t>collection of the sales price is reasonably assured.</w:t>
      </w:r>
    </w:p>
    <w:p>
      <w:pPr>
        <w:spacing w:after="0" w:line="225" w:lineRule="exact"/>
        <w:rPr>
          <w:sz w:val="20"/>
          <w:szCs w:val="20"/>
          <w:color w:val="auto"/>
        </w:rPr>
      </w:pPr>
    </w:p>
    <w:p>
      <w:pPr>
        <w:jc w:val="both"/>
        <w:ind w:firstLine="411"/>
        <w:spacing w:after="0" w:line="268" w:lineRule="auto"/>
        <w:rPr>
          <w:sz w:val="20"/>
          <w:szCs w:val="20"/>
          <w:color w:val="auto"/>
        </w:rPr>
      </w:pPr>
      <w:r>
        <w:rPr>
          <w:rFonts w:ascii="Arial" w:cs="Arial" w:eastAsia="Arial" w:hAnsi="Arial"/>
          <w:sz w:val="18"/>
          <w:szCs w:val="18"/>
          <w:color w:val="auto"/>
        </w:rPr>
        <w:t>Revenue from gold and silver in the form of dore bars is recorded when the refined gold and silver is sold and delivered to the customer. Generally all the gold and silver in the form of dore bars recovered in the Company's milling process is sold in the period in which it is produced.</w:t>
      </w:r>
    </w:p>
    <w:p>
      <w:pPr>
        <w:spacing w:after="0" w:line="186" w:lineRule="exact"/>
        <w:rPr>
          <w:sz w:val="20"/>
          <w:szCs w:val="20"/>
          <w:color w:val="auto"/>
        </w:rPr>
      </w:pPr>
    </w:p>
    <w:p>
      <w:pPr>
        <w:jc w:val="both"/>
        <w:ind w:firstLine="379"/>
        <w:spacing w:after="0" w:line="294" w:lineRule="auto"/>
        <w:rPr>
          <w:sz w:val="20"/>
          <w:szCs w:val="20"/>
          <w:color w:val="auto"/>
        </w:rPr>
      </w:pPr>
      <w:r>
        <w:rPr>
          <w:rFonts w:ascii="Arial" w:cs="Arial" w:eastAsia="Arial" w:hAnsi="Arial"/>
          <w:sz w:val="16"/>
          <w:szCs w:val="16"/>
          <w:color w:val="auto"/>
        </w:rPr>
        <w:t>Under the terms of the Company's concentrate sales contracts with third-party smelters, final prices for the metals contained in the concentrate are set based on the prevailing spot market metal prices on a specified future date based on the date that the concentrate is delivered to the smelter. The Company records revenues under these contracts based on forward prices at the time of delivery, which is when transfer of legal title to concentrate passes to the third-party smelters. The terms of the contracts result in differences between the recorded estimated price at delivery and the final settlement price. These differences are adjusted through revenue at each subsequent financial statement date.</w:t>
      </w:r>
    </w:p>
    <w:p>
      <w:pPr>
        <w:spacing w:after="0" w:line="170" w:lineRule="exact"/>
        <w:rPr>
          <w:sz w:val="20"/>
          <w:szCs w:val="20"/>
          <w:color w:val="auto"/>
        </w:rPr>
      </w:pPr>
    </w:p>
    <w:p>
      <w:pPr>
        <w:jc w:val="both"/>
        <w:ind w:firstLine="391"/>
        <w:spacing w:after="0" w:line="268" w:lineRule="auto"/>
        <w:rPr>
          <w:sz w:val="20"/>
          <w:szCs w:val="20"/>
          <w:color w:val="auto"/>
        </w:rPr>
      </w:pPr>
      <w:r>
        <w:rPr>
          <w:rFonts w:ascii="Arial" w:cs="Arial" w:eastAsia="Arial" w:hAnsi="Arial"/>
          <w:sz w:val="18"/>
          <w:szCs w:val="18"/>
          <w:color w:val="auto"/>
        </w:rPr>
        <w:t>Revenues from mining operations consist of gold revenues, net of smelting, refining, transportation and other marketing charges. Revenues from byproduct metals sales are shown net of smelter charges as part of revenues from mining operations.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Foreign currency translation</w:t>
      </w:r>
    </w:p>
    <w:p>
      <w:pPr>
        <w:spacing w:after="0" w:line="231" w:lineRule="exact"/>
        <w:rPr>
          <w:sz w:val="20"/>
          <w:szCs w:val="20"/>
          <w:color w:val="auto"/>
        </w:rPr>
      </w:pPr>
    </w:p>
    <w:p>
      <w:pPr>
        <w:jc w:val="both"/>
        <w:ind w:firstLine="514"/>
        <w:spacing w:after="0" w:line="306" w:lineRule="auto"/>
        <w:rPr>
          <w:sz w:val="20"/>
          <w:szCs w:val="20"/>
          <w:color w:val="auto"/>
        </w:rPr>
      </w:pPr>
      <w:r>
        <w:rPr>
          <w:rFonts w:ascii="Arial" w:cs="Arial" w:eastAsia="Arial" w:hAnsi="Arial"/>
          <w:sz w:val="16"/>
          <w:szCs w:val="16"/>
          <w:color w:val="auto"/>
        </w:rPr>
        <w:t>The functional currency for the Company's operations is the US dollar. Monetary assets and liabilities of Agnico-Eagle's operations denominated in a currency other than the US dollar are translated into US dollars using the exchange rate in effect at the year end. Non-monetary assets and liabilities are translated at historical exchange rates while revenues and expenses are translated at the average exchange rate during the year, with the</w:t>
      </w:r>
    </w:p>
    <w:p>
      <w:pPr>
        <w:spacing w:after="0" w:line="16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90" w:name="page191"/>
    <w:bookmarkEnd w:id="190"/>
    <w:p>
      <w:pPr>
        <w:jc w:val="both"/>
        <w:spacing w:after="0" w:line="259" w:lineRule="auto"/>
        <w:rPr>
          <w:sz w:val="20"/>
          <w:szCs w:val="20"/>
          <w:color w:val="auto"/>
        </w:rPr>
      </w:pPr>
      <w:r>
        <w:rPr>
          <w:rFonts w:ascii="Arial" w:cs="Arial" w:eastAsia="Arial" w:hAnsi="Arial"/>
          <w:sz w:val="18"/>
          <w:szCs w:val="18"/>
          <w:color w:val="auto"/>
        </w:rPr>
        <w:t>exception of amortization, which is translated at historical exchange rates. Exchange gains and losses are included in income except for gains and losses on foreign currency contracts used to hedge specific future commitments in foreign currencies. Gains and losses on these contracts are accounted for as a component of the related hedged transactions.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Reclamation costs</w:t>
      </w:r>
    </w:p>
    <w:p>
      <w:pPr>
        <w:spacing w:after="0" w:line="231" w:lineRule="exact"/>
        <w:rPr>
          <w:sz w:val="20"/>
          <w:szCs w:val="20"/>
          <w:color w:val="auto"/>
        </w:rPr>
      </w:pPr>
    </w:p>
    <w:p>
      <w:pPr>
        <w:jc w:val="both"/>
        <w:ind w:firstLine="355"/>
        <w:spacing w:after="0" w:line="284" w:lineRule="auto"/>
        <w:rPr>
          <w:sz w:val="20"/>
          <w:szCs w:val="20"/>
          <w:color w:val="auto"/>
        </w:rPr>
      </w:pPr>
      <w:r>
        <w:rPr>
          <w:rFonts w:ascii="Arial" w:cs="Arial" w:eastAsia="Arial" w:hAnsi="Arial"/>
          <w:sz w:val="16"/>
          <w:szCs w:val="16"/>
          <w:color w:val="auto"/>
        </w:rPr>
        <w:t>On an annual basis, the Company assesses cost estimates and other assumptions used in the valuation of Asset Retirement Obligations ("ARO") at each of its mineral properties to reflect events, changes in circumstances and new information available. Changes in these cost estimates and assumptions have a corresponding impact on the fair value of the ARO. For closed mines, any change in the fair value of AROs results in a corresponding charge or credit within other expense, whereas at operating mines the charge is recorded as an adjustment to the carrying amount of the corresponding asset. AROs arise from the acquisition, development, construction and normal operation of mining property, plant and equipment, due to government controls and regulations that protect the environment on the closure and reclamation of mining properties. The major parts of the carrying amount of AROs relate to tailings and heap leach pad closure/rehabilitation; demolition of buildings/mine facilities; ongoing water treatment; and ongoing care and maintenance of closed mines. The fair values of AROs are measured by discounting the expected cash flows using a discount factor that reflects the credit-adjusted risk-free rate of interest. The Company prepares estimates of the timing and amount of expected cash flows when an ARO is incurred. Expected cash flows are updated to reflect changes in facts and circumstances. The principal factors that can cause expected cash flows to change are: the construction of new processing facilities; changes in the quantities of material in reserves and a corresponding change in the life of mine plan; changing ore characteristics that impact required environmental protection measures and related costs; changes in water quality that impact the extent of water treatment required; and changes in laws and regulations governing the protection of the environment. When expected cash flows increase, the revised cash flows are discounted using a current discount factor whereas when expected cash flows decrease the reduced cash flows are discounted using the historical discount factor used in the original estimation of the expected cash flows, and then in both cases any change in the fair value of the ARO is recorded. Agnico-Eagle records the fair value of an ARO when it is incurred. AROs are adjusted to reflect the passage of time (accretion) calculated by applying the discount factor implicit in the initial fair value measurement to the beginning-of-period carrying amount of the AROs. For producing mines, accretion expense is recorded in the cost of goods sold each period. Upon settlement of an ARO, Agnico- Eagle records a gain or loss if the actual cost differs from the carrying amount of the ARO. Settlement gains/losses are recorded in other (income) expense. Other environmental remediation costs that are not AROs as defined by Financial Accounting Standards Board ("FASB") Accounting Standards Codification ("ASC") 410-20 — Asset Retirement Obligations (Prior authoritative literature: FASB Statement No. 143) are expensed as incurred.</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Income and mining taxes</w:t>
      </w:r>
    </w:p>
    <w:p>
      <w:pPr>
        <w:spacing w:after="0" w:line="231" w:lineRule="exact"/>
        <w:rPr>
          <w:sz w:val="20"/>
          <w:szCs w:val="20"/>
          <w:color w:val="auto"/>
        </w:rPr>
      </w:pPr>
    </w:p>
    <w:p>
      <w:pPr>
        <w:jc w:val="both"/>
        <w:ind w:right="20" w:firstLine="381"/>
        <w:spacing w:after="0" w:line="332" w:lineRule="auto"/>
        <w:rPr>
          <w:sz w:val="20"/>
          <w:szCs w:val="20"/>
          <w:color w:val="auto"/>
        </w:rPr>
      </w:pPr>
      <w:r>
        <w:rPr>
          <w:rFonts w:ascii="Arial" w:cs="Arial" w:eastAsia="Arial" w:hAnsi="Arial"/>
          <w:sz w:val="16"/>
          <w:szCs w:val="16"/>
          <w:color w:val="auto"/>
        </w:rPr>
        <w:t>Agnico-Eagle follows the liability method of tax allocation for accounting for income taxes. Under this method of tax allocation, future income and mining tax bases of assets and liabilities are measured using the enacted tax rates and laws expected to be in effect when the differences are expected to reverse.</w:t>
      </w:r>
    </w:p>
    <w:p>
      <w:pPr>
        <w:spacing w:after="0" w:line="139" w:lineRule="exact"/>
        <w:rPr>
          <w:sz w:val="20"/>
          <w:szCs w:val="20"/>
          <w:color w:val="auto"/>
        </w:rPr>
      </w:pPr>
    </w:p>
    <w:p>
      <w:pPr>
        <w:jc w:val="both"/>
        <w:ind w:firstLine="363"/>
        <w:spacing w:after="0" w:line="294" w:lineRule="auto"/>
        <w:rPr>
          <w:sz w:val="20"/>
          <w:szCs w:val="20"/>
          <w:color w:val="auto"/>
        </w:rPr>
      </w:pPr>
      <w:r>
        <w:rPr>
          <w:rFonts w:ascii="Arial" w:cs="Arial" w:eastAsia="Arial" w:hAnsi="Arial"/>
          <w:sz w:val="16"/>
          <w:szCs w:val="16"/>
          <w:color w:val="auto"/>
        </w:rPr>
        <w:t>The Company's operations involve dealing with uncertainties and judgments in the application of complex tax regulations in multiple jurisdictions. The final taxes paid are dependent upon many factors, including negotiations with taxation authorities in various jurisdictions and resolution of disputes arising from federal, provincial, state, and international tax audits. The Company recognizes the effect of uncertain tax positions and records tax liabilities for anticipated tax audit issues in Canada and other tax jurisdictions where it is more likely than not based on technical merits that the position would not be sustained. The Company recognizes the amount of any tax benefits that have greater than 50 percent likelihood of being ultimately realized upon settlement.</w:t>
      </w:r>
    </w:p>
    <w:p>
      <w:pPr>
        <w:spacing w:after="0" w:line="170" w:lineRule="exact"/>
        <w:rPr>
          <w:sz w:val="20"/>
          <w:szCs w:val="20"/>
          <w:color w:val="auto"/>
        </w:rPr>
      </w:pPr>
    </w:p>
    <w:p>
      <w:pPr>
        <w:jc w:val="both"/>
        <w:ind w:firstLine="417"/>
        <w:spacing w:after="0" w:line="306" w:lineRule="auto"/>
        <w:rPr>
          <w:sz w:val="20"/>
          <w:szCs w:val="20"/>
          <w:color w:val="auto"/>
        </w:rPr>
      </w:pPr>
      <w:r>
        <w:rPr>
          <w:rFonts w:ascii="Arial" w:cs="Arial" w:eastAsia="Arial" w:hAnsi="Arial"/>
          <w:sz w:val="16"/>
          <w:szCs w:val="16"/>
          <w:color w:val="auto"/>
        </w:rPr>
        <w:t>Changes in judgment related to the expected ultimate resolution of uncertain tax positions are recognized in the year of such change. Accrued interest and penalties related to unrecognized tax benefits are recorded in income tax expense in the current year. The Company adjusts these reserves in light of changing facts and circumstances; however, due to the complexity of some of these uncertainties, the ultimate resolution may result</w:t>
      </w:r>
    </w:p>
    <w:p>
      <w:pPr>
        <w:spacing w:after="0" w:line="16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91" w:name="page192"/>
    <w:bookmarkEnd w:id="191"/>
    <w:p>
      <w:pPr>
        <w:jc w:val="both"/>
        <w:spacing w:after="0" w:line="259" w:lineRule="auto"/>
        <w:rPr>
          <w:sz w:val="20"/>
          <w:szCs w:val="20"/>
          <w:color w:val="auto"/>
        </w:rPr>
      </w:pPr>
      <w:r>
        <w:rPr>
          <w:rFonts w:ascii="Arial" w:cs="Arial" w:eastAsia="Arial" w:hAnsi="Arial"/>
          <w:sz w:val="18"/>
          <w:szCs w:val="18"/>
          <w:color w:val="auto"/>
        </w:rPr>
        <w:t>in a payment that is materially different from the Company's current estimate of the tax liabilities. If the Company's estimate of tax liabilities proves to be less than the ultimate assessment, an additional charge to expense would result. If the estimate of tax liabilities proves to be greater than the ultimate assessment, a tax benefit would result.</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Stock-based compensation</w:t>
      </w:r>
    </w:p>
    <w:p>
      <w:pPr>
        <w:spacing w:after="0" w:line="231" w:lineRule="exact"/>
        <w:rPr>
          <w:sz w:val="20"/>
          <w:szCs w:val="20"/>
          <w:color w:val="auto"/>
        </w:rPr>
      </w:pPr>
    </w:p>
    <w:p>
      <w:pPr>
        <w:jc w:val="both"/>
        <w:ind w:firstLine="359"/>
        <w:spacing w:after="0" w:line="332" w:lineRule="auto"/>
        <w:rPr>
          <w:sz w:val="20"/>
          <w:szCs w:val="20"/>
          <w:color w:val="auto"/>
        </w:rPr>
      </w:pPr>
      <w:r>
        <w:rPr>
          <w:rFonts w:ascii="Arial" w:cs="Arial" w:eastAsia="Arial" w:hAnsi="Arial"/>
          <w:sz w:val="16"/>
          <w:szCs w:val="16"/>
          <w:color w:val="auto"/>
        </w:rPr>
        <w:t>Agnico-Eagle has two stock-based compensation plans. The Employee Stock Option Plan is described in note 7(a) and the Employee Share Purchase Plan is described in note 7(b) to the consolidated financial statements. The Company issues new common shares to settle its obligations under both plans.</w:t>
      </w:r>
    </w:p>
    <w:p>
      <w:pPr>
        <w:spacing w:after="0" w:line="139" w:lineRule="exact"/>
        <w:rPr>
          <w:sz w:val="20"/>
          <w:szCs w:val="20"/>
          <w:color w:val="auto"/>
        </w:rPr>
      </w:pPr>
    </w:p>
    <w:p>
      <w:pPr>
        <w:jc w:val="both"/>
        <w:ind w:firstLine="533"/>
        <w:spacing w:after="0" w:line="298" w:lineRule="auto"/>
        <w:rPr>
          <w:sz w:val="20"/>
          <w:szCs w:val="20"/>
          <w:color w:val="auto"/>
        </w:rPr>
      </w:pPr>
      <w:r>
        <w:rPr>
          <w:rFonts w:ascii="Arial" w:cs="Arial" w:eastAsia="Arial" w:hAnsi="Arial"/>
          <w:sz w:val="16"/>
          <w:szCs w:val="16"/>
          <w:color w:val="auto"/>
        </w:rPr>
        <w:t>The Company's Employee Stock Option Plan provides for the granting of options to directors, officers, employees and service providers to purchase common shares. Options have exercise prices equal to the market price on the day prior to the date of grant. The fair value of these options is recognized in the consolidated statement of income or in the consolidated balance sheet if capitalized as part of property, plant and mine development over the applicable vesting period as a compensation cost. Any consideration paid by employees on exercise of options or purchase of common shares is credited to share capital.</w:t>
      </w:r>
    </w:p>
    <w:p>
      <w:pPr>
        <w:spacing w:after="0" w:line="167" w:lineRule="exact"/>
        <w:rPr>
          <w:sz w:val="20"/>
          <w:szCs w:val="20"/>
          <w:color w:val="auto"/>
        </w:rPr>
      </w:pPr>
    </w:p>
    <w:p>
      <w:pPr>
        <w:jc w:val="both"/>
        <w:ind w:firstLine="403"/>
        <w:spacing w:after="0" w:line="256" w:lineRule="auto"/>
        <w:rPr>
          <w:sz w:val="20"/>
          <w:szCs w:val="20"/>
          <w:color w:val="auto"/>
        </w:rPr>
      </w:pPr>
      <w:r>
        <w:rPr>
          <w:rFonts w:ascii="Arial" w:cs="Arial" w:eastAsia="Arial" w:hAnsi="Arial"/>
          <w:sz w:val="18"/>
          <w:szCs w:val="18"/>
          <w:color w:val="auto"/>
        </w:rPr>
        <w:t>Fair value is determined using the Black-Scholes option valuation model which requires the Company to estimate the expected volatility of the Company's share price and the expected life of the stock options. Limitations with existing option valuation models and the inherent difficulties associated with estimating these variables create difficulties in determining a reliable single measure of the fair value of stock option grants. The dilutive impact of stock option grants is factored into the Company's reported diluted income net per share.</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Net Income per share</w:t>
      </w:r>
    </w:p>
    <w:p>
      <w:pPr>
        <w:spacing w:after="0" w:line="231" w:lineRule="exact"/>
        <w:rPr>
          <w:sz w:val="20"/>
          <w:szCs w:val="20"/>
          <w:color w:val="auto"/>
        </w:rPr>
      </w:pPr>
    </w:p>
    <w:p>
      <w:pPr>
        <w:jc w:val="both"/>
        <w:ind w:firstLine="397"/>
        <w:spacing w:after="0" w:line="294" w:lineRule="auto"/>
        <w:rPr>
          <w:sz w:val="20"/>
          <w:szCs w:val="20"/>
          <w:color w:val="auto"/>
        </w:rPr>
      </w:pPr>
      <w:r>
        <w:rPr>
          <w:rFonts w:ascii="Arial" w:cs="Arial" w:eastAsia="Arial" w:hAnsi="Arial"/>
          <w:sz w:val="16"/>
          <w:szCs w:val="16"/>
          <w:color w:val="auto"/>
        </w:rPr>
        <w:t>Basic net income per share is calculated on net income for the year using the weighted average number of common shares outstanding during the year. For years in which the Convertible Debentures were outstanding, diluted net income per share was calculated on the weighted average number of common shares that would have been outstanding during such year had all Convertible Debentures been converted at the beginning of the year into common shares, if such conversions were dilutive. In addition, the weighted average number of common shares used to determine diluted net income per share includes an adjustment for stock options outstanding and warrants outstanding using the treasury stock method. Under the treasury stock method:</w:t>
      </w:r>
    </w:p>
    <w:p>
      <w:pPr>
        <w:spacing w:after="0" w:line="183" w:lineRule="exact"/>
        <w:rPr>
          <w:sz w:val="20"/>
          <w:szCs w:val="20"/>
          <w:color w:val="auto"/>
        </w:rPr>
      </w:pPr>
    </w:p>
    <w:p>
      <w:pPr>
        <w:ind w:left="1080" w:hanging="532"/>
        <w:spacing w:after="0"/>
        <w:tabs>
          <w:tab w:leader="none" w:pos="1080" w:val="left"/>
        </w:tabs>
        <w:numPr>
          <w:ilvl w:val="0"/>
          <w:numId w:val="76"/>
        </w:numPr>
        <w:rPr>
          <w:rFonts w:ascii="Arial" w:cs="Arial" w:eastAsia="Arial" w:hAnsi="Arial"/>
          <w:sz w:val="18"/>
          <w:szCs w:val="18"/>
          <w:color w:val="auto"/>
        </w:rPr>
      </w:pPr>
      <w:r>
        <w:rPr>
          <w:rFonts w:ascii="Arial" w:cs="Arial" w:eastAsia="Arial" w:hAnsi="Arial"/>
          <w:sz w:val="18"/>
          <w:szCs w:val="18"/>
          <w:color w:val="auto"/>
        </w:rPr>
        <w:t>the exercise of options or warrants is assumed to be at the beginning of the period (or date of issuance, if later);</w:t>
      </w:r>
    </w:p>
    <w:p>
      <w:pPr>
        <w:spacing w:after="0" w:line="252" w:lineRule="exact"/>
        <w:rPr>
          <w:rFonts w:ascii="Arial" w:cs="Arial" w:eastAsia="Arial" w:hAnsi="Arial"/>
          <w:sz w:val="18"/>
          <w:szCs w:val="18"/>
          <w:color w:val="auto"/>
        </w:rPr>
      </w:pPr>
    </w:p>
    <w:p>
      <w:pPr>
        <w:ind w:left="1080" w:right="20" w:hanging="532"/>
        <w:spacing w:after="0" w:line="332" w:lineRule="auto"/>
        <w:tabs>
          <w:tab w:leader="none" w:pos="1080" w:val="left"/>
        </w:tabs>
        <w:numPr>
          <w:ilvl w:val="0"/>
          <w:numId w:val="76"/>
        </w:numPr>
        <w:rPr>
          <w:rFonts w:ascii="Arial" w:cs="Arial" w:eastAsia="Arial" w:hAnsi="Arial"/>
          <w:sz w:val="16"/>
          <w:szCs w:val="16"/>
          <w:color w:val="auto"/>
        </w:rPr>
      </w:pPr>
      <w:r>
        <w:rPr>
          <w:rFonts w:ascii="Arial" w:cs="Arial" w:eastAsia="Arial" w:hAnsi="Arial"/>
          <w:sz w:val="16"/>
          <w:szCs w:val="16"/>
          <w:color w:val="auto"/>
        </w:rPr>
        <w:t>the proceeds from the exercise of options or warrants, plus in the case of options the future period compensation expense on options granted on or after January 1, 2003, are assumed to be used to purchase common shares at the average market price during the period; and</w:t>
      </w:r>
    </w:p>
    <w:p>
      <w:pPr>
        <w:spacing w:after="0" w:line="152" w:lineRule="exact"/>
        <w:rPr>
          <w:rFonts w:ascii="Arial" w:cs="Arial" w:eastAsia="Arial" w:hAnsi="Arial"/>
          <w:sz w:val="16"/>
          <w:szCs w:val="16"/>
          <w:color w:val="auto"/>
        </w:rPr>
      </w:pPr>
    </w:p>
    <w:p>
      <w:pPr>
        <w:ind w:left="1080" w:hanging="532"/>
        <w:spacing w:after="0" w:line="268" w:lineRule="auto"/>
        <w:tabs>
          <w:tab w:leader="none" w:pos="1080" w:val="left"/>
        </w:tabs>
        <w:numPr>
          <w:ilvl w:val="0"/>
          <w:numId w:val="76"/>
        </w:numPr>
        <w:rPr>
          <w:rFonts w:ascii="Arial" w:cs="Arial" w:eastAsia="Arial" w:hAnsi="Arial"/>
          <w:sz w:val="18"/>
          <w:szCs w:val="18"/>
          <w:color w:val="auto"/>
        </w:rPr>
      </w:pPr>
      <w:r>
        <w:rPr>
          <w:rFonts w:ascii="Arial" w:cs="Arial" w:eastAsia="Arial" w:hAnsi="Arial"/>
          <w:sz w:val="18"/>
          <w:szCs w:val="18"/>
          <w:color w:val="auto"/>
        </w:rPr>
        <w:t>the incremental number of common shares (the difference between the number of shares assumed issued and the number of shares assumed purchased) is included in the denominator of the diluted earnings per share computation.</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Pension costs and obligations and post-retirement benefits</w:t>
      </w:r>
    </w:p>
    <w:p>
      <w:pPr>
        <w:spacing w:after="0" w:line="231" w:lineRule="exact"/>
        <w:rPr>
          <w:sz w:val="20"/>
          <w:szCs w:val="20"/>
          <w:color w:val="auto"/>
        </w:rPr>
      </w:pPr>
    </w:p>
    <w:p>
      <w:pPr>
        <w:jc w:val="both"/>
        <w:ind w:firstLine="428"/>
        <w:spacing w:after="0" w:line="290" w:lineRule="auto"/>
        <w:rPr>
          <w:sz w:val="20"/>
          <w:szCs w:val="20"/>
          <w:color w:val="auto"/>
        </w:rPr>
      </w:pPr>
      <w:r>
        <w:rPr>
          <w:rFonts w:ascii="Arial" w:cs="Arial" w:eastAsia="Arial" w:hAnsi="Arial"/>
          <w:sz w:val="16"/>
          <w:szCs w:val="16"/>
          <w:color w:val="auto"/>
        </w:rPr>
        <w:t>Effective July 1, 1997, Agnico-Eagle's defined benefit pension plan for active employees (the "Employees Plan") was converted to a defined contribution plan. Employees who retired prior to that date remained in the Employees Plan. During 2008 however, the Employees Plan was closed as a result of annuities having been purchased for all remaining members. In addition, Agnico-Eagle provides a non-registered supplementary executive retirement defined benefit plan for its senior officers. The executive retirement plan benefits are generally based on the employees' years of service and level of compensation. Pension expense related to the defined benefit plan is the net of the cost of benefits provided, the interest cost of projected benefits, return on plan assets and amortization of experience gains and losses. Pension fund assets are measured at current fair values. Actuarially determined plan surpluses or deficits, experience gains or losses and the cost of pension plan improvements are amortized on a straight-line basis over the expected average remaining service life of the employee group.</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590" w:right="239" w:bottom="1440" w:gutter="0" w:footer="0" w:header="0"/>
        </w:sectPr>
      </w:pPr>
    </w:p>
    <w:bookmarkStart w:id="192" w:name="page193"/>
    <w:bookmarkEnd w:id="192"/>
    <w:p>
      <w:pPr>
        <w:jc w:val="both"/>
        <w:ind w:firstLine="466"/>
        <w:spacing w:after="0" w:line="332" w:lineRule="auto"/>
        <w:rPr>
          <w:sz w:val="20"/>
          <w:szCs w:val="20"/>
          <w:color w:val="auto"/>
        </w:rPr>
      </w:pPr>
      <w:r>
        <w:rPr>
          <w:rFonts w:ascii="Arial" w:cs="Arial" w:eastAsia="Arial" w:hAnsi="Arial"/>
          <w:sz w:val="16"/>
          <w:szCs w:val="16"/>
          <w:color w:val="auto"/>
        </w:rPr>
        <w:t>In Canada, Agnico-Eagle maintains a defined contribution plan covering all of its employees. The plan is funded by Company contributions based on a percentage of income for services rendered by employees. The Company does not offer any other post-retirement benefits to its employees.</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Commercial Production</w:t>
      </w:r>
    </w:p>
    <w:p>
      <w:pPr>
        <w:spacing w:after="0" w:line="225" w:lineRule="exact"/>
        <w:rPr>
          <w:sz w:val="20"/>
          <w:szCs w:val="20"/>
          <w:color w:val="auto"/>
        </w:rPr>
      </w:pPr>
    </w:p>
    <w:p>
      <w:pPr>
        <w:jc w:val="both"/>
        <w:ind w:firstLine="402"/>
        <w:spacing w:after="0" w:line="290" w:lineRule="auto"/>
        <w:rPr>
          <w:sz w:val="20"/>
          <w:szCs w:val="20"/>
          <w:color w:val="auto"/>
        </w:rPr>
      </w:pPr>
      <w:r>
        <w:rPr>
          <w:rFonts w:ascii="Arial" w:cs="Arial" w:eastAsia="Arial" w:hAnsi="Arial"/>
          <w:sz w:val="16"/>
          <w:szCs w:val="16"/>
          <w:color w:val="auto"/>
        </w:rPr>
        <w:t>The Company assesses each mine construction project to determine when a mine moves into production stage. The criteria used to assess the start date are determined based on the nature of each mine construction project, such as the complexity of a plant and its location. The Company considers various relevant criteria to assess when the mine is substantially complete and ready for its intended use and moved into production stage. The criteria considered include: (1) the completion of a reasonable period of testing of mine plant and equipment; (2) the ability to produce minerals in saleable form (within specifications); and (3) the ability to sustain ongoing production of minerals. When a mine construction project moves into the production stage, the capitalization of certain mine construction costs ceases and costs are either capitalized to inventory or expensed, except for sustaining capital costs related to property, plant and equipment and underground mine development or reserve development.</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u w:val="single" w:color="auto"/>
          <w:color w:val="auto"/>
        </w:rPr>
        <w:t>Other Accounting Developments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Recently Adopted Accounting Pronouncements</w:t>
      </w:r>
    </w:p>
    <w:p>
      <w:pPr>
        <w:spacing w:after="0" w:line="231" w:lineRule="exact"/>
        <w:rPr>
          <w:sz w:val="20"/>
          <w:szCs w:val="20"/>
          <w:color w:val="auto"/>
        </w:rPr>
      </w:pPr>
    </w:p>
    <w:p>
      <w:pPr>
        <w:jc w:val="both"/>
        <w:ind w:firstLine="515"/>
        <w:spacing w:after="0" w:line="290" w:lineRule="auto"/>
        <w:rPr>
          <w:sz w:val="20"/>
          <w:szCs w:val="20"/>
          <w:color w:val="auto"/>
        </w:rPr>
      </w:pPr>
      <w:r>
        <w:rPr>
          <w:rFonts w:ascii="Arial" w:cs="Arial" w:eastAsia="Arial" w:hAnsi="Arial"/>
          <w:sz w:val="16"/>
          <w:szCs w:val="16"/>
          <w:color w:val="auto"/>
        </w:rPr>
        <w:t>In June 2009, the Financial Accounting Standards Board ("FASB") issued statement No. 168, "The FASB Accounting Standards Codification and the Hierarchy of Generally Accepted Accounting Principles" ("FAS 168"). FAS 168 replaces FASB Statement No. 162 and establishes the FASB Accounting Standards Codification as the source of authoritative accounting principles recognized by the FASB to be applied by nongovernmental entities in the preparation of financial statements in conformity with US GAAP. FAS 168 is effective for financial statements issued for interim and annual periods ending after September 15, 2009. Under the new codification FAS 168 is referred to as the ASC 105. The adoption of this pronouncement does not have an impact on the financial statements as the ASC does not change US GAAP, but is intended to simplify user access to all authoritative US GAAP by providing all the authoritative literature related to a particular topic in one place.</w:t>
      </w:r>
    </w:p>
    <w:p>
      <w:pPr>
        <w:spacing w:after="0" w:line="172" w:lineRule="exact"/>
        <w:rPr>
          <w:sz w:val="20"/>
          <w:szCs w:val="20"/>
          <w:color w:val="auto"/>
        </w:rPr>
      </w:pPr>
    </w:p>
    <w:p>
      <w:pPr>
        <w:jc w:val="both"/>
        <w:ind w:firstLine="536"/>
        <w:spacing w:after="0" w:line="291" w:lineRule="auto"/>
        <w:rPr>
          <w:sz w:val="20"/>
          <w:szCs w:val="20"/>
          <w:color w:val="auto"/>
        </w:rPr>
      </w:pPr>
      <w:r>
        <w:rPr>
          <w:rFonts w:ascii="Arial" w:cs="Arial" w:eastAsia="Arial" w:hAnsi="Arial"/>
          <w:sz w:val="16"/>
          <w:szCs w:val="16"/>
          <w:color w:val="auto"/>
        </w:rPr>
        <w:t>In March 2008, the FASB issued ASC 815-10-15 — Derivatives and Hedging ("ASC 815") (Prior authoritative literature: FASB Statement No. 161, "Disclosure about Derivative Instruments and Hedging Activities — an amendment of FASB Statement No. 133"). ASC 815 provides revised guidance for enhanced disclosures about how and why an entity uses derivative instruments, how derivative instruments and the related hedged items are accounted for, and how derivative instruments and the related hedged items affect an entity's financial position, financial performance and cash flows. The new guidance is effective for the Company's fiscal year beginning January 1, 2009. To the extent the required information was not previously disclosed in the 2008 annual consolidated financial statements, new disclosures have been incorporated in note 15.</w:t>
      </w:r>
    </w:p>
    <w:p>
      <w:pPr>
        <w:spacing w:after="0" w:line="174" w:lineRule="exact"/>
        <w:rPr>
          <w:sz w:val="20"/>
          <w:szCs w:val="20"/>
          <w:color w:val="auto"/>
        </w:rPr>
      </w:pPr>
    </w:p>
    <w:p>
      <w:pPr>
        <w:jc w:val="both"/>
        <w:ind w:firstLine="607"/>
        <w:spacing w:after="0" w:line="289" w:lineRule="auto"/>
        <w:rPr>
          <w:sz w:val="20"/>
          <w:szCs w:val="20"/>
          <w:color w:val="auto"/>
        </w:rPr>
      </w:pPr>
      <w:r>
        <w:rPr>
          <w:rFonts w:ascii="Arial" w:cs="Arial" w:eastAsia="Arial" w:hAnsi="Arial"/>
          <w:sz w:val="16"/>
          <w:szCs w:val="16"/>
          <w:color w:val="auto"/>
        </w:rPr>
        <w:t>In December 2008, the FASB modified ASC 715 — Compensation – Retirement Benefits (Prior authoritative literature: FASB Staff Position No. FAS 132(R)-1, "Employers' Disclosures about Post-Retirement Benefit Plan Assets", which amends FASB Statement No. 132 "Employers' Disclosures about Pensions and Other Post-Retirement Benefits"), to provide guidance on an employer's disclosures about plan assets of a defined benefit pension or other postretirement plan. The objective of the amendment is to require more detailed disclosures about an employer's plan assets, including the employer's investment strategies, major categories of plan assets, concentrations of risk within plan assets, and valuation techniques used to measure the fair value of plan assets. The amendment is effective for the Company's fiscal year beginning January 1, 2009. Upon initial application, the provisions of this FSP are not required for earlier periods that are presented for comparative purposes. To the extent the required information was not previously disclosed in the 2008 annual consolidated financial statements, new disclosures have been incorporated in note 5(c).</w:t>
      </w:r>
    </w:p>
    <w:p>
      <w:pPr>
        <w:spacing w:after="0" w:line="172" w:lineRule="exact"/>
        <w:rPr>
          <w:sz w:val="20"/>
          <w:szCs w:val="20"/>
          <w:color w:val="auto"/>
        </w:rPr>
      </w:pPr>
    </w:p>
    <w:p>
      <w:pPr>
        <w:jc w:val="both"/>
        <w:ind w:firstLine="467"/>
        <w:spacing w:after="0" w:line="306" w:lineRule="auto"/>
        <w:rPr>
          <w:sz w:val="20"/>
          <w:szCs w:val="20"/>
          <w:color w:val="auto"/>
        </w:rPr>
      </w:pPr>
      <w:r>
        <w:rPr>
          <w:rFonts w:ascii="Arial" w:cs="Arial" w:eastAsia="Arial" w:hAnsi="Arial"/>
          <w:sz w:val="16"/>
          <w:szCs w:val="16"/>
          <w:color w:val="auto"/>
        </w:rPr>
        <w:t>In May 2009, the FASB issued ASC 855-10-05 — Subsequent Events (Prior authoritative literature: FASB Statement No. 165, "Subsequent Events") to establish general standards of accounting for and disclosure of events that occur after the balance sheet date but before financial statements are issued or are available to be issued. The Company adopted the disclosure requirements beginning in the interim period ended June 30, 2009.</w:t>
      </w:r>
    </w:p>
    <w:p>
      <w:pPr>
        <w:spacing w:after="0" w:line="16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93" w:name="page194"/>
    <w:bookmarkEnd w:id="193"/>
    <w:p>
      <w:pPr>
        <w:jc w:val="both"/>
        <w:ind w:right="20"/>
        <w:spacing w:after="0" w:line="306" w:lineRule="auto"/>
        <w:rPr>
          <w:sz w:val="20"/>
          <w:szCs w:val="20"/>
          <w:color w:val="auto"/>
        </w:rPr>
      </w:pPr>
      <w:r>
        <w:rPr>
          <w:rFonts w:ascii="Arial" w:cs="Arial" w:eastAsia="Arial" w:hAnsi="Arial"/>
          <w:sz w:val="16"/>
          <w:szCs w:val="16"/>
          <w:color w:val="auto"/>
        </w:rPr>
        <w:t>In February 2010, the FASB issued an Accounting Standards Update ("ASU") to amend ASC 855 — Subsequent Events, which no longer requires SEC registrants to disclose the date through which management evaluated subsequent events in the financial statements. As a result of the ASU, the Company's considerations with respect to evaluating subsequent events will be consistent with those before the issuance of the subsequent events accounting guidance.</w:t>
      </w:r>
    </w:p>
    <w:p>
      <w:pPr>
        <w:spacing w:after="0" w:line="161" w:lineRule="exact"/>
        <w:rPr>
          <w:sz w:val="20"/>
          <w:szCs w:val="20"/>
          <w:color w:val="auto"/>
        </w:rPr>
      </w:pPr>
    </w:p>
    <w:p>
      <w:pPr>
        <w:jc w:val="both"/>
        <w:ind w:firstLine="437"/>
        <w:spacing w:after="0" w:line="291" w:lineRule="auto"/>
        <w:rPr>
          <w:sz w:val="20"/>
          <w:szCs w:val="20"/>
          <w:color w:val="auto"/>
        </w:rPr>
      </w:pPr>
      <w:r>
        <w:rPr>
          <w:rFonts w:ascii="Arial" w:cs="Arial" w:eastAsia="Arial" w:hAnsi="Arial"/>
          <w:sz w:val="16"/>
          <w:szCs w:val="16"/>
          <w:color w:val="auto"/>
        </w:rPr>
        <w:t>In September 2006, the FASB issued ASC 820 — Fair Value Measurement and Disclosure (Prior authoritative literature: FASB Statement No. 157, "Fair Value Measurements" ("FAS 157")). ASC 820 defines fair value, establishes a framework for measuring fair value in US GAAP, and expands required disclosures about fair value measurements. The provisions of ASC 820 were adopted January 1, 2008. In February 2008, FASB modified ASC 820 (Prior authoritative literature: FASB Staff Position No. 157-2, "Effective Date of FASB Statement No. 157" that delayed the effective date of ASC 820 for nonfinancial assets and nonfinancial liabilities, except for items that are recognized or disclosed at fair value in the financial statements on a recurring basis (at least annually). The new provisions of ASC 820 were effective for the Company's fiscal year beginning January 1, 2009.</w:t>
      </w:r>
    </w:p>
    <w:p>
      <w:pPr>
        <w:spacing w:after="0" w:line="174" w:lineRule="exact"/>
        <w:rPr>
          <w:sz w:val="20"/>
          <w:szCs w:val="20"/>
          <w:color w:val="auto"/>
        </w:rPr>
      </w:pPr>
    </w:p>
    <w:p>
      <w:pPr>
        <w:jc w:val="both"/>
        <w:ind w:firstLine="447"/>
        <w:spacing w:after="0" w:line="256" w:lineRule="auto"/>
        <w:rPr>
          <w:sz w:val="20"/>
          <w:szCs w:val="20"/>
          <w:color w:val="auto"/>
        </w:rPr>
      </w:pPr>
      <w:r>
        <w:rPr>
          <w:rFonts w:ascii="Arial" w:cs="Arial" w:eastAsia="Arial" w:hAnsi="Arial"/>
          <w:sz w:val="18"/>
          <w:szCs w:val="18"/>
          <w:color w:val="auto"/>
        </w:rPr>
        <w:t>Fair value is the value at which a financial instrument could be closed out or sold in a transaction with a willing and knowledgeable counterparty over a period of time consistent with the Company's investment strategy. Fair value is based on quoted market prices, where available. If market quotes are not available, fair value is based on internally developed models that use market-based or independent information as inputs. These models could produce a fair value that may not be reflective of future fair value.</w:t>
      </w:r>
    </w:p>
    <w:p>
      <w:pPr>
        <w:spacing w:after="0" w:line="197"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three levels of the fair value hierarchy under ASC 820 are:</w:t>
      </w:r>
    </w:p>
    <w:p>
      <w:pPr>
        <w:spacing w:after="0" w:line="225" w:lineRule="exact"/>
        <w:rPr>
          <w:sz w:val="20"/>
          <w:szCs w:val="20"/>
          <w:color w:val="auto"/>
        </w:rPr>
      </w:pPr>
    </w:p>
    <w:p>
      <w:pPr>
        <w:ind w:left="540"/>
        <w:spacing w:after="0"/>
        <w:rPr>
          <w:sz w:val="20"/>
          <w:szCs w:val="20"/>
          <w:color w:val="auto"/>
        </w:rPr>
      </w:pPr>
      <w:r>
        <w:rPr>
          <w:rFonts w:ascii="Arial" w:cs="Arial" w:eastAsia="Arial" w:hAnsi="Arial"/>
          <w:sz w:val="16"/>
          <w:szCs w:val="16"/>
          <w:color w:val="auto"/>
        </w:rPr>
        <w:t>Level 1 — Unadjusted quoted prices in active markets that are accessible at the measurement date for identical, unrestricted assets or liabilities;</w:t>
      </w:r>
    </w:p>
    <w:p>
      <w:pPr>
        <w:spacing w:after="0" w:line="248" w:lineRule="exact"/>
        <w:rPr>
          <w:sz w:val="20"/>
          <w:szCs w:val="20"/>
          <w:color w:val="auto"/>
        </w:rPr>
      </w:pPr>
    </w:p>
    <w:p>
      <w:pPr>
        <w:ind w:left="540" w:right="20"/>
        <w:spacing w:after="0" w:line="268" w:lineRule="auto"/>
        <w:rPr>
          <w:sz w:val="20"/>
          <w:szCs w:val="20"/>
          <w:color w:val="auto"/>
        </w:rPr>
      </w:pPr>
      <w:r>
        <w:rPr>
          <w:rFonts w:ascii="Arial" w:cs="Arial" w:eastAsia="Arial" w:hAnsi="Arial"/>
          <w:sz w:val="18"/>
          <w:szCs w:val="18"/>
          <w:color w:val="auto"/>
        </w:rPr>
        <w:t>Level 2 — Quoted prices in markets that are not active, or inputs that are observable, either directly or indirectly, for substantially the full term of the asset or liability; and</w:t>
      </w:r>
    </w:p>
    <w:p>
      <w:pPr>
        <w:spacing w:after="0" w:line="186" w:lineRule="exact"/>
        <w:rPr>
          <w:sz w:val="20"/>
          <w:szCs w:val="20"/>
          <w:color w:val="auto"/>
        </w:rPr>
      </w:pPr>
    </w:p>
    <w:p>
      <w:pPr>
        <w:ind w:left="540"/>
        <w:spacing w:after="0" w:line="268" w:lineRule="auto"/>
        <w:rPr>
          <w:sz w:val="20"/>
          <w:szCs w:val="20"/>
          <w:color w:val="auto"/>
        </w:rPr>
      </w:pPr>
      <w:r>
        <w:rPr>
          <w:rFonts w:ascii="Arial" w:cs="Arial" w:eastAsia="Arial" w:hAnsi="Arial"/>
          <w:sz w:val="18"/>
          <w:szCs w:val="18"/>
          <w:color w:val="auto"/>
        </w:rPr>
        <w:t>Level 3 — Prices or valuation techniques that require inputs that are both significant to the fair value measurement and unobservable (supported by little or no market activity).</w:t>
      </w:r>
    </w:p>
    <w:p>
      <w:pPr>
        <w:spacing w:after="0" w:line="186"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following table sets out the Company's financial assets and liabilities measured at fair value within the fair value hierarchy.</w:t>
      </w:r>
    </w:p>
    <w:p>
      <w:pPr>
        <w:spacing w:after="0" w:line="275"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16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386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20" w:type="dxa"/>
            <w:vAlign w:val="bottom"/>
          </w:tcPr>
          <w:p>
            <w:pPr>
              <w:jc w:val="right"/>
              <w:ind w:right="154"/>
              <w:spacing w:after="0"/>
              <w:rPr>
                <w:sz w:val="20"/>
                <w:szCs w:val="20"/>
                <w:color w:val="auto"/>
              </w:rPr>
            </w:pPr>
            <w:r>
              <w:rPr>
                <w:rFonts w:ascii="Arial" w:cs="Arial" w:eastAsia="Arial" w:hAnsi="Arial"/>
                <w:sz w:val="14"/>
                <w:szCs w:val="14"/>
                <w:b w:val="1"/>
                <w:bCs w:val="1"/>
                <w:color w:val="auto"/>
              </w:rPr>
              <w:t>Total</w:t>
            </w:r>
          </w:p>
        </w:tc>
        <w:tc>
          <w:tcPr>
            <w:tcW w:w="1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60" w:type="dxa"/>
            <w:vAlign w:val="bottom"/>
          </w:tcPr>
          <w:p>
            <w:pPr>
              <w:jc w:val="right"/>
              <w:ind w:right="114"/>
              <w:spacing w:after="0"/>
              <w:rPr>
                <w:sz w:val="20"/>
                <w:szCs w:val="20"/>
                <w:color w:val="auto"/>
              </w:rPr>
            </w:pPr>
            <w:r>
              <w:rPr>
                <w:rFonts w:ascii="Arial" w:cs="Arial" w:eastAsia="Arial" w:hAnsi="Arial"/>
                <w:sz w:val="14"/>
                <w:szCs w:val="14"/>
                <w:b w:val="1"/>
                <w:bCs w:val="1"/>
                <w:color w:val="auto"/>
                <w:w w:val="92"/>
              </w:rPr>
              <w:t>Level 1</w:t>
            </w:r>
          </w:p>
        </w:tc>
        <w:tc>
          <w:tcPr>
            <w:tcW w:w="1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60" w:type="dxa"/>
            <w:vAlign w:val="bottom"/>
          </w:tcPr>
          <w:p>
            <w:pPr>
              <w:jc w:val="right"/>
              <w:ind w:right="94"/>
              <w:spacing w:after="0"/>
              <w:rPr>
                <w:sz w:val="20"/>
                <w:szCs w:val="20"/>
                <w:color w:val="auto"/>
              </w:rPr>
            </w:pPr>
            <w:r>
              <w:rPr>
                <w:rFonts w:ascii="Arial" w:cs="Arial" w:eastAsia="Arial" w:hAnsi="Arial"/>
                <w:sz w:val="14"/>
                <w:szCs w:val="14"/>
                <w:b w:val="1"/>
                <w:bCs w:val="1"/>
                <w:color w:val="auto"/>
                <w:w w:val="96"/>
              </w:rPr>
              <w:t>Level 2</w:t>
            </w:r>
          </w:p>
        </w:tc>
        <w:tc>
          <w:tcPr>
            <w:tcW w:w="160" w:type="dxa"/>
            <w:vAlign w:val="bottom"/>
          </w:tcPr>
          <w:p>
            <w:pPr>
              <w:spacing w:after="0"/>
              <w:rPr>
                <w:sz w:val="14"/>
                <w:szCs w:val="14"/>
                <w:color w:val="auto"/>
              </w:rPr>
            </w:pPr>
          </w:p>
        </w:tc>
        <w:tc>
          <w:tcPr>
            <w:tcW w:w="1880" w:type="dxa"/>
            <w:vAlign w:val="bottom"/>
            <w:gridSpan w:val="3"/>
          </w:tcPr>
          <w:p>
            <w:pPr>
              <w:ind w:left="80"/>
              <w:spacing w:after="0"/>
              <w:rPr>
                <w:sz w:val="20"/>
                <w:szCs w:val="20"/>
                <w:color w:val="auto"/>
              </w:rPr>
            </w:pPr>
            <w:r>
              <w:rPr>
                <w:rFonts w:ascii="Arial" w:cs="Arial" w:eastAsia="Arial" w:hAnsi="Arial"/>
                <w:sz w:val="14"/>
                <w:szCs w:val="14"/>
                <w:b w:val="1"/>
                <w:bCs w:val="1"/>
                <w:color w:val="auto"/>
              </w:rPr>
              <w:t>Level 3</w:t>
            </w:r>
          </w:p>
        </w:tc>
        <w:tc>
          <w:tcPr>
            <w:tcW w:w="0" w:type="dxa"/>
            <w:vAlign w:val="bottom"/>
          </w:tcPr>
          <w:p>
            <w:pPr>
              <w:spacing w:after="0"/>
              <w:rPr>
                <w:sz w:val="1"/>
                <w:szCs w:val="1"/>
                <w:color w:val="auto"/>
              </w:rPr>
            </w:pPr>
          </w:p>
        </w:tc>
      </w:tr>
      <w:tr>
        <w:trPr>
          <w:trHeight w:val="210"/>
        </w:trPr>
        <w:tc>
          <w:tcPr>
            <w:tcW w:w="1160" w:type="dxa"/>
            <w:vAlign w:val="bottom"/>
          </w:tcPr>
          <w:p>
            <w:pPr>
              <w:spacing w:after="0"/>
              <w:rPr>
                <w:sz w:val="18"/>
                <w:szCs w:val="18"/>
                <w:color w:val="auto"/>
              </w:rPr>
            </w:pPr>
          </w:p>
        </w:tc>
        <w:tc>
          <w:tcPr>
            <w:tcW w:w="5120" w:type="dxa"/>
            <w:vAlign w:val="bottom"/>
            <w:gridSpan w:val="3"/>
            <w:shd w:val="clear" w:color="auto" w:fill="CCEEFF"/>
          </w:tcPr>
          <w:p>
            <w:pPr>
              <w:spacing w:after="0"/>
              <w:rPr>
                <w:sz w:val="20"/>
                <w:szCs w:val="20"/>
                <w:color w:val="auto"/>
              </w:rPr>
            </w:pPr>
            <w:r>
              <w:rPr>
                <w:rFonts w:ascii="Arial" w:cs="Arial" w:eastAsia="Arial" w:hAnsi="Arial"/>
                <w:sz w:val="18"/>
                <w:szCs w:val="18"/>
                <w:b w:val="1"/>
                <w:bCs w:val="1"/>
                <w:color w:val="auto"/>
              </w:rPr>
              <w:t>Financial assets:</w:t>
            </w:r>
          </w:p>
        </w:tc>
        <w:tc>
          <w:tcPr>
            <w:tcW w:w="420" w:type="dxa"/>
            <w:vAlign w:val="bottom"/>
            <w:shd w:val="clear" w:color="auto" w:fill="CCEEFF"/>
          </w:tcPr>
          <w:p>
            <w:pPr>
              <w:spacing w:after="0"/>
              <w:rPr>
                <w:sz w:val="18"/>
                <w:szCs w:val="18"/>
                <w:color w:val="auto"/>
              </w:rPr>
            </w:pPr>
          </w:p>
        </w:tc>
        <w:tc>
          <w:tcPr>
            <w:tcW w:w="160" w:type="dxa"/>
            <w:vAlign w:val="bottom"/>
            <w:tcBorders>
              <w:top w:val="single" w:sz="8" w:color="auto"/>
            </w:tcBorders>
            <w:shd w:val="clear" w:color="auto" w:fill="CCEEFF"/>
          </w:tcPr>
          <w:p>
            <w:pPr>
              <w:spacing w:after="0"/>
              <w:rPr>
                <w:sz w:val="18"/>
                <w:szCs w:val="18"/>
                <w:color w:val="auto"/>
              </w:rPr>
            </w:pPr>
          </w:p>
        </w:tc>
        <w:tc>
          <w:tcPr>
            <w:tcW w:w="620" w:type="dxa"/>
            <w:vAlign w:val="bottom"/>
            <w:tcBorders>
              <w:top w:val="single" w:sz="8" w:color="auto"/>
            </w:tcBorders>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18"/>
                <w:szCs w:val="18"/>
                <w:color w:val="auto"/>
              </w:rPr>
            </w:pPr>
          </w:p>
        </w:tc>
        <w:tc>
          <w:tcPr>
            <w:tcW w:w="66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18"/>
                <w:szCs w:val="18"/>
                <w:color w:val="auto"/>
              </w:rPr>
            </w:pPr>
          </w:p>
        </w:tc>
        <w:tc>
          <w:tcPr>
            <w:tcW w:w="66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58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57"/>
        </w:trPr>
        <w:tc>
          <w:tcPr>
            <w:tcW w:w="1160" w:type="dxa"/>
            <w:vAlign w:val="bottom"/>
          </w:tcPr>
          <w:p>
            <w:pPr>
              <w:spacing w:after="0"/>
              <w:rPr>
                <w:sz w:val="22"/>
                <w:szCs w:val="22"/>
                <w:color w:val="auto"/>
              </w:rPr>
            </w:pPr>
          </w:p>
        </w:tc>
        <w:tc>
          <w:tcPr>
            <w:tcW w:w="5120" w:type="dxa"/>
            <w:vAlign w:val="bottom"/>
            <w:gridSpan w:val="3"/>
          </w:tcPr>
          <w:p>
            <w:pPr>
              <w:spacing w:after="0" w:line="256" w:lineRule="exact"/>
              <w:rPr>
                <w:sz w:val="20"/>
                <w:szCs w:val="20"/>
                <w:color w:val="auto"/>
              </w:rPr>
            </w:pPr>
            <w:r>
              <w:rPr>
                <w:rFonts w:ascii="Arial" w:cs="Arial" w:eastAsia="Arial" w:hAnsi="Arial"/>
                <w:sz w:val="18"/>
                <w:szCs w:val="18"/>
                <w:color w:val="auto"/>
              </w:rPr>
              <w:t>Cash and cash equivalents</w:t>
            </w:r>
            <w:r>
              <w:rPr>
                <w:rFonts w:ascii="Arial" w:cs="Arial" w:eastAsia="Arial" w:hAnsi="Arial"/>
                <w:sz w:val="29"/>
                <w:szCs w:val="29"/>
                <w:color w:val="auto"/>
                <w:vertAlign w:val="superscript"/>
              </w:rPr>
              <w:t>(1)</w:t>
            </w:r>
          </w:p>
        </w:tc>
        <w:tc>
          <w:tcPr>
            <w:tcW w:w="58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620" w:type="dxa"/>
            <w:vAlign w:val="bottom"/>
          </w:tcPr>
          <w:p>
            <w:pPr>
              <w:jc w:val="right"/>
              <w:spacing w:after="0"/>
              <w:rPr>
                <w:sz w:val="20"/>
                <w:szCs w:val="20"/>
                <w:color w:val="auto"/>
              </w:rPr>
            </w:pPr>
            <w:r>
              <w:rPr>
                <w:rFonts w:ascii="Arial" w:cs="Arial" w:eastAsia="Arial" w:hAnsi="Arial"/>
                <w:sz w:val="18"/>
                <w:szCs w:val="18"/>
                <w:color w:val="auto"/>
                <w:w w:val="92"/>
              </w:rPr>
              <w:t>160,280</w:t>
            </w:r>
          </w:p>
        </w:tc>
        <w:tc>
          <w:tcPr>
            <w:tcW w:w="300" w:type="dxa"/>
            <w:vAlign w:val="bottom"/>
            <w:gridSpan w:val="2"/>
          </w:tcPr>
          <w:p>
            <w:pPr>
              <w:jc w:val="right"/>
              <w:ind w:right="40"/>
              <w:spacing w:after="0"/>
              <w:rPr>
                <w:sz w:val="20"/>
                <w:szCs w:val="20"/>
                <w:color w:val="auto"/>
              </w:rPr>
            </w:pPr>
            <w:r>
              <w:rPr>
                <w:rFonts w:ascii="Arial" w:cs="Arial" w:eastAsia="Arial" w:hAnsi="Arial"/>
                <w:sz w:val="18"/>
                <w:szCs w:val="18"/>
                <w:color w:val="auto"/>
              </w:rPr>
              <w:t>$</w:t>
            </w:r>
          </w:p>
        </w:tc>
        <w:tc>
          <w:tcPr>
            <w:tcW w:w="660" w:type="dxa"/>
            <w:vAlign w:val="bottom"/>
          </w:tcPr>
          <w:p>
            <w:pPr>
              <w:jc w:val="right"/>
              <w:spacing w:after="0"/>
              <w:rPr>
                <w:sz w:val="20"/>
                <w:szCs w:val="20"/>
                <w:color w:val="auto"/>
              </w:rPr>
            </w:pPr>
            <w:r>
              <w:rPr>
                <w:rFonts w:ascii="Arial" w:cs="Arial" w:eastAsia="Arial" w:hAnsi="Arial"/>
                <w:sz w:val="18"/>
                <w:szCs w:val="18"/>
                <w:color w:val="auto"/>
                <w:w w:val="95"/>
              </w:rPr>
              <w:t>158,240</w:t>
            </w:r>
          </w:p>
        </w:tc>
        <w:tc>
          <w:tcPr>
            <w:tcW w:w="280" w:type="dxa"/>
            <w:vAlign w:val="bottom"/>
            <w:gridSpan w:val="2"/>
          </w:tcPr>
          <w:p>
            <w:pPr>
              <w:jc w:val="right"/>
              <w:ind w:right="40"/>
              <w:spacing w:after="0"/>
              <w:rPr>
                <w:sz w:val="20"/>
                <w:szCs w:val="20"/>
                <w:color w:val="auto"/>
              </w:rPr>
            </w:pPr>
            <w:r>
              <w:rPr>
                <w:rFonts w:ascii="Arial" w:cs="Arial" w:eastAsia="Arial" w:hAnsi="Arial"/>
                <w:sz w:val="18"/>
                <w:szCs w:val="18"/>
                <w:color w:val="auto"/>
              </w:rPr>
              <w:t>$</w:t>
            </w:r>
          </w:p>
        </w:tc>
        <w:tc>
          <w:tcPr>
            <w:tcW w:w="660" w:type="dxa"/>
            <w:vAlign w:val="bottom"/>
          </w:tcPr>
          <w:p>
            <w:pPr>
              <w:jc w:val="right"/>
              <w:spacing w:after="0"/>
              <w:rPr>
                <w:sz w:val="20"/>
                <w:szCs w:val="20"/>
                <w:color w:val="auto"/>
              </w:rPr>
            </w:pPr>
            <w:r>
              <w:rPr>
                <w:rFonts w:ascii="Arial" w:cs="Arial" w:eastAsia="Arial" w:hAnsi="Arial"/>
                <w:sz w:val="18"/>
                <w:szCs w:val="18"/>
                <w:color w:val="auto"/>
              </w:rPr>
              <w:t>2,040</w:t>
            </w:r>
          </w:p>
        </w:tc>
        <w:tc>
          <w:tcPr>
            <w:tcW w:w="160" w:type="dxa"/>
            <w:vAlign w:val="bottom"/>
          </w:tcPr>
          <w:p>
            <w:pPr>
              <w:spacing w:after="0"/>
              <w:rPr>
                <w:sz w:val="22"/>
                <w:szCs w:val="22"/>
                <w:color w:val="auto"/>
              </w:rPr>
            </w:pPr>
          </w:p>
        </w:tc>
        <w:tc>
          <w:tcPr>
            <w:tcW w:w="1880" w:type="dxa"/>
            <w:vAlign w:val="bottom"/>
            <w:gridSpan w:val="3"/>
          </w:tcPr>
          <w:p>
            <w:pPr>
              <w:ind w:left="4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57"/>
        </w:trPr>
        <w:tc>
          <w:tcPr>
            <w:tcW w:w="1160" w:type="dxa"/>
            <w:vAlign w:val="bottom"/>
          </w:tcPr>
          <w:p>
            <w:pPr>
              <w:spacing w:after="0"/>
              <w:rPr>
                <w:sz w:val="22"/>
                <w:szCs w:val="22"/>
                <w:color w:val="auto"/>
              </w:rPr>
            </w:pPr>
          </w:p>
        </w:tc>
        <w:tc>
          <w:tcPr>
            <w:tcW w:w="5120" w:type="dxa"/>
            <w:vAlign w:val="bottom"/>
            <w:gridSpan w:val="3"/>
            <w:shd w:val="clear" w:color="auto" w:fill="CCEEFF"/>
          </w:tcPr>
          <w:p>
            <w:pPr>
              <w:spacing w:after="0" w:line="256" w:lineRule="exact"/>
              <w:rPr>
                <w:sz w:val="20"/>
                <w:szCs w:val="20"/>
                <w:color w:val="auto"/>
              </w:rPr>
            </w:pPr>
            <w:r>
              <w:rPr>
                <w:rFonts w:ascii="Arial" w:cs="Arial" w:eastAsia="Arial" w:hAnsi="Arial"/>
                <w:sz w:val="18"/>
                <w:szCs w:val="18"/>
                <w:color w:val="auto"/>
              </w:rPr>
              <w:t>Available-for-sale securities</w:t>
            </w:r>
            <w:r>
              <w:rPr>
                <w:rFonts w:ascii="Arial" w:cs="Arial" w:eastAsia="Arial" w:hAnsi="Arial"/>
                <w:sz w:val="29"/>
                <w:szCs w:val="29"/>
                <w:color w:val="auto"/>
                <w:vertAlign w:val="superscript"/>
              </w:rPr>
              <w:t>(2)(3)</w:t>
            </w:r>
          </w:p>
        </w:tc>
        <w:tc>
          <w:tcPr>
            <w:tcW w:w="42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2"/>
              </w:rPr>
              <w:t>111,967</w:t>
            </w:r>
          </w:p>
        </w:tc>
        <w:tc>
          <w:tcPr>
            <w:tcW w:w="18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101,907</w:t>
            </w:r>
          </w:p>
        </w:tc>
        <w:tc>
          <w:tcPr>
            <w:tcW w:w="16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10,060</w:t>
            </w:r>
          </w:p>
        </w:tc>
        <w:tc>
          <w:tcPr>
            <w:tcW w:w="160" w:type="dxa"/>
            <w:vAlign w:val="bottom"/>
            <w:shd w:val="clear" w:color="auto" w:fill="CCEEFF"/>
          </w:tcPr>
          <w:p>
            <w:pPr>
              <w:spacing w:after="0"/>
              <w:rPr>
                <w:sz w:val="22"/>
                <w:szCs w:val="22"/>
                <w:color w:val="auto"/>
              </w:rPr>
            </w:pPr>
          </w:p>
        </w:tc>
        <w:tc>
          <w:tcPr>
            <w:tcW w:w="740" w:type="dxa"/>
            <w:vAlign w:val="bottom"/>
            <w:gridSpan w:val="2"/>
            <w:shd w:val="clear" w:color="auto" w:fill="CCEEFF"/>
          </w:tcPr>
          <w:p>
            <w:pPr>
              <w:ind w:left="40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1160" w:type="dxa"/>
            <w:vAlign w:val="bottom"/>
          </w:tcPr>
          <w:p>
            <w:pPr>
              <w:spacing w:after="0"/>
              <w:rPr>
                <w:sz w:val="22"/>
                <w:szCs w:val="22"/>
                <w:color w:val="auto"/>
              </w:rPr>
            </w:pPr>
          </w:p>
        </w:tc>
        <w:tc>
          <w:tcPr>
            <w:tcW w:w="5120" w:type="dxa"/>
            <w:vAlign w:val="bottom"/>
            <w:gridSpan w:val="3"/>
          </w:tcPr>
          <w:p>
            <w:pPr>
              <w:spacing w:after="0" w:line="256" w:lineRule="exact"/>
              <w:rPr>
                <w:sz w:val="20"/>
                <w:szCs w:val="20"/>
                <w:color w:val="auto"/>
              </w:rPr>
            </w:pPr>
            <w:r>
              <w:rPr>
                <w:rFonts w:ascii="Arial" w:cs="Arial" w:eastAsia="Arial" w:hAnsi="Arial"/>
                <w:sz w:val="18"/>
                <w:szCs w:val="18"/>
                <w:color w:val="auto"/>
              </w:rPr>
              <w:t>Accounts receivable</w:t>
            </w:r>
            <w:r>
              <w:rPr>
                <w:rFonts w:ascii="Arial" w:cs="Arial" w:eastAsia="Arial" w:hAnsi="Arial"/>
                <w:sz w:val="29"/>
                <w:szCs w:val="29"/>
                <w:color w:val="auto"/>
                <w:vertAlign w:val="superscript"/>
              </w:rPr>
              <w:t>(1)</w:t>
            </w:r>
          </w:p>
        </w:tc>
        <w:tc>
          <w:tcPr>
            <w:tcW w:w="42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93,571</w:t>
            </w:r>
          </w:p>
        </w:tc>
        <w:tc>
          <w:tcPr>
            <w:tcW w:w="1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93,571</w:t>
            </w:r>
          </w:p>
        </w:tc>
        <w:tc>
          <w:tcPr>
            <w:tcW w:w="160" w:type="dxa"/>
            <w:vAlign w:val="bottom"/>
          </w:tcPr>
          <w:p>
            <w:pPr>
              <w:spacing w:after="0"/>
              <w:rPr>
                <w:sz w:val="22"/>
                <w:szCs w:val="22"/>
                <w:color w:val="auto"/>
              </w:rPr>
            </w:pPr>
          </w:p>
        </w:tc>
        <w:tc>
          <w:tcPr>
            <w:tcW w:w="1880" w:type="dxa"/>
            <w:vAlign w:val="bottom"/>
            <w:gridSpan w:val="3"/>
          </w:tcPr>
          <w:p>
            <w:pPr>
              <w:ind w:left="4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57"/>
        </w:trPr>
        <w:tc>
          <w:tcPr>
            <w:tcW w:w="1160" w:type="dxa"/>
            <w:vAlign w:val="bottom"/>
          </w:tcPr>
          <w:p>
            <w:pPr>
              <w:spacing w:after="0"/>
              <w:rPr>
                <w:sz w:val="22"/>
                <w:szCs w:val="22"/>
                <w:color w:val="auto"/>
              </w:rPr>
            </w:pPr>
          </w:p>
        </w:tc>
        <w:tc>
          <w:tcPr>
            <w:tcW w:w="5120" w:type="dxa"/>
            <w:vAlign w:val="bottom"/>
            <w:gridSpan w:val="3"/>
            <w:shd w:val="clear" w:color="auto" w:fill="CCEEFF"/>
          </w:tcPr>
          <w:p>
            <w:pPr>
              <w:spacing w:after="0" w:line="256" w:lineRule="exact"/>
              <w:rPr>
                <w:sz w:val="20"/>
                <w:szCs w:val="20"/>
                <w:color w:val="auto"/>
              </w:rPr>
            </w:pPr>
            <w:r>
              <w:rPr>
                <w:rFonts w:ascii="Arial" w:cs="Arial" w:eastAsia="Arial" w:hAnsi="Arial"/>
                <w:sz w:val="18"/>
                <w:szCs w:val="18"/>
                <w:color w:val="auto"/>
              </w:rPr>
              <w:t>Short-term investments</w:t>
            </w:r>
            <w:r>
              <w:rPr>
                <w:rFonts w:ascii="Arial" w:cs="Arial" w:eastAsia="Arial" w:hAnsi="Arial"/>
                <w:sz w:val="29"/>
                <w:szCs w:val="29"/>
                <w:color w:val="auto"/>
                <w:vertAlign w:val="superscript"/>
              </w:rPr>
              <w:t>(1)</w:t>
            </w:r>
          </w:p>
        </w:tc>
        <w:tc>
          <w:tcPr>
            <w:tcW w:w="42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3,313</w:t>
            </w:r>
          </w:p>
        </w:tc>
        <w:tc>
          <w:tcPr>
            <w:tcW w:w="18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3,313</w:t>
            </w:r>
          </w:p>
        </w:tc>
        <w:tc>
          <w:tcPr>
            <w:tcW w:w="160" w:type="dxa"/>
            <w:vAlign w:val="bottom"/>
            <w:shd w:val="clear" w:color="auto" w:fill="CCEEFF"/>
          </w:tcPr>
          <w:p>
            <w:pPr>
              <w:spacing w:after="0"/>
              <w:rPr>
                <w:sz w:val="22"/>
                <w:szCs w:val="22"/>
                <w:color w:val="auto"/>
              </w:rPr>
            </w:pPr>
          </w:p>
        </w:tc>
        <w:tc>
          <w:tcPr>
            <w:tcW w:w="740" w:type="dxa"/>
            <w:vAlign w:val="bottom"/>
            <w:gridSpan w:val="2"/>
            <w:shd w:val="clear" w:color="auto" w:fill="CCEEFF"/>
          </w:tcPr>
          <w:p>
            <w:pPr>
              <w:ind w:left="40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84"/>
        </w:trPr>
        <w:tc>
          <w:tcPr>
            <w:tcW w:w="1160" w:type="dxa"/>
            <w:vAlign w:val="bottom"/>
          </w:tcPr>
          <w:p>
            <w:pPr>
              <w:spacing w:after="0"/>
              <w:rPr>
                <w:sz w:val="24"/>
                <w:szCs w:val="24"/>
                <w:color w:val="auto"/>
              </w:rPr>
            </w:pPr>
          </w:p>
        </w:tc>
        <w:tc>
          <w:tcPr>
            <w:tcW w:w="5120" w:type="dxa"/>
            <w:vAlign w:val="bottom"/>
            <w:gridSpan w:val="3"/>
          </w:tcPr>
          <w:p>
            <w:pPr>
              <w:spacing w:after="0" w:line="284" w:lineRule="exact"/>
              <w:rPr>
                <w:sz w:val="20"/>
                <w:szCs w:val="20"/>
                <w:color w:val="auto"/>
              </w:rPr>
            </w:pPr>
            <w:r>
              <w:rPr>
                <w:rFonts w:ascii="Arial" w:cs="Arial" w:eastAsia="Arial" w:hAnsi="Arial"/>
                <w:sz w:val="18"/>
                <w:szCs w:val="18"/>
                <w:color w:val="auto"/>
              </w:rPr>
              <w:t>Fair value of defined benefit pension plan assets</w:t>
            </w:r>
            <w:r>
              <w:rPr>
                <w:rFonts w:ascii="Arial" w:cs="Arial" w:eastAsia="Arial" w:hAnsi="Arial"/>
                <w:sz w:val="29"/>
                <w:szCs w:val="29"/>
                <w:color w:val="auto"/>
                <w:vertAlign w:val="superscript"/>
              </w:rPr>
              <w:t>(4)</w:t>
            </w:r>
          </w:p>
        </w:tc>
        <w:tc>
          <w:tcPr>
            <w:tcW w:w="420" w:type="dxa"/>
            <w:vAlign w:val="bottom"/>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1,635</w:t>
            </w:r>
          </w:p>
        </w:tc>
        <w:tc>
          <w:tcPr>
            <w:tcW w:w="18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1,635</w:t>
            </w:r>
          </w:p>
        </w:tc>
        <w:tc>
          <w:tcPr>
            <w:tcW w:w="16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4"/>
                <w:szCs w:val="24"/>
                <w:color w:val="auto"/>
              </w:rPr>
            </w:pPr>
          </w:p>
        </w:tc>
        <w:tc>
          <w:tcPr>
            <w:tcW w:w="580" w:type="dxa"/>
            <w:vAlign w:val="bottom"/>
            <w:tcBorders>
              <w:bottom w:val="single" w:sz="8" w:color="auto"/>
            </w:tcBorders>
          </w:tcPr>
          <w:p>
            <w:pPr>
              <w:ind w:left="400"/>
              <w:spacing w:after="0"/>
              <w:rPr>
                <w:sz w:val="20"/>
                <w:szCs w:val="20"/>
                <w:color w:val="auto"/>
              </w:rPr>
            </w:pPr>
            <w:r>
              <w:rPr>
                <w:rFonts w:ascii="Arial" w:cs="Arial" w:eastAsia="Arial" w:hAnsi="Arial"/>
                <w:sz w:val="18"/>
                <w:szCs w:val="18"/>
                <w:color w:val="auto"/>
                <w:w w:val="88"/>
              </w:rPr>
              <w:t>—</w:t>
            </w:r>
          </w:p>
        </w:tc>
        <w:tc>
          <w:tcPr>
            <w:tcW w:w="1300" w:type="dxa"/>
            <w:vAlign w:val="bottom"/>
            <w:gridSpan w:val="2"/>
          </w:tcPr>
          <w:p>
            <w:pPr>
              <w:spacing w:after="0"/>
              <w:rPr>
                <w:sz w:val="24"/>
                <w:szCs w:val="24"/>
                <w:color w:val="auto"/>
              </w:rPr>
            </w:pPr>
          </w:p>
        </w:tc>
        <w:tc>
          <w:tcPr>
            <w:tcW w:w="0" w:type="dxa"/>
            <w:vAlign w:val="bottom"/>
          </w:tcPr>
          <w:p>
            <w:pPr>
              <w:spacing w:after="0"/>
              <w:rPr>
                <w:sz w:val="1"/>
                <w:szCs w:val="1"/>
                <w:color w:val="auto"/>
              </w:rPr>
            </w:pPr>
          </w:p>
        </w:tc>
      </w:tr>
      <w:tr>
        <w:trPr>
          <w:trHeight w:val="210"/>
        </w:trPr>
        <w:tc>
          <w:tcPr>
            <w:tcW w:w="1160" w:type="dxa"/>
            <w:vAlign w:val="bottom"/>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3860" w:type="dxa"/>
            <w:vAlign w:val="bottom"/>
            <w:shd w:val="clear" w:color="auto" w:fill="CCEEFF"/>
          </w:tcPr>
          <w:p>
            <w:pPr>
              <w:spacing w:after="0"/>
              <w:rPr>
                <w:sz w:val="18"/>
                <w:szCs w:val="18"/>
                <w:color w:val="auto"/>
              </w:rPr>
            </w:pP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2"/>
              </w:rPr>
              <w:t>370,766</w:t>
            </w:r>
          </w:p>
        </w:tc>
        <w:tc>
          <w:tcPr>
            <w:tcW w:w="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261,782</w:t>
            </w:r>
          </w:p>
        </w:tc>
        <w:tc>
          <w:tcPr>
            <w:tcW w:w="2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8"/>
              </w:rPr>
              <w:t>108,984</w:t>
            </w:r>
          </w:p>
        </w:tc>
        <w:tc>
          <w:tcPr>
            <w:tcW w:w="160" w:type="dxa"/>
            <w:vAlign w:val="bottom"/>
            <w:shd w:val="clear" w:color="auto" w:fill="CCEEFF"/>
          </w:tcPr>
          <w:p>
            <w:pPr>
              <w:spacing w:after="0"/>
              <w:rPr>
                <w:sz w:val="18"/>
                <w:szCs w:val="18"/>
                <w:color w:val="auto"/>
              </w:rPr>
            </w:pPr>
          </w:p>
        </w:tc>
        <w:tc>
          <w:tcPr>
            <w:tcW w:w="740" w:type="dxa"/>
            <w:vAlign w:val="bottom"/>
            <w:gridSpan w:val="2"/>
            <w:shd w:val="clear" w:color="auto" w:fill="CCEEFF"/>
          </w:tcPr>
          <w:p>
            <w:pPr>
              <w:ind w:left="40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6280" w:type="dxa"/>
            <w:vAlign w:val="bottom"/>
            <w:gridSpan w:val="4"/>
            <w:vMerge w:val="restart"/>
          </w:tcPr>
          <w:p>
            <w:pPr>
              <w:ind w:left="1140"/>
              <w:spacing w:after="0"/>
              <w:rPr>
                <w:sz w:val="20"/>
                <w:szCs w:val="20"/>
                <w:color w:val="auto"/>
              </w:rPr>
            </w:pPr>
            <w:r>
              <w:rPr>
                <w:rFonts w:ascii="Arial" w:cs="Arial" w:eastAsia="Arial" w:hAnsi="Arial"/>
                <w:sz w:val="18"/>
                <w:szCs w:val="18"/>
                <w:b w:val="1"/>
                <w:bCs w:val="1"/>
                <w:color w:val="auto"/>
              </w:rPr>
              <w:t>Financial liabilities:</w:t>
            </w:r>
          </w:p>
        </w:tc>
        <w:tc>
          <w:tcPr>
            <w:tcW w:w="42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1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6280" w:type="dxa"/>
            <w:vAlign w:val="bottom"/>
            <w:gridSpan w:val="4"/>
            <w:vMerge w:val="continue"/>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1"/>
        </w:trPr>
        <w:tc>
          <w:tcPr>
            <w:tcW w:w="6280" w:type="dxa"/>
            <w:vAlign w:val="bottom"/>
            <w:gridSpan w:val="4"/>
            <w:vMerge w:val="continue"/>
          </w:tcPr>
          <w:p>
            <w:pPr>
              <w:spacing w:after="0"/>
              <w:rPr>
                <w:sz w:val="24"/>
                <w:szCs w:val="24"/>
                <w:color w:val="auto"/>
              </w:rPr>
            </w:pPr>
          </w:p>
        </w:tc>
        <w:tc>
          <w:tcPr>
            <w:tcW w:w="4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9"/>
        </w:trPr>
        <w:tc>
          <w:tcPr>
            <w:tcW w:w="1160" w:type="dxa"/>
            <w:vAlign w:val="bottom"/>
          </w:tcPr>
          <w:p>
            <w:pPr>
              <w:spacing w:after="0"/>
              <w:rPr>
                <w:sz w:val="22"/>
                <w:szCs w:val="22"/>
                <w:color w:val="auto"/>
              </w:rPr>
            </w:pPr>
          </w:p>
        </w:tc>
        <w:tc>
          <w:tcPr>
            <w:tcW w:w="5120" w:type="dxa"/>
            <w:vAlign w:val="bottom"/>
            <w:gridSpan w:val="3"/>
            <w:shd w:val="clear" w:color="auto" w:fill="CCEEFF"/>
          </w:tcPr>
          <w:p>
            <w:pPr>
              <w:spacing w:after="0" w:line="259" w:lineRule="exact"/>
              <w:rPr>
                <w:sz w:val="20"/>
                <w:szCs w:val="20"/>
                <w:color w:val="auto"/>
              </w:rPr>
            </w:pPr>
            <w:r>
              <w:rPr>
                <w:rFonts w:ascii="Arial" w:cs="Arial" w:eastAsia="Arial" w:hAnsi="Arial"/>
                <w:sz w:val="18"/>
                <w:szCs w:val="18"/>
                <w:color w:val="auto"/>
              </w:rPr>
              <w:t>Bank debt</w:t>
            </w:r>
            <w:r>
              <w:rPr>
                <w:rFonts w:ascii="Arial" w:cs="Arial" w:eastAsia="Arial" w:hAnsi="Arial"/>
                <w:sz w:val="29"/>
                <w:szCs w:val="29"/>
                <w:color w:val="auto"/>
                <w:vertAlign w:val="superscript"/>
              </w:rPr>
              <w:t>(5)</w:t>
            </w: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2"/>
              </w:rPr>
              <w:t>716,666</w:t>
            </w:r>
          </w:p>
        </w:tc>
        <w:tc>
          <w:tcPr>
            <w:tcW w:w="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8"/>
              </w:rPr>
              <w:t>716,666</w:t>
            </w:r>
          </w:p>
        </w:tc>
        <w:tc>
          <w:tcPr>
            <w:tcW w:w="160" w:type="dxa"/>
            <w:vAlign w:val="bottom"/>
            <w:shd w:val="clear" w:color="auto" w:fill="CCEEFF"/>
          </w:tcPr>
          <w:p>
            <w:pPr>
              <w:spacing w:after="0"/>
              <w:rPr>
                <w:sz w:val="22"/>
                <w:szCs w:val="22"/>
                <w:color w:val="auto"/>
              </w:rPr>
            </w:pPr>
          </w:p>
        </w:tc>
        <w:tc>
          <w:tcPr>
            <w:tcW w:w="740" w:type="dxa"/>
            <w:vAlign w:val="bottom"/>
            <w:gridSpan w:val="2"/>
            <w:shd w:val="clear" w:color="auto" w:fill="CCEEFF"/>
          </w:tcPr>
          <w:p>
            <w:pPr>
              <w:ind w:left="40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1160" w:type="dxa"/>
            <w:vAlign w:val="bottom"/>
          </w:tcPr>
          <w:p>
            <w:pPr>
              <w:spacing w:after="0"/>
              <w:rPr>
                <w:sz w:val="22"/>
                <w:szCs w:val="22"/>
                <w:color w:val="auto"/>
              </w:rPr>
            </w:pPr>
          </w:p>
        </w:tc>
        <w:tc>
          <w:tcPr>
            <w:tcW w:w="5120" w:type="dxa"/>
            <w:vAlign w:val="bottom"/>
            <w:gridSpan w:val="3"/>
          </w:tcPr>
          <w:p>
            <w:pPr>
              <w:spacing w:after="0" w:line="256" w:lineRule="exact"/>
              <w:rPr>
                <w:sz w:val="20"/>
                <w:szCs w:val="20"/>
                <w:color w:val="auto"/>
              </w:rPr>
            </w:pPr>
            <w:r>
              <w:rPr>
                <w:rFonts w:ascii="Arial" w:cs="Arial" w:eastAsia="Arial" w:hAnsi="Arial"/>
                <w:sz w:val="18"/>
                <w:szCs w:val="18"/>
                <w:color w:val="auto"/>
              </w:rPr>
              <w:t>Accounts payable and accrued liabilities</w:t>
            </w:r>
            <w:r>
              <w:rPr>
                <w:rFonts w:ascii="Arial" w:cs="Arial" w:eastAsia="Arial" w:hAnsi="Arial"/>
                <w:sz w:val="29"/>
                <w:szCs w:val="29"/>
                <w:color w:val="auto"/>
                <w:vertAlign w:val="superscript"/>
              </w:rPr>
              <w:t>(1)</w:t>
            </w:r>
          </w:p>
        </w:tc>
        <w:tc>
          <w:tcPr>
            <w:tcW w:w="42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w w:val="92"/>
              </w:rPr>
              <w:t>136,677</w:t>
            </w:r>
          </w:p>
        </w:tc>
        <w:tc>
          <w:tcPr>
            <w:tcW w:w="1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w w:val="98"/>
              </w:rPr>
              <w:t>136,677</w:t>
            </w:r>
          </w:p>
        </w:tc>
        <w:tc>
          <w:tcPr>
            <w:tcW w:w="160" w:type="dxa"/>
            <w:vAlign w:val="bottom"/>
          </w:tcPr>
          <w:p>
            <w:pPr>
              <w:spacing w:after="0"/>
              <w:rPr>
                <w:sz w:val="22"/>
                <w:szCs w:val="22"/>
                <w:color w:val="auto"/>
              </w:rPr>
            </w:pPr>
          </w:p>
        </w:tc>
        <w:tc>
          <w:tcPr>
            <w:tcW w:w="1880" w:type="dxa"/>
            <w:vAlign w:val="bottom"/>
            <w:gridSpan w:val="3"/>
          </w:tcPr>
          <w:p>
            <w:pPr>
              <w:ind w:left="4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57"/>
        </w:trPr>
        <w:tc>
          <w:tcPr>
            <w:tcW w:w="1160" w:type="dxa"/>
            <w:vAlign w:val="bottom"/>
          </w:tcPr>
          <w:p>
            <w:pPr>
              <w:spacing w:after="0"/>
              <w:rPr>
                <w:sz w:val="22"/>
                <w:szCs w:val="22"/>
                <w:color w:val="auto"/>
              </w:rPr>
            </w:pPr>
          </w:p>
        </w:tc>
        <w:tc>
          <w:tcPr>
            <w:tcW w:w="5120" w:type="dxa"/>
            <w:vAlign w:val="bottom"/>
            <w:gridSpan w:val="3"/>
            <w:shd w:val="clear" w:color="auto" w:fill="CCEEFF"/>
          </w:tcPr>
          <w:p>
            <w:pPr>
              <w:spacing w:after="0" w:line="256" w:lineRule="exact"/>
              <w:rPr>
                <w:sz w:val="20"/>
                <w:szCs w:val="20"/>
                <w:color w:val="auto"/>
              </w:rPr>
            </w:pPr>
            <w:r>
              <w:rPr>
                <w:rFonts w:ascii="Arial" w:cs="Arial" w:eastAsia="Arial" w:hAnsi="Arial"/>
                <w:sz w:val="18"/>
                <w:szCs w:val="18"/>
                <w:color w:val="auto"/>
              </w:rPr>
              <w:t>Dividends Payable</w:t>
            </w:r>
            <w:r>
              <w:rPr>
                <w:rFonts w:ascii="Arial" w:cs="Arial" w:eastAsia="Arial" w:hAnsi="Arial"/>
                <w:sz w:val="29"/>
                <w:szCs w:val="29"/>
                <w:color w:val="auto"/>
                <w:vertAlign w:val="superscript"/>
              </w:rPr>
              <w:t>(1)</w:t>
            </w:r>
          </w:p>
        </w:tc>
        <w:tc>
          <w:tcPr>
            <w:tcW w:w="42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28,199</w:t>
            </w:r>
          </w:p>
        </w:tc>
        <w:tc>
          <w:tcPr>
            <w:tcW w:w="18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28,199</w:t>
            </w:r>
          </w:p>
        </w:tc>
        <w:tc>
          <w:tcPr>
            <w:tcW w:w="16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22"/>
                <w:szCs w:val="22"/>
                <w:color w:val="auto"/>
              </w:rPr>
            </w:pPr>
          </w:p>
        </w:tc>
        <w:tc>
          <w:tcPr>
            <w:tcW w:w="740" w:type="dxa"/>
            <w:vAlign w:val="bottom"/>
            <w:gridSpan w:val="2"/>
            <w:shd w:val="clear" w:color="auto" w:fill="CCEEFF"/>
          </w:tcPr>
          <w:p>
            <w:pPr>
              <w:ind w:left="40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84"/>
        </w:trPr>
        <w:tc>
          <w:tcPr>
            <w:tcW w:w="1160" w:type="dxa"/>
            <w:vAlign w:val="bottom"/>
          </w:tcPr>
          <w:p>
            <w:pPr>
              <w:spacing w:after="0"/>
              <w:rPr>
                <w:sz w:val="24"/>
                <w:szCs w:val="24"/>
                <w:color w:val="auto"/>
              </w:rPr>
            </w:pPr>
          </w:p>
        </w:tc>
        <w:tc>
          <w:tcPr>
            <w:tcW w:w="5120" w:type="dxa"/>
            <w:vAlign w:val="bottom"/>
            <w:gridSpan w:val="3"/>
          </w:tcPr>
          <w:p>
            <w:pPr>
              <w:spacing w:after="0" w:line="284" w:lineRule="exact"/>
              <w:rPr>
                <w:sz w:val="20"/>
                <w:szCs w:val="20"/>
                <w:color w:val="auto"/>
              </w:rPr>
            </w:pPr>
            <w:r>
              <w:rPr>
                <w:rFonts w:ascii="Arial" w:cs="Arial" w:eastAsia="Arial" w:hAnsi="Arial"/>
                <w:sz w:val="18"/>
                <w:szCs w:val="18"/>
                <w:color w:val="auto"/>
              </w:rPr>
              <w:t>Derivative liabilities</w:t>
            </w:r>
            <w:r>
              <w:rPr>
                <w:rFonts w:ascii="Arial" w:cs="Arial" w:eastAsia="Arial" w:hAnsi="Arial"/>
                <w:sz w:val="29"/>
                <w:szCs w:val="29"/>
                <w:color w:val="auto"/>
                <w:vertAlign w:val="superscript"/>
              </w:rPr>
              <w:t>(3)</w:t>
            </w:r>
          </w:p>
        </w:tc>
        <w:tc>
          <w:tcPr>
            <w:tcW w:w="420" w:type="dxa"/>
            <w:vAlign w:val="bottom"/>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662</w:t>
            </w:r>
          </w:p>
        </w:tc>
        <w:tc>
          <w:tcPr>
            <w:tcW w:w="18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662</w:t>
            </w:r>
          </w:p>
        </w:tc>
        <w:tc>
          <w:tcPr>
            <w:tcW w:w="160" w:type="dxa"/>
            <w:vAlign w:val="bottom"/>
          </w:tcPr>
          <w:p>
            <w:pPr>
              <w:spacing w:after="0"/>
              <w:rPr>
                <w:sz w:val="24"/>
                <w:szCs w:val="24"/>
                <w:color w:val="auto"/>
              </w:rPr>
            </w:pPr>
          </w:p>
        </w:tc>
        <w:tc>
          <w:tcPr>
            <w:tcW w:w="580" w:type="dxa"/>
            <w:vAlign w:val="bottom"/>
            <w:tcBorders>
              <w:bottom w:val="single" w:sz="8" w:color="auto"/>
            </w:tcBorders>
          </w:tcPr>
          <w:p>
            <w:pPr>
              <w:ind w:left="400"/>
              <w:spacing w:after="0"/>
              <w:rPr>
                <w:sz w:val="20"/>
                <w:szCs w:val="20"/>
                <w:color w:val="auto"/>
              </w:rPr>
            </w:pPr>
            <w:r>
              <w:rPr>
                <w:rFonts w:ascii="Arial" w:cs="Arial" w:eastAsia="Arial" w:hAnsi="Arial"/>
                <w:sz w:val="18"/>
                <w:szCs w:val="18"/>
                <w:color w:val="auto"/>
                <w:w w:val="88"/>
              </w:rPr>
              <w:t>—</w:t>
            </w:r>
          </w:p>
        </w:tc>
        <w:tc>
          <w:tcPr>
            <w:tcW w:w="1300" w:type="dxa"/>
            <w:vAlign w:val="bottom"/>
            <w:gridSpan w:val="2"/>
          </w:tcPr>
          <w:p>
            <w:pPr>
              <w:spacing w:after="0"/>
              <w:rPr>
                <w:sz w:val="24"/>
                <w:szCs w:val="24"/>
                <w:color w:val="auto"/>
              </w:rPr>
            </w:pPr>
          </w:p>
        </w:tc>
        <w:tc>
          <w:tcPr>
            <w:tcW w:w="0" w:type="dxa"/>
            <w:vAlign w:val="bottom"/>
          </w:tcPr>
          <w:p>
            <w:pPr>
              <w:spacing w:after="0"/>
              <w:rPr>
                <w:sz w:val="1"/>
                <w:szCs w:val="1"/>
                <w:color w:val="auto"/>
              </w:rPr>
            </w:pPr>
          </w:p>
        </w:tc>
      </w:tr>
      <w:tr>
        <w:trPr>
          <w:trHeight w:val="210"/>
        </w:trPr>
        <w:tc>
          <w:tcPr>
            <w:tcW w:w="1160" w:type="dxa"/>
            <w:vAlign w:val="bottom"/>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3860" w:type="dxa"/>
            <w:vAlign w:val="bottom"/>
            <w:shd w:val="clear" w:color="auto" w:fill="CCEEFF"/>
          </w:tcPr>
          <w:p>
            <w:pPr>
              <w:spacing w:after="0"/>
              <w:rPr>
                <w:sz w:val="18"/>
                <w:szCs w:val="18"/>
                <w:color w:val="auto"/>
              </w:rPr>
            </w:pP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2"/>
              </w:rPr>
              <w:t>882,204</w:t>
            </w:r>
          </w:p>
        </w:tc>
        <w:tc>
          <w:tcPr>
            <w:tcW w:w="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28,199</w:t>
            </w:r>
          </w:p>
        </w:tc>
        <w:tc>
          <w:tcPr>
            <w:tcW w:w="2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8"/>
              </w:rPr>
              <w:t>854,005</w:t>
            </w:r>
          </w:p>
        </w:tc>
        <w:tc>
          <w:tcPr>
            <w:tcW w:w="160" w:type="dxa"/>
            <w:vAlign w:val="bottom"/>
            <w:shd w:val="clear" w:color="auto" w:fill="CCEEFF"/>
          </w:tcPr>
          <w:p>
            <w:pPr>
              <w:spacing w:after="0"/>
              <w:rPr>
                <w:sz w:val="18"/>
                <w:szCs w:val="18"/>
                <w:color w:val="auto"/>
              </w:rPr>
            </w:pPr>
          </w:p>
        </w:tc>
        <w:tc>
          <w:tcPr>
            <w:tcW w:w="740" w:type="dxa"/>
            <w:vAlign w:val="bottom"/>
            <w:gridSpan w:val="2"/>
            <w:shd w:val="clear" w:color="auto" w:fill="CCEEFF"/>
          </w:tcPr>
          <w:p>
            <w:pPr>
              <w:ind w:left="400"/>
              <w:spacing w:after="0"/>
              <w:rPr>
                <w:sz w:val="20"/>
                <w:szCs w:val="20"/>
                <w:color w:val="auto"/>
              </w:rPr>
            </w:pPr>
            <w:r>
              <w:rPr>
                <w:rFonts w:ascii="Arial" w:cs="Arial" w:eastAsia="Arial" w:hAnsi="Arial"/>
                <w:sz w:val="18"/>
                <w:szCs w:val="18"/>
                <w:color w:val="auto"/>
              </w:rPr>
              <w:t>—</w:t>
            </w:r>
          </w:p>
        </w:tc>
        <w:tc>
          <w:tcPr>
            <w:tcW w:w="1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1500" w:type="dxa"/>
            <w:vAlign w:val="bottom"/>
            <w:gridSpan w:val="2"/>
          </w:tcPr>
          <w:p>
            <w:pPr>
              <w:spacing w:after="0"/>
              <w:rPr>
                <w:sz w:val="2"/>
                <w:szCs w:val="2"/>
                <w:color w:val="auto"/>
              </w:rPr>
            </w:pPr>
          </w:p>
        </w:tc>
        <w:tc>
          <w:tcPr>
            <w:tcW w:w="920" w:type="dxa"/>
            <w:vAlign w:val="bottom"/>
          </w:tcPr>
          <w:p>
            <w:pPr>
              <w:spacing w:after="0"/>
              <w:rPr>
                <w:sz w:val="2"/>
                <w:szCs w:val="2"/>
                <w:color w:val="auto"/>
              </w:rPr>
            </w:pPr>
          </w:p>
        </w:tc>
        <w:tc>
          <w:tcPr>
            <w:tcW w:w="3860" w:type="dxa"/>
            <w:vAlign w:val="bottom"/>
          </w:tcPr>
          <w:p>
            <w:pPr>
              <w:spacing w:after="0"/>
              <w:rPr>
                <w:sz w:val="2"/>
                <w:szCs w:val="2"/>
                <w:color w:val="auto"/>
              </w:rPr>
            </w:pPr>
          </w:p>
        </w:tc>
        <w:tc>
          <w:tcPr>
            <w:tcW w:w="42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1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1500" w:type="dxa"/>
            <w:vAlign w:val="bottom"/>
            <w:gridSpan w:val="2"/>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c>
          <w:tcPr>
            <w:tcW w:w="386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89"/>
        </w:trPr>
        <w:tc>
          <w:tcPr>
            <w:tcW w:w="1160" w:type="dxa"/>
            <w:vAlign w:val="bottom"/>
          </w:tcPr>
          <w:p>
            <w:pPr>
              <w:spacing w:after="0"/>
              <w:rPr>
                <w:sz w:val="7"/>
                <w:szCs w:val="7"/>
                <w:color w:val="auto"/>
              </w:rPr>
            </w:pPr>
          </w:p>
        </w:tc>
        <w:tc>
          <w:tcPr>
            <w:tcW w:w="340" w:type="dxa"/>
            <w:vAlign w:val="bottom"/>
            <w:tcBorders>
              <w:bottom w:val="single" w:sz="8" w:color="auto"/>
            </w:tcBorders>
          </w:tcPr>
          <w:p>
            <w:pPr>
              <w:spacing w:after="0"/>
              <w:rPr>
                <w:sz w:val="7"/>
                <w:szCs w:val="7"/>
                <w:color w:val="auto"/>
              </w:rPr>
            </w:pPr>
          </w:p>
        </w:tc>
        <w:tc>
          <w:tcPr>
            <w:tcW w:w="920" w:type="dxa"/>
            <w:vAlign w:val="bottom"/>
            <w:tcBorders>
              <w:bottom w:val="single" w:sz="8" w:color="auto"/>
            </w:tcBorders>
          </w:tcPr>
          <w:p>
            <w:pPr>
              <w:spacing w:after="0"/>
              <w:rPr>
                <w:sz w:val="7"/>
                <w:szCs w:val="7"/>
                <w:color w:val="auto"/>
              </w:rPr>
            </w:pPr>
          </w:p>
        </w:tc>
        <w:tc>
          <w:tcPr>
            <w:tcW w:w="3860" w:type="dxa"/>
            <w:vAlign w:val="bottom"/>
          </w:tcPr>
          <w:p>
            <w:pPr>
              <w:spacing w:after="0"/>
              <w:rPr>
                <w:sz w:val="7"/>
                <w:szCs w:val="7"/>
                <w:color w:val="auto"/>
              </w:rPr>
            </w:pPr>
          </w:p>
        </w:tc>
        <w:tc>
          <w:tcPr>
            <w:tcW w:w="420" w:type="dxa"/>
            <w:vAlign w:val="bottom"/>
          </w:tcPr>
          <w:p>
            <w:pPr>
              <w:spacing w:after="0"/>
              <w:rPr>
                <w:sz w:val="7"/>
                <w:szCs w:val="7"/>
                <w:color w:val="auto"/>
              </w:rPr>
            </w:pPr>
          </w:p>
        </w:tc>
        <w:tc>
          <w:tcPr>
            <w:tcW w:w="160" w:type="dxa"/>
            <w:vAlign w:val="bottom"/>
          </w:tcPr>
          <w:p>
            <w:pPr>
              <w:spacing w:after="0"/>
              <w:rPr>
                <w:sz w:val="7"/>
                <w:szCs w:val="7"/>
                <w:color w:val="auto"/>
              </w:rPr>
            </w:pPr>
          </w:p>
        </w:tc>
        <w:tc>
          <w:tcPr>
            <w:tcW w:w="620" w:type="dxa"/>
            <w:vAlign w:val="bottom"/>
          </w:tcPr>
          <w:p>
            <w:pPr>
              <w:spacing w:after="0"/>
              <w:rPr>
                <w:sz w:val="7"/>
                <w:szCs w:val="7"/>
                <w:color w:val="auto"/>
              </w:rPr>
            </w:pPr>
          </w:p>
        </w:tc>
        <w:tc>
          <w:tcPr>
            <w:tcW w:w="180" w:type="dxa"/>
            <w:vAlign w:val="bottom"/>
          </w:tcPr>
          <w:p>
            <w:pPr>
              <w:spacing w:after="0"/>
              <w:rPr>
                <w:sz w:val="7"/>
                <w:szCs w:val="7"/>
                <w:color w:val="auto"/>
              </w:rPr>
            </w:pPr>
          </w:p>
        </w:tc>
        <w:tc>
          <w:tcPr>
            <w:tcW w:w="120" w:type="dxa"/>
            <w:vAlign w:val="bottom"/>
          </w:tcPr>
          <w:p>
            <w:pPr>
              <w:spacing w:after="0"/>
              <w:rPr>
                <w:sz w:val="7"/>
                <w:szCs w:val="7"/>
                <w:color w:val="auto"/>
              </w:rPr>
            </w:pPr>
          </w:p>
        </w:tc>
        <w:tc>
          <w:tcPr>
            <w:tcW w:w="660" w:type="dxa"/>
            <w:vAlign w:val="bottom"/>
          </w:tcPr>
          <w:p>
            <w:pPr>
              <w:spacing w:after="0"/>
              <w:rPr>
                <w:sz w:val="7"/>
                <w:szCs w:val="7"/>
                <w:color w:val="auto"/>
              </w:rPr>
            </w:pPr>
          </w:p>
        </w:tc>
        <w:tc>
          <w:tcPr>
            <w:tcW w:w="160" w:type="dxa"/>
            <w:vAlign w:val="bottom"/>
          </w:tcPr>
          <w:p>
            <w:pPr>
              <w:spacing w:after="0"/>
              <w:rPr>
                <w:sz w:val="7"/>
                <w:szCs w:val="7"/>
                <w:color w:val="auto"/>
              </w:rPr>
            </w:pPr>
          </w:p>
        </w:tc>
        <w:tc>
          <w:tcPr>
            <w:tcW w:w="120" w:type="dxa"/>
            <w:vAlign w:val="bottom"/>
          </w:tcPr>
          <w:p>
            <w:pPr>
              <w:spacing w:after="0"/>
              <w:rPr>
                <w:sz w:val="7"/>
                <w:szCs w:val="7"/>
                <w:color w:val="auto"/>
              </w:rPr>
            </w:pPr>
          </w:p>
        </w:tc>
        <w:tc>
          <w:tcPr>
            <w:tcW w:w="660" w:type="dxa"/>
            <w:vAlign w:val="bottom"/>
          </w:tcPr>
          <w:p>
            <w:pPr>
              <w:spacing w:after="0"/>
              <w:rPr>
                <w:sz w:val="7"/>
                <w:szCs w:val="7"/>
                <w:color w:val="auto"/>
              </w:rPr>
            </w:pPr>
          </w:p>
        </w:tc>
        <w:tc>
          <w:tcPr>
            <w:tcW w:w="160" w:type="dxa"/>
            <w:vAlign w:val="bottom"/>
          </w:tcPr>
          <w:p>
            <w:pPr>
              <w:spacing w:after="0"/>
              <w:rPr>
                <w:sz w:val="7"/>
                <w:szCs w:val="7"/>
                <w:color w:val="auto"/>
              </w:rPr>
            </w:pPr>
          </w:p>
        </w:tc>
        <w:tc>
          <w:tcPr>
            <w:tcW w:w="580" w:type="dxa"/>
            <w:vAlign w:val="bottom"/>
          </w:tcPr>
          <w:p>
            <w:pPr>
              <w:spacing w:after="0"/>
              <w:rPr>
                <w:sz w:val="7"/>
                <w:szCs w:val="7"/>
                <w:color w:val="auto"/>
              </w:rPr>
            </w:pPr>
          </w:p>
        </w:tc>
        <w:tc>
          <w:tcPr>
            <w:tcW w:w="160" w:type="dxa"/>
            <w:vAlign w:val="bottom"/>
          </w:tcPr>
          <w:p>
            <w:pPr>
              <w:spacing w:after="0"/>
              <w:rPr>
                <w:sz w:val="7"/>
                <w:szCs w:val="7"/>
                <w:color w:val="auto"/>
              </w:rPr>
            </w:pPr>
          </w:p>
        </w:tc>
        <w:tc>
          <w:tcPr>
            <w:tcW w:w="11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371"/>
        </w:trPr>
        <w:tc>
          <w:tcPr>
            <w:tcW w:w="1500" w:type="dxa"/>
            <w:vAlign w:val="bottom"/>
            <w:gridSpan w:val="2"/>
          </w:tcPr>
          <w:p>
            <w:pPr>
              <w:ind w:left="1140"/>
              <w:spacing w:after="0"/>
              <w:rPr>
                <w:sz w:val="20"/>
                <w:szCs w:val="20"/>
                <w:color w:val="auto"/>
              </w:rPr>
            </w:pPr>
            <w:r>
              <w:rPr>
                <w:rFonts w:ascii="Arial" w:cs="Arial" w:eastAsia="Arial" w:hAnsi="Arial"/>
                <w:sz w:val="14"/>
                <w:szCs w:val="14"/>
                <w:color w:val="auto"/>
              </w:rPr>
              <w:t>(1)</w:t>
            </w:r>
          </w:p>
        </w:tc>
        <w:tc>
          <w:tcPr>
            <w:tcW w:w="4780" w:type="dxa"/>
            <w:vAlign w:val="bottom"/>
            <w:gridSpan w:val="2"/>
          </w:tcPr>
          <w:p>
            <w:pPr>
              <w:ind w:left="180"/>
              <w:spacing w:after="0"/>
              <w:rPr>
                <w:sz w:val="20"/>
                <w:szCs w:val="20"/>
                <w:color w:val="auto"/>
              </w:rPr>
            </w:pPr>
            <w:r>
              <w:rPr>
                <w:rFonts w:ascii="Arial" w:cs="Arial" w:eastAsia="Arial" w:hAnsi="Arial"/>
                <w:sz w:val="14"/>
                <w:szCs w:val="14"/>
                <w:color w:val="auto"/>
                <w:w w:val="98"/>
              </w:rPr>
              <w:t>Fair value approximates the carrying amounts due to the short-term nature.</w:t>
            </w:r>
          </w:p>
        </w:tc>
        <w:tc>
          <w:tcPr>
            <w:tcW w:w="4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4"/>
        </w:trPr>
        <w:tc>
          <w:tcPr>
            <w:tcW w:w="1500" w:type="dxa"/>
            <w:vAlign w:val="bottom"/>
            <w:gridSpan w:val="2"/>
          </w:tcPr>
          <w:p>
            <w:pPr>
              <w:ind w:left="1140"/>
              <w:spacing w:after="0"/>
              <w:rPr>
                <w:sz w:val="20"/>
                <w:szCs w:val="20"/>
                <w:color w:val="auto"/>
              </w:rPr>
            </w:pPr>
            <w:r>
              <w:rPr>
                <w:rFonts w:ascii="Arial" w:cs="Arial" w:eastAsia="Arial" w:hAnsi="Arial"/>
                <w:sz w:val="14"/>
                <w:szCs w:val="14"/>
                <w:color w:val="auto"/>
              </w:rPr>
              <w:t>(2)</w:t>
            </w:r>
          </w:p>
        </w:tc>
        <w:tc>
          <w:tcPr>
            <w:tcW w:w="4780" w:type="dxa"/>
            <w:vAlign w:val="bottom"/>
            <w:gridSpan w:val="2"/>
          </w:tcPr>
          <w:p>
            <w:pPr>
              <w:ind w:left="180"/>
              <w:spacing w:after="0"/>
              <w:rPr>
                <w:sz w:val="20"/>
                <w:szCs w:val="20"/>
                <w:color w:val="auto"/>
              </w:rPr>
            </w:pPr>
            <w:r>
              <w:rPr>
                <w:rFonts w:ascii="Arial" w:cs="Arial" w:eastAsia="Arial" w:hAnsi="Arial"/>
                <w:sz w:val="14"/>
                <w:szCs w:val="14"/>
                <w:color w:val="auto"/>
              </w:rPr>
              <w:t>Recorded at fair value using quoted market prices.</w:t>
            </w:r>
          </w:p>
        </w:tc>
        <w:tc>
          <w:tcPr>
            <w:tcW w:w="4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4"/>
        </w:trPr>
        <w:tc>
          <w:tcPr>
            <w:tcW w:w="1500" w:type="dxa"/>
            <w:vAlign w:val="bottom"/>
            <w:gridSpan w:val="2"/>
          </w:tcPr>
          <w:p>
            <w:pPr>
              <w:ind w:left="1140"/>
              <w:spacing w:after="0"/>
              <w:rPr>
                <w:sz w:val="20"/>
                <w:szCs w:val="20"/>
                <w:color w:val="auto"/>
              </w:rPr>
            </w:pPr>
            <w:r>
              <w:rPr>
                <w:rFonts w:ascii="Arial" w:cs="Arial" w:eastAsia="Arial" w:hAnsi="Arial"/>
                <w:sz w:val="14"/>
                <w:szCs w:val="14"/>
                <w:color w:val="auto"/>
              </w:rPr>
              <w:t>(3)</w:t>
            </w:r>
          </w:p>
        </w:tc>
        <w:tc>
          <w:tcPr>
            <w:tcW w:w="4780" w:type="dxa"/>
            <w:vAlign w:val="bottom"/>
            <w:gridSpan w:val="2"/>
          </w:tcPr>
          <w:p>
            <w:pPr>
              <w:ind w:left="180"/>
              <w:spacing w:after="0"/>
              <w:rPr>
                <w:sz w:val="20"/>
                <w:szCs w:val="20"/>
                <w:color w:val="auto"/>
              </w:rPr>
            </w:pPr>
            <w:r>
              <w:rPr>
                <w:rFonts w:ascii="Arial" w:cs="Arial" w:eastAsia="Arial" w:hAnsi="Arial"/>
                <w:sz w:val="14"/>
                <w:szCs w:val="14"/>
                <w:color w:val="auto"/>
              </w:rPr>
              <w:t>Recorded at fair value based on broker-dealer quotations.</w:t>
            </w:r>
          </w:p>
        </w:tc>
        <w:tc>
          <w:tcPr>
            <w:tcW w:w="4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04"/>
        </w:trPr>
        <w:tc>
          <w:tcPr>
            <w:tcW w:w="11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4780" w:type="dxa"/>
            <w:vAlign w:val="bottom"/>
            <w:gridSpan w:val="2"/>
          </w:tcPr>
          <w:p>
            <w:pPr>
              <w:jc w:val="right"/>
              <w:ind w:right="440"/>
              <w:spacing w:after="0"/>
              <w:rPr>
                <w:sz w:val="20"/>
                <w:szCs w:val="20"/>
                <w:color w:val="auto"/>
              </w:rPr>
            </w:pPr>
            <w:r>
              <w:rPr>
                <w:rFonts w:ascii="Arial" w:cs="Arial" w:eastAsia="Arial" w:hAnsi="Arial"/>
                <w:sz w:val="18"/>
                <w:szCs w:val="18"/>
                <w:color w:val="auto"/>
              </w:rPr>
              <w:t>151</w:t>
            </w:r>
          </w:p>
        </w:tc>
        <w:tc>
          <w:tcPr>
            <w:tcW w:w="4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1160" w:type="dxa"/>
            <w:vAlign w:val="bottom"/>
            <w:tcBorders>
              <w:bottom w:val="single" w:sz="8" w:color="808080"/>
            </w:tcBorders>
          </w:tcPr>
          <w:p>
            <w:pPr>
              <w:spacing w:after="0"/>
              <w:rPr>
                <w:sz w:val="19"/>
                <w:szCs w:val="19"/>
                <w:color w:val="auto"/>
              </w:rPr>
            </w:pPr>
          </w:p>
        </w:tc>
        <w:tc>
          <w:tcPr>
            <w:tcW w:w="340" w:type="dxa"/>
            <w:vAlign w:val="bottom"/>
            <w:tcBorders>
              <w:bottom w:val="single" w:sz="8" w:color="808080"/>
            </w:tcBorders>
          </w:tcPr>
          <w:p>
            <w:pPr>
              <w:spacing w:after="0"/>
              <w:rPr>
                <w:sz w:val="19"/>
                <w:szCs w:val="19"/>
                <w:color w:val="auto"/>
              </w:rPr>
            </w:pPr>
          </w:p>
        </w:tc>
        <w:tc>
          <w:tcPr>
            <w:tcW w:w="920" w:type="dxa"/>
            <w:vAlign w:val="bottom"/>
            <w:tcBorders>
              <w:bottom w:val="single" w:sz="8" w:color="808080"/>
            </w:tcBorders>
          </w:tcPr>
          <w:p>
            <w:pPr>
              <w:spacing w:after="0"/>
              <w:rPr>
                <w:sz w:val="19"/>
                <w:szCs w:val="19"/>
                <w:color w:val="auto"/>
              </w:rPr>
            </w:pPr>
          </w:p>
        </w:tc>
        <w:tc>
          <w:tcPr>
            <w:tcW w:w="3860" w:type="dxa"/>
            <w:vAlign w:val="bottom"/>
            <w:tcBorders>
              <w:bottom w:val="single" w:sz="8" w:color="808080"/>
            </w:tcBorders>
          </w:tcPr>
          <w:p>
            <w:pPr>
              <w:spacing w:after="0"/>
              <w:rPr>
                <w:sz w:val="19"/>
                <w:szCs w:val="19"/>
                <w:color w:val="auto"/>
              </w:rPr>
            </w:pPr>
          </w:p>
        </w:tc>
        <w:tc>
          <w:tcPr>
            <w:tcW w:w="42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620" w:type="dxa"/>
            <w:vAlign w:val="bottom"/>
            <w:tcBorders>
              <w:bottom w:val="single" w:sz="8" w:color="808080"/>
            </w:tcBorders>
          </w:tcPr>
          <w:p>
            <w:pPr>
              <w:spacing w:after="0"/>
              <w:rPr>
                <w:sz w:val="19"/>
                <w:szCs w:val="19"/>
                <w:color w:val="auto"/>
              </w:rPr>
            </w:pPr>
          </w:p>
        </w:tc>
        <w:tc>
          <w:tcPr>
            <w:tcW w:w="180" w:type="dxa"/>
            <w:vAlign w:val="bottom"/>
            <w:tcBorders>
              <w:bottom w:val="single" w:sz="8" w:color="808080"/>
            </w:tcBorders>
          </w:tcPr>
          <w:p>
            <w:pPr>
              <w:spacing w:after="0"/>
              <w:rPr>
                <w:sz w:val="19"/>
                <w:szCs w:val="19"/>
                <w:color w:val="auto"/>
              </w:rPr>
            </w:pPr>
          </w:p>
        </w:tc>
        <w:tc>
          <w:tcPr>
            <w:tcW w:w="120" w:type="dxa"/>
            <w:vAlign w:val="bottom"/>
            <w:tcBorders>
              <w:bottom w:val="single" w:sz="8" w:color="808080"/>
            </w:tcBorders>
          </w:tcPr>
          <w:p>
            <w:pPr>
              <w:spacing w:after="0"/>
              <w:rPr>
                <w:sz w:val="19"/>
                <w:szCs w:val="19"/>
                <w:color w:val="auto"/>
              </w:rPr>
            </w:pPr>
          </w:p>
        </w:tc>
        <w:tc>
          <w:tcPr>
            <w:tcW w:w="66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20" w:type="dxa"/>
            <w:vAlign w:val="bottom"/>
            <w:tcBorders>
              <w:bottom w:val="single" w:sz="8" w:color="808080"/>
            </w:tcBorders>
          </w:tcPr>
          <w:p>
            <w:pPr>
              <w:spacing w:after="0"/>
              <w:rPr>
                <w:sz w:val="19"/>
                <w:szCs w:val="19"/>
                <w:color w:val="auto"/>
              </w:rPr>
            </w:pPr>
          </w:p>
        </w:tc>
        <w:tc>
          <w:tcPr>
            <w:tcW w:w="66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58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14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591" w:right="239" w:bottom="1440" w:gutter="0" w:footer="0" w:header="0"/>
        </w:sectPr>
      </w:pPr>
    </w:p>
    <w:bookmarkStart w:id="194" w:name="page195"/>
    <w:bookmarkEnd w:id="194"/>
    <w:p>
      <w:pPr>
        <w:ind w:left="1680" w:right="20" w:hanging="531"/>
        <w:spacing w:after="0" w:line="239" w:lineRule="auto"/>
        <w:tabs>
          <w:tab w:leader="none" w:pos="1680" w:val="left"/>
        </w:tabs>
        <w:numPr>
          <w:ilvl w:val="0"/>
          <w:numId w:val="77"/>
        </w:numPr>
        <w:rPr>
          <w:rFonts w:ascii="Arial" w:cs="Arial" w:eastAsia="Arial" w:hAnsi="Arial"/>
          <w:sz w:val="14"/>
          <w:szCs w:val="14"/>
          <w:color w:val="auto"/>
        </w:rPr>
      </w:pPr>
      <w:r>
        <w:rPr>
          <w:rFonts w:ascii="Arial" w:cs="Arial" w:eastAsia="Arial" w:hAnsi="Arial"/>
          <w:sz w:val="14"/>
          <w:szCs w:val="14"/>
          <w:color w:val="auto"/>
        </w:rPr>
        <w:t>Assets for the defined benefit pension plan consists of deposits on hand with regulatory authorities which are refundable when benefit payments are made or on the ultimate wind-up of the plan.</w:t>
      </w:r>
    </w:p>
    <w:p>
      <w:pPr>
        <w:spacing w:after="0" w:line="111" w:lineRule="exact"/>
        <w:rPr>
          <w:rFonts w:ascii="Arial" w:cs="Arial" w:eastAsia="Arial" w:hAnsi="Arial"/>
          <w:sz w:val="14"/>
          <w:szCs w:val="14"/>
          <w:color w:val="auto"/>
        </w:rPr>
      </w:pPr>
    </w:p>
    <w:p>
      <w:pPr>
        <w:ind w:left="1680" w:hanging="531"/>
        <w:spacing w:after="0"/>
        <w:tabs>
          <w:tab w:leader="none" w:pos="1680" w:val="left"/>
        </w:tabs>
        <w:numPr>
          <w:ilvl w:val="0"/>
          <w:numId w:val="77"/>
        </w:numPr>
        <w:rPr>
          <w:rFonts w:ascii="Arial" w:cs="Arial" w:eastAsia="Arial" w:hAnsi="Arial"/>
          <w:sz w:val="14"/>
          <w:szCs w:val="14"/>
          <w:color w:val="auto"/>
        </w:rPr>
      </w:pPr>
      <w:r>
        <w:rPr>
          <w:rFonts w:ascii="Arial" w:cs="Arial" w:eastAsia="Arial" w:hAnsi="Arial"/>
          <w:sz w:val="14"/>
          <w:szCs w:val="14"/>
          <w:color w:val="auto"/>
        </w:rPr>
        <w:t>Recorded at cost. This line item also includes accrued interest.</w:t>
      </w:r>
    </w:p>
    <w:p>
      <w:pPr>
        <w:spacing w:after="0" w:line="206" w:lineRule="exact"/>
        <w:rPr>
          <w:sz w:val="20"/>
          <w:szCs w:val="20"/>
          <w:color w:val="auto"/>
        </w:rPr>
      </w:pPr>
    </w:p>
    <w:p>
      <w:pPr>
        <w:jc w:val="both"/>
        <w:ind w:firstLine="388"/>
        <w:spacing w:after="0" w:line="306" w:lineRule="auto"/>
        <w:rPr>
          <w:sz w:val="20"/>
          <w:szCs w:val="20"/>
          <w:color w:val="auto"/>
        </w:rPr>
      </w:pPr>
      <w:r>
        <w:rPr>
          <w:rFonts w:ascii="Arial" w:cs="Arial" w:eastAsia="Arial" w:hAnsi="Arial"/>
          <w:sz w:val="16"/>
          <w:szCs w:val="16"/>
          <w:color w:val="auto"/>
        </w:rPr>
        <w:t>Cash equivalents and short-term investments are classified as Level 2 of the fair value hierarchy because they are held to maturity and valued using interest rates observable at commonly quoted intervals. Cash equivalents are market securities with remaining maturities of three months or less at the date of purchase. The short-term investments are market securities with remaining maturities of over three months at the date of purchase.</w:t>
      </w:r>
    </w:p>
    <w:p>
      <w:pPr>
        <w:spacing w:after="0" w:line="161" w:lineRule="exact"/>
        <w:rPr>
          <w:sz w:val="20"/>
          <w:szCs w:val="20"/>
          <w:color w:val="auto"/>
        </w:rPr>
      </w:pPr>
    </w:p>
    <w:p>
      <w:pPr>
        <w:jc w:val="both"/>
        <w:ind w:firstLine="395"/>
        <w:spacing w:after="0" w:line="298" w:lineRule="auto"/>
        <w:rPr>
          <w:sz w:val="20"/>
          <w:szCs w:val="20"/>
          <w:color w:val="auto"/>
        </w:rPr>
      </w:pPr>
      <w:r>
        <w:rPr>
          <w:rFonts w:ascii="Arial" w:cs="Arial" w:eastAsia="Arial" w:hAnsi="Arial"/>
          <w:sz w:val="16"/>
          <w:szCs w:val="16"/>
          <w:color w:val="auto"/>
        </w:rPr>
        <w:t>The Company's available-for-sale equity securities valued using quoted market prices in active markets are classified as Level 1 of the fair value hierarchy. The fair value of these securities are calculated as the quoted market price of the security multiplied by the quantity of shares held by the Company. The Company's available-for-sale securities classified as Level 2 of the fair value hierarchy consist of equity warrants. The fair value of these Level 2 securities are calculated based on the broker-dealer quotation multiplied by the quantity of equity warrants held by the Company.</w:t>
      </w:r>
    </w:p>
    <w:p>
      <w:pPr>
        <w:spacing w:after="0" w:line="167" w:lineRule="exact"/>
        <w:rPr>
          <w:sz w:val="20"/>
          <w:szCs w:val="20"/>
          <w:color w:val="auto"/>
        </w:rPr>
      </w:pPr>
    </w:p>
    <w:p>
      <w:pPr>
        <w:jc w:val="both"/>
        <w:ind w:firstLine="351"/>
        <w:spacing w:after="0" w:line="291" w:lineRule="auto"/>
        <w:rPr>
          <w:sz w:val="20"/>
          <w:szCs w:val="20"/>
          <w:color w:val="auto"/>
        </w:rPr>
      </w:pPr>
      <w:r>
        <w:rPr>
          <w:rFonts w:ascii="Arial" w:cs="Arial" w:eastAsia="Arial" w:hAnsi="Arial"/>
          <w:sz w:val="16"/>
          <w:szCs w:val="16"/>
          <w:color w:val="auto"/>
        </w:rPr>
        <w:t>In the event that a decline in the fair value of an investment occurs and the decline in value is considered to be other-than-temporary, an impairment charge is recorded in the consolidated statement of income and a new cost basis for the investment is established. The Company assesses whether a decline in value is considered to be other-than-temporary by considering available evidence, including changes in general market conditions, specific industry and individual company data, the length of time and the extent to which the fair value has been less than cost, the financial condition and the near-term prospects of the individual investment. New evidence could become available in future periods which would affect this assessment and thus could result in material impairment charges with respect to those investments for which the cost basis exceeds its fair value.</w:t>
      </w:r>
    </w:p>
    <w:p>
      <w:pPr>
        <w:spacing w:after="0" w:line="174" w:lineRule="exact"/>
        <w:rPr>
          <w:sz w:val="20"/>
          <w:szCs w:val="20"/>
          <w:color w:val="auto"/>
        </w:rPr>
      </w:pPr>
    </w:p>
    <w:p>
      <w:pPr>
        <w:jc w:val="both"/>
        <w:ind w:firstLine="638"/>
        <w:spacing w:after="0" w:line="298" w:lineRule="auto"/>
        <w:rPr>
          <w:sz w:val="20"/>
          <w:szCs w:val="20"/>
          <w:color w:val="auto"/>
        </w:rPr>
      </w:pPr>
      <w:r>
        <w:rPr>
          <w:rFonts w:ascii="Arial" w:cs="Arial" w:eastAsia="Arial" w:hAnsi="Arial"/>
          <w:sz w:val="16"/>
          <w:szCs w:val="16"/>
          <w:color w:val="auto"/>
        </w:rPr>
        <w:t>In December 2007, the FASB issued ASC 805 — Business Combinations (Prior authoritative literature: FASB Statement No. 141(R), "Business Combinations"). ASC 805 establishes how an entity accounts for the identifiable assets acquired, liabilities assumed, and any non-controlling interests acquired, how to account for goodwill acquired and determines what disclosures are required as part of a business combination. ASC 805 applies prospectively to business combinations for which the acquisition date is on or after the beginning of the first annual reporting period beginning on or after December 15, 2008.</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Recently Issued Accounting Pronouncements and Developments</w:t>
      </w:r>
    </w:p>
    <w:p>
      <w:pPr>
        <w:spacing w:after="0" w:line="231" w:lineRule="exact"/>
        <w:rPr>
          <w:sz w:val="20"/>
          <w:szCs w:val="20"/>
          <w:color w:val="auto"/>
        </w:rPr>
      </w:pPr>
    </w:p>
    <w:p>
      <w:pPr>
        <w:jc w:val="both"/>
        <w:ind w:firstLine="428"/>
        <w:spacing w:after="0" w:line="259" w:lineRule="auto"/>
        <w:rPr>
          <w:sz w:val="20"/>
          <w:szCs w:val="20"/>
          <w:color w:val="auto"/>
        </w:rPr>
      </w:pPr>
      <w:r>
        <w:rPr>
          <w:rFonts w:ascii="Arial" w:cs="Arial" w:eastAsia="Arial" w:hAnsi="Arial"/>
          <w:sz w:val="18"/>
          <w:szCs w:val="18"/>
          <w:color w:val="auto"/>
        </w:rPr>
        <w:t>Under the SEC Staff Accounting Bulletin 74, the Company is required to disclose information related to new accounting standards that have not yet been adopted. The Company is currently evaluating the impact that the adoption of these statements will have on the Company's consolidated financial position, results of operations and disclosures.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Variable Interest Entities</w:t>
      </w:r>
    </w:p>
    <w:p>
      <w:pPr>
        <w:spacing w:after="0" w:line="225" w:lineRule="exact"/>
        <w:rPr>
          <w:sz w:val="20"/>
          <w:szCs w:val="20"/>
          <w:color w:val="auto"/>
        </w:rPr>
      </w:pPr>
    </w:p>
    <w:p>
      <w:pPr>
        <w:jc w:val="both"/>
        <w:ind w:firstLine="438"/>
        <w:spacing w:after="0" w:line="259" w:lineRule="auto"/>
        <w:rPr>
          <w:sz w:val="20"/>
          <w:szCs w:val="20"/>
          <w:color w:val="auto"/>
        </w:rPr>
      </w:pPr>
      <w:r>
        <w:rPr>
          <w:rFonts w:ascii="Arial" w:cs="Arial" w:eastAsia="Arial" w:hAnsi="Arial"/>
          <w:sz w:val="18"/>
          <w:szCs w:val="18"/>
          <w:color w:val="auto"/>
        </w:rPr>
        <w:t>In June 2009, the ASC guidance for consolidation accounting was updated to require an entity to perform a qualitative analysis to determine whether the enterprise's variable interest gives it a controlling financial interest in variable interest entity (a "VIE"). This analysis identifies a primary beneficiary of a VIE as the entity that has both of the following characteristics:</w:t>
      </w:r>
    </w:p>
    <w:p>
      <w:pPr>
        <w:spacing w:after="0" w:line="208" w:lineRule="exact"/>
        <w:rPr>
          <w:sz w:val="20"/>
          <w:szCs w:val="20"/>
          <w:color w:val="auto"/>
        </w:rPr>
      </w:pPr>
    </w:p>
    <w:p>
      <w:pPr>
        <w:ind w:left="1080" w:hanging="532"/>
        <w:spacing w:after="0"/>
        <w:tabs>
          <w:tab w:leader="none" w:pos="1080" w:val="left"/>
        </w:tabs>
        <w:numPr>
          <w:ilvl w:val="0"/>
          <w:numId w:val="78"/>
        </w:numPr>
        <w:rPr>
          <w:rFonts w:ascii="Arial" w:cs="Arial" w:eastAsia="Arial" w:hAnsi="Arial"/>
          <w:sz w:val="18"/>
          <w:szCs w:val="18"/>
          <w:color w:val="auto"/>
        </w:rPr>
      </w:pPr>
      <w:r>
        <w:rPr>
          <w:rFonts w:ascii="Arial" w:cs="Arial" w:eastAsia="Arial" w:hAnsi="Arial"/>
          <w:sz w:val="18"/>
          <w:szCs w:val="18"/>
          <w:color w:val="auto"/>
        </w:rPr>
        <w:t>The power to direct the activities of a VIE that most significantly impact the entity's economic performance;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78"/>
        </w:numPr>
        <w:rPr>
          <w:rFonts w:ascii="Arial" w:cs="Arial" w:eastAsia="Arial" w:hAnsi="Arial"/>
          <w:sz w:val="18"/>
          <w:szCs w:val="18"/>
          <w:color w:val="auto"/>
        </w:rPr>
      </w:pPr>
      <w:r>
        <w:rPr>
          <w:rFonts w:ascii="Arial" w:cs="Arial" w:eastAsia="Arial" w:hAnsi="Arial"/>
          <w:sz w:val="18"/>
          <w:szCs w:val="18"/>
          <w:color w:val="auto"/>
        </w:rPr>
        <w:t>The obligation to absorb losses or receive benefits from the entity that could potentially be significant to the VIE.</w:t>
      </w:r>
    </w:p>
    <w:p>
      <w:pPr>
        <w:spacing w:after="0" w:line="225" w:lineRule="exact"/>
        <w:rPr>
          <w:sz w:val="20"/>
          <w:szCs w:val="20"/>
          <w:color w:val="auto"/>
        </w:rPr>
      </w:pPr>
    </w:p>
    <w:p>
      <w:pPr>
        <w:jc w:val="both"/>
        <w:ind w:firstLine="395"/>
        <w:spacing w:after="0" w:line="259" w:lineRule="auto"/>
        <w:rPr>
          <w:sz w:val="20"/>
          <w:szCs w:val="20"/>
          <w:color w:val="auto"/>
        </w:rPr>
      </w:pPr>
      <w:r>
        <w:rPr>
          <w:rFonts w:ascii="Arial" w:cs="Arial" w:eastAsia="Arial" w:hAnsi="Arial"/>
          <w:sz w:val="18"/>
          <w:szCs w:val="18"/>
          <w:color w:val="auto"/>
        </w:rPr>
        <w:t>The updated guidance also requires ongoing reassessments of the primary beneficiary of a VIE. The updated guidance is effective for the Company's fiscal year beginning January 1, 2010. The Company is evaluating the potential impact of adopting this guidance on the Company's consolidated financial position, results of operations and cash flows.</w:t>
      </w:r>
    </w:p>
    <w:p>
      <w:pPr>
        <w:spacing w:after="0" w:line="1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29" w:right="239" w:bottom="1440" w:gutter="0" w:footer="0" w:header="0"/>
        </w:sectPr>
      </w:pPr>
    </w:p>
    <w:bookmarkStart w:id="195" w:name="page196"/>
    <w:bookmarkEnd w:id="195"/>
    <w:p>
      <w:pPr>
        <w:spacing w:after="0"/>
        <w:rPr>
          <w:sz w:val="20"/>
          <w:szCs w:val="20"/>
          <w:color w:val="auto"/>
        </w:rPr>
      </w:pPr>
      <w:r>
        <w:rPr>
          <w:rFonts w:ascii="Arial" w:cs="Arial" w:eastAsia="Arial" w:hAnsi="Arial"/>
          <w:sz w:val="18"/>
          <w:szCs w:val="18"/>
          <w:i w:val="1"/>
          <w:iCs w:val="1"/>
          <w:color w:val="auto"/>
        </w:rPr>
        <w:t>Fair Value Accounting</w:t>
      </w:r>
    </w:p>
    <w:p>
      <w:pPr>
        <w:spacing w:after="0" w:line="225" w:lineRule="exact"/>
        <w:rPr>
          <w:sz w:val="20"/>
          <w:szCs w:val="20"/>
          <w:color w:val="auto"/>
        </w:rPr>
      </w:pPr>
    </w:p>
    <w:p>
      <w:pPr>
        <w:ind w:left="360"/>
        <w:spacing w:after="0"/>
        <w:rPr>
          <w:sz w:val="20"/>
          <w:szCs w:val="20"/>
          <w:color w:val="auto"/>
        </w:rPr>
      </w:pPr>
      <w:r>
        <w:rPr>
          <w:rFonts w:ascii="Arial" w:cs="Arial" w:eastAsia="Arial" w:hAnsi="Arial"/>
          <w:sz w:val="18"/>
          <w:szCs w:val="18"/>
          <w:color w:val="auto"/>
        </w:rPr>
        <w:t>In January 2010, the ASC guidance for fair value measurements and disclosure was updated to require additional disclosures related to:</w:t>
      </w:r>
    </w:p>
    <w:p>
      <w:pPr>
        <w:spacing w:after="0" w:line="239" w:lineRule="exact"/>
        <w:rPr>
          <w:sz w:val="20"/>
          <w:szCs w:val="20"/>
          <w:color w:val="auto"/>
        </w:rPr>
      </w:pPr>
    </w:p>
    <w:p>
      <w:pPr>
        <w:ind w:left="1080" w:hanging="532"/>
        <w:spacing w:after="0"/>
        <w:tabs>
          <w:tab w:leader="none" w:pos="1080" w:val="left"/>
        </w:tabs>
        <w:numPr>
          <w:ilvl w:val="0"/>
          <w:numId w:val="79"/>
        </w:numPr>
        <w:rPr>
          <w:rFonts w:ascii="Arial" w:cs="Arial" w:eastAsia="Arial" w:hAnsi="Arial"/>
          <w:sz w:val="18"/>
          <w:szCs w:val="18"/>
          <w:color w:val="auto"/>
        </w:rPr>
      </w:pPr>
      <w:r>
        <w:rPr>
          <w:rFonts w:ascii="Arial" w:cs="Arial" w:eastAsia="Arial" w:hAnsi="Arial"/>
          <w:sz w:val="18"/>
          <w:szCs w:val="18"/>
          <w:color w:val="auto"/>
        </w:rPr>
        <w:t>Transfers in and out of level 1 and 2 fair value measurements;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79"/>
        </w:numPr>
        <w:rPr>
          <w:rFonts w:ascii="Arial" w:cs="Arial" w:eastAsia="Arial" w:hAnsi="Arial"/>
          <w:sz w:val="18"/>
          <w:szCs w:val="18"/>
          <w:color w:val="auto"/>
        </w:rPr>
      </w:pPr>
      <w:r>
        <w:rPr>
          <w:rFonts w:ascii="Arial" w:cs="Arial" w:eastAsia="Arial" w:hAnsi="Arial"/>
          <w:sz w:val="18"/>
          <w:szCs w:val="18"/>
          <w:color w:val="auto"/>
        </w:rPr>
        <w:t>Enhanced detail in the level 3 reconciliation.</w:t>
      </w:r>
    </w:p>
    <w:p>
      <w:pPr>
        <w:spacing w:after="0" w:line="225"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guidance was amended to provide clarity about:</w:t>
      </w:r>
    </w:p>
    <w:p>
      <w:pPr>
        <w:spacing w:after="0" w:line="239" w:lineRule="exact"/>
        <w:rPr>
          <w:sz w:val="20"/>
          <w:szCs w:val="20"/>
          <w:color w:val="auto"/>
        </w:rPr>
      </w:pPr>
    </w:p>
    <w:p>
      <w:pPr>
        <w:ind w:left="1080" w:hanging="532"/>
        <w:spacing w:after="0"/>
        <w:tabs>
          <w:tab w:leader="none" w:pos="1080" w:val="left"/>
        </w:tabs>
        <w:numPr>
          <w:ilvl w:val="0"/>
          <w:numId w:val="80"/>
        </w:numPr>
        <w:rPr>
          <w:rFonts w:ascii="Arial" w:cs="Arial" w:eastAsia="Arial" w:hAnsi="Arial"/>
          <w:sz w:val="18"/>
          <w:szCs w:val="18"/>
          <w:color w:val="auto"/>
        </w:rPr>
      </w:pPr>
      <w:r>
        <w:rPr>
          <w:rFonts w:ascii="Arial" w:cs="Arial" w:eastAsia="Arial" w:hAnsi="Arial"/>
          <w:sz w:val="18"/>
          <w:szCs w:val="18"/>
          <w:color w:val="auto"/>
        </w:rPr>
        <w:t>The level of disaggregation required for assets and liabilities; and</w:t>
      </w:r>
    </w:p>
    <w:p>
      <w:pPr>
        <w:spacing w:after="0" w:line="238"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80"/>
        </w:numPr>
        <w:rPr>
          <w:rFonts w:ascii="Arial" w:cs="Arial" w:eastAsia="Arial" w:hAnsi="Arial"/>
          <w:sz w:val="18"/>
          <w:szCs w:val="18"/>
          <w:color w:val="auto"/>
        </w:rPr>
      </w:pPr>
      <w:r>
        <w:rPr>
          <w:rFonts w:ascii="Arial" w:cs="Arial" w:eastAsia="Arial" w:hAnsi="Arial"/>
          <w:sz w:val="18"/>
          <w:szCs w:val="18"/>
          <w:color w:val="auto"/>
        </w:rPr>
        <w:t>The disclosures required for inputs and valuation techniques used to measure fair value for both recurring and nonrecurring measurements that fall in either level 2 or level 3.</w:t>
      </w:r>
    </w:p>
    <w:p>
      <w:pPr>
        <w:spacing w:after="0" w:line="186" w:lineRule="exact"/>
        <w:rPr>
          <w:sz w:val="20"/>
          <w:szCs w:val="20"/>
          <w:color w:val="auto"/>
        </w:rPr>
      </w:pPr>
    </w:p>
    <w:p>
      <w:pPr>
        <w:jc w:val="both"/>
        <w:ind w:firstLine="508"/>
        <w:spacing w:after="0" w:line="259" w:lineRule="auto"/>
        <w:rPr>
          <w:sz w:val="20"/>
          <w:szCs w:val="20"/>
          <w:color w:val="auto"/>
        </w:rPr>
      </w:pPr>
      <w:r>
        <w:rPr>
          <w:rFonts w:ascii="Arial" w:cs="Arial" w:eastAsia="Arial" w:hAnsi="Arial"/>
          <w:sz w:val="18"/>
          <w:szCs w:val="18"/>
          <w:color w:val="auto"/>
        </w:rPr>
        <w:t>The updated guidance is effective for the Company's fiscal year beginning January 1, 2010, with the exception of the level 3 disaggregation which is effective for the Company's fiscal year beginning January 1, 2011. The Company is evaluating the potential impact of adopting this guidance on the Company's consolidated financial position, results of operations and cash flows.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International Financial Reporting Standards</w:t>
      </w:r>
    </w:p>
    <w:p>
      <w:pPr>
        <w:spacing w:after="0" w:line="225" w:lineRule="exact"/>
        <w:rPr>
          <w:sz w:val="20"/>
          <w:szCs w:val="20"/>
          <w:color w:val="auto"/>
        </w:rPr>
      </w:pPr>
    </w:p>
    <w:p>
      <w:pPr>
        <w:jc w:val="both"/>
        <w:ind w:firstLine="348"/>
        <w:spacing w:after="0" w:line="268" w:lineRule="auto"/>
        <w:rPr>
          <w:sz w:val="20"/>
          <w:szCs w:val="20"/>
          <w:color w:val="auto"/>
        </w:rPr>
      </w:pPr>
      <w:r>
        <w:rPr>
          <w:rFonts w:ascii="Arial" w:cs="Arial" w:eastAsia="Arial" w:hAnsi="Arial"/>
          <w:sz w:val="18"/>
          <w:szCs w:val="18"/>
          <w:color w:val="auto"/>
        </w:rPr>
        <w:t>An IFRS project group and a steering committee has been established and a high level project plan has been formulated. The implementation of IFRS will be done through three distinct phases:</w:t>
      </w:r>
    </w:p>
    <w:p>
      <w:pPr>
        <w:spacing w:after="0" w:line="213" w:lineRule="exact"/>
        <w:rPr>
          <w:sz w:val="20"/>
          <w:szCs w:val="20"/>
          <w:color w:val="auto"/>
        </w:rPr>
      </w:pPr>
    </w:p>
    <w:p>
      <w:pPr>
        <w:ind w:left="1080" w:hanging="532"/>
        <w:spacing w:after="0"/>
        <w:tabs>
          <w:tab w:leader="none" w:pos="1080" w:val="left"/>
        </w:tabs>
        <w:numPr>
          <w:ilvl w:val="0"/>
          <w:numId w:val="81"/>
        </w:numPr>
        <w:rPr>
          <w:rFonts w:ascii="Arial" w:cs="Arial" w:eastAsia="Arial" w:hAnsi="Arial"/>
          <w:sz w:val="18"/>
          <w:szCs w:val="18"/>
          <w:color w:val="auto"/>
        </w:rPr>
      </w:pPr>
      <w:r>
        <w:rPr>
          <w:rFonts w:ascii="Arial" w:cs="Arial" w:eastAsia="Arial" w:hAnsi="Arial"/>
          <w:sz w:val="18"/>
          <w:szCs w:val="18"/>
          <w:color w:val="auto"/>
        </w:rPr>
        <w:t>diagnostics;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81"/>
        </w:numPr>
        <w:rPr>
          <w:rFonts w:ascii="Arial" w:cs="Arial" w:eastAsia="Arial" w:hAnsi="Arial"/>
          <w:sz w:val="18"/>
          <w:szCs w:val="18"/>
          <w:color w:val="auto"/>
        </w:rPr>
      </w:pPr>
      <w:r>
        <w:rPr>
          <w:rFonts w:ascii="Arial" w:cs="Arial" w:eastAsia="Arial" w:hAnsi="Arial"/>
          <w:sz w:val="18"/>
          <w:szCs w:val="18"/>
          <w:color w:val="auto"/>
        </w:rPr>
        <w:t>detailed IFRS analysis and conversion;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81"/>
        </w:numPr>
        <w:rPr>
          <w:rFonts w:ascii="Arial" w:cs="Arial" w:eastAsia="Arial" w:hAnsi="Arial"/>
          <w:sz w:val="18"/>
          <w:szCs w:val="18"/>
          <w:color w:val="auto"/>
        </w:rPr>
      </w:pPr>
      <w:r>
        <w:rPr>
          <w:rFonts w:ascii="Arial" w:cs="Arial" w:eastAsia="Arial" w:hAnsi="Arial"/>
          <w:sz w:val="18"/>
          <w:szCs w:val="18"/>
          <w:color w:val="auto"/>
        </w:rPr>
        <w:t>implement IFRS in daily business.</w:t>
      </w:r>
    </w:p>
    <w:p>
      <w:pPr>
        <w:spacing w:after="0" w:line="225" w:lineRule="exact"/>
        <w:rPr>
          <w:sz w:val="20"/>
          <w:szCs w:val="20"/>
          <w:color w:val="auto"/>
        </w:rPr>
      </w:pPr>
    </w:p>
    <w:p>
      <w:pPr>
        <w:jc w:val="both"/>
        <w:ind w:firstLine="449"/>
        <w:spacing w:after="0" w:line="298" w:lineRule="auto"/>
        <w:rPr>
          <w:sz w:val="20"/>
          <w:szCs w:val="20"/>
          <w:color w:val="auto"/>
        </w:rPr>
      </w:pPr>
      <w:r>
        <w:rPr>
          <w:rFonts w:ascii="Arial" w:cs="Arial" w:eastAsia="Arial" w:hAnsi="Arial"/>
          <w:sz w:val="16"/>
          <w:szCs w:val="16"/>
          <w:color w:val="auto"/>
        </w:rPr>
        <w:t>The first phase is complete and the second phase was started in 2009. A report has been finalized with the primary objective to understand, identify and assess the overall effort required by the Company to produce financial information in accordance with the IFRS. The key areas for the diagnostics work was to review the 2007 consolidated financial statements of the Company and obtain a detailed understanding of the differences between IFRS and US GAAP to be able to identify potential system and process changes required as a result of converting to IFRS.</w:t>
      </w:r>
    </w:p>
    <w:p>
      <w:pPr>
        <w:spacing w:after="0" w:line="167" w:lineRule="exact"/>
        <w:rPr>
          <w:sz w:val="20"/>
          <w:szCs w:val="20"/>
          <w:color w:val="auto"/>
        </w:rPr>
      </w:pPr>
    </w:p>
    <w:p>
      <w:pPr>
        <w:jc w:val="both"/>
        <w:ind w:firstLine="409"/>
        <w:spacing w:after="0" w:line="256" w:lineRule="auto"/>
        <w:rPr>
          <w:sz w:val="20"/>
          <w:szCs w:val="20"/>
          <w:color w:val="auto"/>
        </w:rPr>
      </w:pPr>
      <w:r>
        <w:rPr>
          <w:rFonts w:ascii="Arial" w:cs="Arial" w:eastAsia="Arial" w:hAnsi="Arial"/>
          <w:sz w:val="18"/>
          <w:szCs w:val="18"/>
          <w:color w:val="auto"/>
        </w:rPr>
        <w:t>Based on recent announcements from the Canadian Securities Administrators and the Securities Exchange Commission, it is currently anticipated that as a Canadian issuer and existing US GAAP filer, the earliest date at which the Company will be required to adopt International Financial Reporting Standards ("IFRS") as its principal basis of accounting is for the year ending December 31, 2015. Therefore, financial statement comparative figures prepared under IFRS would be required for fiscal year 2013.</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Comparative figures</w:t>
      </w:r>
    </w:p>
    <w:p>
      <w:pPr>
        <w:spacing w:after="0" w:line="231" w:lineRule="exact"/>
        <w:rPr>
          <w:sz w:val="20"/>
          <w:szCs w:val="20"/>
          <w:color w:val="auto"/>
        </w:rPr>
      </w:pPr>
    </w:p>
    <w:p>
      <w:pPr>
        <w:jc w:val="both"/>
        <w:ind w:firstLine="617"/>
        <w:spacing w:after="0" w:line="268" w:lineRule="auto"/>
        <w:rPr>
          <w:sz w:val="20"/>
          <w:szCs w:val="20"/>
          <w:color w:val="auto"/>
        </w:rPr>
      </w:pPr>
      <w:r>
        <w:rPr>
          <w:rFonts w:ascii="Arial" w:cs="Arial" w:eastAsia="Arial" w:hAnsi="Arial"/>
          <w:sz w:val="18"/>
          <w:szCs w:val="18"/>
          <w:color w:val="auto"/>
        </w:rPr>
        <w:t>Certain items in the comparative consolidated financial statements have been reclassified from statements previously presented to conform to the presentation of the 2009 consolidated financial statements.</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96" w:name="page197"/>
    <w:bookmarkEnd w:id="196"/>
    <w:p>
      <w:pPr>
        <w:jc w:val="center"/>
        <w:ind w:right="-1099"/>
        <w:spacing w:after="0"/>
        <w:rPr>
          <w:sz w:val="20"/>
          <w:szCs w:val="20"/>
          <w:color w:val="auto"/>
        </w:rPr>
      </w:pPr>
      <w:r>
        <w:rPr>
          <w:rFonts w:ascii="Arial" w:cs="Arial" w:eastAsia="Arial" w:hAnsi="Arial"/>
          <w:sz w:val="18"/>
          <w:szCs w:val="18"/>
          <w:b w:val="1"/>
          <w:bCs w:val="1"/>
          <w:color w:val="auto"/>
        </w:rPr>
        <w:t>AGNICO-EAGLE MINES LIMITED</w:t>
      </w:r>
    </w:p>
    <w:p>
      <w:pPr>
        <w:spacing w:after="0" w:line="225" w:lineRule="exact"/>
        <w:rPr>
          <w:sz w:val="20"/>
          <w:szCs w:val="20"/>
          <w:color w:val="auto"/>
        </w:rPr>
      </w:pPr>
    </w:p>
    <w:p>
      <w:pPr>
        <w:jc w:val="center"/>
        <w:ind w:right="-1099"/>
        <w:spacing w:after="0"/>
        <w:rPr>
          <w:sz w:val="20"/>
          <w:szCs w:val="20"/>
          <w:color w:val="auto"/>
        </w:rPr>
      </w:pPr>
      <w:r>
        <w:rPr>
          <w:rFonts w:ascii="Arial" w:cs="Arial" w:eastAsia="Arial" w:hAnsi="Arial"/>
          <w:sz w:val="18"/>
          <w:szCs w:val="18"/>
          <w:b w:val="1"/>
          <w:bCs w:val="1"/>
          <w:color w:val="auto"/>
        </w:rPr>
        <w:t>CONSOLIDATED BALANCE SHEETS</w:t>
      </w:r>
    </w:p>
    <w:p>
      <w:pPr>
        <w:spacing w:after="0" w:line="225" w:lineRule="exact"/>
        <w:rPr>
          <w:sz w:val="20"/>
          <w:szCs w:val="20"/>
          <w:color w:val="auto"/>
        </w:rPr>
      </w:pPr>
    </w:p>
    <w:p>
      <w:pPr>
        <w:ind w:left="3720"/>
        <w:spacing w:after="0"/>
        <w:rPr>
          <w:sz w:val="20"/>
          <w:szCs w:val="20"/>
          <w:color w:val="auto"/>
        </w:rPr>
      </w:pPr>
      <w:r>
        <w:rPr>
          <w:rFonts w:ascii="Arial" w:cs="Arial" w:eastAsia="Arial" w:hAnsi="Arial"/>
          <w:sz w:val="18"/>
          <w:szCs w:val="18"/>
          <w:b w:val="1"/>
          <w:bCs w:val="1"/>
          <w:color w:val="auto"/>
        </w:rPr>
        <w:t>(thousands of United States dollars, US GAAP basis)</w:t>
      </w:r>
    </w:p>
    <w:p>
      <w:pPr>
        <w:spacing w:after="0" w:line="281"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70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960" w:type="dxa"/>
            <w:vAlign w:val="bottom"/>
            <w:gridSpan w:val="5"/>
          </w:tcPr>
          <w:p>
            <w:pPr>
              <w:jc w:val="right"/>
              <w:ind w:right="600"/>
              <w:spacing w:after="0"/>
              <w:rPr>
                <w:sz w:val="20"/>
                <w:szCs w:val="20"/>
                <w:color w:val="auto"/>
              </w:rPr>
            </w:pPr>
            <w:r>
              <w:rPr>
                <w:rFonts w:ascii="Arial" w:cs="Arial" w:eastAsia="Arial" w:hAnsi="Arial"/>
                <w:sz w:val="14"/>
                <w:szCs w:val="14"/>
                <w:b w:val="1"/>
                <w:bCs w:val="1"/>
                <w:color w:val="auto"/>
              </w:rPr>
              <w:t>As at December 31,</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7000" w:type="dxa"/>
            <w:vAlign w:val="bottom"/>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740" w:type="dxa"/>
            <w:vAlign w:val="bottom"/>
            <w:tcBorders>
              <w:top w:val="single" w:sz="8" w:color="auto"/>
              <w:bottom w:val="single" w:sz="8" w:color="auto"/>
            </w:tcBorders>
          </w:tcPr>
          <w:p>
            <w:pPr>
              <w:jc w:val="right"/>
              <w:ind w:right="233"/>
              <w:spacing w:after="0" w:line="142" w:lineRule="exact"/>
              <w:rPr>
                <w:sz w:val="20"/>
                <w:szCs w:val="20"/>
                <w:color w:val="auto"/>
              </w:rPr>
            </w:pPr>
            <w:r>
              <w:rPr>
                <w:rFonts w:ascii="Arial" w:cs="Arial" w:eastAsia="Arial" w:hAnsi="Arial"/>
                <w:sz w:val="14"/>
                <w:szCs w:val="14"/>
                <w:b w:val="1"/>
                <w:bCs w:val="1"/>
                <w:color w:val="auto"/>
              </w:rPr>
              <w:t>2009</w:t>
            </w:r>
          </w:p>
        </w:tc>
        <w:tc>
          <w:tcPr>
            <w:tcW w:w="160" w:type="dxa"/>
            <w:vAlign w:val="bottom"/>
            <w:tcBorders>
              <w:top w:val="single" w:sz="8" w:color="auto"/>
            </w:tcBorders>
          </w:tcPr>
          <w:p>
            <w:pPr>
              <w:spacing w:after="0"/>
              <w:rPr>
                <w:sz w:val="12"/>
                <w:szCs w:val="12"/>
                <w:color w:val="auto"/>
              </w:rPr>
            </w:pPr>
          </w:p>
        </w:tc>
        <w:tc>
          <w:tcPr>
            <w:tcW w:w="180" w:type="dxa"/>
            <w:vAlign w:val="bottom"/>
            <w:tcBorders>
              <w:top w:val="single" w:sz="8" w:color="auto"/>
              <w:bottom w:val="single" w:sz="8" w:color="auto"/>
            </w:tcBorders>
          </w:tcPr>
          <w:p>
            <w:pPr>
              <w:spacing w:after="0"/>
              <w:rPr>
                <w:sz w:val="12"/>
                <w:szCs w:val="12"/>
                <w:color w:val="auto"/>
              </w:rPr>
            </w:pPr>
          </w:p>
        </w:tc>
        <w:tc>
          <w:tcPr>
            <w:tcW w:w="720" w:type="dxa"/>
            <w:vAlign w:val="bottom"/>
            <w:tcBorders>
              <w:top w:val="single" w:sz="8" w:color="auto"/>
              <w:bottom w:val="single" w:sz="8" w:color="auto"/>
            </w:tcBorders>
          </w:tcPr>
          <w:p>
            <w:pPr>
              <w:jc w:val="right"/>
              <w:ind w:right="233"/>
              <w:spacing w:after="0" w:line="142" w:lineRule="exact"/>
              <w:rPr>
                <w:sz w:val="20"/>
                <w:szCs w:val="20"/>
                <w:color w:val="auto"/>
              </w:rPr>
            </w:pPr>
            <w:r>
              <w:rPr>
                <w:rFonts w:ascii="Arial" w:cs="Arial" w:eastAsia="Arial" w:hAnsi="Arial"/>
                <w:sz w:val="14"/>
                <w:szCs w:val="14"/>
                <w:b w:val="1"/>
                <w:bCs w:val="1"/>
                <w:color w:val="auto"/>
              </w:rPr>
              <w:t>2008</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70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ASSETS</w:t>
            </w:r>
          </w:p>
        </w:tc>
        <w:tc>
          <w:tcPr>
            <w:tcW w:w="16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00" w:type="dxa"/>
            <w:vAlign w:val="bottom"/>
          </w:tcPr>
          <w:p>
            <w:pPr>
              <w:spacing w:after="0"/>
              <w:rPr>
                <w:sz w:val="20"/>
                <w:szCs w:val="20"/>
                <w:color w:val="auto"/>
              </w:rPr>
            </w:pPr>
            <w:r>
              <w:rPr>
                <w:rFonts w:ascii="Arial" w:cs="Arial" w:eastAsia="Arial" w:hAnsi="Arial"/>
                <w:sz w:val="18"/>
                <w:szCs w:val="18"/>
                <w:color w:val="auto"/>
              </w:rPr>
              <w:t>Current</w:t>
            </w:r>
          </w:p>
        </w:tc>
        <w:tc>
          <w:tcPr>
            <w:tcW w:w="1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00" w:type="dxa"/>
            <w:vAlign w:val="bottom"/>
            <w:shd w:val="clear" w:color="auto" w:fill="CCEEFF"/>
          </w:tcPr>
          <w:p>
            <w:pPr>
              <w:ind w:left="120"/>
              <w:spacing w:after="0"/>
              <w:rPr>
                <w:sz w:val="20"/>
                <w:szCs w:val="20"/>
                <w:color w:val="auto"/>
              </w:rPr>
            </w:pPr>
            <w:r>
              <w:rPr>
                <w:rFonts w:ascii="Arial" w:cs="Arial" w:eastAsia="Arial" w:hAnsi="Arial"/>
                <w:sz w:val="18"/>
                <w:szCs w:val="18"/>
                <w:color w:val="auto"/>
              </w:rPr>
              <w:t>Cash and cash equivalents</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160,280</w:t>
            </w:r>
          </w:p>
        </w:tc>
        <w:tc>
          <w:tcPr>
            <w:tcW w:w="3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68,382</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00" w:type="dxa"/>
            <w:vAlign w:val="bottom"/>
          </w:tcPr>
          <w:p>
            <w:pPr>
              <w:ind w:left="120"/>
              <w:spacing w:after="0"/>
              <w:rPr>
                <w:sz w:val="20"/>
                <w:szCs w:val="20"/>
                <w:color w:val="auto"/>
              </w:rPr>
            </w:pPr>
            <w:r>
              <w:rPr>
                <w:rFonts w:ascii="Arial" w:cs="Arial" w:eastAsia="Arial" w:hAnsi="Arial"/>
                <w:sz w:val="18"/>
                <w:szCs w:val="18"/>
                <w:color w:val="auto"/>
              </w:rPr>
              <w:t>Short-term investments</w:t>
            </w:r>
          </w:p>
        </w:tc>
        <w:tc>
          <w:tcPr>
            <w:tcW w:w="16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3,313</w:t>
            </w:r>
          </w:p>
        </w:tc>
        <w:tc>
          <w:tcPr>
            <w:tcW w:w="1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88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00" w:type="dxa"/>
            <w:vAlign w:val="bottom"/>
            <w:shd w:val="clear" w:color="auto" w:fill="CCEEFF"/>
          </w:tcPr>
          <w:p>
            <w:pPr>
              <w:ind w:left="120"/>
              <w:spacing w:after="0"/>
              <w:rPr>
                <w:sz w:val="20"/>
                <w:szCs w:val="20"/>
                <w:color w:val="auto"/>
              </w:rPr>
            </w:pPr>
            <w:r>
              <w:rPr>
                <w:rFonts w:ascii="Arial" w:cs="Arial" w:eastAsia="Arial" w:hAnsi="Arial"/>
                <w:sz w:val="18"/>
                <w:szCs w:val="18"/>
                <w:color w:val="auto"/>
              </w:rPr>
              <w:t>Restricted cash (note 14)</w:t>
            </w:r>
          </w:p>
        </w:tc>
        <w:tc>
          <w:tcPr>
            <w:tcW w:w="16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30,999</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00" w:type="dxa"/>
            <w:vAlign w:val="bottom"/>
          </w:tcPr>
          <w:p>
            <w:pPr>
              <w:ind w:left="120"/>
              <w:spacing w:after="0"/>
              <w:rPr>
                <w:sz w:val="20"/>
                <w:szCs w:val="20"/>
                <w:color w:val="auto"/>
              </w:rPr>
            </w:pPr>
            <w:r>
              <w:rPr>
                <w:rFonts w:ascii="Arial" w:cs="Arial" w:eastAsia="Arial" w:hAnsi="Arial"/>
                <w:sz w:val="18"/>
                <w:szCs w:val="18"/>
                <w:color w:val="auto"/>
              </w:rPr>
              <w:t>Trade receivables (note 1)</w:t>
            </w:r>
          </w:p>
        </w:tc>
        <w:tc>
          <w:tcPr>
            <w:tcW w:w="16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93,571</w:t>
            </w:r>
          </w:p>
        </w:tc>
        <w:tc>
          <w:tcPr>
            <w:tcW w:w="1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jc w:val="right"/>
              <w:spacing w:after="0"/>
              <w:rPr>
                <w:sz w:val="20"/>
                <w:szCs w:val="20"/>
                <w:color w:val="auto"/>
              </w:rPr>
            </w:pPr>
            <w:r>
              <w:rPr>
                <w:rFonts w:ascii="Arial" w:cs="Arial" w:eastAsia="Arial" w:hAnsi="Arial"/>
                <w:sz w:val="18"/>
                <w:szCs w:val="18"/>
                <w:color w:val="auto"/>
              </w:rPr>
              <w:t>45,640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00" w:type="dxa"/>
            <w:vAlign w:val="bottom"/>
            <w:shd w:val="clear" w:color="auto" w:fill="CCEEFF"/>
          </w:tcPr>
          <w:p>
            <w:pPr>
              <w:ind w:left="120"/>
              <w:spacing w:after="0"/>
              <w:rPr>
                <w:sz w:val="20"/>
                <w:szCs w:val="20"/>
                <w:color w:val="auto"/>
              </w:rPr>
            </w:pPr>
            <w:r>
              <w:rPr>
                <w:rFonts w:ascii="Arial" w:cs="Arial" w:eastAsia="Arial" w:hAnsi="Arial"/>
                <w:sz w:val="18"/>
                <w:szCs w:val="18"/>
                <w:color w:val="auto"/>
              </w:rPr>
              <w:t>Inventories:</w:t>
            </w:r>
          </w:p>
        </w:tc>
        <w:tc>
          <w:tcPr>
            <w:tcW w:w="16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00" w:type="dxa"/>
            <w:vAlign w:val="bottom"/>
          </w:tcPr>
          <w:p>
            <w:pPr>
              <w:ind w:left="240"/>
              <w:spacing w:after="0"/>
              <w:rPr>
                <w:sz w:val="20"/>
                <w:szCs w:val="20"/>
                <w:color w:val="auto"/>
              </w:rPr>
            </w:pPr>
            <w:r>
              <w:rPr>
                <w:rFonts w:ascii="Arial" w:cs="Arial" w:eastAsia="Arial" w:hAnsi="Arial"/>
                <w:sz w:val="18"/>
                <w:szCs w:val="18"/>
                <w:color w:val="auto"/>
              </w:rPr>
              <w:t>Ore stockpiles</w:t>
            </w:r>
          </w:p>
        </w:tc>
        <w:tc>
          <w:tcPr>
            <w:tcW w:w="16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41,286</w:t>
            </w:r>
          </w:p>
        </w:tc>
        <w:tc>
          <w:tcPr>
            <w:tcW w:w="1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jc w:val="right"/>
              <w:spacing w:after="0"/>
              <w:rPr>
                <w:sz w:val="20"/>
                <w:szCs w:val="20"/>
                <w:color w:val="auto"/>
              </w:rPr>
            </w:pPr>
            <w:r>
              <w:rPr>
                <w:rFonts w:ascii="Arial" w:cs="Arial" w:eastAsia="Arial" w:hAnsi="Arial"/>
                <w:sz w:val="18"/>
                <w:szCs w:val="18"/>
                <w:color w:val="auto"/>
              </w:rPr>
              <w:t>24,869</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00" w:type="dxa"/>
            <w:vAlign w:val="bottom"/>
            <w:shd w:val="clear" w:color="auto" w:fill="CCEEFF"/>
          </w:tcPr>
          <w:p>
            <w:pPr>
              <w:ind w:left="240"/>
              <w:spacing w:after="0"/>
              <w:rPr>
                <w:sz w:val="20"/>
                <w:szCs w:val="20"/>
                <w:color w:val="auto"/>
              </w:rPr>
            </w:pPr>
            <w:r>
              <w:rPr>
                <w:rFonts w:ascii="Arial" w:cs="Arial" w:eastAsia="Arial" w:hAnsi="Arial"/>
                <w:sz w:val="18"/>
                <w:szCs w:val="18"/>
                <w:color w:val="auto"/>
              </w:rPr>
              <w:t>Concentrates and dore bars</w:t>
            </w:r>
          </w:p>
        </w:tc>
        <w:tc>
          <w:tcPr>
            <w:tcW w:w="16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31,579</w:t>
            </w: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5,013</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00" w:type="dxa"/>
            <w:vAlign w:val="bottom"/>
          </w:tcPr>
          <w:p>
            <w:pPr>
              <w:ind w:left="240"/>
              <w:spacing w:after="0"/>
              <w:rPr>
                <w:sz w:val="20"/>
                <w:szCs w:val="20"/>
                <w:color w:val="auto"/>
              </w:rPr>
            </w:pPr>
            <w:r>
              <w:rPr>
                <w:rFonts w:ascii="Arial" w:cs="Arial" w:eastAsia="Arial" w:hAnsi="Arial"/>
                <w:sz w:val="18"/>
                <w:szCs w:val="18"/>
                <w:color w:val="auto"/>
              </w:rPr>
              <w:t>Supplies</w:t>
            </w:r>
          </w:p>
        </w:tc>
        <w:tc>
          <w:tcPr>
            <w:tcW w:w="16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100,885</w:t>
            </w:r>
          </w:p>
        </w:tc>
        <w:tc>
          <w:tcPr>
            <w:tcW w:w="1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jc w:val="right"/>
              <w:spacing w:after="0"/>
              <w:rPr>
                <w:sz w:val="20"/>
                <w:szCs w:val="20"/>
                <w:color w:val="auto"/>
              </w:rPr>
            </w:pPr>
            <w:r>
              <w:rPr>
                <w:rFonts w:ascii="Arial" w:cs="Arial" w:eastAsia="Arial" w:hAnsi="Arial"/>
                <w:sz w:val="18"/>
                <w:szCs w:val="18"/>
                <w:color w:val="auto"/>
              </w:rPr>
              <w:t>40,014</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00" w:type="dxa"/>
            <w:vAlign w:val="bottom"/>
            <w:shd w:val="clear" w:color="auto" w:fill="CCEEFF"/>
          </w:tcPr>
          <w:p>
            <w:pPr>
              <w:ind w:left="120"/>
              <w:spacing w:after="0"/>
              <w:rPr>
                <w:sz w:val="20"/>
                <w:szCs w:val="20"/>
                <w:color w:val="auto"/>
              </w:rPr>
            </w:pPr>
            <w:r>
              <w:rPr>
                <w:rFonts w:ascii="Arial" w:cs="Arial" w:eastAsia="Arial" w:hAnsi="Arial"/>
                <w:sz w:val="18"/>
                <w:szCs w:val="18"/>
                <w:color w:val="auto"/>
              </w:rPr>
              <w:t>Available-for-sale securities (note 2(a))</w:t>
            </w:r>
          </w:p>
        </w:tc>
        <w:tc>
          <w:tcPr>
            <w:tcW w:w="16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111,967</w:t>
            </w: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70,383</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7000" w:type="dxa"/>
            <w:vAlign w:val="bottom"/>
          </w:tcPr>
          <w:p>
            <w:pPr>
              <w:ind w:left="120"/>
              <w:spacing w:after="0"/>
              <w:rPr>
                <w:sz w:val="20"/>
                <w:szCs w:val="20"/>
                <w:color w:val="auto"/>
              </w:rPr>
            </w:pPr>
            <w:r>
              <w:rPr>
                <w:rFonts w:ascii="Arial" w:cs="Arial" w:eastAsia="Arial" w:hAnsi="Arial"/>
                <w:sz w:val="18"/>
                <w:szCs w:val="18"/>
                <w:color w:val="auto"/>
              </w:rPr>
              <w:t>Other current assets (note 2(a))</w:t>
            </w:r>
          </w:p>
        </w:tc>
        <w:tc>
          <w:tcPr>
            <w:tcW w:w="160" w:type="dxa"/>
            <w:vAlign w:val="bottom"/>
          </w:tcPr>
          <w:p>
            <w:pPr>
              <w:spacing w:after="0"/>
              <w:rPr>
                <w:sz w:val="19"/>
                <w:szCs w:val="19"/>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61,159</w:t>
            </w:r>
          </w:p>
        </w:tc>
        <w:tc>
          <w:tcPr>
            <w:tcW w:w="1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20" w:type="dxa"/>
            <w:vAlign w:val="bottom"/>
          </w:tcPr>
          <w:p>
            <w:pPr>
              <w:jc w:val="right"/>
              <w:spacing w:after="0"/>
              <w:rPr>
                <w:sz w:val="20"/>
                <w:szCs w:val="20"/>
                <w:color w:val="auto"/>
              </w:rPr>
            </w:pPr>
            <w:r>
              <w:rPr>
                <w:rFonts w:ascii="Arial" w:cs="Arial" w:eastAsia="Arial" w:hAnsi="Arial"/>
                <w:sz w:val="18"/>
                <w:szCs w:val="18"/>
                <w:color w:val="auto"/>
              </w:rPr>
              <w:t>65,994</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
        </w:trPr>
        <w:tc>
          <w:tcPr>
            <w:tcW w:w="20" w:type="dxa"/>
            <w:vAlign w:val="bottom"/>
          </w:tcPr>
          <w:p>
            <w:pPr>
              <w:spacing w:after="0" w:line="20" w:lineRule="exact"/>
              <w:rPr>
                <w:sz w:val="1"/>
                <w:szCs w:val="1"/>
                <w:color w:val="auto"/>
              </w:rPr>
            </w:pPr>
          </w:p>
        </w:tc>
        <w:tc>
          <w:tcPr>
            <w:tcW w:w="700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7000" w:type="dxa"/>
            <w:vAlign w:val="bottom"/>
            <w:shd w:val="clear" w:color="auto" w:fill="CCEEFF"/>
          </w:tcPr>
          <w:p>
            <w:pPr>
              <w:spacing w:after="0"/>
              <w:rPr>
                <w:sz w:val="20"/>
                <w:szCs w:val="20"/>
                <w:color w:val="auto"/>
              </w:rPr>
            </w:pPr>
            <w:r>
              <w:rPr>
                <w:rFonts w:ascii="Arial" w:cs="Arial" w:eastAsia="Arial" w:hAnsi="Arial"/>
                <w:sz w:val="18"/>
                <w:szCs w:val="18"/>
                <w:color w:val="auto"/>
              </w:rPr>
              <w:t>Total current assets</w:t>
            </w:r>
          </w:p>
        </w:tc>
        <w:tc>
          <w:tcPr>
            <w:tcW w:w="16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604,040</w:t>
            </w: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351,294</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00" w:type="dxa"/>
            <w:vAlign w:val="bottom"/>
          </w:tcPr>
          <w:p>
            <w:pPr>
              <w:spacing w:after="0"/>
              <w:rPr>
                <w:sz w:val="20"/>
                <w:szCs w:val="20"/>
                <w:color w:val="auto"/>
              </w:rPr>
            </w:pPr>
            <w:r>
              <w:rPr>
                <w:rFonts w:ascii="Arial" w:cs="Arial" w:eastAsia="Arial" w:hAnsi="Arial"/>
                <w:sz w:val="18"/>
                <w:szCs w:val="18"/>
                <w:color w:val="auto"/>
              </w:rPr>
              <w:t>Other assets (note 2(b))</w:t>
            </w:r>
          </w:p>
        </w:tc>
        <w:tc>
          <w:tcPr>
            <w:tcW w:w="16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33,641</w:t>
            </w:r>
          </w:p>
        </w:tc>
        <w:tc>
          <w:tcPr>
            <w:tcW w:w="1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jc w:val="right"/>
              <w:spacing w:after="0"/>
              <w:rPr>
                <w:sz w:val="20"/>
                <w:szCs w:val="20"/>
                <w:color w:val="auto"/>
              </w:rPr>
            </w:pPr>
            <w:r>
              <w:rPr>
                <w:rFonts w:ascii="Arial" w:cs="Arial" w:eastAsia="Arial" w:hAnsi="Arial"/>
                <w:sz w:val="18"/>
                <w:szCs w:val="18"/>
                <w:color w:val="auto"/>
              </w:rPr>
              <w:t>8,383</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00" w:type="dxa"/>
            <w:vAlign w:val="bottom"/>
            <w:shd w:val="clear" w:color="auto" w:fill="CCEEFF"/>
          </w:tcPr>
          <w:p>
            <w:pPr>
              <w:spacing w:after="0"/>
              <w:rPr>
                <w:sz w:val="20"/>
                <w:szCs w:val="20"/>
                <w:color w:val="auto"/>
              </w:rPr>
            </w:pPr>
            <w:r>
              <w:rPr>
                <w:rFonts w:ascii="Arial" w:cs="Arial" w:eastAsia="Arial" w:hAnsi="Arial"/>
                <w:sz w:val="18"/>
                <w:szCs w:val="18"/>
                <w:color w:val="auto"/>
              </w:rPr>
              <w:t>Future income and mining tax assets (note 8)</w:t>
            </w:r>
          </w:p>
        </w:tc>
        <w:tc>
          <w:tcPr>
            <w:tcW w:w="16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27,878</w:t>
            </w: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21,647</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7000" w:type="dxa"/>
            <w:vAlign w:val="bottom"/>
          </w:tcPr>
          <w:p>
            <w:pPr>
              <w:spacing w:after="0"/>
              <w:rPr>
                <w:sz w:val="20"/>
                <w:szCs w:val="20"/>
                <w:color w:val="auto"/>
              </w:rPr>
            </w:pPr>
            <w:r>
              <w:rPr>
                <w:rFonts w:ascii="Arial" w:cs="Arial" w:eastAsia="Arial" w:hAnsi="Arial"/>
                <w:sz w:val="18"/>
                <w:szCs w:val="18"/>
                <w:color w:val="auto"/>
              </w:rPr>
              <w:t>Property, plant and mine development, net (note 3)</w:t>
            </w:r>
          </w:p>
        </w:tc>
        <w:tc>
          <w:tcPr>
            <w:tcW w:w="160" w:type="dxa"/>
            <w:vAlign w:val="bottom"/>
          </w:tcPr>
          <w:p>
            <w:pPr>
              <w:spacing w:after="0"/>
              <w:rPr>
                <w:sz w:val="19"/>
                <w:szCs w:val="19"/>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w w:val="87"/>
              </w:rPr>
              <w:t>3,581,798</w:t>
            </w:r>
          </w:p>
        </w:tc>
        <w:tc>
          <w:tcPr>
            <w:tcW w:w="1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20" w:type="dxa"/>
            <w:vAlign w:val="bottom"/>
          </w:tcPr>
          <w:p>
            <w:pPr>
              <w:jc w:val="right"/>
              <w:spacing w:after="0"/>
              <w:rPr>
                <w:sz w:val="20"/>
                <w:szCs w:val="20"/>
                <w:color w:val="auto"/>
              </w:rPr>
            </w:pPr>
            <w:r>
              <w:rPr>
                <w:rFonts w:ascii="Arial" w:cs="Arial" w:eastAsia="Arial" w:hAnsi="Arial"/>
                <w:sz w:val="18"/>
                <w:szCs w:val="18"/>
                <w:color w:val="auto"/>
                <w:w w:val="87"/>
              </w:rPr>
              <w:t>2,997,500</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
        </w:trPr>
        <w:tc>
          <w:tcPr>
            <w:tcW w:w="20" w:type="dxa"/>
            <w:vAlign w:val="bottom"/>
          </w:tcPr>
          <w:p>
            <w:pPr>
              <w:spacing w:after="0" w:line="20" w:lineRule="exact"/>
              <w:rPr>
                <w:sz w:val="1"/>
                <w:szCs w:val="1"/>
                <w:color w:val="auto"/>
              </w:rPr>
            </w:pPr>
          </w:p>
        </w:tc>
        <w:tc>
          <w:tcPr>
            <w:tcW w:w="700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7000" w:type="dxa"/>
            <w:vAlign w:val="bottom"/>
            <w:shd w:val="clear" w:color="auto" w:fill="CCEEFF"/>
          </w:tcPr>
          <w:p>
            <w:pPr>
              <w:spacing w:after="0"/>
              <w:rPr>
                <w:sz w:val="18"/>
                <w:szCs w:val="18"/>
                <w:color w:val="auto"/>
              </w:rPr>
            </w:pP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4,247,357</w:t>
            </w:r>
          </w:p>
        </w:tc>
        <w:tc>
          <w:tcPr>
            <w:tcW w:w="3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3,378,824</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702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LIABILITIES AND SHAREHOLDERS' EQUITY</w:t>
            </w:r>
          </w:p>
        </w:tc>
        <w:tc>
          <w:tcPr>
            <w:tcW w:w="16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7020" w:type="dxa"/>
            <w:vAlign w:val="bottom"/>
            <w:gridSpan w:val="2"/>
            <w:vMerge w:val="continue"/>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70"/>
        </w:trPr>
        <w:tc>
          <w:tcPr>
            <w:tcW w:w="7020" w:type="dxa"/>
            <w:vAlign w:val="bottom"/>
            <w:gridSpan w:val="2"/>
            <w:vMerge w:val="continue"/>
          </w:tcPr>
          <w:p>
            <w:pPr>
              <w:spacing w:after="0"/>
              <w:rPr>
                <w:sz w:val="24"/>
                <w:szCs w:val="24"/>
                <w:color w:val="auto"/>
              </w:rPr>
            </w:pPr>
          </w:p>
        </w:tc>
        <w:tc>
          <w:tcPr>
            <w:tcW w:w="16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7000" w:type="dxa"/>
            <w:vAlign w:val="bottom"/>
            <w:shd w:val="clear" w:color="auto" w:fill="CCEEFF"/>
          </w:tcPr>
          <w:p>
            <w:pPr>
              <w:spacing w:after="0"/>
              <w:rPr>
                <w:sz w:val="20"/>
                <w:szCs w:val="20"/>
                <w:color w:val="auto"/>
              </w:rPr>
            </w:pPr>
            <w:r>
              <w:rPr>
                <w:rFonts w:ascii="Arial" w:cs="Arial" w:eastAsia="Arial" w:hAnsi="Arial"/>
                <w:sz w:val="18"/>
                <w:szCs w:val="18"/>
                <w:color w:val="auto"/>
              </w:rPr>
              <w:t>Current</w:t>
            </w:r>
          </w:p>
        </w:tc>
        <w:tc>
          <w:tcPr>
            <w:tcW w:w="16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00" w:type="dxa"/>
            <w:vAlign w:val="bottom"/>
          </w:tcPr>
          <w:p>
            <w:pPr>
              <w:ind w:left="120"/>
              <w:spacing w:after="0"/>
              <w:rPr>
                <w:sz w:val="20"/>
                <w:szCs w:val="20"/>
                <w:color w:val="auto"/>
              </w:rPr>
            </w:pPr>
            <w:r>
              <w:rPr>
                <w:rFonts w:ascii="Arial" w:cs="Arial" w:eastAsia="Arial" w:hAnsi="Arial"/>
                <w:sz w:val="18"/>
                <w:szCs w:val="18"/>
                <w:color w:val="auto"/>
              </w:rPr>
              <w:t>Accounts payable and accrued liabilities (note 10)</w:t>
            </w:r>
          </w:p>
        </w:tc>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740" w:type="dxa"/>
            <w:vAlign w:val="bottom"/>
          </w:tcPr>
          <w:p>
            <w:pPr>
              <w:jc w:val="right"/>
              <w:spacing w:after="0"/>
              <w:rPr>
                <w:sz w:val="20"/>
                <w:szCs w:val="20"/>
                <w:color w:val="auto"/>
              </w:rPr>
            </w:pPr>
            <w:r>
              <w:rPr>
                <w:rFonts w:ascii="Arial" w:cs="Arial" w:eastAsia="Arial" w:hAnsi="Arial"/>
                <w:sz w:val="18"/>
                <w:szCs w:val="18"/>
                <w:color w:val="auto"/>
              </w:rPr>
              <w:t>155,432</w:t>
            </w:r>
          </w:p>
        </w:tc>
        <w:tc>
          <w:tcPr>
            <w:tcW w:w="34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720" w:type="dxa"/>
            <w:vAlign w:val="bottom"/>
          </w:tcPr>
          <w:p>
            <w:pPr>
              <w:jc w:val="right"/>
              <w:spacing w:after="0"/>
              <w:rPr>
                <w:sz w:val="20"/>
                <w:szCs w:val="20"/>
                <w:color w:val="auto"/>
              </w:rPr>
            </w:pPr>
            <w:r>
              <w:rPr>
                <w:rFonts w:ascii="Arial" w:cs="Arial" w:eastAsia="Arial" w:hAnsi="Arial"/>
                <w:sz w:val="18"/>
                <w:szCs w:val="18"/>
                <w:color w:val="auto"/>
              </w:rPr>
              <w:t>139,795</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00" w:type="dxa"/>
            <w:vAlign w:val="bottom"/>
            <w:shd w:val="clear" w:color="auto" w:fill="CCEEFF"/>
          </w:tcPr>
          <w:p>
            <w:pPr>
              <w:ind w:left="120"/>
              <w:spacing w:after="0"/>
              <w:rPr>
                <w:sz w:val="20"/>
                <w:szCs w:val="20"/>
                <w:color w:val="auto"/>
              </w:rPr>
            </w:pPr>
            <w:r>
              <w:rPr>
                <w:rFonts w:ascii="Arial" w:cs="Arial" w:eastAsia="Arial" w:hAnsi="Arial"/>
                <w:sz w:val="18"/>
                <w:szCs w:val="18"/>
                <w:color w:val="auto"/>
              </w:rPr>
              <w:t>Dividends payable</w:t>
            </w:r>
          </w:p>
        </w:tc>
        <w:tc>
          <w:tcPr>
            <w:tcW w:w="16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28,199</w:t>
            </w: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28,304</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00" w:type="dxa"/>
            <w:vAlign w:val="bottom"/>
          </w:tcPr>
          <w:p>
            <w:pPr>
              <w:ind w:left="120"/>
              <w:spacing w:after="0"/>
              <w:rPr>
                <w:sz w:val="20"/>
                <w:szCs w:val="20"/>
                <w:color w:val="auto"/>
              </w:rPr>
            </w:pPr>
            <w:r>
              <w:rPr>
                <w:rFonts w:ascii="Arial" w:cs="Arial" w:eastAsia="Arial" w:hAnsi="Arial"/>
                <w:sz w:val="18"/>
                <w:szCs w:val="18"/>
                <w:color w:val="auto"/>
              </w:rPr>
              <w:t>Income taxes payable</w:t>
            </w:r>
          </w:p>
        </w:tc>
        <w:tc>
          <w:tcPr>
            <w:tcW w:w="16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4,501</w:t>
            </w:r>
          </w:p>
        </w:tc>
        <w:tc>
          <w:tcPr>
            <w:tcW w:w="1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jc w:val="right"/>
              <w:spacing w:after="0"/>
              <w:rPr>
                <w:sz w:val="20"/>
                <w:szCs w:val="20"/>
                <w:color w:val="auto"/>
              </w:rPr>
            </w:pPr>
            <w:r>
              <w:rPr>
                <w:rFonts w:ascii="Arial" w:cs="Arial" w:eastAsia="Arial" w:hAnsi="Arial"/>
                <w:sz w:val="18"/>
                <w:szCs w:val="18"/>
                <w:color w:val="auto"/>
              </w:rPr>
              <w:t>4,814</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00" w:type="dxa"/>
            <w:vAlign w:val="bottom"/>
            <w:shd w:val="clear" w:color="auto" w:fill="CCEEFF"/>
          </w:tcPr>
          <w:p>
            <w:pPr>
              <w:ind w:left="120"/>
              <w:spacing w:after="0"/>
              <w:rPr>
                <w:sz w:val="20"/>
                <w:szCs w:val="20"/>
                <w:color w:val="auto"/>
              </w:rPr>
            </w:pPr>
            <w:r>
              <w:rPr>
                <w:rFonts w:ascii="Arial" w:cs="Arial" w:eastAsia="Arial" w:hAnsi="Arial"/>
                <w:sz w:val="18"/>
                <w:szCs w:val="18"/>
                <w:color w:val="auto"/>
              </w:rPr>
              <w:t>Interest payable</w:t>
            </w:r>
          </w:p>
        </w:tc>
        <w:tc>
          <w:tcPr>
            <w:tcW w:w="16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1,666</w:t>
            </w: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146</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7000" w:type="dxa"/>
            <w:vAlign w:val="bottom"/>
          </w:tcPr>
          <w:p>
            <w:pPr>
              <w:ind w:left="120"/>
              <w:spacing w:after="0"/>
              <w:rPr>
                <w:sz w:val="20"/>
                <w:szCs w:val="20"/>
                <w:color w:val="auto"/>
              </w:rPr>
            </w:pPr>
            <w:r>
              <w:rPr>
                <w:rFonts w:ascii="Arial" w:cs="Arial" w:eastAsia="Arial" w:hAnsi="Arial"/>
                <w:sz w:val="18"/>
                <w:szCs w:val="18"/>
                <w:color w:val="auto"/>
              </w:rPr>
              <w:t>Fair value of derivative financial instruments (note 15)</w:t>
            </w:r>
          </w:p>
        </w:tc>
        <w:tc>
          <w:tcPr>
            <w:tcW w:w="160" w:type="dxa"/>
            <w:vAlign w:val="bottom"/>
          </w:tcPr>
          <w:p>
            <w:pPr>
              <w:spacing w:after="0"/>
              <w:rPr>
                <w:sz w:val="19"/>
                <w:szCs w:val="19"/>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662</w:t>
            </w:r>
          </w:p>
        </w:tc>
        <w:tc>
          <w:tcPr>
            <w:tcW w:w="1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20" w:type="dxa"/>
            <w:vAlign w:val="bottom"/>
          </w:tcPr>
          <w:p>
            <w:pPr>
              <w:jc w:val="right"/>
              <w:spacing w:after="0"/>
              <w:rPr>
                <w:sz w:val="20"/>
                <w:szCs w:val="20"/>
                <w:color w:val="auto"/>
              </w:rPr>
            </w:pPr>
            <w:r>
              <w:rPr>
                <w:rFonts w:ascii="Arial" w:cs="Arial" w:eastAsia="Arial" w:hAnsi="Arial"/>
                <w:sz w:val="18"/>
                <w:szCs w:val="18"/>
                <w:color w:val="auto"/>
              </w:rPr>
              <w:t>12,823</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
        </w:trPr>
        <w:tc>
          <w:tcPr>
            <w:tcW w:w="20" w:type="dxa"/>
            <w:vAlign w:val="bottom"/>
          </w:tcPr>
          <w:p>
            <w:pPr>
              <w:spacing w:after="0" w:line="20" w:lineRule="exact"/>
              <w:rPr>
                <w:sz w:val="1"/>
                <w:szCs w:val="1"/>
                <w:color w:val="auto"/>
              </w:rPr>
            </w:pPr>
          </w:p>
        </w:tc>
        <w:tc>
          <w:tcPr>
            <w:tcW w:w="700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7000" w:type="dxa"/>
            <w:vAlign w:val="bottom"/>
            <w:shd w:val="clear" w:color="auto" w:fill="CCEEFF"/>
          </w:tcPr>
          <w:p>
            <w:pPr>
              <w:spacing w:after="0"/>
              <w:rPr>
                <w:sz w:val="20"/>
                <w:szCs w:val="20"/>
                <w:color w:val="auto"/>
              </w:rPr>
            </w:pPr>
            <w:r>
              <w:rPr>
                <w:rFonts w:ascii="Arial" w:cs="Arial" w:eastAsia="Arial" w:hAnsi="Arial"/>
                <w:sz w:val="18"/>
                <w:szCs w:val="18"/>
                <w:color w:val="auto"/>
              </w:rPr>
              <w:t>Total current liabilities</w:t>
            </w:r>
          </w:p>
        </w:tc>
        <w:tc>
          <w:tcPr>
            <w:tcW w:w="16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190,460</w:t>
            </w: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185,882</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7020" w:type="dxa"/>
            <w:vAlign w:val="bottom"/>
            <w:gridSpan w:val="2"/>
            <w:vMerge w:val="restart"/>
          </w:tcPr>
          <w:p>
            <w:pPr>
              <w:spacing w:after="0"/>
              <w:rPr>
                <w:sz w:val="20"/>
                <w:szCs w:val="20"/>
                <w:color w:val="auto"/>
              </w:rPr>
            </w:pPr>
            <w:r>
              <w:rPr>
                <w:rFonts w:ascii="Arial" w:cs="Arial" w:eastAsia="Arial" w:hAnsi="Arial"/>
                <w:sz w:val="18"/>
                <w:szCs w:val="18"/>
                <w:color w:val="auto"/>
              </w:rPr>
              <w:t>Bank debt (note 4)</w:t>
            </w:r>
          </w:p>
        </w:tc>
        <w:tc>
          <w:tcPr>
            <w:tcW w:w="16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16"/>
        </w:trPr>
        <w:tc>
          <w:tcPr>
            <w:tcW w:w="7020" w:type="dxa"/>
            <w:vAlign w:val="bottom"/>
            <w:gridSpan w:val="2"/>
            <w:vMerge w:val="continue"/>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715,000</w:t>
            </w:r>
          </w:p>
        </w:tc>
        <w:tc>
          <w:tcPr>
            <w:tcW w:w="1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jc w:val="right"/>
              <w:spacing w:after="0"/>
              <w:rPr>
                <w:sz w:val="20"/>
                <w:szCs w:val="20"/>
                <w:color w:val="auto"/>
              </w:rPr>
            </w:pPr>
            <w:r>
              <w:rPr>
                <w:rFonts w:ascii="Arial" w:cs="Arial" w:eastAsia="Arial" w:hAnsi="Arial"/>
                <w:sz w:val="18"/>
                <w:szCs w:val="18"/>
                <w:color w:val="auto"/>
              </w:rPr>
              <w:t>200,000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
        </w:trPr>
        <w:tc>
          <w:tcPr>
            <w:tcW w:w="20" w:type="dxa"/>
            <w:vAlign w:val="bottom"/>
          </w:tcPr>
          <w:p>
            <w:pPr>
              <w:spacing w:after="0" w:line="20" w:lineRule="exact"/>
              <w:rPr>
                <w:sz w:val="1"/>
                <w:szCs w:val="1"/>
                <w:color w:val="auto"/>
              </w:rPr>
            </w:pPr>
          </w:p>
        </w:tc>
        <w:tc>
          <w:tcPr>
            <w:tcW w:w="700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7000" w:type="dxa"/>
            <w:vAlign w:val="bottom"/>
            <w:shd w:val="clear" w:color="auto" w:fill="CCEEFF"/>
          </w:tcPr>
          <w:p>
            <w:pPr>
              <w:spacing w:after="0"/>
              <w:rPr>
                <w:sz w:val="20"/>
                <w:szCs w:val="20"/>
                <w:color w:val="auto"/>
              </w:rPr>
            </w:pPr>
            <w:r>
              <w:rPr>
                <w:rFonts w:ascii="Arial" w:cs="Arial" w:eastAsia="Arial" w:hAnsi="Arial"/>
                <w:sz w:val="18"/>
                <w:szCs w:val="18"/>
                <w:color w:val="auto"/>
              </w:rPr>
              <w:t>Reclamation provision and other liabilities (note 5)</w:t>
            </w:r>
          </w:p>
        </w:tc>
        <w:tc>
          <w:tcPr>
            <w:tcW w:w="16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96,255</w:t>
            </w: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71,770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7020" w:type="dxa"/>
            <w:vAlign w:val="bottom"/>
            <w:gridSpan w:val="2"/>
            <w:vMerge w:val="restart"/>
          </w:tcPr>
          <w:p>
            <w:pPr>
              <w:spacing w:after="0"/>
              <w:rPr>
                <w:sz w:val="20"/>
                <w:szCs w:val="20"/>
                <w:color w:val="auto"/>
              </w:rPr>
            </w:pPr>
            <w:r>
              <w:rPr>
                <w:rFonts w:ascii="Arial" w:cs="Arial" w:eastAsia="Arial" w:hAnsi="Arial"/>
                <w:sz w:val="18"/>
                <w:szCs w:val="18"/>
                <w:color w:val="auto"/>
              </w:rPr>
              <w:t>Future income and mining tax liabilities (note 8)</w:t>
            </w:r>
          </w:p>
        </w:tc>
        <w:tc>
          <w:tcPr>
            <w:tcW w:w="16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16"/>
        </w:trPr>
        <w:tc>
          <w:tcPr>
            <w:tcW w:w="7020" w:type="dxa"/>
            <w:vAlign w:val="bottom"/>
            <w:gridSpan w:val="2"/>
            <w:vMerge w:val="continue"/>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493,881</w:t>
            </w:r>
          </w:p>
        </w:tc>
        <w:tc>
          <w:tcPr>
            <w:tcW w:w="1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jc w:val="right"/>
              <w:spacing w:after="0"/>
              <w:rPr>
                <w:sz w:val="20"/>
                <w:szCs w:val="20"/>
                <w:color w:val="auto"/>
              </w:rPr>
            </w:pPr>
            <w:r>
              <w:rPr>
                <w:rFonts w:ascii="Arial" w:cs="Arial" w:eastAsia="Arial" w:hAnsi="Arial"/>
                <w:sz w:val="18"/>
                <w:szCs w:val="18"/>
                <w:color w:val="auto"/>
              </w:rPr>
              <w:t>403,416</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
        </w:trPr>
        <w:tc>
          <w:tcPr>
            <w:tcW w:w="7020" w:type="dxa"/>
            <w:vAlign w:val="bottom"/>
            <w:gridSpan w:val="2"/>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385"/>
        </w:trPr>
        <w:tc>
          <w:tcPr>
            <w:tcW w:w="20" w:type="dxa"/>
            <w:vAlign w:val="bottom"/>
          </w:tcPr>
          <w:p>
            <w:pPr>
              <w:spacing w:after="0"/>
              <w:rPr>
                <w:sz w:val="24"/>
                <w:szCs w:val="24"/>
                <w:color w:val="auto"/>
              </w:rPr>
            </w:pPr>
          </w:p>
        </w:tc>
        <w:tc>
          <w:tcPr>
            <w:tcW w:w="70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SHAREHOLDERS' EQUITY</w:t>
            </w:r>
          </w:p>
        </w:tc>
        <w:tc>
          <w:tcPr>
            <w:tcW w:w="160" w:type="dxa"/>
            <w:vAlign w:val="bottom"/>
            <w:shd w:val="clear" w:color="auto" w:fill="CCEEFF"/>
          </w:tcPr>
          <w:p>
            <w:pPr>
              <w:spacing w:after="0"/>
              <w:rPr>
                <w:sz w:val="24"/>
                <w:szCs w:val="24"/>
                <w:color w:val="auto"/>
              </w:rPr>
            </w:pPr>
          </w:p>
        </w:tc>
        <w:tc>
          <w:tcPr>
            <w:tcW w:w="74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72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00" w:type="dxa"/>
            <w:vAlign w:val="bottom"/>
          </w:tcPr>
          <w:p>
            <w:pPr>
              <w:spacing w:after="0"/>
              <w:rPr>
                <w:sz w:val="20"/>
                <w:szCs w:val="20"/>
                <w:color w:val="auto"/>
              </w:rPr>
            </w:pPr>
            <w:r>
              <w:rPr>
                <w:rFonts w:ascii="Arial" w:cs="Arial" w:eastAsia="Arial" w:hAnsi="Arial"/>
                <w:sz w:val="18"/>
                <w:szCs w:val="18"/>
                <w:color w:val="auto"/>
              </w:rPr>
              <w:t>Common Shares (note 6(a))</w:t>
            </w:r>
          </w:p>
        </w:tc>
        <w:tc>
          <w:tcPr>
            <w:tcW w:w="16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w w:val="87"/>
              </w:rPr>
              <w:t>2,378,759</w:t>
            </w:r>
          </w:p>
        </w:tc>
        <w:tc>
          <w:tcPr>
            <w:tcW w:w="1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jc w:val="right"/>
              <w:spacing w:after="0"/>
              <w:rPr>
                <w:sz w:val="20"/>
                <w:szCs w:val="20"/>
                <w:color w:val="auto"/>
              </w:rPr>
            </w:pPr>
            <w:r>
              <w:rPr>
                <w:rFonts w:ascii="Arial" w:cs="Arial" w:eastAsia="Arial" w:hAnsi="Arial"/>
                <w:sz w:val="18"/>
                <w:szCs w:val="18"/>
                <w:color w:val="auto"/>
                <w:w w:val="87"/>
              </w:rPr>
              <w:t>2,299,747</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00" w:type="dxa"/>
            <w:vAlign w:val="bottom"/>
            <w:shd w:val="clear" w:color="auto" w:fill="CCEEFF"/>
          </w:tcPr>
          <w:p>
            <w:pPr>
              <w:spacing w:after="0"/>
              <w:rPr>
                <w:sz w:val="20"/>
                <w:szCs w:val="20"/>
                <w:color w:val="auto"/>
              </w:rPr>
            </w:pPr>
            <w:r>
              <w:rPr>
                <w:rFonts w:ascii="Arial" w:cs="Arial" w:eastAsia="Arial" w:hAnsi="Arial"/>
                <w:sz w:val="18"/>
                <w:szCs w:val="18"/>
                <w:color w:val="auto"/>
              </w:rPr>
              <w:t>Stock options (note 7(a))</w:t>
            </w:r>
          </w:p>
        </w:tc>
        <w:tc>
          <w:tcPr>
            <w:tcW w:w="16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65,771</w:t>
            </w: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41,052</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00" w:type="dxa"/>
            <w:vAlign w:val="bottom"/>
          </w:tcPr>
          <w:p>
            <w:pPr>
              <w:spacing w:after="0"/>
              <w:rPr>
                <w:sz w:val="20"/>
                <w:szCs w:val="20"/>
                <w:color w:val="auto"/>
              </w:rPr>
            </w:pPr>
            <w:r>
              <w:rPr>
                <w:rFonts w:ascii="Arial" w:cs="Arial" w:eastAsia="Arial" w:hAnsi="Arial"/>
                <w:sz w:val="18"/>
                <w:szCs w:val="18"/>
                <w:color w:val="auto"/>
              </w:rPr>
              <w:t>Warrants (note 6(c))</w:t>
            </w:r>
          </w:p>
        </w:tc>
        <w:tc>
          <w:tcPr>
            <w:tcW w:w="16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24,858</w:t>
            </w:r>
          </w:p>
        </w:tc>
        <w:tc>
          <w:tcPr>
            <w:tcW w:w="1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jc w:val="right"/>
              <w:spacing w:after="0"/>
              <w:rPr>
                <w:sz w:val="20"/>
                <w:szCs w:val="20"/>
                <w:color w:val="auto"/>
              </w:rPr>
            </w:pPr>
            <w:r>
              <w:rPr>
                <w:rFonts w:ascii="Arial" w:cs="Arial" w:eastAsia="Arial" w:hAnsi="Arial"/>
                <w:sz w:val="18"/>
                <w:szCs w:val="18"/>
                <w:color w:val="auto"/>
              </w:rPr>
              <w:t>24,858</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00" w:type="dxa"/>
            <w:vAlign w:val="bottom"/>
            <w:shd w:val="clear" w:color="auto" w:fill="CCEEFF"/>
          </w:tcPr>
          <w:p>
            <w:pPr>
              <w:spacing w:after="0"/>
              <w:rPr>
                <w:sz w:val="20"/>
                <w:szCs w:val="20"/>
                <w:color w:val="auto"/>
              </w:rPr>
            </w:pPr>
            <w:r>
              <w:rPr>
                <w:rFonts w:ascii="Arial" w:cs="Arial" w:eastAsia="Arial" w:hAnsi="Arial"/>
                <w:sz w:val="18"/>
                <w:szCs w:val="18"/>
                <w:color w:val="auto"/>
              </w:rPr>
              <w:t>Contributed surplus</w:t>
            </w:r>
          </w:p>
        </w:tc>
        <w:tc>
          <w:tcPr>
            <w:tcW w:w="16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15,166</w:t>
            </w: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15,166</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00" w:type="dxa"/>
            <w:vAlign w:val="bottom"/>
          </w:tcPr>
          <w:p>
            <w:pPr>
              <w:spacing w:after="0"/>
              <w:rPr>
                <w:sz w:val="20"/>
                <w:szCs w:val="20"/>
                <w:color w:val="auto"/>
              </w:rPr>
            </w:pPr>
            <w:r>
              <w:rPr>
                <w:rFonts w:ascii="Arial" w:cs="Arial" w:eastAsia="Arial" w:hAnsi="Arial"/>
                <w:sz w:val="18"/>
                <w:szCs w:val="18"/>
                <w:color w:val="auto"/>
              </w:rPr>
              <w:t>Retained earnings</w:t>
            </w:r>
          </w:p>
        </w:tc>
        <w:tc>
          <w:tcPr>
            <w:tcW w:w="16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216,158</w:t>
            </w:r>
          </w:p>
        </w:tc>
        <w:tc>
          <w:tcPr>
            <w:tcW w:w="1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jc w:val="right"/>
              <w:spacing w:after="0"/>
              <w:rPr>
                <w:sz w:val="20"/>
                <w:szCs w:val="20"/>
                <w:color w:val="auto"/>
              </w:rPr>
            </w:pPr>
            <w:r>
              <w:rPr>
                <w:rFonts w:ascii="Arial" w:cs="Arial" w:eastAsia="Arial" w:hAnsi="Arial"/>
                <w:sz w:val="18"/>
                <w:szCs w:val="18"/>
                <w:color w:val="auto"/>
              </w:rPr>
              <w:t>157,541</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00" w:type="dxa"/>
            <w:vAlign w:val="bottom"/>
            <w:shd w:val="clear" w:color="auto" w:fill="CCEEFF"/>
          </w:tcPr>
          <w:p>
            <w:pPr>
              <w:spacing w:after="0"/>
              <w:rPr>
                <w:sz w:val="20"/>
                <w:szCs w:val="20"/>
                <w:color w:val="auto"/>
              </w:rPr>
            </w:pPr>
            <w:r>
              <w:rPr>
                <w:rFonts w:ascii="Arial" w:cs="Arial" w:eastAsia="Arial" w:hAnsi="Arial"/>
                <w:sz w:val="18"/>
                <w:szCs w:val="18"/>
                <w:color w:val="auto"/>
              </w:rPr>
              <w:t>Accumulated other comprehensive income (loss) (note 6(e))</w:t>
            </w:r>
          </w:p>
        </w:tc>
        <w:tc>
          <w:tcPr>
            <w:tcW w:w="16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51,049</w:t>
            </w: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(20,608)</w:t>
            </w:r>
          </w:p>
        </w:tc>
        <w:tc>
          <w:tcPr>
            <w:tcW w:w="0" w:type="dxa"/>
            <w:vAlign w:val="bottom"/>
          </w:tcPr>
          <w:p>
            <w:pPr>
              <w:spacing w:after="0"/>
              <w:rPr>
                <w:sz w:val="1"/>
                <w:szCs w:val="1"/>
                <w:color w:val="auto"/>
              </w:rPr>
            </w:pPr>
          </w:p>
        </w:tc>
      </w:tr>
      <w:tr>
        <w:trPr>
          <w:trHeight w:val="27"/>
        </w:trPr>
        <w:tc>
          <w:tcPr>
            <w:tcW w:w="7020" w:type="dxa"/>
            <w:vAlign w:val="bottom"/>
            <w:gridSpan w:val="2"/>
            <w:vMerge w:val="restart"/>
          </w:tcPr>
          <w:p>
            <w:pPr>
              <w:spacing w:after="0"/>
              <w:rPr>
                <w:sz w:val="20"/>
                <w:szCs w:val="20"/>
                <w:color w:val="auto"/>
              </w:rPr>
            </w:pPr>
            <w:r>
              <w:rPr>
                <w:rFonts w:ascii="Arial" w:cs="Arial" w:eastAsia="Arial" w:hAnsi="Arial"/>
                <w:sz w:val="18"/>
                <w:szCs w:val="18"/>
                <w:color w:val="auto"/>
              </w:rPr>
              <w:t>Total shareholders' equity</w:t>
            </w:r>
          </w:p>
        </w:tc>
        <w:tc>
          <w:tcPr>
            <w:tcW w:w="16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16"/>
        </w:trPr>
        <w:tc>
          <w:tcPr>
            <w:tcW w:w="7020" w:type="dxa"/>
            <w:vAlign w:val="bottom"/>
            <w:gridSpan w:val="2"/>
            <w:vMerge w:val="continue"/>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w w:val="87"/>
              </w:rPr>
              <w:t>2,751,761</w:t>
            </w:r>
          </w:p>
        </w:tc>
        <w:tc>
          <w:tcPr>
            <w:tcW w:w="1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jc w:val="right"/>
              <w:spacing w:after="0"/>
              <w:rPr>
                <w:sz w:val="20"/>
                <w:szCs w:val="20"/>
                <w:color w:val="auto"/>
              </w:rPr>
            </w:pPr>
            <w:r>
              <w:rPr>
                <w:rFonts w:ascii="Arial" w:cs="Arial" w:eastAsia="Arial" w:hAnsi="Arial"/>
                <w:sz w:val="18"/>
                <w:szCs w:val="18"/>
                <w:color w:val="auto"/>
                <w:w w:val="87"/>
              </w:rPr>
              <w:t>2,517,756</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
        </w:trPr>
        <w:tc>
          <w:tcPr>
            <w:tcW w:w="20" w:type="dxa"/>
            <w:vAlign w:val="bottom"/>
          </w:tcPr>
          <w:p>
            <w:pPr>
              <w:spacing w:after="0" w:line="20" w:lineRule="exact"/>
              <w:rPr>
                <w:sz w:val="1"/>
                <w:szCs w:val="1"/>
                <w:color w:val="auto"/>
              </w:rPr>
            </w:pPr>
          </w:p>
        </w:tc>
        <w:tc>
          <w:tcPr>
            <w:tcW w:w="700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7000" w:type="dxa"/>
            <w:vAlign w:val="bottom"/>
            <w:shd w:val="clear" w:color="auto" w:fill="CCEEFF"/>
          </w:tcPr>
          <w:p>
            <w:pPr>
              <w:spacing w:after="0"/>
              <w:rPr>
                <w:sz w:val="18"/>
                <w:szCs w:val="18"/>
                <w:color w:val="auto"/>
              </w:rPr>
            </w:pP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4,247,357</w:t>
            </w:r>
          </w:p>
        </w:tc>
        <w:tc>
          <w:tcPr>
            <w:tcW w:w="3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3,378,824</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7020" w:type="dxa"/>
            <w:vAlign w:val="bottom"/>
            <w:gridSpan w:val="2"/>
            <w:vMerge w:val="restart"/>
          </w:tcPr>
          <w:p>
            <w:pPr>
              <w:spacing w:after="0"/>
              <w:rPr>
                <w:sz w:val="20"/>
                <w:szCs w:val="20"/>
                <w:color w:val="auto"/>
              </w:rPr>
            </w:pPr>
            <w:r>
              <w:rPr>
                <w:rFonts w:ascii="Arial" w:cs="Arial" w:eastAsia="Arial" w:hAnsi="Arial"/>
                <w:sz w:val="18"/>
                <w:szCs w:val="18"/>
                <w:color w:val="auto"/>
              </w:rPr>
              <w:t>Contingencies and commitments (notes 5, 12 and 13(b))</w:t>
            </w:r>
          </w:p>
        </w:tc>
        <w:tc>
          <w:tcPr>
            <w:tcW w:w="16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7020" w:type="dxa"/>
            <w:vAlign w:val="bottom"/>
            <w:gridSpan w:val="2"/>
            <w:vMerge w:val="continue"/>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5"/>
        </w:trPr>
        <w:tc>
          <w:tcPr>
            <w:tcW w:w="7020" w:type="dxa"/>
            <w:vAlign w:val="bottom"/>
            <w:gridSpan w:val="2"/>
            <w:vMerge w:val="continue"/>
          </w:tcPr>
          <w:p>
            <w:pPr>
              <w:spacing w:after="0"/>
              <w:rPr>
                <w:sz w:val="16"/>
                <w:szCs w:val="16"/>
                <w:color w:val="auto"/>
              </w:rPr>
            </w:pPr>
          </w:p>
        </w:tc>
        <w:tc>
          <w:tcPr>
            <w:tcW w:w="16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bl>
    <w:p>
      <w:pPr>
        <w:spacing w:after="0" w:line="210" w:lineRule="exact"/>
        <w:rPr>
          <w:sz w:val="20"/>
          <w:szCs w:val="20"/>
          <w:color w:val="auto"/>
        </w:rPr>
      </w:pPr>
    </w:p>
    <w:p>
      <w:pPr>
        <w:spacing w:after="0"/>
        <w:rPr>
          <w:sz w:val="20"/>
          <w:szCs w:val="20"/>
          <w:color w:val="auto"/>
        </w:rPr>
      </w:pPr>
      <w:r>
        <w:rPr>
          <w:rFonts w:ascii="Arial" w:cs="Arial" w:eastAsia="Arial" w:hAnsi="Arial"/>
          <w:sz w:val="18"/>
          <w:szCs w:val="18"/>
          <w:color w:val="auto"/>
        </w:rPr>
        <w:t>On behalf of the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4104640</wp:posOffset>
            </wp:positionH>
            <wp:positionV relativeFrom="paragraph">
              <wp:posOffset>148590</wp:posOffset>
            </wp:positionV>
            <wp:extent cx="2066925" cy="49720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extLst>
                        <a:ext uri="{28A0092B-C50C-407E-A947-70E740481C1C}"/>
                      </a:extLst>
                    </a:blip>
                    <a:srcRect/>
                    <a:stretch>
                      <a:fillRect/>
                    </a:stretch>
                  </pic:blipFill>
                  <pic:spPr bwMode="auto">
                    <a:xfrm>
                      <a:off x="0" y="0"/>
                      <a:ext cx="2066925" cy="4972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2440"/>
        <w:spacing w:after="0"/>
        <w:tabs>
          <w:tab w:leader="none" w:pos="7000" w:val="left"/>
        </w:tabs>
        <w:rPr>
          <w:sz w:val="20"/>
          <w:szCs w:val="20"/>
          <w:color w:val="auto"/>
        </w:rPr>
      </w:pPr>
      <w:r>
        <w:rPr>
          <w:rFonts w:ascii="Arial" w:cs="Arial" w:eastAsia="Arial" w:hAnsi="Arial"/>
          <w:sz w:val="18"/>
          <w:szCs w:val="18"/>
          <w:color w:val="auto"/>
        </w:rPr>
        <w:t>Sean Boyd C.A., Director</w:t>
      </w:r>
      <w:r>
        <w:rPr>
          <w:sz w:val="20"/>
          <w:szCs w:val="20"/>
          <w:color w:val="auto"/>
        </w:rPr>
        <w:tab/>
      </w:r>
      <w:r>
        <w:rPr>
          <w:rFonts w:ascii="Arial" w:cs="Arial" w:eastAsia="Arial" w:hAnsi="Arial"/>
          <w:sz w:val="16"/>
          <w:szCs w:val="16"/>
          <w:color w:val="auto"/>
        </w:rPr>
        <w:t>Mel Leiderman C.A., Director</w:t>
      </w:r>
    </w:p>
    <w:p>
      <w:pPr>
        <w:spacing w:after="0" w:line="225" w:lineRule="exact"/>
        <w:rPr>
          <w:sz w:val="20"/>
          <w:szCs w:val="20"/>
          <w:color w:val="auto"/>
        </w:rPr>
      </w:pPr>
    </w:p>
    <w:p>
      <w:pPr>
        <w:ind w:left="4860"/>
        <w:spacing w:after="0"/>
        <w:rPr>
          <w:sz w:val="20"/>
          <w:szCs w:val="20"/>
          <w:color w:val="auto"/>
        </w:rPr>
      </w:pPr>
      <w:r>
        <w:rPr>
          <w:rFonts w:ascii="Arial" w:cs="Arial" w:eastAsia="Arial" w:hAnsi="Arial"/>
          <w:sz w:val="18"/>
          <w:szCs w:val="18"/>
          <w:i w:val="1"/>
          <w:iCs w:val="1"/>
          <w:color w:val="auto"/>
        </w:rPr>
        <w:t>See accompanying notes</w:t>
      </w:r>
    </w:p>
    <w:p>
      <w:pPr>
        <w:sectPr>
          <w:pgSz w:w="11900" w:h="16838" w:orient="portrait"/>
          <w:cols w:equalWidth="0" w:num="1">
            <w:col w:w="10280"/>
          </w:cols>
          <w:pgMar w:left="240" w:top="341" w:right="1379" w:bottom="1440" w:gutter="0" w:footer="0" w:header="0"/>
        </w:sectPr>
      </w:pPr>
    </w:p>
    <w:p>
      <w:pPr>
        <w:spacing w:after="0" w:line="225" w:lineRule="exact"/>
        <w:rPr>
          <w:sz w:val="20"/>
          <w:szCs w:val="20"/>
          <w:color w:val="auto"/>
        </w:rPr>
      </w:pPr>
    </w:p>
    <w:p>
      <w:pPr>
        <w:ind w:left="5580"/>
        <w:spacing w:after="0"/>
        <w:rPr>
          <w:sz w:val="20"/>
          <w:szCs w:val="20"/>
          <w:color w:val="auto"/>
        </w:rPr>
      </w:pPr>
      <w:r>
        <w:rPr>
          <w:rFonts w:ascii="Arial" w:cs="Arial" w:eastAsia="Arial" w:hAnsi="Arial"/>
          <w:sz w:val="15"/>
          <w:szCs w:val="15"/>
          <w:color w:val="auto"/>
        </w:rPr>
        <w:t>154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168275</wp:posOffset>
            </wp:positionV>
            <wp:extent cx="7250430" cy="2159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280"/>
          </w:cols>
          <w:pgMar w:left="240" w:top="341" w:right="1379" w:bottom="1440" w:gutter="0" w:footer="0" w:header="0"/>
          <w:type w:val="continuous"/>
        </w:sectPr>
      </w:pPr>
    </w:p>
    <w:bookmarkStart w:id="197" w:name="page198"/>
    <w:bookmarkEnd w:id="197"/>
    <w:p>
      <w:pPr>
        <w:jc w:val="center"/>
        <w:ind w:right="40"/>
        <w:spacing w:after="0"/>
        <w:rPr>
          <w:sz w:val="20"/>
          <w:szCs w:val="20"/>
          <w:color w:val="auto"/>
        </w:rPr>
      </w:pPr>
      <w:r>
        <w:rPr>
          <w:rFonts w:ascii="Arial" w:cs="Arial" w:eastAsia="Arial" w:hAnsi="Arial"/>
          <w:sz w:val="18"/>
          <w:szCs w:val="18"/>
          <w:b w:val="1"/>
          <w:bCs w:val="1"/>
          <w:color w:val="auto"/>
        </w:rPr>
        <w:t>AGNICO-EAGLE MINES LIMITED</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CONSOLIDATED STATEMENTS OF INCOME AND COMPREHENSIVE INCOME</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(thousands of United States dollars, except per share amounts, US GAAP basis)</w:t>
      </w:r>
    </w:p>
    <w:p>
      <w:pPr>
        <w:spacing w:after="0" w:line="28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580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940" w:type="dxa"/>
            <w:vAlign w:val="bottom"/>
            <w:tcBorders>
              <w:bottom w:val="single" w:sz="8" w:color="auto"/>
            </w:tcBorders>
            <w:gridSpan w:val="6"/>
          </w:tcPr>
          <w:p>
            <w:pPr>
              <w:jc w:val="right"/>
              <w:spacing w:after="0"/>
              <w:rPr>
                <w:sz w:val="20"/>
                <w:szCs w:val="20"/>
                <w:color w:val="auto"/>
              </w:rPr>
            </w:pPr>
            <w:r>
              <w:rPr>
                <w:rFonts w:ascii="Arial" w:cs="Arial" w:eastAsia="Arial" w:hAnsi="Arial"/>
                <w:sz w:val="14"/>
                <w:szCs w:val="14"/>
                <w:b w:val="1"/>
                <w:bCs w:val="1"/>
                <w:color w:val="auto"/>
              </w:rPr>
              <w:t>Years ended December 31,</w:t>
            </w:r>
          </w:p>
        </w:tc>
        <w:tc>
          <w:tcPr>
            <w:tcW w:w="58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58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60" w:type="dxa"/>
            <w:vAlign w:val="bottom"/>
            <w:tcBorders>
              <w:bottom w:val="single" w:sz="8" w:color="auto"/>
            </w:tcBorders>
          </w:tcPr>
          <w:p>
            <w:pPr>
              <w:spacing w:after="0"/>
              <w:rPr>
                <w:sz w:val="12"/>
                <w:szCs w:val="12"/>
                <w:color w:val="auto"/>
              </w:rPr>
            </w:pPr>
          </w:p>
        </w:tc>
        <w:tc>
          <w:tcPr>
            <w:tcW w:w="640" w:type="dxa"/>
            <w:vAlign w:val="bottom"/>
            <w:tcBorders>
              <w:bottom w:val="single" w:sz="8" w:color="auto"/>
            </w:tcBorders>
          </w:tcPr>
          <w:p>
            <w:pPr>
              <w:jc w:val="right"/>
              <w:ind w:right="194"/>
              <w:spacing w:after="0" w:line="142" w:lineRule="exact"/>
              <w:rPr>
                <w:sz w:val="20"/>
                <w:szCs w:val="20"/>
                <w:color w:val="auto"/>
              </w:rPr>
            </w:pPr>
            <w:r>
              <w:rPr>
                <w:rFonts w:ascii="Arial" w:cs="Arial" w:eastAsia="Arial" w:hAnsi="Arial"/>
                <w:sz w:val="14"/>
                <w:szCs w:val="14"/>
                <w:b w:val="1"/>
                <w:bCs w:val="1"/>
                <w:color w:val="auto"/>
              </w:rPr>
              <w:t>2009</w:t>
            </w:r>
          </w:p>
        </w:tc>
        <w:tc>
          <w:tcPr>
            <w:tcW w:w="160" w:type="dxa"/>
            <w:vAlign w:val="bottom"/>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640" w:type="dxa"/>
            <w:vAlign w:val="bottom"/>
            <w:tcBorders>
              <w:bottom w:val="single" w:sz="8" w:color="auto"/>
            </w:tcBorders>
          </w:tcPr>
          <w:p>
            <w:pPr>
              <w:jc w:val="right"/>
              <w:ind w:right="173"/>
              <w:spacing w:after="0" w:line="142" w:lineRule="exact"/>
              <w:rPr>
                <w:sz w:val="20"/>
                <w:szCs w:val="20"/>
                <w:color w:val="auto"/>
              </w:rPr>
            </w:pPr>
            <w:r>
              <w:rPr>
                <w:rFonts w:ascii="Arial" w:cs="Arial" w:eastAsia="Arial" w:hAnsi="Arial"/>
                <w:sz w:val="14"/>
                <w:szCs w:val="14"/>
                <w:b w:val="1"/>
                <w:bCs w:val="1"/>
                <w:color w:val="auto"/>
              </w:rPr>
              <w:t>2008</w:t>
            </w:r>
          </w:p>
        </w:tc>
        <w:tc>
          <w:tcPr>
            <w:tcW w:w="160" w:type="dxa"/>
            <w:vAlign w:val="bottom"/>
          </w:tcPr>
          <w:p>
            <w:pPr>
              <w:spacing w:after="0"/>
              <w:rPr>
                <w:sz w:val="12"/>
                <w:szCs w:val="12"/>
                <w:color w:val="auto"/>
              </w:rPr>
            </w:pPr>
          </w:p>
        </w:tc>
        <w:tc>
          <w:tcPr>
            <w:tcW w:w="200" w:type="dxa"/>
            <w:vAlign w:val="bottom"/>
            <w:tcBorders>
              <w:bottom w:val="single" w:sz="8" w:color="auto"/>
            </w:tcBorders>
          </w:tcPr>
          <w:p>
            <w:pPr>
              <w:spacing w:after="0"/>
              <w:rPr>
                <w:sz w:val="12"/>
                <w:szCs w:val="12"/>
                <w:color w:val="auto"/>
              </w:rPr>
            </w:pPr>
          </w:p>
        </w:tc>
        <w:tc>
          <w:tcPr>
            <w:tcW w:w="580" w:type="dxa"/>
            <w:vAlign w:val="bottom"/>
            <w:tcBorders>
              <w:bottom w:val="single" w:sz="8" w:color="auto"/>
            </w:tcBorders>
          </w:tcPr>
          <w:p>
            <w:pPr>
              <w:jc w:val="right"/>
              <w:ind w:right="173"/>
              <w:spacing w:after="0" w:line="142" w:lineRule="exact"/>
              <w:rPr>
                <w:sz w:val="20"/>
                <w:szCs w:val="20"/>
                <w:color w:val="auto"/>
              </w:rPr>
            </w:pPr>
            <w:r>
              <w:rPr>
                <w:rFonts w:ascii="Arial" w:cs="Arial" w:eastAsia="Arial" w:hAnsi="Arial"/>
                <w:sz w:val="14"/>
                <w:szCs w:val="14"/>
                <w:b w:val="1"/>
                <w:bCs w:val="1"/>
                <w:color w:val="auto"/>
                <w:w w:val="96"/>
              </w:rPr>
              <w:t>2007</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8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REVENUES</w:t>
            </w:r>
          </w:p>
        </w:tc>
        <w:tc>
          <w:tcPr>
            <w:tcW w:w="4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00" w:type="dxa"/>
            <w:vAlign w:val="bottom"/>
          </w:tcPr>
          <w:p>
            <w:pPr>
              <w:spacing w:after="0"/>
              <w:rPr>
                <w:sz w:val="20"/>
                <w:szCs w:val="20"/>
                <w:color w:val="auto"/>
              </w:rPr>
            </w:pPr>
            <w:r>
              <w:rPr>
                <w:rFonts w:ascii="Arial" w:cs="Arial" w:eastAsia="Arial" w:hAnsi="Arial"/>
                <w:sz w:val="18"/>
                <w:szCs w:val="18"/>
                <w:color w:val="auto"/>
              </w:rPr>
              <w:t>Revenues from mining operations (note 1)</w:t>
            </w:r>
          </w:p>
        </w:tc>
        <w:tc>
          <w:tcPr>
            <w:tcW w:w="6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40" w:type="dxa"/>
            <w:vAlign w:val="bottom"/>
          </w:tcPr>
          <w:p>
            <w:pPr>
              <w:jc w:val="right"/>
              <w:spacing w:after="0"/>
              <w:rPr>
                <w:sz w:val="20"/>
                <w:szCs w:val="20"/>
                <w:color w:val="auto"/>
              </w:rPr>
            </w:pPr>
            <w:r>
              <w:rPr>
                <w:rFonts w:ascii="Arial" w:cs="Arial" w:eastAsia="Arial" w:hAnsi="Arial"/>
                <w:sz w:val="18"/>
                <w:szCs w:val="18"/>
                <w:color w:val="auto"/>
                <w:w w:val="92"/>
              </w:rPr>
              <w:t>613,762</w:t>
            </w:r>
          </w:p>
        </w:tc>
        <w:tc>
          <w:tcPr>
            <w:tcW w:w="160" w:type="dxa"/>
            <w:vAlign w:val="bottom"/>
          </w:tcPr>
          <w:p>
            <w:pPr>
              <w:spacing w:after="0"/>
              <w:rPr>
                <w:sz w:val="18"/>
                <w:szCs w:val="18"/>
                <w:color w:val="auto"/>
              </w:rPr>
            </w:pPr>
          </w:p>
        </w:tc>
        <w:tc>
          <w:tcPr>
            <w:tcW w:w="14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tcPr>
          <w:p>
            <w:pPr>
              <w:jc w:val="right"/>
              <w:spacing w:after="0"/>
              <w:rPr>
                <w:sz w:val="20"/>
                <w:szCs w:val="20"/>
                <w:color w:val="auto"/>
              </w:rPr>
            </w:pPr>
            <w:r>
              <w:rPr>
                <w:rFonts w:ascii="Arial" w:cs="Arial" w:eastAsia="Arial" w:hAnsi="Arial"/>
                <w:sz w:val="18"/>
                <w:szCs w:val="18"/>
                <w:color w:val="auto"/>
                <w:w w:val="95"/>
              </w:rPr>
              <w:t>368,938</w:t>
            </w:r>
          </w:p>
        </w:tc>
        <w:tc>
          <w:tcPr>
            <w:tcW w:w="160" w:type="dxa"/>
            <w:vAlign w:val="bottom"/>
          </w:tcPr>
          <w:p>
            <w:pPr>
              <w:spacing w:after="0"/>
              <w:rPr>
                <w:sz w:val="18"/>
                <w:szCs w:val="18"/>
                <w:color w:val="auto"/>
              </w:rPr>
            </w:pPr>
          </w:p>
        </w:tc>
        <w:tc>
          <w:tcPr>
            <w:tcW w:w="200" w:type="dxa"/>
            <w:vAlign w:val="bottom"/>
          </w:tcPr>
          <w:p>
            <w:pPr>
              <w:jc w:val="right"/>
              <w:ind w:right="43"/>
              <w:spacing w:after="0"/>
              <w:rPr>
                <w:sz w:val="20"/>
                <w:szCs w:val="20"/>
                <w:color w:val="auto"/>
              </w:rPr>
            </w:pPr>
            <w:r>
              <w:rPr>
                <w:rFonts w:ascii="Arial" w:cs="Arial" w:eastAsia="Arial" w:hAnsi="Arial"/>
                <w:sz w:val="15"/>
                <w:szCs w:val="15"/>
                <w:color w:val="auto"/>
                <w:w w:val="71"/>
              </w:rPr>
              <w:t>$</w:t>
            </w:r>
          </w:p>
        </w:tc>
        <w:tc>
          <w:tcPr>
            <w:tcW w:w="580" w:type="dxa"/>
            <w:vAlign w:val="bottom"/>
          </w:tcPr>
          <w:p>
            <w:pPr>
              <w:jc w:val="right"/>
              <w:spacing w:after="0"/>
              <w:rPr>
                <w:sz w:val="20"/>
                <w:szCs w:val="20"/>
                <w:color w:val="auto"/>
              </w:rPr>
            </w:pPr>
            <w:r>
              <w:rPr>
                <w:rFonts w:ascii="Arial" w:cs="Arial" w:eastAsia="Arial" w:hAnsi="Arial"/>
                <w:sz w:val="18"/>
                <w:szCs w:val="18"/>
                <w:color w:val="auto"/>
                <w:w w:val="86"/>
              </w:rPr>
              <w:t>432,205</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00" w:type="dxa"/>
            <w:vAlign w:val="bottom"/>
            <w:shd w:val="clear" w:color="auto" w:fill="CCEEFF"/>
          </w:tcPr>
          <w:p>
            <w:pPr>
              <w:spacing w:after="0"/>
              <w:rPr>
                <w:sz w:val="20"/>
                <w:szCs w:val="20"/>
                <w:color w:val="auto"/>
              </w:rPr>
            </w:pPr>
            <w:r>
              <w:rPr>
                <w:rFonts w:ascii="Arial" w:cs="Arial" w:eastAsia="Arial" w:hAnsi="Arial"/>
                <w:sz w:val="18"/>
                <w:szCs w:val="18"/>
                <w:color w:val="auto"/>
              </w:rPr>
              <w:t>Interest and sundry income</w:t>
            </w:r>
          </w:p>
        </w:tc>
        <w:tc>
          <w:tcPr>
            <w:tcW w:w="4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16,172</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11,721</w:t>
            </w:r>
          </w:p>
        </w:tc>
        <w:tc>
          <w:tcPr>
            <w:tcW w:w="1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25,142</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5800" w:type="dxa"/>
            <w:vAlign w:val="bottom"/>
          </w:tcPr>
          <w:p>
            <w:pPr>
              <w:spacing w:after="0"/>
              <w:rPr>
                <w:sz w:val="20"/>
                <w:szCs w:val="20"/>
                <w:color w:val="auto"/>
              </w:rPr>
            </w:pPr>
            <w:r>
              <w:rPr>
                <w:rFonts w:ascii="Arial" w:cs="Arial" w:eastAsia="Arial" w:hAnsi="Arial"/>
                <w:sz w:val="18"/>
                <w:szCs w:val="18"/>
                <w:color w:val="auto"/>
              </w:rPr>
              <w:t>Gain on sale of available-for-sale securities (note 2(a))</w:t>
            </w:r>
          </w:p>
        </w:tc>
        <w:tc>
          <w:tcPr>
            <w:tcW w:w="4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10,142</w:t>
            </w:r>
          </w:p>
        </w:tc>
        <w:tc>
          <w:tcPr>
            <w:tcW w:w="1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25,626</w:t>
            </w:r>
          </w:p>
        </w:tc>
        <w:tc>
          <w:tcPr>
            <w:tcW w:w="1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580" w:type="dxa"/>
            <w:vAlign w:val="bottom"/>
          </w:tcPr>
          <w:p>
            <w:pPr>
              <w:jc w:val="right"/>
              <w:spacing w:after="0"/>
              <w:rPr>
                <w:sz w:val="20"/>
                <w:szCs w:val="20"/>
                <w:color w:val="auto"/>
              </w:rPr>
            </w:pPr>
            <w:r>
              <w:rPr>
                <w:rFonts w:ascii="Arial" w:cs="Arial" w:eastAsia="Arial" w:hAnsi="Arial"/>
                <w:sz w:val="18"/>
                <w:szCs w:val="18"/>
                <w:color w:val="auto"/>
              </w:rPr>
              <w:t>4,088</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
        </w:trPr>
        <w:tc>
          <w:tcPr>
            <w:tcW w:w="20" w:type="dxa"/>
            <w:vAlign w:val="bottom"/>
          </w:tcPr>
          <w:p>
            <w:pPr>
              <w:spacing w:after="0" w:line="20" w:lineRule="exact"/>
              <w:rPr>
                <w:sz w:val="1"/>
                <w:szCs w:val="1"/>
                <w:color w:val="auto"/>
              </w:rPr>
            </w:pPr>
          </w:p>
        </w:tc>
        <w:tc>
          <w:tcPr>
            <w:tcW w:w="58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80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2"/>
              </w:rPr>
              <w:t>640,076</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406,285</w:t>
            </w:r>
          </w:p>
        </w:tc>
        <w:tc>
          <w:tcPr>
            <w:tcW w:w="1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6"/>
              </w:rPr>
              <w:t>461,435</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430"/>
        </w:trPr>
        <w:tc>
          <w:tcPr>
            <w:tcW w:w="5820" w:type="dxa"/>
            <w:vAlign w:val="bottom"/>
            <w:gridSpan w:val="2"/>
          </w:tcPr>
          <w:p>
            <w:pPr>
              <w:spacing w:after="0"/>
              <w:rPr>
                <w:sz w:val="20"/>
                <w:szCs w:val="20"/>
                <w:color w:val="auto"/>
              </w:rPr>
            </w:pPr>
            <w:r>
              <w:rPr>
                <w:rFonts w:ascii="Arial" w:cs="Arial" w:eastAsia="Arial" w:hAnsi="Arial"/>
                <w:sz w:val="18"/>
                <w:szCs w:val="18"/>
                <w:b w:val="1"/>
                <w:bCs w:val="1"/>
                <w:color w:val="auto"/>
              </w:rPr>
              <w:t>COSTS AND EXPENSES</w:t>
            </w:r>
          </w:p>
        </w:tc>
        <w:tc>
          <w:tcPr>
            <w:tcW w:w="4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5800" w:type="dxa"/>
            <w:vAlign w:val="bottom"/>
            <w:shd w:val="clear" w:color="auto" w:fill="CCEEFF"/>
          </w:tcPr>
          <w:p>
            <w:pPr>
              <w:spacing w:after="0"/>
              <w:rPr>
                <w:sz w:val="20"/>
                <w:szCs w:val="20"/>
                <w:color w:val="auto"/>
              </w:rPr>
            </w:pPr>
            <w:r>
              <w:rPr>
                <w:rFonts w:ascii="Arial" w:cs="Arial" w:eastAsia="Arial" w:hAnsi="Arial"/>
                <w:sz w:val="18"/>
                <w:szCs w:val="18"/>
                <w:color w:val="auto"/>
              </w:rPr>
              <w:t>Production</w:t>
            </w:r>
          </w:p>
        </w:tc>
        <w:tc>
          <w:tcPr>
            <w:tcW w:w="4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2"/>
              </w:rPr>
              <w:t>306,318</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186,862</w:t>
            </w:r>
          </w:p>
        </w:tc>
        <w:tc>
          <w:tcPr>
            <w:tcW w:w="1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6"/>
              </w:rPr>
              <w:t>166,104</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00" w:type="dxa"/>
            <w:vAlign w:val="bottom"/>
          </w:tcPr>
          <w:p>
            <w:pPr>
              <w:spacing w:after="0"/>
              <w:rPr>
                <w:sz w:val="20"/>
                <w:szCs w:val="20"/>
                <w:color w:val="auto"/>
              </w:rPr>
            </w:pPr>
            <w:r>
              <w:rPr>
                <w:rFonts w:ascii="Arial" w:cs="Arial" w:eastAsia="Arial" w:hAnsi="Arial"/>
                <w:sz w:val="18"/>
                <w:szCs w:val="18"/>
                <w:color w:val="auto"/>
              </w:rPr>
              <w:t>Exploration and corporate development</w:t>
            </w:r>
          </w:p>
        </w:tc>
        <w:tc>
          <w:tcPr>
            <w:tcW w:w="4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36,279</w:t>
            </w: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34,704</w:t>
            </w:r>
          </w:p>
        </w:tc>
        <w:tc>
          <w:tcPr>
            <w:tcW w:w="1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580" w:type="dxa"/>
            <w:vAlign w:val="bottom"/>
          </w:tcPr>
          <w:p>
            <w:pPr>
              <w:jc w:val="right"/>
              <w:spacing w:after="0"/>
              <w:rPr>
                <w:sz w:val="20"/>
                <w:szCs w:val="20"/>
                <w:color w:val="auto"/>
              </w:rPr>
            </w:pPr>
            <w:r>
              <w:rPr>
                <w:rFonts w:ascii="Arial" w:cs="Arial" w:eastAsia="Arial" w:hAnsi="Arial"/>
                <w:sz w:val="18"/>
                <w:szCs w:val="18"/>
                <w:color w:val="auto"/>
              </w:rPr>
              <w:t>25,507</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00" w:type="dxa"/>
            <w:vAlign w:val="bottom"/>
            <w:shd w:val="clear" w:color="auto" w:fill="CCEEFF"/>
          </w:tcPr>
          <w:p>
            <w:pPr>
              <w:spacing w:after="0"/>
              <w:rPr>
                <w:sz w:val="20"/>
                <w:szCs w:val="20"/>
                <w:color w:val="auto"/>
              </w:rPr>
            </w:pPr>
            <w:r>
              <w:rPr>
                <w:rFonts w:ascii="Arial" w:cs="Arial" w:eastAsia="Arial" w:hAnsi="Arial"/>
                <w:sz w:val="18"/>
                <w:szCs w:val="18"/>
                <w:color w:val="auto"/>
              </w:rPr>
              <w:t>Amortization of plant and mine development</w:t>
            </w:r>
          </w:p>
        </w:tc>
        <w:tc>
          <w:tcPr>
            <w:tcW w:w="4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72,461</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36,133</w:t>
            </w:r>
          </w:p>
        </w:tc>
        <w:tc>
          <w:tcPr>
            <w:tcW w:w="1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27,757</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00" w:type="dxa"/>
            <w:vAlign w:val="bottom"/>
          </w:tcPr>
          <w:p>
            <w:pPr>
              <w:spacing w:after="0"/>
              <w:rPr>
                <w:sz w:val="20"/>
                <w:szCs w:val="20"/>
                <w:color w:val="auto"/>
              </w:rPr>
            </w:pPr>
            <w:r>
              <w:rPr>
                <w:rFonts w:ascii="Arial" w:cs="Arial" w:eastAsia="Arial" w:hAnsi="Arial"/>
                <w:sz w:val="18"/>
                <w:szCs w:val="18"/>
                <w:color w:val="auto"/>
              </w:rPr>
              <w:t>General and administrative</w:t>
            </w:r>
          </w:p>
        </w:tc>
        <w:tc>
          <w:tcPr>
            <w:tcW w:w="4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63,687</w:t>
            </w: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47,187</w:t>
            </w:r>
          </w:p>
        </w:tc>
        <w:tc>
          <w:tcPr>
            <w:tcW w:w="1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580" w:type="dxa"/>
            <w:vAlign w:val="bottom"/>
          </w:tcPr>
          <w:p>
            <w:pPr>
              <w:jc w:val="right"/>
              <w:spacing w:after="0"/>
              <w:rPr>
                <w:sz w:val="20"/>
                <w:szCs w:val="20"/>
                <w:color w:val="auto"/>
              </w:rPr>
            </w:pPr>
            <w:r>
              <w:rPr>
                <w:rFonts w:ascii="Arial" w:cs="Arial" w:eastAsia="Arial" w:hAnsi="Arial"/>
                <w:sz w:val="18"/>
                <w:szCs w:val="18"/>
                <w:color w:val="auto"/>
              </w:rPr>
              <w:t>38,167</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00" w:type="dxa"/>
            <w:vAlign w:val="bottom"/>
            <w:shd w:val="clear" w:color="auto" w:fill="CCEEFF"/>
          </w:tcPr>
          <w:p>
            <w:pPr>
              <w:spacing w:after="0"/>
              <w:rPr>
                <w:sz w:val="20"/>
                <w:szCs w:val="20"/>
                <w:color w:val="auto"/>
              </w:rPr>
            </w:pPr>
            <w:r>
              <w:rPr>
                <w:rFonts w:ascii="Arial" w:cs="Arial" w:eastAsia="Arial" w:hAnsi="Arial"/>
                <w:sz w:val="18"/>
                <w:szCs w:val="18"/>
                <w:color w:val="auto"/>
              </w:rPr>
              <w:t>Write-down of available-for-sale securities</w:t>
            </w:r>
          </w:p>
        </w:tc>
        <w:tc>
          <w:tcPr>
            <w:tcW w:w="4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74,812</w:t>
            </w:r>
          </w:p>
        </w:tc>
        <w:tc>
          <w:tcPr>
            <w:tcW w:w="1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00" w:type="dxa"/>
            <w:vAlign w:val="bottom"/>
          </w:tcPr>
          <w:p>
            <w:pPr>
              <w:spacing w:after="0"/>
              <w:rPr>
                <w:sz w:val="20"/>
                <w:szCs w:val="20"/>
                <w:color w:val="auto"/>
              </w:rPr>
            </w:pPr>
            <w:r>
              <w:rPr>
                <w:rFonts w:ascii="Arial" w:cs="Arial" w:eastAsia="Arial" w:hAnsi="Arial"/>
                <w:sz w:val="18"/>
                <w:szCs w:val="18"/>
                <w:color w:val="auto"/>
              </w:rPr>
              <w:t>Loss on derivative financial instruments</w:t>
            </w:r>
          </w:p>
        </w:tc>
        <w:tc>
          <w:tcPr>
            <w:tcW w:w="4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8"/>
                <w:szCs w:val="18"/>
                <w:color w:val="auto"/>
              </w:rPr>
            </w:pPr>
          </w:p>
        </w:tc>
        <w:tc>
          <w:tcPr>
            <w:tcW w:w="580" w:type="dxa"/>
            <w:vAlign w:val="bottom"/>
          </w:tcPr>
          <w:p>
            <w:pPr>
              <w:jc w:val="right"/>
              <w:spacing w:after="0"/>
              <w:rPr>
                <w:sz w:val="20"/>
                <w:szCs w:val="20"/>
                <w:color w:val="auto"/>
              </w:rPr>
            </w:pPr>
            <w:r>
              <w:rPr>
                <w:rFonts w:ascii="Arial" w:cs="Arial" w:eastAsia="Arial" w:hAnsi="Arial"/>
                <w:sz w:val="18"/>
                <w:szCs w:val="18"/>
                <w:color w:val="auto"/>
              </w:rPr>
              <w:t>5,829</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00" w:type="dxa"/>
            <w:vAlign w:val="bottom"/>
            <w:shd w:val="clear" w:color="auto" w:fill="CCEEFF"/>
          </w:tcPr>
          <w:p>
            <w:pPr>
              <w:spacing w:after="0"/>
              <w:rPr>
                <w:sz w:val="20"/>
                <w:szCs w:val="20"/>
                <w:color w:val="auto"/>
              </w:rPr>
            </w:pPr>
            <w:r>
              <w:rPr>
                <w:rFonts w:ascii="Arial" w:cs="Arial" w:eastAsia="Arial" w:hAnsi="Arial"/>
                <w:sz w:val="18"/>
                <w:szCs w:val="18"/>
                <w:color w:val="auto"/>
              </w:rPr>
              <w:t>Provincial capital tax</w:t>
            </w:r>
          </w:p>
        </w:tc>
        <w:tc>
          <w:tcPr>
            <w:tcW w:w="4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5,014</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5,332</w:t>
            </w:r>
          </w:p>
        </w:tc>
        <w:tc>
          <w:tcPr>
            <w:tcW w:w="1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3,202</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00" w:type="dxa"/>
            <w:vAlign w:val="bottom"/>
          </w:tcPr>
          <w:p>
            <w:pPr>
              <w:spacing w:after="0"/>
              <w:rPr>
                <w:sz w:val="20"/>
                <w:szCs w:val="20"/>
                <w:color w:val="auto"/>
              </w:rPr>
            </w:pPr>
            <w:r>
              <w:rPr>
                <w:rFonts w:ascii="Arial" w:cs="Arial" w:eastAsia="Arial" w:hAnsi="Arial"/>
                <w:sz w:val="18"/>
                <w:szCs w:val="18"/>
                <w:color w:val="auto"/>
              </w:rPr>
              <w:t>Interest (note 4)</w:t>
            </w:r>
          </w:p>
        </w:tc>
        <w:tc>
          <w:tcPr>
            <w:tcW w:w="4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8,448</w:t>
            </w: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2,952</w:t>
            </w:r>
          </w:p>
        </w:tc>
        <w:tc>
          <w:tcPr>
            <w:tcW w:w="1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580" w:type="dxa"/>
            <w:vAlign w:val="bottom"/>
          </w:tcPr>
          <w:p>
            <w:pPr>
              <w:jc w:val="right"/>
              <w:spacing w:after="0"/>
              <w:rPr>
                <w:sz w:val="20"/>
                <w:szCs w:val="20"/>
                <w:color w:val="auto"/>
              </w:rPr>
            </w:pPr>
            <w:r>
              <w:rPr>
                <w:rFonts w:ascii="Arial" w:cs="Arial" w:eastAsia="Arial" w:hAnsi="Arial"/>
                <w:sz w:val="18"/>
                <w:szCs w:val="18"/>
                <w:color w:val="auto"/>
              </w:rPr>
              <w:t>3,294</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00" w:type="dxa"/>
            <w:vAlign w:val="bottom"/>
            <w:shd w:val="clear" w:color="auto" w:fill="CCEEFF"/>
          </w:tcPr>
          <w:p>
            <w:pPr>
              <w:spacing w:after="0"/>
              <w:rPr>
                <w:sz w:val="20"/>
                <w:szCs w:val="20"/>
                <w:color w:val="auto"/>
              </w:rPr>
            </w:pPr>
            <w:r>
              <w:rPr>
                <w:rFonts w:ascii="Arial" w:cs="Arial" w:eastAsia="Arial" w:hAnsi="Arial"/>
                <w:sz w:val="18"/>
                <w:szCs w:val="18"/>
                <w:color w:val="auto"/>
              </w:rPr>
              <w:t>Foreign currency translation (gain) loss</w:t>
            </w:r>
          </w:p>
        </w:tc>
        <w:tc>
          <w:tcPr>
            <w:tcW w:w="4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39,831</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8"/>
              </w:rPr>
              <w:t>(77,688)</w:t>
            </w:r>
          </w:p>
        </w:tc>
        <w:tc>
          <w:tcPr>
            <w:tcW w:w="200" w:type="dxa"/>
            <w:vAlign w:val="bottom"/>
            <w:shd w:val="clear" w:color="auto" w:fill="CCEEFF"/>
          </w:tcPr>
          <w:p>
            <w:pPr>
              <w:spacing w:after="0"/>
              <w:rPr>
                <w:sz w:val="18"/>
                <w:szCs w:val="18"/>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32,297</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5820" w:type="dxa"/>
            <w:vAlign w:val="bottom"/>
            <w:gridSpan w:val="2"/>
            <w:vMerge w:val="restart"/>
          </w:tcPr>
          <w:p>
            <w:pPr>
              <w:spacing w:after="0"/>
              <w:rPr>
                <w:sz w:val="20"/>
                <w:szCs w:val="20"/>
                <w:color w:val="auto"/>
              </w:rPr>
            </w:pPr>
            <w:r>
              <w:rPr>
                <w:rFonts w:ascii="Arial" w:cs="Arial" w:eastAsia="Arial" w:hAnsi="Arial"/>
                <w:sz w:val="18"/>
                <w:szCs w:val="18"/>
                <w:color w:val="auto"/>
              </w:rPr>
              <w:t>Income before income, mining and federal capital taxes</w:t>
            </w:r>
          </w:p>
        </w:tc>
        <w:tc>
          <w:tcPr>
            <w:tcW w:w="48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10"/>
        </w:trPr>
        <w:tc>
          <w:tcPr>
            <w:tcW w:w="5820" w:type="dxa"/>
            <w:vAlign w:val="bottom"/>
            <w:gridSpan w:val="2"/>
            <w:vMerge w:val="continue"/>
          </w:tcPr>
          <w:p>
            <w:pPr>
              <w:spacing w:after="0"/>
              <w:rPr>
                <w:sz w:val="18"/>
                <w:szCs w:val="18"/>
                <w:color w:val="auto"/>
              </w:rPr>
            </w:pPr>
          </w:p>
        </w:tc>
        <w:tc>
          <w:tcPr>
            <w:tcW w:w="4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w w:val="92"/>
              </w:rPr>
              <w:t>108,038</w:t>
            </w: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95,991</w:t>
            </w:r>
          </w:p>
        </w:tc>
        <w:tc>
          <w:tcPr>
            <w:tcW w:w="1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580" w:type="dxa"/>
            <w:vAlign w:val="bottom"/>
          </w:tcPr>
          <w:p>
            <w:pPr>
              <w:jc w:val="right"/>
              <w:spacing w:after="0"/>
              <w:rPr>
                <w:sz w:val="20"/>
                <w:szCs w:val="20"/>
                <w:color w:val="auto"/>
              </w:rPr>
            </w:pPr>
            <w:r>
              <w:rPr>
                <w:rFonts w:ascii="Arial" w:cs="Arial" w:eastAsia="Arial" w:hAnsi="Arial"/>
                <w:sz w:val="18"/>
                <w:szCs w:val="18"/>
                <w:color w:val="auto"/>
                <w:w w:val="86"/>
              </w:rPr>
              <w:t>159,278</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00" w:type="dxa"/>
            <w:vAlign w:val="bottom"/>
            <w:shd w:val="clear" w:color="auto" w:fill="CCEEFF"/>
          </w:tcPr>
          <w:p>
            <w:pPr>
              <w:spacing w:after="0"/>
              <w:rPr>
                <w:sz w:val="20"/>
                <w:szCs w:val="20"/>
                <w:color w:val="auto"/>
              </w:rPr>
            </w:pPr>
            <w:r>
              <w:rPr>
                <w:rFonts w:ascii="Arial" w:cs="Arial" w:eastAsia="Arial" w:hAnsi="Arial"/>
                <w:sz w:val="18"/>
                <w:szCs w:val="18"/>
                <w:color w:val="auto"/>
              </w:rPr>
              <w:t>Income and mining tax (note 8)</w:t>
            </w:r>
          </w:p>
        </w:tc>
        <w:tc>
          <w:tcPr>
            <w:tcW w:w="4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21,500</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22,824</w:t>
            </w:r>
          </w:p>
        </w:tc>
        <w:tc>
          <w:tcPr>
            <w:tcW w:w="1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19,933</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5820" w:type="dxa"/>
            <w:vAlign w:val="bottom"/>
            <w:gridSpan w:val="2"/>
            <w:vMerge w:val="restart"/>
          </w:tcPr>
          <w:p>
            <w:pPr>
              <w:spacing w:after="0"/>
              <w:rPr>
                <w:sz w:val="20"/>
                <w:szCs w:val="20"/>
                <w:color w:val="auto"/>
              </w:rPr>
            </w:pPr>
            <w:r>
              <w:rPr>
                <w:rFonts w:ascii="Arial" w:cs="Arial" w:eastAsia="Arial" w:hAnsi="Arial"/>
                <w:sz w:val="18"/>
                <w:szCs w:val="18"/>
                <w:color w:val="auto"/>
              </w:rPr>
              <w:t>Net income for the year</w:t>
            </w:r>
          </w:p>
        </w:tc>
        <w:tc>
          <w:tcPr>
            <w:tcW w:w="640" w:type="dxa"/>
            <w:vAlign w:val="bottom"/>
            <w:gridSpan w:val="2"/>
          </w:tcPr>
          <w:p>
            <w:pPr>
              <w:spacing w:after="0"/>
              <w:rPr>
                <w:sz w:val="2"/>
                <w:szCs w:val="2"/>
                <w:color w:val="auto"/>
              </w:rPr>
            </w:pPr>
          </w:p>
        </w:tc>
        <w:tc>
          <w:tcPr>
            <w:tcW w:w="640" w:type="dxa"/>
            <w:vAlign w:val="bottom"/>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Pr>
          <w:p>
            <w:pPr>
              <w:spacing w:after="0"/>
              <w:rPr>
                <w:sz w:val="2"/>
                <w:szCs w:val="2"/>
                <w:color w:val="auto"/>
              </w:rPr>
            </w:pPr>
          </w:p>
        </w:tc>
        <w:tc>
          <w:tcPr>
            <w:tcW w:w="640" w:type="dxa"/>
            <w:vAlign w:val="bottom"/>
          </w:tcPr>
          <w:p>
            <w:pPr>
              <w:spacing w:after="0"/>
              <w:rPr>
                <w:sz w:val="2"/>
                <w:szCs w:val="2"/>
                <w:color w:val="auto"/>
              </w:rPr>
            </w:pPr>
          </w:p>
        </w:tc>
        <w:tc>
          <w:tcPr>
            <w:tcW w:w="160" w:type="dxa"/>
            <w:vAlign w:val="bottom"/>
          </w:tcPr>
          <w:p>
            <w:pPr>
              <w:spacing w:after="0"/>
              <w:rPr>
                <w:sz w:val="2"/>
                <w:szCs w:val="2"/>
                <w:color w:val="auto"/>
              </w:rPr>
            </w:pPr>
          </w:p>
        </w:tc>
        <w:tc>
          <w:tcPr>
            <w:tcW w:w="200" w:type="dxa"/>
            <w:vAlign w:val="bottom"/>
          </w:tcPr>
          <w:p>
            <w:pPr>
              <w:spacing w:after="0"/>
              <w:rPr>
                <w:sz w:val="2"/>
                <w:szCs w:val="2"/>
                <w:color w:val="auto"/>
              </w:rPr>
            </w:pPr>
          </w:p>
        </w:tc>
        <w:tc>
          <w:tcPr>
            <w:tcW w:w="580" w:type="dxa"/>
            <w:vAlign w:val="bottom"/>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16"/>
        </w:trPr>
        <w:tc>
          <w:tcPr>
            <w:tcW w:w="5820" w:type="dxa"/>
            <w:vAlign w:val="bottom"/>
            <w:gridSpan w:val="2"/>
            <w:vMerge w:val="continue"/>
          </w:tcPr>
          <w:p>
            <w:pPr>
              <w:spacing w:after="0"/>
              <w:rPr>
                <w:sz w:val="18"/>
                <w:szCs w:val="18"/>
                <w:color w:val="auto"/>
              </w:rPr>
            </w:pPr>
          </w:p>
        </w:tc>
        <w:tc>
          <w:tcPr>
            <w:tcW w:w="480" w:type="dxa"/>
            <w:vAlign w:val="bottom"/>
          </w:tcPr>
          <w:p>
            <w:pPr>
              <w:spacing w:after="0"/>
              <w:rPr>
                <w:sz w:val="18"/>
                <w:szCs w:val="18"/>
                <w:color w:val="auto"/>
              </w:rPr>
            </w:pPr>
          </w:p>
        </w:tc>
        <w:tc>
          <w:tcPr>
            <w:tcW w:w="1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6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86,538</w:t>
            </w:r>
          </w:p>
        </w:tc>
        <w:tc>
          <w:tcPr>
            <w:tcW w:w="160" w:type="dxa"/>
            <w:vAlign w:val="bottom"/>
          </w:tcPr>
          <w:p>
            <w:pPr>
              <w:spacing w:after="0"/>
              <w:rPr>
                <w:sz w:val="18"/>
                <w:szCs w:val="18"/>
                <w:color w:val="auto"/>
              </w:rPr>
            </w:pPr>
          </w:p>
        </w:tc>
        <w:tc>
          <w:tcPr>
            <w:tcW w:w="14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73,167</w:t>
            </w:r>
          </w:p>
        </w:tc>
        <w:tc>
          <w:tcPr>
            <w:tcW w:w="160" w:type="dxa"/>
            <w:vAlign w:val="bottom"/>
          </w:tcPr>
          <w:p>
            <w:pPr>
              <w:spacing w:after="0"/>
              <w:rPr>
                <w:sz w:val="18"/>
                <w:szCs w:val="18"/>
                <w:color w:val="auto"/>
              </w:rPr>
            </w:pPr>
          </w:p>
        </w:tc>
        <w:tc>
          <w:tcPr>
            <w:tcW w:w="200" w:type="dxa"/>
            <w:vAlign w:val="bottom"/>
            <w:tcBorders>
              <w:top w:val="single" w:sz="8" w:color="auto"/>
            </w:tcBorders>
          </w:tcPr>
          <w:p>
            <w:pPr>
              <w:jc w:val="right"/>
              <w:ind w:right="43"/>
              <w:spacing w:after="0"/>
              <w:rPr>
                <w:sz w:val="20"/>
                <w:szCs w:val="20"/>
                <w:color w:val="auto"/>
              </w:rPr>
            </w:pPr>
            <w:r>
              <w:rPr>
                <w:rFonts w:ascii="Arial" w:cs="Arial" w:eastAsia="Arial" w:hAnsi="Arial"/>
                <w:sz w:val="15"/>
                <w:szCs w:val="15"/>
                <w:color w:val="auto"/>
                <w:w w:val="71"/>
              </w:rPr>
              <w:t>$</w:t>
            </w:r>
          </w:p>
        </w:tc>
        <w:tc>
          <w:tcPr>
            <w:tcW w:w="5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86"/>
              </w:rPr>
              <w:t>139,345</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
        </w:trPr>
        <w:tc>
          <w:tcPr>
            <w:tcW w:w="20" w:type="dxa"/>
            <w:vAlign w:val="bottom"/>
          </w:tcPr>
          <w:p>
            <w:pPr>
              <w:spacing w:after="0" w:line="20" w:lineRule="exact"/>
              <w:rPr>
                <w:sz w:val="1"/>
                <w:szCs w:val="1"/>
                <w:color w:val="auto"/>
              </w:rPr>
            </w:pPr>
          </w:p>
        </w:tc>
        <w:tc>
          <w:tcPr>
            <w:tcW w:w="58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8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tcPr>
          <w:p>
            <w:pPr>
              <w:spacing w:after="0"/>
              <w:rPr>
                <w:sz w:val="17"/>
                <w:szCs w:val="17"/>
                <w:color w:val="auto"/>
              </w:rPr>
            </w:pPr>
          </w:p>
        </w:tc>
        <w:tc>
          <w:tcPr>
            <w:tcW w:w="580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Net income per share — basic (note 6(f))</w:t>
            </w:r>
          </w:p>
        </w:tc>
        <w:tc>
          <w:tcPr>
            <w:tcW w:w="64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0.55</w:t>
            </w:r>
          </w:p>
        </w:tc>
        <w:tc>
          <w:tcPr>
            <w:tcW w:w="160" w:type="dxa"/>
            <w:vAlign w:val="bottom"/>
            <w:shd w:val="clear" w:color="auto" w:fill="CCEEFF"/>
          </w:tcPr>
          <w:p>
            <w:pPr>
              <w:spacing w:after="0"/>
              <w:rPr>
                <w:sz w:val="17"/>
                <w:szCs w:val="17"/>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0.51</w:t>
            </w:r>
          </w:p>
        </w:tc>
        <w:tc>
          <w:tcPr>
            <w:tcW w:w="160" w:type="dxa"/>
            <w:vAlign w:val="bottom"/>
            <w:shd w:val="clear" w:color="auto" w:fill="CCEEFF"/>
          </w:tcPr>
          <w:p>
            <w:pPr>
              <w:spacing w:after="0"/>
              <w:rPr>
                <w:sz w:val="17"/>
                <w:szCs w:val="17"/>
                <w:color w:val="auto"/>
              </w:rPr>
            </w:pPr>
          </w:p>
        </w:tc>
        <w:tc>
          <w:tcPr>
            <w:tcW w:w="200" w:type="dxa"/>
            <w:vAlign w:val="bottom"/>
            <w:shd w:val="clear" w:color="auto" w:fill="CCEEFF"/>
          </w:tcPr>
          <w:p>
            <w:pPr>
              <w:jc w:val="right"/>
              <w:ind w:right="43"/>
              <w:spacing w:after="0"/>
              <w:rPr>
                <w:sz w:val="20"/>
                <w:szCs w:val="20"/>
                <w:color w:val="auto"/>
              </w:rPr>
            </w:pPr>
            <w:r>
              <w:rPr>
                <w:rFonts w:ascii="Arial" w:cs="Arial" w:eastAsia="Arial" w:hAnsi="Arial"/>
                <w:sz w:val="15"/>
                <w:szCs w:val="15"/>
                <w:color w:val="auto"/>
                <w:w w:val="71"/>
              </w:rPr>
              <w:t>$</w:t>
            </w:r>
          </w:p>
        </w:tc>
        <w:tc>
          <w:tcPr>
            <w:tcW w:w="58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1.05</w:t>
            </w: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7"/>
        </w:trPr>
        <w:tc>
          <w:tcPr>
            <w:tcW w:w="5820" w:type="dxa"/>
            <w:vAlign w:val="bottom"/>
            <w:gridSpan w:val="2"/>
            <w:vMerge w:val="restart"/>
          </w:tcPr>
          <w:p>
            <w:pPr>
              <w:spacing w:after="0"/>
              <w:rPr>
                <w:sz w:val="20"/>
                <w:szCs w:val="20"/>
                <w:color w:val="auto"/>
              </w:rPr>
            </w:pPr>
            <w:r>
              <w:rPr>
                <w:rFonts w:ascii="Arial" w:cs="Arial" w:eastAsia="Arial" w:hAnsi="Arial"/>
                <w:sz w:val="18"/>
                <w:szCs w:val="18"/>
                <w:color w:val="auto"/>
              </w:rPr>
              <w:t>Net income per share — diluted (note 6(f))</w:t>
            </w:r>
          </w:p>
        </w:tc>
        <w:tc>
          <w:tcPr>
            <w:tcW w:w="48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5820" w:type="dxa"/>
            <w:vAlign w:val="bottom"/>
            <w:gridSpan w:val="2"/>
            <w:vMerge w:val="continue"/>
          </w:tcPr>
          <w:p>
            <w:pPr>
              <w:spacing w:after="0" w:line="20" w:lineRule="exact"/>
              <w:rPr>
                <w:sz w:val="1"/>
                <w:szCs w:val="1"/>
                <w:color w:val="auto"/>
              </w:rPr>
            </w:pPr>
          </w:p>
        </w:tc>
        <w:tc>
          <w:tcPr>
            <w:tcW w:w="640" w:type="dxa"/>
            <w:vAlign w:val="bottom"/>
            <w:gridSpan w:val="2"/>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3"/>
        </w:trPr>
        <w:tc>
          <w:tcPr>
            <w:tcW w:w="5820" w:type="dxa"/>
            <w:vAlign w:val="bottom"/>
            <w:gridSpan w:val="2"/>
            <w:vMerge w:val="continue"/>
          </w:tcPr>
          <w:p>
            <w:pPr>
              <w:spacing w:after="0"/>
              <w:rPr>
                <w:sz w:val="17"/>
                <w:szCs w:val="17"/>
                <w:color w:val="auto"/>
              </w:rPr>
            </w:pPr>
          </w:p>
        </w:tc>
        <w:tc>
          <w:tcPr>
            <w:tcW w:w="480" w:type="dxa"/>
            <w:vAlign w:val="bottom"/>
          </w:tcPr>
          <w:p>
            <w:pPr>
              <w:spacing w:after="0"/>
              <w:rPr>
                <w:sz w:val="17"/>
                <w:szCs w:val="17"/>
                <w:color w:val="auto"/>
              </w:rPr>
            </w:pPr>
          </w:p>
        </w:tc>
        <w:tc>
          <w:tcPr>
            <w:tcW w:w="160" w:type="dxa"/>
            <w:vAlign w:val="bottom"/>
            <w:tcBorders>
              <w:top w:val="single" w:sz="8" w:color="auto"/>
            </w:tcBorders>
          </w:tcPr>
          <w:p>
            <w:pPr>
              <w:jc w:val="right"/>
              <w:spacing w:after="0" w:line="203" w:lineRule="exact"/>
              <w:rPr>
                <w:sz w:val="20"/>
                <w:szCs w:val="20"/>
                <w:color w:val="auto"/>
              </w:rPr>
            </w:pPr>
            <w:r>
              <w:rPr>
                <w:rFonts w:ascii="Arial" w:cs="Arial" w:eastAsia="Arial" w:hAnsi="Arial"/>
                <w:sz w:val="18"/>
                <w:szCs w:val="18"/>
                <w:color w:val="auto"/>
                <w:w w:val="79"/>
              </w:rPr>
              <w:t>$</w:t>
            </w:r>
          </w:p>
        </w:tc>
        <w:tc>
          <w:tcPr>
            <w:tcW w:w="640" w:type="dxa"/>
            <w:vAlign w:val="bottom"/>
            <w:tcBorders>
              <w:top w:val="single" w:sz="8" w:color="auto"/>
            </w:tcBorders>
          </w:tcPr>
          <w:p>
            <w:pPr>
              <w:jc w:val="right"/>
              <w:spacing w:after="0" w:line="203" w:lineRule="exact"/>
              <w:rPr>
                <w:sz w:val="20"/>
                <w:szCs w:val="20"/>
                <w:color w:val="auto"/>
              </w:rPr>
            </w:pPr>
            <w:r>
              <w:rPr>
                <w:rFonts w:ascii="Arial" w:cs="Arial" w:eastAsia="Arial" w:hAnsi="Arial"/>
                <w:sz w:val="18"/>
                <w:szCs w:val="18"/>
                <w:color w:val="auto"/>
              </w:rPr>
              <w:t>0.55</w:t>
            </w:r>
          </w:p>
        </w:tc>
        <w:tc>
          <w:tcPr>
            <w:tcW w:w="160" w:type="dxa"/>
            <w:vAlign w:val="bottom"/>
          </w:tcPr>
          <w:p>
            <w:pPr>
              <w:spacing w:after="0"/>
              <w:rPr>
                <w:sz w:val="17"/>
                <w:szCs w:val="17"/>
                <w:color w:val="auto"/>
              </w:rPr>
            </w:pPr>
          </w:p>
        </w:tc>
        <w:tc>
          <w:tcPr>
            <w:tcW w:w="14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tcBorders>
              <w:top w:val="single" w:sz="8" w:color="auto"/>
            </w:tcBorders>
          </w:tcPr>
          <w:p>
            <w:pPr>
              <w:jc w:val="right"/>
              <w:spacing w:after="0" w:line="203" w:lineRule="exact"/>
              <w:rPr>
                <w:sz w:val="20"/>
                <w:szCs w:val="20"/>
                <w:color w:val="auto"/>
              </w:rPr>
            </w:pPr>
            <w:r>
              <w:rPr>
                <w:rFonts w:ascii="Arial" w:cs="Arial" w:eastAsia="Arial" w:hAnsi="Arial"/>
                <w:sz w:val="18"/>
                <w:szCs w:val="18"/>
                <w:color w:val="auto"/>
              </w:rPr>
              <w:t>0.50</w:t>
            </w:r>
          </w:p>
        </w:tc>
        <w:tc>
          <w:tcPr>
            <w:tcW w:w="160" w:type="dxa"/>
            <w:vAlign w:val="bottom"/>
          </w:tcPr>
          <w:p>
            <w:pPr>
              <w:spacing w:after="0"/>
              <w:rPr>
                <w:sz w:val="17"/>
                <w:szCs w:val="17"/>
                <w:color w:val="auto"/>
              </w:rPr>
            </w:pPr>
          </w:p>
        </w:tc>
        <w:tc>
          <w:tcPr>
            <w:tcW w:w="200" w:type="dxa"/>
            <w:vAlign w:val="bottom"/>
            <w:tcBorders>
              <w:top w:val="single" w:sz="8" w:color="auto"/>
            </w:tcBorders>
          </w:tcPr>
          <w:p>
            <w:pPr>
              <w:jc w:val="right"/>
              <w:ind w:right="43"/>
              <w:spacing w:after="0"/>
              <w:rPr>
                <w:sz w:val="20"/>
                <w:szCs w:val="20"/>
                <w:color w:val="auto"/>
              </w:rPr>
            </w:pPr>
            <w:r>
              <w:rPr>
                <w:rFonts w:ascii="Arial" w:cs="Arial" w:eastAsia="Arial" w:hAnsi="Arial"/>
                <w:sz w:val="15"/>
                <w:szCs w:val="15"/>
                <w:color w:val="auto"/>
                <w:w w:val="71"/>
              </w:rPr>
              <w:t>$</w:t>
            </w:r>
          </w:p>
        </w:tc>
        <w:tc>
          <w:tcPr>
            <w:tcW w:w="580" w:type="dxa"/>
            <w:vAlign w:val="bottom"/>
            <w:tcBorders>
              <w:top w:val="single" w:sz="8" w:color="auto"/>
            </w:tcBorders>
          </w:tcPr>
          <w:p>
            <w:pPr>
              <w:jc w:val="right"/>
              <w:spacing w:after="0" w:line="203" w:lineRule="exact"/>
              <w:rPr>
                <w:sz w:val="20"/>
                <w:szCs w:val="20"/>
                <w:color w:val="auto"/>
              </w:rPr>
            </w:pPr>
            <w:r>
              <w:rPr>
                <w:rFonts w:ascii="Arial" w:cs="Arial" w:eastAsia="Arial" w:hAnsi="Arial"/>
                <w:sz w:val="18"/>
                <w:szCs w:val="18"/>
                <w:color w:val="auto"/>
              </w:rPr>
              <w:t>1.04</w:t>
            </w: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
        </w:trPr>
        <w:tc>
          <w:tcPr>
            <w:tcW w:w="5820" w:type="dxa"/>
            <w:vAlign w:val="bottom"/>
            <w:gridSpan w:val="2"/>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8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3"/>
        </w:trPr>
        <w:tc>
          <w:tcPr>
            <w:tcW w:w="20" w:type="dxa"/>
            <w:vAlign w:val="bottom"/>
          </w:tcPr>
          <w:p>
            <w:pPr>
              <w:spacing w:after="0"/>
              <w:rPr>
                <w:sz w:val="24"/>
                <w:szCs w:val="24"/>
                <w:color w:val="auto"/>
              </w:rPr>
            </w:pPr>
          </w:p>
        </w:tc>
        <w:tc>
          <w:tcPr>
            <w:tcW w:w="58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Comprehensive income:</w:t>
            </w:r>
          </w:p>
        </w:tc>
        <w:tc>
          <w:tcPr>
            <w:tcW w:w="48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64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64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58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5800" w:type="dxa"/>
            <w:vAlign w:val="bottom"/>
          </w:tcPr>
          <w:p>
            <w:pPr>
              <w:spacing w:after="0"/>
              <w:rPr>
                <w:sz w:val="20"/>
                <w:szCs w:val="20"/>
                <w:color w:val="auto"/>
              </w:rPr>
            </w:pPr>
            <w:r>
              <w:rPr>
                <w:rFonts w:ascii="Arial" w:cs="Arial" w:eastAsia="Arial" w:hAnsi="Arial"/>
                <w:sz w:val="18"/>
                <w:szCs w:val="18"/>
                <w:color w:val="auto"/>
              </w:rPr>
              <w:t>Net income for the year</w:t>
            </w:r>
          </w:p>
        </w:tc>
        <w:tc>
          <w:tcPr>
            <w:tcW w:w="6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40" w:type="dxa"/>
            <w:vAlign w:val="bottom"/>
          </w:tcPr>
          <w:p>
            <w:pPr>
              <w:jc w:val="right"/>
              <w:spacing w:after="0"/>
              <w:rPr>
                <w:sz w:val="20"/>
                <w:szCs w:val="20"/>
                <w:color w:val="auto"/>
              </w:rPr>
            </w:pPr>
            <w:r>
              <w:rPr>
                <w:rFonts w:ascii="Arial" w:cs="Arial" w:eastAsia="Arial" w:hAnsi="Arial"/>
                <w:sz w:val="18"/>
                <w:szCs w:val="18"/>
                <w:color w:val="auto"/>
              </w:rPr>
              <w:t>86,538</w:t>
            </w:r>
          </w:p>
        </w:tc>
        <w:tc>
          <w:tcPr>
            <w:tcW w:w="160" w:type="dxa"/>
            <w:vAlign w:val="bottom"/>
          </w:tcPr>
          <w:p>
            <w:pPr>
              <w:spacing w:after="0"/>
              <w:rPr>
                <w:sz w:val="19"/>
                <w:szCs w:val="19"/>
                <w:color w:val="auto"/>
              </w:rPr>
            </w:pPr>
          </w:p>
        </w:tc>
        <w:tc>
          <w:tcPr>
            <w:tcW w:w="14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tcPr>
          <w:p>
            <w:pPr>
              <w:jc w:val="right"/>
              <w:spacing w:after="0"/>
              <w:rPr>
                <w:sz w:val="20"/>
                <w:szCs w:val="20"/>
                <w:color w:val="auto"/>
              </w:rPr>
            </w:pPr>
            <w:r>
              <w:rPr>
                <w:rFonts w:ascii="Arial" w:cs="Arial" w:eastAsia="Arial" w:hAnsi="Arial"/>
                <w:sz w:val="18"/>
                <w:szCs w:val="18"/>
                <w:color w:val="auto"/>
              </w:rPr>
              <w:t>73,167</w:t>
            </w:r>
          </w:p>
        </w:tc>
        <w:tc>
          <w:tcPr>
            <w:tcW w:w="160" w:type="dxa"/>
            <w:vAlign w:val="bottom"/>
          </w:tcPr>
          <w:p>
            <w:pPr>
              <w:spacing w:after="0"/>
              <w:rPr>
                <w:sz w:val="19"/>
                <w:szCs w:val="19"/>
                <w:color w:val="auto"/>
              </w:rPr>
            </w:pPr>
          </w:p>
        </w:tc>
        <w:tc>
          <w:tcPr>
            <w:tcW w:w="200" w:type="dxa"/>
            <w:vAlign w:val="bottom"/>
          </w:tcPr>
          <w:p>
            <w:pPr>
              <w:jc w:val="right"/>
              <w:ind w:right="43"/>
              <w:spacing w:after="0"/>
              <w:rPr>
                <w:sz w:val="20"/>
                <w:szCs w:val="20"/>
                <w:color w:val="auto"/>
              </w:rPr>
            </w:pPr>
            <w:r>
              <w:rPr>
                <w:rFonts w:ascii="Arial" w:cs="Arial" w:eastAsia="Arial" w:hAnsi="Arial"/>
                <w:sz w:val="15"/>
                <w:szCs w:val="15"/>
                <w:color w:val="auto"/>
                <w:w w:val="71"/>
              </w:rPr>
              <w:t>$</w:t>
            </w:r>
          </w:p>
        </w:tc>
        <w:tc>
          <w:tcPr>
            <w:tcW w:w="580" w:type="dxa"/>
            <w:vAlign w:val="bottom"/>
          </w:tcPr>
          <w:p>
            <w:pPr>
              <w:jc w:val="right"/>
              <w:spacing w:after="0"/>
              <w:rPr>
                <w:sz w:val="20"/>
                <w:szCs w:val="20"/>
                <w:color w:val="auto"/>
              </w:rPr>
            </w:pPr>
            <w:r>
              <w:rPr>
                <w:rFonts w:ascii="Arial" w:cs="Arial" w:eastAsia="Arial" w:hAnsi="Arial"/>
                <w:sz w:val="18"/>
                <w:szCs w:val="18"/>
                <w:color w:val="auto"/>
                <w:w w:val="86"/>
              </w:rPr>
              <w:t>139,345</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
        </w:trPr>
        <w:tc>
          <w:tcPr>
            <w:tcW w:w="5820" w:type="dxa"/>
            <w:vAlign w:val="bottom"/>
            <w:gridSpan w:val="2"/>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426"/>
        </w:trPr>
        <w:tc>
          <w:tcPr>
            <w:tcW w:w="20" w:type="dxa"/>
            <w:vAlign w:val="bottom"/>
          </w:tcPr>
          <w:p>
            <w:pPr>
              <w:spacing w:after="0"/>
              <w:rPr>
                <w:sz w:val="24"/>
                <w:szCs w:val="24"/>
                <w:color w:val="auto"/>
              </w:rPr>
            </w:pPr>
          </w:p>
        </w:tc>
        <w:tc>
          <w:tcPr>
            <w:tcW w:w="5800" w:type="dxa"/>
            <w:vAlign w:val="bottom"/>
            <w:shd w:val="clear" w:color="auto" w:fill="CCEEFF"/>
          </w:tcPr>
          <w:p>
            <w:pPr>
              <w:spacing w:after="0"/>
              <w:rPr>
                <w:sz w:val="20"/>
                <w:szCs w:val="20"/>
                <w:color w:val="auto"/>
              </w:rPr>
            </w:pPr>
            <w:r>
              <w:rPr>
                <w:rFonts w:ascii="Arial" w:cs="Arial" w:eastAsia="Arial" w:hAnsi="Arial"/>
                <w:sz w:val="18"/>
                <w:szCs w:val="18"/>
                <w:color w:val="auto"/>
              </w:rPr>
              <w:t>Other comprehensive income (loss):</w:t>
            </w:r>
          </w:p>
        </w:tc>
        <w:tc>
          <w:tcPr>
            <w:tcW w:w="48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64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64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58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00" w:type="dxa"/>
            <w:vAlign w:val="bottom"/>
          </w:tcPr>
          <w:p>
            <w:pPr>
              <w:ind w:left="120"/>
              <w:spacing w:after="0"/>
              <w:rPr>
                <w:sz w:val="20"/>
                <w:szCs w:val="20"/>
                <w:color w:val="auto"/>
              </w:rPr>
            </w:pPr>
            <w:r>
              <w:rPr>
                <w:rFonts w:ascii="Arial" w:cs="Arial" w:eastAsia="Arial" w:hAnsi="Arial"/>
                <w:sz w:val="18"/>
                <w:szCs w:val="18"/>
                <w:color w:val="auto"/>
              </w:rPr>
              <w:t>Unrealized gain (loss) on hedging activities</w:t>
            </w:r>
          </w:p>
        </w:tc>
        <w:tc>
          <w:tcPr>
            <w:tcW w:w="4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16,287</w:t>
            </w: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00" w:type="dxa"/>
            <w:vAlign w:val="bottom"/>
            <w:gridSpan w:val="2"/>
          </w:tcPr>
          <w:p>
            <w:pPr>
              <w:jc w:val="right"/>
              <w:ind w:right="120"/>
              <w:spacing w:after="0"/>
              <w:rPr>
                <w:sz w:val="20"/>
                <w:szCs w:val="20"/>
                <w:color w:val="auto"/>
              </w:rPr>
            </w:pPr>
            <w:r>
              <w:rPr>
                <w:rFonts w:ascii="Arial" w:cs="Arial" w:eastAsia="Arial" w:hAnsi="Arial"/>
                <w:sz w:val="18"/>
                <w:szCs w:val="18"/>
                <w:color w:val="auto"/>
              </w:rPr>
              <w:t>(8,888)</w:t>
            </w:r>
          </w:p>
        </w:tc>
        <w:tc>
          <w:tcPr>
            <w:tcW w:w="200" w:type="dxa"/>
            <w:vAlign w:val="bottom"/>
          </w:tcPr>
          <w:p>
            <w:pPr>
              <w:spacing w:after="0"/>
              <w:rPr>
                <w:sz w:val="18"/>
                <w:szCs w:val="18"/>
                <w:color w:val="auto"/>
              </w:rPr>
            </w:pPr>
          </w:p>
        </w:tc>
        <w:tc>
          <w:tcPr>
            <w:tcW w:w="7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00" w:type="dxa"/>
            <w:vAlign w:val="bottom"/>
            <w:shd w:val="clear" w:color="auto" w:fill="CCEEFF"/>
          </w:tcPr>
          <w:p>
            <w:pPr>
              <w:ind w:left="120"/>
              <w:spacing w:after="0"/>
              <w:rPr>
                <w:sz w:val="20"/>
                <w:szCs w:val="20"/>
                <w:color w:val="auto"/>
              </w:rPr>
            </w:pPr>
            <w:r>
              <w:rPr>
                <w:rFonts w:ascii="Arial" w:cs="Arial" w:eastAsia="Arial" w:hAnsi="Arial"/>
                <w:sz w:val="18"/>
                <w:szCs w:val="18"/>
                <w:color w:val="auto"/>
              </w:rPr>
              <w:t>Unrealized gain (loss) on available-for-sale securities</w:t>
            </w:r>
          </w:p>
        </w:tc>
        <w:tc>
          <w:tcPr>
            <w:tcW w:w="4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76,037</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(911)</w:t>
            </w:r>
          </w:p>
        </w:tc>
        <w:tc>
          <w:tcPr>
            <w:tcW w:w="20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(5,436)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00" w:type="dxa"/>
            <w:vAlign w:val="bottom"/>
          </w:tcPr>
          <w:p>
            <w:pPr>
              <w:ind w:left="120"/>
              <w:spacing w:after="0"/>
              <w:rPr>
                <w:sz w:val="20"/>
                <w:szCs w:val="20"/>
                <w:color w:val="auto"/>
              </w:rPr>
            </w:pPr>
            <w:r>
              <w:rPr>
                <w:rFonts w:ascii="Arial" w:cs="Arial" w:eastAsia="Arial" w:hAnsi="Arial"/>
                <w:sz w:val="18"/>
                <w:szCs w:val="18"/>
                <w:color w:val="auto"/>
              </w:rPr>
              <w:t>Adjustments for derivative instruments maturing during the year</w:t>
            </w:r>
          </w:p>
        </w:tc>
        <w:tc>
          <w:tcPr>
            <w:tcW w:w="4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0" w:type="dxa"/>
            <w:vAlign w:val="bottom"/>
            <w:gridSpan w:val="2"/>
          </w:tcPr>
          <w:p>
            <w:pPr>
              <w:jc w:val="right"/>
              <w:ind w:right="120"/>
              <w:spacing w:after="0"/>
              <w:rPr>
                <w:sz w:val="20"/>
                <w:szCs w:val="20"/>
                <w:color w:val="auto"/>
              </w:rPr>
            </w:pPr>
            <w:r>
              <w:rPr>
                <w:rFonts w:ascii="Arial" w:cs="Arial" w:eastAsia="Arial" w:hAnsi="Arial"/>
                <w:sz w:val="18"/>
                <w:szCs w:val="18"/>
                <w:color w:val="auto"/>
              </w:rPr>
              <w:t>(7,399)</w:t>
            </w:r>
          </w:p>
        </w:tc>
        <w:tc>
          <w:tcPr>
            <w:tcW w:w="140" w:type="dxa"/>
            <w:vAlign w:val="bottom"/>
          </w:tcPr>
          <w:p>
            <w:pPr>
              <w:spacing w:after="0"/>
              <w:rPr>
                <w:sz w:val="18"/>
                <w:szCs w:val="18"/>
                <w:color w:val="auto"/>
              </w:rPr>
            </w:pP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8"/>
                <w:szCs w:val="18"/>
                <w:color w:val="auto"/>
              </w:rPr>
            </w:pPr>
          </w:p>
        </w:tc>
        <w:tc>
          <w:tcPr>
            <w:tcW w:w="580" w:type="dxa"/>
            <w:vAlign w:val="bottom"/>
          </w:tcPr>
          <w:p>
            <w:pPr>
              <w:jc w:val="right"/>
              <w:spacing w:after="0"/>
              <w:rPr>
                <w:sz w:val="20"/>
                <w:szCs w:val="20"/>
                <w:color w:val="auto"/>
              </w:rPr>
            </w:pPr>
            <w:r>
              <w:rPr>
                <w:rFonts w:ascii="Arial" w:cs="Arial" w:eastAsia="Arial" w:hAnsi="Arial"/>
                <w:sz w:val="18"/>
                <w:szCs w:val="18"/>
                <w:color w:val="auto"/>
              </w:rPr>
              <w:t>1,653</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5800" w:type="dxa"/>
            <w:vAlign w:val="bottom"/>
            <w:shd w:val="clear" w:color="auto" w:fill="CCEEFF"/>
          </w:tcPr>
          <w:p>
            <w:pPr>
              <w:ind w:left="120"/>
              <w:spacing w:after="0"/>
              <w:rPr>
                <w:sz w:val="20"/>
                <w:szCs w:val="20"/>
                <w:color w:val="auto"/>
              </w:rPr>
            </w:pPr>
            <w:r>
              <w:rPr>
                <w:rFonts w:ascii="Arial" w:cs="Arial" w:eastAsia="Arial" w:hAnsi="Arial"/>
                <w:sz w:val="18"/>
                <w:szCs w:val="18"/>
                <w:color w:val="auto"/>
                <w:w w:val="96"/>
              </w:rPr>
              <w:t>Adjustments for realized loss (gain) on available-for-sale securities due to</w:t>
            </w:r>
          </w:p>
        </w:tc>
        <w:tc>
          <w:tcPr>
            <w:tcW w:w="4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5800" w:type="dxa"/>
            <w:vAlign w:val="bottom"/>
            <w:shd w:val="clear" w:color="auto" w:fill="CCEEFF"/>
          </w:tcPr>
          <w:p>
            <w:pPr>
              <w:ind w:left="300"/>
              <w:spacing w:after="0"/>
              <w:rPr>
                <w:sz w:val="20"/>
                <w:szCs w:val="20"/>
                <w:color w:val="auto"/>
              </w:rPr>
            </w:pPr>
            <w:r>
              <w:rPr>
                <w:rFonts w:ascii="Arial" w:cs="Arial" w:eastAsia="Arial" w:hAnsi="Arial"/>
                <w:sz w:val="18"/>
                <w:szCs w:val="18"/>
                <w:color w:val="auto"/>
              </w:rPr>
              <w:t>dispositions and write-downs during the year</w:t>
            </w:r>
          </w:p>
        </w:tc>
        <w:tc>
          <w:tcPr>
            <w:tcW w:w="48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8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8"/>
              </w:rPr>
              <w:t>(10,142)</w:t>
            </w:r>
          </w:p>
        </w:tc>
        <w:tc>
          <w:tcPr>
            <w:tcW w:w="140" w:type="dxa"/>
            <w:vAlign w:val="bottom"/>
            <w:shd w:val="clear" w:color="auto" w:fill="CCEEFF"/>
          </w:tcPr>
          <w:p>
            <w:pPr>
              <w:spacing w:after="0"/>
              <w:rPr>
                <w:sz w:val="19"/>
                <w:szCs w:val="19"/>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8,997</w:t>
            </w:r>
          </w:p>
        </w:tc>
        <w:tc>
          <w:tcPr>
            <w:tcW w:w="160" w:type="dxa"/>
            <w:vAlign w:val="bottom"/>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7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(1,918)</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00" w:type="dxa"/>
            <w:vAlign w:val="bottom"/>
          </w:tcPr>
          <w:p>
            <w:pPr>
              <w:ind w:left="120"/>
              <w:spacing w:after="0"/>
              <w:rPr>
                <w:sz w:val="20"/>
                <w:szCs w:val="20"/>
                <w:color w:val="auto"/>
              </w:rPr>
            </w:pPr>
            <w:r>
              <w:rPr>
                <w:rFonts w:ascii="Arial" w:cs="Arial" w:eastAsia="Arial" w:hAnsi="Arial"/>
                <w:sz w:val="18"/>
                <w:szCs w:val="18"/>
                <w:color w:val="auto"/>
              </w:rPr>
              <w:t>Change in unrealized gain (loss) on pension liability (note 5(c))</w:t>
            </w:r>
          </w:p>
        </w:tc>
        <w:tc>
          <w:tcPr>
            <w:tcW w:w="4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0" w:type="dxa"/>
            <w:vAlign w:val="bottom"/>
            <w:gridSpan w:val="2"/>
          </w:tcPr>
          <w:p>
            <w:pPr>
              <w:jc w:val="right"/>
              <w:ind w:right="120"/>
              <w:spacing w:after="0"/>
              <w:rPr>
                <w:sz w:val="20"/>
                <w:szCs w:val="20"/>
                <w:color w:val="auto"/>
              </w:rPr>
            </w:pPr>
            <w:r>
              <w:rPr>
                <w:rFonts w:ascii="Arial" w:cs="Arial" w:eastAsia="Arial" w:hAnsi="Arial"/>
                <w:sz w:val="18"/>
                <w:szCs w:val="18"/>
                <w:color w:val="auto"/>
              </w:rPr>
              <w:t>(727)</w:t>
            </w:r>
          </w:p>
        </w:tc>
        <w:tc>
          <w:tcPr>
            <w:tcW w:w="14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1,822</w:t>
            </w:r>
          </w:p>
        </w:tc>
        <w:tc>
          <w:tcPr>
            <w:tcW w:w="1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40" w:type="dxa"/>
            <w:vAlign w:val="bottom"/>
            <w:gridSpan w:val="2"/>
          </w:tcPr>
          <w:p>
            <w:pPr>
              <w:jc w:val="right"/>
              <w:ind w:right="100"/>
              <w:spacing w:after="0"/>
              <w:rPr>
                <w:sz w:val="20"/>
                <w:szCs w:val="20"/>
                <w:color w:val="auto"/>
              </w:rPr>
            </w:pPr>
            <w:r>
              <w:rPr>
                <w:rFonts w:ascii="Arial" w:cs="Arial" w:eastAsia="Arial" w:hAnsi="Arial"/>
                <w:sz w:val="18"/>
                <w:szCs w:val="18"/>
                <w:color w:val="auto"/>
              </w:rPr>
              <w:t>(16)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00" w:type="dxa"/>
            <w:vAlign w:val="bottom"/>
            <w:shd w:val="clear" w:color="auto" w:fill="CCEEFF"/>
          </w:tcPr>
          <w:p>
            <w:pPr>
              <w:ind w:left="120"/>
              <w:spacing w:after="0"/>
              <w:rPr>
                <w:sz w:val="20"/>
                <w:szCs w:val="20"/>
                <w:color w:val="auto"/>
              </w:rPr>
            </w:pPr>
            <w:r>
              <w:rPr>
                <w:rFonts w:ascii="Arial" w:cs="Arial" w:eastAsia="Arial" w:hAnsi="Arial"/>
                <w:sz w:val="18"/>
                <w:szCs w:val="18"/>
                <w:color w:val="auto"/>
              </w:rPr>
              <w:t>Tax effect of other comprehensive income items</w:t>
            </w:r>
          </w:p>
        </w:tc>
        <w:tc>
          <w:tcPr>
            <w:tcW w:w="4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(2,399)</w:t>
            </w: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2,084</w:t>
            </w:r>
          </w:p>
        </w:tc>
        <w:tc>
          <w:tcPr>
            <w:tcW w:w="1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5820" w:type="dxa"/>
            <w:vAlign w:val="bottom"/>
            <w:gridSpan w:val="2"/>
            <w:vMerge w:val="restart"/>
          </w:tcPr>
          <w:p>
            <w:pPr>
              <w:spacing w:after="0"/>
              <w:rPr>
                <w:sz w:val="20"/>
                <w:szCs w:val="20"/>
                <w:color w:val="auto"/>
              </w:rPr>
            </w:pPr>
            <w:r>
              <w:rPr>
                <w:rFonts w:ascii="Arial" w:cs="Arial" w:eastAsia="Arial" w:hAnsi="Arial"/>
                <w:sz w:val="18"/>
                <w:szCs w:val="18"/>
                <w:color w:val="auto"/>
              </w:rPr>
              <w:t>Other comprehensive income (loss) for the year</w:t>
            </w:r>
          </w:p>
        </w:tc>
        <w:tc>
          <w:tcPr>
            <w:tcW w:w="480" w:type="dxa"/>
            <w:vAlign w:val="bottom"/>
          </w:tcPr>
          <w:p>
            <w:pPr>
              <w:spacing w:after="0"/>
              <w:rPr>
                <w:sz w:val="2"/>
                <w:szCs w:val="2"/>
                <w:color w:val="auto"/>
              </w:rPr>
            </w:pPr>
          </w:p>
        </w:tc>
        <w:tc>
          <w:tcPr>
            <w:tcW w:w="160" w:type="dxa"/>
            <w:vAlign w:val="bottom"/>
          </w:tcPr>
          <w:p>
            <w:pPr>
              <w:spacing w:after="0"/>
              <w:rPr>
                <w:sz w:val="2"/>
                <w:szCs w:val="2"/>
                <w:color w:val="auto"/>
              </w:rPr>
            </w:pPr>
          </w:p>
        </w:tc>
        <w:tc>
          <w:tcPr>
            <w:tcW w:w="640" w:type="dxa"/>
            <w:vAlign w:val="bottom"/>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Pr>
          <w:p>
            <w:pPr>
              <w:spacing w:after="0"/>
              <w:rPr>
                <w:sz w:val="2"/>
                <w:szCs w:val="2"/>
                <w:color w:val="auto"/>
              </w:rPr>
            </w:pPr>
          </w:p>
        </w:tc>
        <w:tc>
          <w:tcPr>
            <w:tcW w:w="640" w:type="dxa"/>
            <w:vAlign w:val="bottom"/>
          </w:tcPr>
          <w:p>
            <w:pPr>
              <w:spacing w:after="0"/>
              <w:rPr>
                <w:sz w:val="2"/>
                <w:szCs w:val="2"/>
                <w:color w:val="auto"/>
              </w:rPr>
            </w:pPr>
          </w:p>
        </w:tc>
        <w:tc>
          <w:tcPr>
            <w:tcW w:w="160" w:type="dxa"/>
            <w:vAlign w:val="bottom"/>
          </w:tcPr>
          <w:p>
            <w:pPr>
              <w:spacing w:after="0"/>
              <w:rPr>
                <w:sz w:val="2"/>
                <w:szCs w:val="2"/>
                <w:color w:val="auto"/>
              </w:rPr>
            </w:pPr>
          </w:p>
        </w:tc>
        <w:tc>
          <w:tcPr>
            <w:tcW w:w="200" w:type="dxa"/>
            <w:vAlign w:val="bottom"/>
          </w:tcPr>
          <w:p>
            <w:pPr>
              <w:spacing w:after="0"/>
              <w:rPr>
                <w:sz w:val="2"/>
                <w:szCs w:val="2"/>
                <w:color w:val="auto"/>
              </w:rPr>
            </w:pPr>
          </w:p>
        </w:tc>
        <w:tc>
          <w:tcPr>
            <w:tcW w:w="740" w:type="dxa"/>
            <w:vAlign w:val="bottom"/>
            <w:gridSpan w:val="2"/>
          </w:tcPr>
          <w:p>
            <w:pPr>
              <w:spacing w:after="0"/>
              <w:rPr>
                <w:sz w:val="2"/>
                <w:szCs w:val="2"/>
                <w:color w:val="auto"/>
              </w:rPr>
            </w:pPr>
          </w:p>
        </w:tc>
        <w:tc>
          <w:tcPr>
            <w:tcW w:w="0" w:type="dxa"/>
            <w:vAlign w:val="bottom"/>
          </w:tcPr>
          <w:p>
            <w:pPr>
              <w:spacing w:after="0"/>
              <w:rPr>
                <w:sz w:val="1"/>
                <w:szCs w:val="1"/>
                <w:color w:val="auto"/>
              </w:rPr>
            </w:pPr>
          </w:p>
        </w:tc>
      </w:tr>
      <w:tr>
        <w:trPr>
          <w:trHeight w:val="216"/>
        </w:trPr>
        <w:tc>
          <w:tcPr>
            <w:tcW w:w="5820" w:type="dxa"/>
            <w:vAlign w:val="bottom"/>
            <w:gridSpan w:val="2"/>
            <w:vMerge w:val="continue"/>
          </w:tcPr>
          <w:p>
            <w:pPr>
              <w:spacing w:after="0"/>
              <w:rPr>
                <w:sz w:val="18"/>
                <w:szCs w:val="18"/>
                <w:color w:val="auto"/>
              </w:rPr>
            </w:pPr>
          </w:p>
        </w:tc>
        <w:tc>
          <w:tcPr>
            <w:tcW w:w="480" w:type="dxa"/>
            <w:vAlign w:val="bottom"/>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6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71,657</w:t>
            </w:r>
          </w:p>
        </w:tc>
        <w:tc>
          <w:tcPr>
            <w:tcW w:w="160" w:type="dxa"/>
            <w:vAlign w:val="bottom"/>
          </w:tcPr>
          <w:p>
            <w:pPr>
              <w:spacing w:after="0"/>
              <w:rPr>
                <w:sz w:val="18"/>
                <w:szCs w:val="18"/>
                <w:color w:val="auto"/>
              </w:rPr>
            </w:pPr>
          </w:p>
        </w:tc>
        <w:tc>
          <w:tcPr>
            <w:tcW w:w="140" w:type="dxa"/>
            <w:vAlign w:val="bottom"/>
            <w:tcBorders>
              <w:top w:val="single" w:sz="8" w:color="auto"/>
            </w:tcBorders>
          </w:tcPr>
          <w:p>
            <w:pPr>
              <w:spacing w:after="0"/>
              <w:rPr>
                <w:sz w:val="18"/>
                <w:szCs w:val="18"/>
                <w:color w:val="auto"/>
              </w:rPr>
            </w:pPr>
          </w:p>
        </w:tc>
        <w:tc>
          <w:tcPr>
            <w:tcW w:w="6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3,104</w:t>
            </w:r>
          </w:p>
        </w:tc>
        <w:tc>
          <w:tcPr>
            <w:tcW w:w="160" w:type="dxa"/>
            <w:vAlign w:val="bottom"/>
          </w:tcPr>
          <w:p>
            <w:pPr>
              <w:spacing w:after="0"/>
              <w:rPr>
                <w:sz w:val="18"/>
                <w:szCs w:val="18"/>
                <w:color w:val="auto"/>
              </w:rPr>
            </w:pPr>
          </w:p>
        </w:tc>
        <w:tc>
          <w:tcPr>
            <w:tcW w:w="200" w:type="dxa"/>
            <w:vAlign w:val="bottom"/>
            <w:tcBorders>
              <w:top w:val="single" w:sz="8" w:color="auto"/>
            </w:tcBorders>
          </w:tcPr>
          <w:p>
            <w:pPr>
              <w:spacing w:after="0"/>
              <w:rPr>
                <w:sz w:val="18"/>
                <w:szCs w:val="18"/>
                <w:color w:val="auto"/>
              </w:rPr>
            </w:pPr>
          </w:p>
        </w:tc>
        <w:tc>
          <w:tcPr>
            <w:tcW w:w="5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w w:val="98"/>
              </w:rPr>
              <w:t>(5,713)</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
        </w:trPr>
        <w:tc>
          <w:tcPr>
            <w:tcW w:w="20" w:type="dxa"/>
            <w:vAlign w:val="bottom"/>
          </w:tcPr>
          <w:p>
            <w:pPr>
              <w:spacing w:after="0" w:line="20" w:lineRule="exact"/>
              <w:rPr>
                <w:sz w:val="1"/>
                <w:szCs w:val="1"/>
                <w:color w:val="auto"/>
              </w:rPr>
            </w:pPr>
          </w:p>
        </w:tc>
        <w:tc>
          <w:tcPr>
            <w:tcW w:w="58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800" w:type="dxa"/>
            <w:vAlign w:val="bottom"/>
            <w:shd w:val="clear" w:color="auto" w:fill="CCEEFF"/>
          </w:tcPr>
          <w:p>
            <w:pPr>
              <w:spacing w:after="0"/>
              <w:rPr>
                <w:sz w:val="20"/>
                <w:szCs w:val="20"/>
                <w:color w:val="auto"/>
              </w:rPr>
            </w:pPr>
            <w:r>
              <w:rPr>
                <w:rFonts w:ascii="Arial" w:cs="Arial" w:eastAsia="Arial" w:hAnsi="Arial"/>
                <w:sz w:val="18"/>
                <w:szCs w:val="18"/>
                <w:color w:val="auto"/>
              </w:rPr>
              <w:t>Comprehensive income for the year</w:t>
            </w: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2"/>
              </w:rPr>
              <w:t>158,195</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76,271</w:t>
            </w:r>
          </w:p>
        </w:tc>
        <w:tc>
          <w:tcPr>
            <w:tcW w:w="160" w:type="dxa"/>
            <w:vAlign w:val="bottom"/>
            <w:shd w:val="clear" w:color="auto" w:fill="CCEEFF"/>
          </w:tcPr>
          <w:p>
            <w:pPr>
              <w:spacing w:after="0"/>
              <w:rPr>
                <w:sz w:val="18"/>
                <w:szCs w:val="18"/>
                <w:color w:val="auto"/>
              </w:rPr>
            </w:pPr>
          </w:p>
        </w:tc>
        <w:tc>
          <w:tcPr>
            <w:tcW w:w="200" w:type="dxa"/>
            <w:vAlign w:val="bottom"/>
            <w:shd w:val="clear" w:color="auto" w:fill="CCEEFF"/>
          </w:tcPr>
          <w:p>
            <w:pPr>
              <w:jc w:val="right"/>
              <w:ind w:right="43"/>
              <w:spacing w:after="0"/>
              <w:rPr>
                <w:sz w:val="20"/>
                <w:szCs w:val="20"/>
                <w:color w:val="auto"/>
              </w:rPr>
            </w:pPr>
            <w:r>
              <w:rPr>
                <w:rFonts w:ascii="Arial" w:cs="Arial" w:eastAsia="Arial" w:hAnsi="Arial"/>
                <w:sz w:val="15"/>
                <w:szCs w:val="15"/>
                <w:color w:val="auto"/>
                <w:w w:val="71"/>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6"/>
              </w:rPr>
              <w:t>133,632</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5800" w:type="dxa"/>
            <w:vAlign w:val="bottom"/>
          </w:tcPr>
          <w:p>
            <w:pPr>
              <w:spacing w:after="0"/>
              <w:rPr>
                <w:sz w:val="2"/>
                <w:szCs w:val="2"/>
                <w:color w:val="auto"/>
              </w:rPr>
            </w:pPr>
          </w:p>
        </w:tc>
        <w:tc>
          <w:tcPr>
            <w:tcW w:w="48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8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See accompanying notes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-720090</wp:posOffset>
            </wp:positionH>
            <wp:positionV relativeFrom="paragraph">
              <wp:posOffset>146050</wp:posOffset>
            </wp:positionV>
            <wp:extent cx="7250430" cy="2159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9140"/>
          </w:cols>
          <w:pgMar w:left="1380" w:top="341" w:right="1379" w:bottom="1440" w:gutter="0" w:footer="0" w:header="0"/>
        </w:sectPr>
      </w:pPr>
    </w:p>
    <w:bookmarkStart w:id="198" w:name="page199"/>
    <w:bookmarkEnd w:id="198"/>
    <w:p>
      <w:pPr>
        <w:jc w:val="center"/>
        <w:ind w:right="160"/>
        <w:spacing w:after="0"/>
        <w:rPr>
          <w:sz w:val="20"/>
          <w:szCs w:val="20"/>
          <w:color w:val="auto"/>
        </w:rPr>
      </w:pPr>
      <w:r>
        <w:rPr>
          <w:rFonts w:ascii="Arial" w:cs="Arial" w:eastAsia="Arial" w:hAnsi="Arial"/>
          <w:sz w:val="18"/>
          <w:szCs w:val="18"/>
          <w:b w:val="1"/>
          <w:bCs w:val="1"/>
          <w:color w:val="auto"/>
        </w:rPr>
        <w:t>AGNICO-EAGLE MINES LIMITED</w:t>
      </w:r>
    </w:p>
    <w:p>
      <w:pPr>
        <w:spacing w:after="0" w:line="225" w:lineRule="exact"/>
        <w:rPr>
          <w:sz w:val="20"/>
          <w:szCs w:val="20"/>
          <w:color w:val="auto"/>
        </w:rPr>
      </w:pPr>
    </w:p>
    <w:p>
      <w:pPr>
        <w:jc w:val="center"/>
        <w:ind w:right="160"/>
        <w:spacing w:after="0"/>
        <w:rPr>
          <w:sz w:val="20"/>
          <w:szCs w:val="20"/>
          <w:color w:val="auto"/>
        </w:rPr>
      </w:pPr>
      <w:r>
        <w:rPr>
          <w:rFonts w:ascii="Arial" w:cs="Arial" w:eastAsia="Arial" w:hAnsi="Arial"/>
          <w:sz w:val="18"/>
          <w:szCs w:val="18"/>
          <w:b w:val="1"/>
          <w:bCs w:val="1"/>
          <w:color w:val="auto"/>
        </w:rPr>
        <w:t>CONSOLIDATED STATEMENTS OF SHAREHOLDERS' EQUITY</w:t>
      </w:r>
    </w:p>
    <w:p>
      <w:pPr>
        <w:spacing w:after="0" w:line="225" w:lineRule="exact"/>
        <w:rPr>
          <w:sz w:val="20"/>
          <w:szCs w:val="20"/>
          <w:color w:val="auto"/>
        </w:rPr>
      </w:pPr>
    </w:p>
    <w:p>
      <w:pPr>
        <w:jc w:val="center"/>
        <w:ind w:right="160"/>
        <w:spacing w:after="0"/>
        <w:rPr>
          <w:sz w:val="20"/>
          <w:szCs w:val="20"/>
          <w:color w:val="auto"/>
        </w:rPr>
      </w:pPr>
      <w:r>
        <w:rPr>
          <w:rFonts w:ascii="Arial" w:cs="Arial" w:eastAsia="Arial" w:hAnsi="Arial"/>
          <w:sz w:val="18"/>
          <w:szCs w:val="18"/>
          <w:b w:val="1"/>
          <w:bCs w:val="1"/>
          <w:color w:val="auto"/>
        </w:rPr>
        <w:t>(thousands of United States dollars, US GAAP basis)</w:t>
      </w:r>
    </w:p>
    <w:p>
      <w:pPr>
        <w:spacing w:after="0" w:line="363"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2000" w:type="dxa"/>
            <w:vAlign w:val="bottom"/>
          </w:tcPr>
          <w:p>
            <w:pPr>
              <w:spacing w:after="0"/>
              <w:rPr>
                <w:sz w:val="14"/>
                <w:szCs w:val="14"/>
                <w:color w:val="auto"/>
              </w:rPr>
            </w:pPr>
          </w:p>
        </w:tc>
        <w:tc>
          <w:tcPr>
            <w:tcW w:w="1900" w:type="dxa"/>
            <w:vAlign w:val="bottom"/>
            <w:gridSpan w:val="5"/>
            <w:vMerge w:val="restart"/>
          </w:tcPr>
          <w:p>
            <w:pPr>
              <w:jc w:val="right"/>
              <w:ind w:right="560"/>
              <w:spacing w:after="0"/>
              <w:rPr>
                <w:sz w:val="20"/>
                <w:szCs w:val="20"/>
                <w:color w:val="auto"/>
              </w:rPr>
            </w:pPr>
            <w:r>
              <w:rPr>
                <w:rFonts w:ascii="Arial" w:cs="Arial" w:eastAsia="Arial" w:hAnsi="Arial"/>
                <w:sz w:val="14"/>
                <w:szCs w:val="14"/>
                <w:b w:val="1"/>
                <w:bCs w:val="1"/>
                <w:color w:val="auto"/>
              </w:rPr>
              <w:t>Common Shares</w:t>
            </w:r>
          </w:p>
        </w:tc>
        <w:tc>
          <w:tcPr>
            <w:tcW w:w="80" w:type="dxa"/>
            <w:vAlign w:val="bottom"/>
          </w:tcPr>
          <w:p>
            <w:pPr>
              <w:spacing w:after="0"/>
              <w:rPr>
                <w:sz w:val="14"/>
                <w:szCs w:val="14"/>
                <w:color w:val="auto"/>
              </w:rPr>
            </w:pPr>
          </w:p>
        </w:tc>
        <w:tc>
          <w:tcPr>
            <w:tcW w:w="9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40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8"/>
              </w:rPr>
              <w:t>Accumulated Other</w:t>
            </w:r>
          </w:p>
        </w:tc>
        <w:tc>
          <w:tcPr>
            <w:tcW w:w="0" w:type="dxa"/>
            <w:vAlign w:val="bottom"/>
          </w:tcPr>
          <w:p>
            <w:pPr>
              <w:spacing w:after="0"/>
              <w:rPr>
                <w:sz w:val="1"/>
                <w:szCs w:val="1"/>
                <w:color w:val="auto"/>
              </w:rPr>
            </w:pPr>
          </w:p>
        </w:tc>
      </w:tr>
      <w:tr>
        <w:trPr>
          <w:trHeight w:val="67"/>
        </w:trPr>
        <w:tc>
          <w:tcPr>
            <w:tcW w:w="20" w:type="dxa"/>
            <w:vAlign w:val="bottom"/>
          </w:tcPr>
          <w:p>
            <w:pPr>
              <w:spacing w:after="0"/>
              <w:rPr>
                <w:sz w:val="5"/>
                <w:szCs w:val="5"/>
                <w:color w:val="auto"/>
              </w:rPr>
            </w:pPr>
          </w:p>
        </w:tc>
        <w:tc>
          <w:tcPr>
            <w:tcW w:w="2000" w:type="dxa"/>
            <w:vAlign w:val="bottom"/>
          </w:tcPr>
          <w:p>
            <w:pPr>
              <w:spacing w:after="0"/>
              <w:rPr>
                <w:sz w:val="5"/>
                <w:szCs w:val="5"/>
                <w:color w:val="auto"/>
              </w:rPr>
            </w:pPr>
          </w:p>
        </w:tc>
        <w:tc>
          <w:tcPr>
            <w:tcW w:w="1900" w:type="dxa"/>
            <w:vAlign w:val="bottom"/>
            <w:gridSpan w:val="5"/>
            <w:vMerge w:val="continue"/>
          </w:tcPr>
          <w:p>
            <w:pPr>
              <w:spacing w:after="0"/>
              <w:rPr>
                <w:sz w:val="5"/>
                <w:szCs w:val="5"/>
                <w:color w:val="auto"/>
              </w:rPr>
            </w:pPr>
          </w:p>
        </w:tc>
        <w:tc>
          <w:tcPr>
            <w:tcW w:w="80" w:type="dxa"/>
            <w:vAlign w:val="bottom"/>
          </w:tcPr>
          <w:p>
            <w:pPr>
              <w:spacing w:after="0"/>
              <w:rPr>
                <w:sz w:val="5"/>
                <w:szCs w:val="5"/>
                <w:color w:val="auto"/>
              </w:rPr>
            </w:pPr>
          </w:p>
        </w:tc>
        <w:tc>
          <w:tcPr>
            <w:tcW w:w="900" w:type="dxa"/>
            <w:vAlign w:val="bottom"/>
            <w:vMerge w:val="restart"/>
          </w:tcPr>
          <w:p>
            <w:pPr>
              <w:jc w:val="right"/>
              <w:ind w:right="12"/>
              <w:spacing w:after="0" w:line="149" w:lineRule="exact"/>
              <w:rPr>
                <w:sz w:val="20"/>
                <w:szCs w:val="20"/>
                <w:color w:val="auto"/>
              </w:rPr>
            </w:pPr>
            <w:r>
              <w:rPr>
                <w:rFonts w:ascii="Arial" w:cs="Arial" w:eastAsia="Arial" w:hAnsi="Arial"/>
                <w:sz w:val="14"/>
                <w:szCs w:val="14"/>
                <w:b w:val="1"/>
                <w:bCs w:val="1"/>
                <w:color w:val="auto"/>
                <w:w w:val="84"/>
              </w:rPr>
              <w:t>Stock Options</w:t>
            </w:r>
          </w:p>
        </w:tc>
        <w:tc>
          <w:tcPr>
            <w:tcW w:w="160" w:type="dxa"/>
            <w:vAlign w:val="bottom"/>
          </w:tcPr>
          <w:p>
            <w:pPr>
              <w:spacing w:after="0"/>
              <w:rPr>
                <w:sz w:val="5"/>
                <w:szCs w:val="5"/>
                <w:color w:val="auto"/>
              </w:rPr>
            </w:pPr>
          </w:p>
        </w:tc>
        <w:tc>
          <w:tcPr>
            <w:tcW w:w="180" w:type="dxa"/>
            <w:vAlign w:val="bottom"/>
          </w:tcPr>
          <w:p>
            <w:pPr>
              <w:spacing w:after="0"/>
              <w:rPr>
                <w:sz w:val="5"/>
                <w:szCs w:val="5"/>
                <w:color w:val="auto"/>
              </w:rPr>
            </w:pPr>
          </w:p>
        </w:tc>
        <w:tc>
          <w:tcPr>
            <w:tcW w:w="520" w:type="dxa"/>
            <w:vAlign w:val="bottom"/>
          </w:tcPr>
          <w:p>
            <w:pPr>
              <w:spacing w:after="0"/>
              <w:rPr>
                <w:sz w:val="5"/>
                <w:szCs w:val="5"/>
                <w:color w:val="auto"/>
              </w:rPr>
            </w:pPr>
          </w:p>
        </w:tc>
        <w:tc>
          <w:tcPr>
            <w:tcW w:w="160" w:type="dxa"/>
            <w:vAlign w:val="bottom"/>
          </w:tcPr>
          <w:p>
            <w:pPr>
              <w:spacing w:after="0"/>
              <w:rPr>
                <w:sz w:val="5"/>
                <w:szCs w:val="5"/>
                <w:color w:val="auto"/>
              </w:rPr>
            </w:pPr>
          </w:p>
        </w:tc>
        <w:tc>
          <w:tcPr>
            <w:tcW w:w="860" w:type="dxa"/>
            <w:vAlign w:val="bottom"/>
            <w:gridSpan w:val="2"/>
            <w:vMerge w:val="restart"/>
          </w:tcPr>
          <w:p>
            <w:pPr>
              <w:jc w:val="right"/>
              <w:ind w:right="12"/>
              <w:spacing w:after="0" w:line="149" w:lineRule="exact"/>
              <w:rPr>
                <w:sz w:val="20"/>
                <w:szCs w:val="20"/>
                <w:color w:val="auto"/>
              </w:rPr>
            </w:pPr>
            <w:r>
              <w:rPr>
                <w:rFonts w:ascii="Arial" w:cs="Arial" w:eastAsia="Arial" w:hAnsi="Arial"/>
                <w:sz w:val="14"/>
                <w:szCs w:val="14"/>
                <w:b w:val="1"/>
                <w:bCs w:val="1"/>
                <w:color w:val="auto"/>
                <w:w w:val="95"/>
              </w:rPr>
              <w:t>Contributed</w:t>
            </w:r>
          </w:p>
        </w:tc>
        <w:tc>
          <w:tcPr>
            <w:tcW w:w="160" w:type="dxa"/>
            <w:vAlign w:val="bottom"/>
          </w:tcPr>
          <w:p>
            <w:pPr>
              <w:spacing w:after="0"/>
              <w:rPr>
                <w:sz w:val="5"/>
                <w:szCs w:val="5"/>
                <w:color w:val="auto"/>
              </w:rPr>
            </w:pPr>
          </w:p>
        </w:tc>
        <w:tc>
          <w:tcPr>
            <w:tcW w:w="840" w:type="dxa"/>
            <w:vAlign w:val="bottom"/>
            <w:gridSpan w:val="3"/>
            <w:vMerge w:val="restart"/>
          </w:tcPr>
          <w:p>
            <w:pPr>
              <w:jc w:val="right"/>
              <w:ind w:right="240"/>
              <w:spacing w:after="0" w:line="149" w:lineRule="exact"/>
              <w:rPr>
                <w:sz w:val="20"/>
                <w:szCs w:val="20"/>
                <w:color w:val="auto"/>
              </w:rPr>
            </w:pPr>
            <w:r>
              <w:rPr>
                <w:rFonts w:ascii="Arial" w:cs="Arial" w:eastAsia="Arial" w:hAnsi="Arial"/>
                <w:sz w:val="14"/>
                <w:szCs w:val="14"/>
                <w:b w:val="1"/>
                <w:bCs w:val="1"/>
                <w:color w:val="auto"/>
                <w:w w:val="98"/>
              </w:rPr>
              <w:t>Retained</w:t>
            </w:r>
          </w:p>
        </w:tc>
        <w:tc>
          <w:tcPr>
            <w:tcW w:w="80" w:type="dxa"/>
            <w:vAlign w:val="bottom"/>
          </w:tcPr>
          <w:p>
            <w:pPr>
              <w:spacing w:after="0"/>
              <w:rPr>
                <w:sz w:val="5"/>
                <w:szCs w:val="5"/>
                <w:color w:val="auto"/>
              </w:rPr>
            </w:pPr>
          </w:p>
        </w:tc>
        <w:tc>
          <w:tcPr>
            <w:tcW w:w="1400" w:type="dxa"/>
            <w:vAlign w:val="bottom"/>
            <w:gridSpan w:val="2"/>
            <w:vMerge w:val="restart"/>
          </w:tcPr>
          <w:p>
            <w:pPr>
              <w:jc w:val="center"/>
              <w:ind w:right="260"/>
              <w:spacing w:after="0" w:line="149" w:lineRule="exact"/>
              <w:rPr>
                <w:sz w:val="20"/>
                <w:szCs w:val="20"/>
                <w:color w:val="auto"/>
              </w:rPr>
            </w:pPr>
            <w:r>
              <w:rPr>
                <w:rFonts w:ascii="Arial" w:cs="Arial" w:eastAsia="Arial" w:hAnsi="Arial"/>
                <w:sz w:val="14"/>
                <w:szCs w:val="14"/>
                <w:b w:val="1"/>
                <w:bCs w:val="1"/>
                <w:color w:val="auto"/>
                <w:w w:val="85"/>
              </w:rPr>
              <w:t>Comprehensive</w:t>
            </w:r>
          </w:p>
        </w:tc>
        <w:tc>
          <w:tcPr>
            <w:tcW w:w="0" w:type="dxa"/>
            <w:vAlign w:val="bottom"/>
          </w:tcPr>
          <w:p>
            <w:pPr>
              <w:spacing w:after="0"/>
              <w:rPr>
                <w:sz w:val="1"/>
                <w:szCs w:val="1"/>
                <w:color w:val="auto"/>
              </w:rPr>
            </w:pPr>
          </w:p>
        </w:tc>
      </w:tr>
      <w:tr>
        <w:trPr>
          <w:trHeight w:val="62"/>
        </w:trPr>
        <w:tc>
          <w:tcPr>
            <w:tcW w:w="20" w:type="dxa"/>
            <w:vAlign w:val="bottom"/>
          </w:tcPr>
          <w:p>
            <w:pPr>
              <w:spacing w:after="0"/>
              <w:rPr>
                <w:sz w:val="5"/>
                <w:szCs w:val="5"/>
                <w:color w:val="auto"/>
              </w:rPr>
            </w:pPr>
          </w:p>
        </w:tc>
        <w:tc>
          <w:tcPr>
            <w:tcW w:w="2000" w:type="dxa"/>
            <w:vAlign w:val="bottom"/>
          </w:tcPr>
          <w:p>
            <w:pPr>
              <w:spacing w:after="0"/>
              <w:rPr>
                <w:sz w:val="5"/>
                <w:szCs w:val="5"/>
                <w:color w:val="auto"/>
              </w:rPr>
            </w:pPr>
          </w:p>
        </w:tc>
        <w:tc>
          <w:tcPr>
            <w:tcW w:w="820" w:type="dxa"/>
            <w:vAlign w:val="bottom"/>
            <w:tcBorders>
              <w:top w:val="single" w:sz="8" w:color="auto"/>
            </w:tcBorders>
          </w:tcPr>
          <w:p>
            <w:pPr>
              <w:spacing w:after="0"/>
              <w:rPr>
                <w:sz w:val="5"/>
                <w:szCs w:val="5"/>
                <w:color w:val="auto"/>
              </w:rPr>
            </w:pPr>
          </w:p>
        </w:tc>
        <w:tc>
          <w:tcPr>
            <w:tcW w:w="160" w:type="dxa"/>
            <w:vAlign w:val="bottom"/>
            <w:tcBorders>
              <w:top w:val="single" w:sz="8" w:color="auto"/>
            </w:tcBorders>
          </w:tcPr>
          <w:p>
            <w:pPr>
              <w:spacing w:after="0"/>
              <w:rPr>
                <w:sz w:val="5"/>
                <w:szCs w:val="5"/>
                <w:color w:val="auto"/>
              </w:rPr>
            </w:pPr>
          </w:p>
        </w:tc>
        <w:tc>
          <w:tcPr>
            <w:tcW w:w="100" w:type="dxa"/>
            <w:vAlign w:val="bottom"/>
            <w:tcBorders>
              <w:top w:val="single" w:sz="8" w:color="auto"/>
            </w:tcBorders>
          </w:tcPr>
          <w:p>
            <w:pPr>
              <w:spacing w:after="0"/>
              <w:rPr>
                <w:sz w:val="5"/>
                <w:szCs w:val="5"/>
                <w:color w:val="auto"/>
              </w:rPr>
            </w:pPr>
          </w:p>
        </w:tc>
        <w:tc>
          <w:tcPr>
            <w:tcW w:w="660" w:type="dxa"/>
            <w:vAlign w:val="bottom"/>
            <w:tcBorders>
              <w:top w:val="single" w:sz="8" w:color="auto"/>
            </w:tcBorders>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900" w:type="dxa"/>
            <w:vAlign w:val="bottom"/>
            <w:vMerge w:val="continue"/>
          </w:tcPr>
          <w:p>
            <w:pPr>
              <w:spacing w:after="0"/>
              <w:rPr>
                <w:sz w:val="5"/>
                <w:szCs w:val="5"/>
                <w:color w:val="auto"/>
              </w:rPr>
            </w:pPr>
          </w:p>
        </w:tc>
        <w:tc>
          <w:tcPr>
            <w:tcW w:w="160" w:type="dxa"/>
            <w:vAlign w:val="bottom"/>
          </w:tcPr>
          <w:p>
            <w:pPr>
              <w:spacing w:after="0"/>
              <w:rPr>
                <w:sz w:val="5"/>
                <w:szCs w:val="5"/>
                <w:color w:val="auto"/>
              </w:rPr>
            </w:pPr>
          </w:p>
        </w:tc>
        <w:tc>
          <w:tcPr>
            <w:tcW w:w="180" w:type="dxa"/>
            <w:vAlign w:val="bottom"/>
          </w:tcPr>
          <w:p>
            <w:pPr>
              <w:spacing w:after="0"/>
              <w:rPr>
                <w:sz w:val="5"/>
                <w:szCs w:val="5"/>
                <w:color w:val="auto"/>
              </w:rPr>
            </w:pPr>
          </w:p>
        </w:tc>
        <w:tc>
          <w:tcPr>
            <w:tcW w:w="520" w:type="dxa"/>
            <w:vAlign w:val="bottom"/>
          </w:tcPr>
          <w:p>
            <w:pPr>
              <w:spacing w:after="0"/>
              <w:rPr>
                <w:sz w:val="5"/>
                <w:szCs w:val="5"/>
                <w:color w:val="auto"/>
              </w:rPr>
            </w:pPr>
          </w:p>
        </w:tc>
        <w:tc>
          <w:tcPr>
            <w:tcW w:w="160" w:type="dxa"/>
            <w:vAlign w:val="bottom"/>
          </w:tcPr>
          <w:p>
            <w:pPr>
              <w:spacing w:after="0"/>
              <w:rPr>
                <w:sz w:val="5"/>
                <w:szCs w:val="5"/>
                <w:color w:val="auto"/>
              </w:rPr>
            </w:pPr>
          </w:p>
        </w:tc>
        <w:tc>
          <w:tcPr>
            <w:tcW w:w="860" w:type="dxa"/>
            <w:vAlign w:val="bottom"/>
            <w:gridSpan w:val="2"/>
            <w:vMerge w:val="continue"/>
          </w:tcPr>
          <w:p>
            <w:pPr>
              <w:spacing w:after="0"/>
              <w:rPr>
                <w:sz w:val="5"/>
                <w:szCs w:val="5"/>
                <w:color w:val="auto"/>
              </w:rPr>
            </w:pPr>
          </w:p>
        </w:tc>
        <w:tc>
          <w:tcPr>
            <w:tcW w:w="160" w:type="dxa"/>
            <w:vAlign w:val="bottom"/>
          </w:tcPr>
          <w:p>
            <w:pPr>
              <w:spacing w:after="0"/>
              <w:rPr>
                <w:sz w:val="5"/>
                <w:szCs w:val="5"/>
                <w:color w:val="auto"/>
              </w:rPr>
            </w:pPr>
          </w:p>
        </w:tc>
        <w:tc>
          <w:tcPr>
            <w:tcW w:w="840" w:type="dxa"/>
            <w:vAlign w:val="bottom"/>
            <w:gridSpan w:val="3"/>
            <w:vMerge w:val="continue"/>
          </w:tcPr>
          <w:p>
            <w:pPr>
              <w:spacing w:after="0"/>
              <w:rPr>
                <w:sz w:val="5"/>
                <w:szCs w:val="5"/>
                <w:color w:val="auto"/>
              </w:rPr>
            </w:pPr>
          </w:p>
        </w:tc>
        <w:tc>
          <w:tcPr>
            <w:tcW w:w="80" w:type="dxa"/>
            <w:vAlign w:val="bottom"/>
          </w:tcPr>
          <w:p>
            <w:pPr>
              <w:spacing w:after="0"/>
              <w:rPr>
                <w:sz w:val="5"/>
                <w:szCs w:val="5"/>
                <w:color w:val="auto"/>
              </w:rPr>
            </w:pPr>
          </w:p>
        </w:tc>
        <w:tc>
          <w:tcPr>
            <w:tcW w:w="1400" w:type="dxa"/>
            <w:vAlign w:val="bottom"/>
            <w:gridSpan w:val="2"/>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2000" w:type="dxa"/>
            <w:vAlign w:val="bottom"/>
          </w:tcPr>
          <w:p>
            <w:pPr>
              <w:spacing w:after="0"/>
              <w:rPr>
                <w:sz w:val="14"/>
                <w:szCs w:val="14"/>
                <w:color w:val="auto"/>
              </w:rPr>
            </w:pPr>
          </w:p>
        </w:tc>
        <w:tc>
          <w:tcPr>
            <w:tcW w:w="820" w:type="dxa"/>
            <w:vAlign w:val="bottom"/>
            <w:tcBorders>
              <w:bottom w:val="single" w:sz="8" w:color="auto"/>
            </w:tcBorders>
          </w:tcPr>
          <w:p>
            <w:pPr>
              <w:jc w:val="right"/>
              <w:ind w:right="152"/>
              <w:spacing w:after="0"/>
              <w:rPr>
                <w:sz w:val="20"/>
                <w:szCs w:val="20"/>
                <w:color w:val="auto"/>
              </w:rPr>
            </w:pPr>
            <w:r>
              <w:rPr>
                <w:rFonts w:ascii="Arial" w:cs="Arial" w:eastAsia="Arial" w:hAnsi="Arial"/>
                <w:sz w:val="14"/>
                <w:szCs w:val="14"/>
                <w:b w:val="1"/>
                <w:bCs w:val="1"/>
                <w:color w:val="auto"/>
              </w:rPr>
              <w:t>Shares</w:t>
            </w:r>
          </w:p>
        </w:tc>
        <w:tc>
          <w:tcPr>
            <w:tcW w:w="16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jc w:val="right"/>
              <w:ind w:right="92"/>
              <w:spacing w:after="0"/>
              <w:rPr>
                <w:sz w:val="20"/>
                <w:szCs w:val="20"/>
                <w:color w:val="auto"/>
              </w:rPr>
            </w:pPr>
            <w:r>
              <w:rPr>
                <w:rFonts w:ascii="Arial" w:cs="Arial" w:eastAsia="Arial" w:hAnsi="Arial"/>
                <w:sz w:val="14"/>
                <w:szCs w:val="14"/>
                <w:b w:val="1"/>
                <w:bCs w:val="1"/>
                <w:color w:val="auto"/>
                <w:w w:val="90"/>
              </w:rPr>
              <w:t>Amount</w:t>
            </w:r>
          </w:p>
        </w:tc>
        <w:tc>
          <w:tcPr>
            <w:tcW w:w="1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900" w:type="dxa"/>
            <w:vAlign w:val="bottom"/>
            <w:tcBorders>
              <w:bottom w:val="single" w:sz="8" w:color="auto"/>
            </w:tcBorders>
          </w:tcPr>
          <w:p>
            <w:pPr>
              <w:jc w:val="right"/>
              <w:ind w:right="72"/>
              <w:spacing w:after="0"/>
              <w:rPr>
                <w:sz w:val="20"/>
                <w:szCs w:val="20"/>
                <w:color w:val="auto"/>
              </w:rPr>
            </w:pPr>
            <w:r>
              <w:rPr>
                <w:rFonts w:ascii="Arial" w:cs="Arial" w:eastAsia="Arial" w:hAnsi="Arial"/>
                <w:sz w:val="14"/>
                <w:szCs w:val="14"/>
                <w:b w:val="1"/>
                <w:bCs w:val="1"/>
                <w:color w:val="auto"/>
                <w:w w:val="89"/>
              </w:rPr>
              <w:t>Outstanding</w:t>
            </w:r>
          </w:p>
        </w:tc>
        <w:tc>
          <w:tcPr>
            <w:tcW w:w="160" w:type="dxa"/>
            <w:vAlign w:val="bottom"/>
          </w:tcPr>
          <w:p>
            <w:pPr>
              <w:spacing w:after="0"/>
              <w:rPr>
                <w:sz w:val="14"/>
                <w:szCs w:val="14"/>
                <w:color w:val="auto"/>
              </w:rPr>
            </w:pPr>
          </w:p>
        </w:tc>
        <w:tc>
          <w:tcPr>
            <w:tcW w:w="700" w:type="dxa"/>
            <w:vAlign w:val="bottom"/>
            <w:tcBorders>
              <w:bottom w:val="single" w:sz="8" w:color="auto"/>
            </w:tcBorders>
            <w:gridSpan w:val="2"/>
          </w:tcPr>
          <w:p>
            <w:pPr>
              <w:jc w:val="right"/>
              <w:ind w:right="12"/>
              <w:spacing w:after="0"/>
              <w:rPr>
                <w:sz w:val="20"/>
                <w:szCs w:val="20"/>
                <w:color w:val="auto"/>
              </w:rPr>
            </w:pPr>
            <w:r>
              <w:rPr>
                <w:rFonts w:ascii="Arial" w:cs="Arial" w:eastAsia="Arial" w:hAnsi="Arial"/>
                <w:sz w:val="14"/>
                <w:szCs w:val="14"/>
                <w:b w:val="1"/>
                <w:bCs w:val="1"/>
                <w:color w:val="auto"/>
                <w:w w:val="98"/>
              </w:rPr>
              <w:t>Warrants</w:t>
            </w:r>
          </w:p>
        </w:tc>
        <w:tc>
          <w:tcPr>
            <w:tcW w:w="16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tcPr>
          <w:p>
            <w:pPr>
              <w:jc w:val="right"/>
              <w:ind w:right="152"/>
              <w:spacing w:after="0"/>
              <w:rPr>
                <w:sz w:val="20"/>
                <w:szCs w:val="20"/>
                <w:color w:val="auto"/>
              </w:rPr>
            </w:pPr>
            <w:r>
              <w:rPr>
                <w:rFonts w:ascii="Arial" w:cs="Arial" w:eastAsia="Arial" w:hAnsi="Arial"/>
                <w:sz w:val="14"/>
                <w:szCs w:val="14"/>
                <w:b w:val="1"/>
                <w:bCs w:val="1"/>
                <w:color w:val="auto"/>
                <w:w w:val="91"/>
              </w:rPr>
              <w:t>Surplus</w:t>
            </w:r>
          </w:p>
        </w:tc>
        <w:tc>
          <w:tcPr>
            <w:tcW w:w="160" w:type="dxa"/>
            <w:vAlign w:val="bottom"/>
          </w:tcPr>
          <w:p>
            <w:pPr>
              <w:spacing w:after="0"/>
              <w:rPr>
                <w:sz w:val="14"/>
                <w:szCs w:val="14"/>
                <w:color w:val="auto"/>
              </w:rPr>
            </w:pPr>
          </w:p>
        </w:tc>
        <w:tc>
          <w:tcPr>
            <w:tcW w:w="680" w:type="dxa"/>
            <w:vAlign w:val="bottom"/>
            <w:tcBorders>
              <w:bottom w:val="single" w:sz="8" w:color="auto"/>
            </w:tcBorders>
            <w:gridSpan w:val="2"/>
          </w:tcPr>
          <w:p>
            <w:pPr>
              <w:jc w:val="right"/>
              <w:ind w:right="12"/>
              <w:spacing w:after="0"/>
              <w:rPr>
                <w:sz w:val="20"/>
                <w:szCs w:val="20"/>
                <w:color w:val="auto"/>
              </w:rPr>
            </w:pPr>
            <w:r>
              <w:rPr>
                <w:rFonts w:ascii="Arial" w:cs="Arial" w:eastAsia="Arial" w:hAnsi="Arial"/>
                <w:sz w:val="14"/>
                <w:szCs w:val="14"/>
                <w:b w:val="1"/>
                <w:bCs w:val="1"/>
                <w:color w:val="auto"/>
                <w:w w:val="96"/>
              </w:rPr>
              <w:t>Earnings</w:t>
            </w:r>
          </w:p>
        </w:tc>
        <w:tc>
          <w:tcPr>
            <w:tcW w:w="1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1240" w:type="dxa"/>
            <w:vAlign w:val="bottom"/>
            <w:tcBorders>
              <w:bottom w:val="single" w:sz="8" w:color="auto"/>
            </w:tcBorders>
          </w:tcPr>
          <w:p>
            <w:pPr>
              <w:jc w:val="center"/>
              <w:ind w:right="32"/>
              <w:spacing w:after="0"/>
              <w:rPr>
                <w:sz w:val="20"/>
                <w:szCs w:val="20"/>
                <w:color w:val="auto"/>
              </w:rPr>
            </w:pPr>
            <w:r>
              <w:rPr>
                <w:rFonts w:ascii="Arial" w:cs="Arial" w:eastAsia="Arial" w:hAnsi="Arial"/>
                <w:sz w:val="14"/>
                <w:szCs w:val="14"/>
                <w:b w:val="1"/>
                <w:bCs w:val="1"/>
                <w:color w:val="auto"/>
                <w:w w:val="86"/>
              </w:rPr>
              <w:t>Income (Loss)</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2000" w:type="dxa"/>
            <w:vAlign w:val="bottom"/>
            <w:shd w:val="clear" w:color="auto" w:fill="CCEEFF"/>
          </w:tcPr>
          <w:p>
            <w:pPr>
              <w:spacing w:after="0" w:line="142" w:lineRule="exact"/>
              <w:rPr>
                <w:sz w:val="20"/>
                <w:szCs w:val="20"/>
                <w:color w:val="auto"/>
              </w:rPr>
            </w:pPr>
            <w:r>
              <w:rPr>
                <w:rFonts w:ascii="Arial" w:cs="Arial" w:eastAsia="Arial" w:hAnsi="Arial"/>
                <w:sz w:val="14"/>
                <w:szCs w:val="14"/>
                <w:b w:val="1"/>
                <w:bCs w:val="1"/>
                <w:color w:val="auto"/>
              </w:rPr>
              <w:t>Balance December 31, 2006</w:t>
            </w:r>
          </w:p>
        </w:tc>
        <w:tc>
          <w:tcPr>
            <w:tcW w:w="8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121,025,635</w:t>
            </w: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66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1,230,654</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90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5,884</w:t>
            </w:r>
          </w:p>
        </w:tc>
        <w:tc>
          <w:tcPr>
            <w:tcW w:w="340" w:type="dxa"/>
            <w:vAlign w:val="bottom"/>
            <w:gridSpan w:val="2"/>
            <w:shd w:val="clear" w:color="auto" w:fill="CCEEFF"/>
          </w:tcPr>
          <w:p>
            <w:pPr>
              <w:jc w:val="right"/>
              <w:ind w:right="32"/>
              <w:spacing w:after="0" w:line="142" w:lineRule="exact"/>
              <w:rPr>
                <w:sz w:val="20"/>
                <w:szCs w:val="20"/>
                <w:color w:val="auto"/>
              </w:rPr>
            </w:pPr>
            <w:r>
              <w:rPr>
                <w:rFonts w:ascii="Arial" w:cs="Arial" w:eastAsia="Arial" w:hAnsi="Arial"/>
                <w:sz w:val="14"/>
                <w:szCs w:val="14"/>
                <w:color w:val="auto"/>
              </w:rPr>
              <w:t>$</w:t>
            </w:r>
          </w:p>
        </w:tc>
        <w:tc>
          <w:tcPr>
            <w:tcW w:w="5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15,723</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7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15,128</w:t>
            </w:r>
          </w:p>
        </w:tc>
        <w:tc>
          <w:tcPr>
            <w:tcW w:w="320" w:type="dxa"/>
            <w:vAlign w:val="bottom"/>
            <w:gridSpan w:val="2"/>
            <w:shd w:val="clear" w:color="auto" w:fill="CCEEFF"/>
          </w:tcPr>
          <w:p>
            <w:pPr>
              <w:jc w:val="right"/>
              <w:ind w:right="12"/>
              <w:spacing w:after="0" w:line="142" w:lineRule="exact"/>
              <w:rPr>
                <w:sz w:val="20"/>
                <w:szCs w:val="20"/>
                <w:color w:val="auto"/>
              </w:rPr>
            </w:pPr>
            <w:r>
              <w:rPr>
                <w:rFonts w:ascii="Arial" w:cs="Arial" w:eastAsia="Arial" w:hAnsi="Arial"/>
                <w:sz w:val="14"/>
                <w:szCs w:val="14"/>
                <w:color w:val="auto"/>
              </w:rPr>
              <w:t>$</w:t>
            </w:r>
          </w:p>
        </w:tc>
        <w:tc>
          <w:tcPr>
            <w:tcW w:w="5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3,015</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1400" w:type="dxa"/>
            <w:vAlign w:val="bottom"/>
            <w:gridSpan w:val="2"/>
            <w:shd w:val="clear" w:color="auto" w:fill="CCEEFF"/>
          </w:tcPr>
          <w:p>
            <w:pPr>
              <w:jc w:val="right"/>
              <w:ind w:right="140"/>
              <w:spacing w:after="0" w:line="142" w:lineRule="exact"/>
              <w:rPr>
                <w:sz w:val="20"/>
                <w:szCs w:val="20"/>
                <w:color w:val="auto"/>
              </w:rPr>
            </w:pPr>
            <w:r>
              <w:rPr>
                <w:rFonts w:ascii="Arial" w:cs="Arial" w:eastAsia="Arial" w:hAnsi="Arial"/>
                <w:sz w:val="14"/>
                <w:szCs w:val="14"/>
                <w:color w:val="auto"/>
              </w:rPr>
              <w:t>(17,999)</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000" w:type="dxa"/>
            <w:vAlign w:val="bottom"/>
          </w:tcPr>
          <w:p>
            <w:pPr>
              <w:spacing w:after="0" w:line="138" w:lineRule="exact"/>
              <w:rPr>
                <w:sz w:val="20"/>
                <w:szCs w:val="20"/>
                <w:color w:val="auto"/>
              </w:rPr>
            </w:pPr>
            <w:r>
              <w:rPr>
                <w:rFonts w:ascii="Arial" w:cs="Arial" w:eastAsia="Arial" w:hAnsi="Arial"/>
                <w:sz w:val="14"/>
                <w:szCs w:val="14"/>
                <w:color w:val="auto"/>
              </w:rPr>
              <w:t>Shares issued under Employee</w:t>
            </w:r>
          </w:p>
        </w:tc>
        <w:tc>
          <w:tcPr>
            <w:tcW w:w="8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9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000" w:type="dxa"/>
            <w:vAlign w:val="bottom"/>
          </w:tcPr>
          <w:p>
            <w:pPr>
              <w:ind w:left="140"/>
              <w:spacing w:after="0" w:line="159" w:lineRule="exact"/>
              <w:rPr>
                <w:sz w:val="20"/>
                <w:szCs w:val="20"/>
                <w:color w:val="auto"/>
              </w:rPr>
            </w:pPr>
            <w:r>
              <w:rPr>
                <w:rFonts w:ascii="Arial" w:cs="Arial" w:eastAsia="Arial" w:hAnsi="Arial"/>
                <w:sz w:val="14"/>
                <w:szCs w:val="14"/>
                <w:color w:val="auto"/>
              </w:rPr>
              <w:t>Stock Option Plan (note 7(a))</w:t>
            </w:r>
          </w:p>
        </w:tc>
        <w:tc>
          <w:tcPr>
            <w:tcW w:w="820" w:type="dxa"/>
            <w:vAlign w:val="bottom"/>
          </w:tcPr>
          <w:p>
            <w:pPr>
              <w:jc w:val="right"/>
              <w:spacing w:after="0" w:line="159" w:lineRule="exact"/>
              <w:rPr>
                <w:sz w:val="20"/>
                <w:szCs w:val="20"/>
                <w:color w:val="auto"/>
              </w:rPr>
            </w:pPr>
            <w:r>
              <w:rPr>
                <w:rFonts w:ascii="Arial" w:cs="Arial" w:eastAsia="Arial" w:hAnsi="Arial"/>
                <w:sz w:val="14"/>
                <w:szCs w:val="14"/>
                <w:color w:val="auto"/>
              </w:rPr>
              <w:t>536,116</w:t>
            </w:r>
          </w:p>
        </w:tc>
        <w:tc>
          <w:tcPr>
            <w:tcW w:w="1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60" w:type="dxa"/>
            <w:vAlign w:val="bottom"/>
          </w:tcPr>
          <w:p>
            <w:pPr>
              <w:jc w:val="right"/>
              <w:spacing w:after="0" w:line="159" w:lineRule="exact"/>
              <w:rPr>
                <w:sz w:val="20"/>
                <w:szCs w:val="20"/>
                <w:color w:val="auto"/>
              </w:rPr>
            </w:pPr>
            <w:r>
              <w:rPr>
                <w:rFonts w:ascii="Arial" w:cs="Arial" w:eastAsia="Arial" w:hAnsi="Arial"/>
                <w:sz w:val="14"/>
                <w:szCs w:val="14"/>
                <w:color w:val="auto"/>
              </w:rPr>
              <w:t>10,232</w:t>
            </w:r>
          </w:p>
        </w:tc>
        <w:tc>
          <w:tcPr>
            <w:tcW w:w="1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00" w:type="dxa"/>
            <w:vAlign w:val="bottom"/>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80" w:type="dxa"/>
            <w:vAlign w:val="bottom"/>
            <w:gridSpan w:val="2"/>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140" w:type="dxa"/>
            <w:vAlign w:val="bottom"/>
          </w:tcPr>
          <w:p>
            <w:pPr>
              <w:spacing w:after="0"/>
              <w:rPr>
                <w:sz w:val="13"/>
                <w:szCs w:val="13"/>
                <w:color w:val="auto"/>
              </w:rPr>
            </w:pPr>
          </w:p>
        </w:tc>
        <w:tc>
          <w:tcPr>
            <w:tcW w:w="720" w:type="dxa"/>
            <w:vAlign w:val="bottom"/>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8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1400" w:type="dxa"/>
            <w:vAlign w:val="bottom"/>
            <w:gridSpan w:val="2"/>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0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Stock options</w:t>
            </w:r>
          </w:p>
        </w:tc>
        <w:tc>
          <w:tcPr>
            <w:tcW w:w="9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17,689</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140" w:type="dxa"/>
            <w:vAlign w:val="bottom"/>
            <w:shd w:val="clear" w:color="auto" w:fill="CCEEFF"/>
          </w:tcPr>
          <w:p>
            <w:pPr>
              <w:spacing w:after="0"/>
              <w:rPr>
                <w:sz w:val="12"/>
                <w:szCs w:val="12"/>
                <w:color w:val="auto"/>
              </w:rPr>
            </w:pPr>
          </w:p>
        </w:tc>
        <w:tc>
          <w:tcPr>
            <w:tcW w:w="7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140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000" w:type="dxa"/>
            <w:vAlign w:val="bottom"/>
          </w:tcPr>
          <w:p>
            <w:pPr>
              <w:spacing w:after="0" w:line="138" w:lineRule="exact"/>
              <w:rPr>
                <w:sz w:val="20"/>
                <w:szCs w:val="20"/>
                <w:color w:val="auto"/>
              </w:rPr>
            </w:pPr>
            <w:r>
              <w:rPr>
                <w:rFonts w:ascii="Arial" w:cs="Arial" w:eastAsia="Arial" w:hAnsi="Arial"/>
                <w:sz w:val="14"/>
                <w:szCs w:val="14"/>
                <w:color w:val="auto"/>
                <w:w w:val="93"/>
              </w:rPr>
              <w:t>Shares issued under the Incentive</w:t>
            </w:r>
          </w:p>
        </w:tc>
        <w:tc>
          <w:tcPr>
            <w:tcW w:w="8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9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000" w:type="dxa"/>
            <w:vAlign w:val="bottom"/>
          </w:tcPr>
          <w:p>
            <w:pPr>
              <w:ind w:left="140"/>
              <w:spacing w:after="0" w:line="149" w:lineRule="exact"/>
              <w:rPr>
                <w:sz w:val="20"/>
                <w:szCs w:val="20"/>
                <w:color w:val="auto"/>
              </w:rPr>
            </w:pPr>
            <w:r>
              <w:rPr>
                <w:rFonts w:ascii="Arial" w:cs="Arial" w:eastAsia="Arial" w:hAnsi="Arial"/>
                <w:sz w:val="14"/>
                <w:szCs w:val="14"/>
                <w:color w:val="auto"/>
              </w:rPr>
              <w:t>Share Purchase Plan</w:t>
            </w:r>
          </w:p>
        </w:tc>
        <w:tc>
          <w:tcPr>
            <w:tcW w:w="8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000" w:type="dxa"/>
            <w:vAlign w:val="bottom"/>
          </w:tcPr>
          <w:p>
            <w:pPr>
              <w:ind w:left="140"/>
              <w:spacing w:after="0" w:line="159" w:lineRule="exact"/>
              <w:rPr>
                <w:sz w:val="20"/>
                <w:szCs w:val="20"/>
                <w:color w:val="auto"/>
              </w:rPr>
            </w:pPr>
            <w:r>
              <w:rPr>
                <w:rFonts w:ascii="Arial" w:cs="Arial" w:eastAsia="Arial" w:hAnsi="Arial"/>
                <w:sz w:val="14"/>
                <w:szCs w:val="14"/>
                <w:color w:val="auto"/>
              </w:rPr>
              <w:t>(note 7(b))</w:t>
            </w:r>
          </w:p>
        </w:tc>
        <w:tc>
          <w:tcPr>
            <w:tcW w:w="820" w:type="dxa"/>
            <w:vAlign w:val="bottom"/>
          </w:tcPr>
          <w:p>
            <w:pPr>
              <w:jc w:val="right"/>
              <w:spacing w:after="0" w:line="159" w:lineRule="exact"/>
              <w:rPr>
                <w:sz w:val="20"/>
                <w:szCs w:val="20"/>
                <w:color w:val="auto"/>
              </w:rPr>
            </w:pPr>
            <w:r>
              <w:rPr>
                <w:rFonts w:ascii="Arial" w:cs="Arial" w:eastAsia="Arial" w:hAnsi="Arial"/>
                <w:sz w:val="14"/>
                <w:szCs w:val="14"/>
                <w:color w:val="auto"/>
              </w:rPr>
              <w:t>167,378</w:t>
            </w:r>
          </w:p>
        </w:tc>
        <w:tc>
          <w:tcPr>
            <w:tcW w:w="1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60" w:type="dxa"/>
            <w:vAlign w:val="bottom"/>
          </w:tcPr>
          <w:p>
            <w:pPr>
              <w:jc w:val="right"/>
              <w:spacing w:after="0" w:line="159" w:lineRule="exact"/>
              <w:rPr>
                <w:sz w:val="20"/>
                <w:szCs w:val="20"/>
                <w:color w:val="auto"/>
              </w:rPr>
            </w:pPr>
            <w:r>
              <w:rPr>
                <w:rFonts w:ascii="Arial" w:cs="Arial" w:eastAsia="Arial" w:hAnsi="Arial"/>
                <w:sz w:val="14"/>
                <w:szCs w:val="14"/>
                <w:color w:val="auto"/>
              </w:rPr>
              <w:t>7,100</w:t>
            </w:r>
          </w:p>
        </w:tc>
        <w:tc>
          <w:tcPr>
            <w:tcW w:w="1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00" w:type="dxa"/>
            <w:vAlign w:val="bottom"/>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80" w:type="dxa"/>
            <w:vAlign w:val="bottom"/>
            <w:gridSpan w:val="2"/>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140" w:type="dxa"/>
            <w:vAlign w:val="bottom"/>
          </w:tcPr>
          <w:p>
            <w:pPr>
              <w:spacing w:after="0"/>
              <w:rPr>
                <w:sz w:val="13"/>
                <w:szCs w:val="13"/>
                <w:color w:val="auto"/>
              </w:rPr>
            </w:pPr>
          </w:p>
        </w:tc>
        <w:tc>
          <w:tcPr>
            <w:tcW w:w="720" w:type="dxa"/>
            <w:vAlign w:val="bottom"/>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8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1400" w:type="dxa"/>
            <w:vAlign w:val="bottom"/>
            <w:gridSpan w:val="2"/>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000" w:type="dxa"/>
            <w:vAlign w:val="bottom"/>
            <w:shd w:val="clear" w:color="auto" w:fill="CCEEFF"/>
          </w:tcPr>
          <w:p>
            <w:pPr>
              <w:spacing w:after="0" w:line="138" w:lineRule="exact"/>
              <w:rPr>
                <w:sz w:val="20"/>
                <w:szCs w:val="20"/>
                <w:color w:val="auto"/>
              </w:rPr>
            </w:pPr>
            <w:r>
              <w:rPr>
                <w:rFonts w:ascii="Arial" w:cs="Arial" w:eastAsia="Arial" w:hAnsi="Arial"/>
                <w:sz w:val="14"/>
                <w:szCs w:val="14"/>
                <w:color w:val="auto"/>
              </w:rPr>
              <w:t>Shares issued for purchase of</w:t>
            </w:r>
          </w:p>
        </w:tc>
        <w:tc>
          <w:tcPr>
            <w:tcW w:w="8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9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000" w:type="dxa"/>
            <w:vAlign w:val="bottom"/>
            <w:shd w:val="clear" w:color="auto" w:fill="CCEEFF"/>
          </w:tcPr>
          <w:p>
            <w:pPr>
              <w:ind w:left="140"/>
              <w:spacing w:after="0" w:line="149" w:lineRule="exact"/>
              <w:rPr>
                <w:sz w:val="20"/>
                <w:szCs w:val="20"/>
                <w:color w:val="auto"/>
              </w:rPr>
            </w:pPr>
            <w:r>
              <w:rPr>
                <w:rFonts w:ascii="Arial" w:cs="Arial" w:eastAsia="Arial" w:hAnsi="Arial"/>
                <w:sz w:val="14"/>
                <w:szCs w:val="14"/>
                <w:color w:val="auto"/>
              </w:rPr>
              <w:t>Cumberland Resources Ltd.</w:t>
            </w:r>
          </w:p>
        </w:tc>
        <w:tc>
          <w:tcPr>
            <w:tcW w:w="8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2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000" w:type="dxa"/>
            <w:vAlign w:val="bottom"/>
            <w:shd w:val="clear" w:color="auto" w:fill="CCEEFF"/>
          </w:tcPr>
          <w:p>
            <w:pPr>
              <w:ind w:left="140"/>
              <w:spacing w:after="0" w:line="159" w:lineRule="exact"/>
              <w:rPr>
                <w:sz w:val="20"/>
                <w:szCs w:val="20"/>
                <w:color w:val="auto"/>
              </w:rPr>
            </w:pPr>
            <w:r>
              <w:rPr>
                <w:rFonts w:ascii="Arial" w:cs="Arial" w:eastAsia="Arial" w:hAnsi="Arial"/>
                <w:sz w:val="14"/>
                <w:szCs w:val="14"/>
                <w:color w:val="auto"/>
              </w:rPr>
              <w:t>(note 9)</w:t>
            </w:r>
          </w:p>
        </w:tc>
        <w:tc>
          <w:tcPr>
            <w:tcW w:w="8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13,768,510</w:t>
            </w:r>
          </w:p>
        </w:tc>
        <w:tc>
          <w:tcPr>
            <w:tcW w:w="16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6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536,556</w:t>
            </w:r>
          </w:p>
        </w:tc>
        <w:tc>
          <w:tcPr>
            <w:tcW w:w="1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0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140" w:type="dxa"/>
            <w:vAlign w:val="bottom"/>
            <w:shd w:val="clear" w:color="auto" w:fill="CCEEFF"/>
          </w:tcPr>
          <w:p>
            <w:pPr>
              <w:spacing w:after="0"/>
              <w:rPr>
                <w:sz w:val="13"/>
                <w:szCs w:val="13"/>
                <w:color w:val="auto"/>
              </w:rPr>
            </w:pPr>
          </w:p>
        </w:tc>
        <w:tc>
          <w:tcPr>
            <w:tcW w:w="7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1400" w:type="dxa"/>
            <w:vAlign w:val="bottom"/>
            <w:gridSpan w:val="2"/>
            <w:shd w:val="clear" w:color="auto" w:fill="CCEEFF"/>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000" w:type="dxa"/>
            <w:vAlign w:val="bottom"/>
          </w:tcPr>
          <w:p>
            <w:pPr>
              <w:spacing w:after="0" w:line="138" w:lineRule="exact"/>
              <w:rPr>
                <w:sz w:val="20"/>
                <w:szCs w:val="20"/>
                <w:color w:val="auto"/>
              </w:rPr>
            </w:pPr>
            <w:r>
              <w:rPr>
                <w:rFonts w:ascii="Arial" w:cs="Arial" w:eastAsia="Arial" w:hAnsi="Arial"/>
                <w:sz w:val="14"/>
                <w:szCs w:val="14"/>
                <w:color w:val="auto"/>
              </w:rPr>
              <w:t>Shares issued under the</w:t>
            </w:r>
          </w:p>
        </w:tc>
        <w:tc>
          <w:tcPr>
            <w:tcW w:w="8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9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000" w:type="dxa"/>
            <w:vAlign w:val="bottom"/>
          </w:tcPr>
          <w:p>
            <w:pPr>
              <w:ind w:left="140"/>
              <w:spacing w:after="0" w:line="149" w:lineRule="exact"/>
              <w:rPr>
                <w:sz w:val="20"/>
                <w:szCs w:val="20"/>
                <w:color w:val="auto"/>
              </w:rPr>
            </w:pPr>
            <w:r>
              <w:rPr>
                <w:rFonts w:ascii="Arial" w:cs="Arial" w:eastAsia="Arial" w:hAnsi="Arial"/>
                <w:sz w:val="14"/>
                <w:szCs w:val="14"/>
                <w:color w:val="auto"/>
              </w:rPr>
              <w:t>Company's dividend</w:t>
            </w:r>
          </w:p>
        </w:tc>
        <w:tc>
          <w:tcPr>
            <w:tcW w:w="8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000" w:type="dxa"/>
            <w:vAlign w:val="bottom"/>
          </w:tcPr>
          <w:p>
            <w:pPr>
              <w:ind w:left="140"/>
              <w:spacing w:after="0" w:line="159" w:lineRule="exact"/>
              <w:rPr>
                <w:sz w:val="20"/>
                <w:szCs w:val="20"/>
                <w:color w:val="auto"/>
              </w:rPr>
            </w:pPr>
            <w:r>
              <w:rPr>
                <w:rFonts w:ascii="Arial" w:cs="Arial" w:eastAsia="Arial" w:hAnsi="Arial"/>
                <w:sz w:val="14"/>
                <w:szCs w:val="14"/>
                <w:color w:val="auto"/>
              </w:rPr>
              <w:t>reinvestment plan</w:t>
            </w:r>
          </w:p>
        </w:tc>
        <w:tc>
          <w:tcPr>
            <w:tcW w:w="820" w:type="dxa"/>
            <w:vAlign w:val="bottom"/>
          </w:tcPr>
          <w:p>
            <w:pPr>
              <w:jc w:val="right"/>
              <w:spacing w:after="0" w:line="159" w:lineRule="exact"/>
              <w:rPr>
                <w:sz w:val="20"/>
                <w:szCs w:val="20"/>
                <w:color w:val="auto"/>
              </w:rPr>
            </w:pPr>
            <w:r>
              <w:rPr>
                <w:rFonts w:ascii="Arial" w:cs="Arial" w:eastAsia="Arial" w:hAnsi="Arial"/>
                <w:sz w:val="14"/>
                <w:szCs w:val="14"/>
                <w:color w:val="auto"/>
              </w:rPr>
              <w:t>32,550</w:t>
            </w:r>
          </w:p>
        </w:tc>
        <w:tc>
          <w:tcPr>
            <w:tcW w:w="1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60" w:type="dxa"/>
            <w:vAlign w:val="bottom"/>
          </w:tcPr>
          <w:p>
            <w:pPr>
              <w:jc w:val="right"/>
              <w:spacing w:after="0" w:line="159" w:lineRule="exact"/>
              <w:rPr>
                <w:sz w:val="20"/>
                <w:szCs w:val="20"/>
                <w:color w:val="auto"/>
              </w:rPr>
            </w:pPr>
            <w:r>
              <w:rPr>
                <w:rFonts w:ascii="Arial" w:cs="Arial" w:eastAsia="Arial" w:hAnsi="Arial"/>
                <w:sz w:val="14"/>
                <w:szCs w:val="14"/>
                <w:color w:val="auto"/>
              </w:rPr>
              <w:t>812</w:t>
            </w:r>
          </w:p>
        </w:tc>
        <w:tc>
          <w:tcPr>
            <w:tcW w:w="1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00" w:type="dxa"/>
            <w:vAlign w:val="bottom"/>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80" w:type="dxa"/>
            <w:vAlign w:val="bottom"/>
            <w:gridSpan w:val="2"/>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140" w:type="dxa"/>
            <w:vAlign w:val="bottom"/>
          </w:tcPr>
          <w:p>
            <w:pPr>
              <w:spacing w:after="0"/>
              <w:rPr>
                <w:sz w:val="13"/>
                <w:szCs w:val="13"/>
                <w:color w:val="auto"/>
              </w:rPr>
            </w:pPr>
          </w:p>
        </w:tc>
        <w:tc>
          <w:tcPr>
            <w:tcW w:w="720" w:type="dxa"/>
            <w:vAlign w:val="bottom"/>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8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1400" w:type="dxa"/>
            <w:vAlign w:val="bottom"/>
            <w:gridSpan w:val="2"/>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000" w:type="dxa"/>
            <w:vAlign w:val="bottom"/>
            <w:shd w:val="clear" w:color="auto" w:fill="CCEEFF"/>
          </w:tcPr>
          <w:p>
            <w:pPr>
              <w:spacing w:after="0" w:line="138" w:lineRule="exact"/>
              <w:rPr>
                <w:sz w:val="20"/>
                <w:szCs w:val="20"/>
                <w:color w:val="auto"/>
              </w:rPr>
            </w:pPr>
            <w:r>
              <w:rPr>
                <w:rFonts w:ascii="Arial" w:cs="Arial" w:eastAsia="Arial" w:hAnsi="Arial"/>
                <w:sz w:val="14"/>
                <w:szCs w:val="14"/>
                <w:color w:val="auto"/>
              </w:rPr>
              <w:t>Shares issued on exercise of</w:t>
            </w:r>
          </w:p>
        </w:tc>
        <w:tc>
          <w:tcPr>
            <w:tcW w:w="8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9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000" w:type="dxa"/>
            <w:vAlign w:val="bottom"/>
            <w:shd w:val="clear" w:color="auto" w:fill="CCEEFF"/>
          </w:tcPr>
          <w:p>
            <w:pPr>
              <w:ind w:left="140"/>
              <w:spacing w:after="0" w:line="159" w:lineRule="exact"/>
              <w:rPr>
                <w:sz w:val="20"/>
                <w:szCs w:val="20"/>
                <w:color w:val="auto"/>
              </w:rPr>
            </w:pPr>
            <w:r>
              <w:rPr>
                <w:rFonts w:ascii="Arial" w:cs="Arial" w:eastAsia="Arial" w:hAnsi="Arial"/>
                <w:sz w:val="14"/>
                <w:szCs w:val="14"/>
                <w:color w:val="auto"/>
              </w:rPr>
              <w:t>warrants</w:t>
            </w:r>
          </w:p>
        </w:tc>
        <w:tc>
          <w:tcPr>
            <w:tcW w:w="8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6,873,190</w:t>
            </w:r>
          </w:p>
        </w:tc>
        <w:tc>
          <w:tcPr>
            <w:tcW w:w="16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6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146,313</w:t>
            </w:r>
          </w:p>
        </w:tc>
        <w:tc>
          <w:tcPr>
            <w:tcW w:w="1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0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(15,723)</w:t>
            </w:r>
          </w:p>
        </w:tc>
        <w:tc>
          <w:tcPr>
            <w:tcW w:w="140" w:type="dxa"/>
            <w:vAlign w:val="bottom"/>
            <w:shd w:val="clear" w:color="auto" w:fill="CCEEFF"/>
          </w:tcPr>
          <w:p>
            <w:pPr>
              <w:spacing w:after="0"/>
              <w:rPr>
                <w:sz w:val="13"/>
                <w:szCs w:val="13"/>
                <w:color w:val="auto"/>
              </w:rPr>
            </w:pPr>
          </w:p>
        </w:tc>
        <w:tc>
          <w:tcPr>
            <w:tcW w:w="7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38</w:t>
            </w:r>
          </w:p>
        </w:tc>
        <w:tc>
          <w:tcPr>
            <w:tcW w:w="16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1400" w:type="dxa"/>
            <w:vAlign w:val="bottom"/>
            <w:gridSpan w:val="2"/>
            <w:shd w:val="clear" w:color="auto" w:fill="CCEEFF"/>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000" w:type="dxa"/>
            <w:vAlign w:val="bottom"/>
          </w:tcPr>
          <w:p>
            <w:pPr>
              <w:spacing w:after="0" w:line="149" w:lineRule="exact"/>
              <w:rPr>
                <w:sz w:val="20"/>
                <w:szCs w:val="20"/>
                <w:color w:val="auto"/>
              </w:rPr>
            </w:pPr>
            <w:r>
              <w:rPr>
                <w:rFonts w:ascii="Arial" w:cs="Arial" w:eastAsia="Arial" w:hAnsi="Arial"/>
                <w:sz w:val="14"/>
                <w:szCs w:val="14"/>
                <w:color w:val="auto"/>
              </w:rPr>
              <w:t>Net income for the year</w:t>
            </w:r>
          </w:p>
        </w:tc>
        <w:tc>
          <w:tcPr>
            <w:tcW w:w="9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82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90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8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14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520" w:type="dxa"/>
            <w:vAlign w:val="bottom"/>
          </w:tcPr>
          <w:p>
            <w:pPr>
              <w:jc w:val="right"/>
              <w:spacing w:after="0" w:line="149" w:lineRule="exact"/>
              <w:rPr>
                <w:sz w:val="20"/>
                <w:szCs w:val="20"/>
                <w:color w:val="auto"/>
              </w:rPr>
            </w:pPr>
            <w:r>
              <w:rPr>
                <w:rFonts w:ascii="Arial" w:cs="Arial" w:eastAsia="Arial" w:hAnsi="Arial"/>
                <w:sz w:val="14"/>
                <w:szCs w:val="14"/>
                <w:color w:val="auto"/>
                <w:w w:val="98"/>
              </w:rPr>
              <w:t>139,345</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000" w:type="dxa"/>
            <w:vAlign w:val="bottom"/>
            <w:shd w:val="clear" w:color="auto" w:fill="CCEEFF"/>
          </w:tcPr>
          <w:p>
            <w:pPr>
              <w:spacing w:after="0" w:line="138" w:lineRule="exact"/>
              <w:rPr>
                <w:sz w:val="20"/>
                <w:szCs w:val="20"/>
                <w:color w:val="auto"/>
              </w:rPr>
            </w:pPr>
            <w:r>
              <w:rPr>
                <w:rFonts w:ascii="Arial" w:cs="Arial" w:eastAsia="Arial" w:hAnsi="Arial"/>
                <w:sz w:val="14"/>
                <w:szCs w:val="14"/>
                <w:color w:val="auto"/>
              </w:rPr>
              <w:t>Dividends declared ($0.18 per</w:t>
            </w:r>
          </w:p>
        </w:tc>
        <w:tc>
          <w:tcPr>
            <w:tcW w:w="8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9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000" w:type="dxa"/>
            <w:vAlign w:val="bottom"/>
            <w:shd w:val="clear" w:color="auto" w:fill="CCEEFF"/>
          </w:tcPr>
          <w:p>
            <w:pPr>
              <w:ind w:left="140"/>
              <w:spacing w:after="0" w:line="159" w:lineRule="exact"/>
              <w:rPr>
                <w:sz w:val="20"/>
                <w:szCs w:val="20"/>
                <w:color w:val="auto"/>
              </w:rPr>
            </w:pPr>
            <w:r>
              <w:rPr>
                <w:rFonts w:ascii="Arial" w:cs="Arial" w:eastAsia="Arial" w:hAnsi="Arial"/>
                <w:sz w:val="14"/>
                <w:szCs w:val="14"/>
                <w:color w:val="auto"/>
              </w:rPr>
              <w:t>share) (note 6(a))</w:t>
            </w:r>
          </w:p>
        </w:tc>
        <w:tc>
          <w:tcPr>
            <w:tcW w:w="98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3"/>
                <w:szCs w:val="13"/>
                <w:color w:val="auto"/>
              </w:rPr>
            </w:pPr>
          </w:p>
        </w:tc>
        <w:tc>
          <w:tcPr>
            <w:tcW w:w="82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90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140" w:type="dxa"/>
            <w:vAlign w:val="bottom"/>
            <w:shd w:val="clear" w:color="auto" w:fill="CCEEFF"/>
          </w:tcPr>
          <w:p>
            <w:pPr>
              <w:spacing w:after="0"/>
              <w:rPr>
                <w:sz w:val="13"/>
                <w:szCs w:val="13"/>
                <w:color w:val="auto"/>
              </w:rPr>
            </w:pPr>
          </w:p>
        </w:tc>
        <w:tc>
          <w:tcPr>
            <w:tcW w:w="7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(25,633)</w:t>
            </w:r>
          </w:p>
        </w:tc>
        <w:tc>
          <w:tcPr>
            <w:tcW w:w="80" w:type="dxa"/>
            <w:vAlign w:val="bottom"/>
            <w:shd w:val="clear" w:color="auto" w:fill="CCEEFF"/>
          </w:tcPr>
          <w:p>
            <w:pPr>
              <w:spacing w:after="0"/>
              <w:rPr>
                <w:sz w:val="13"/>
                <w:szCs w:val="13"/>
                <w:color w:val="auto"/>
              </w:rPr>
            </w:pPr>
          </w:p>
        </w:tc>
        <w:tc>
          <w:tcPr>
            <w:tcW w:w="1400" w:type="dxa"/>
            <w:vAlign w:val="bottom"/>
            <w:gridSpan w:val="2"/>
            <w:shd w:val="clear" w:color="auto" w:fill="CCEEFF"/>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000" w:type="dxa"/>
            <w:vAlign w:val="bottom"/>
          </w:tcPr>
          <w:p>
            <w:pPr>
              <w:spacing w:after="0" w:line="138" w:lineRule="exact"/>
              <w:rPr>
                <w:sz w:val="20"/>
                <w:szCs w:val="20"/>
                <w:color w:val="auto"/>
              </w:rPr>
            </w:pPr>
            <w:r>
              <w:rPr>
                <w:rFonts w:ascii="Arial" w:cs="Arial" w:eastAsia="Arial" w:hAnsi="Arial"/>
                <w:sz w:val="14"/>
                <w:szCs w:val="14"/>
                <w:color w:val="auto"/>
                <w:w w:val="95"/>
              </w:rPr>
              <w:t>Future tax asset adjustment upon</w:t>
            </w:r>
          </w:p>
        </w:tc>
        <w:tc>
          <w:tcPr>
            <w:tcW w:w="8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9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000" w:type="dxa"/>
            <w:vAlign w:val="bottom"/>
          </w:tcPr>
          <w:p>
            <w:pPr>
              <w:ind w:left="140"/>
              <w:spacing w:after="0" w:line="149" w:lineRule="exact"/>
              <w:rPr>
                <w:sz w:val="20"/>
                <w:szCs w:val="20"/>
                <w:color w:val="auto"/>
              </w:rPr>
            </w:pPr>
            <w:r>
              <w:rPr>
                <w:rFonts w:ascii="Arial" w:cs="Arial" w:eastAsia="Arial" w:hAnsi="Arial"/>
                <w:sz w:val="14"/>
                <w:szCs w:val="14"/>
                <w:color w:val="auto"/>
              </w:rPr>
              <w:t>the adoption of FIN 48</w:t>
            </w:r>
          </w:p>
        </w:tc>
        <w:tc>
          <w:tcPr>
            <w:tcW w:w="8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000" w:type="dxa"/>
            <w:vAlign w:val="bottom"/>
          </w:tcPr>
          <w:p>
            <w:pPr>
              <w:ind w:left="140"/>
              <w:spacing w:after="0" w:line="159" w:lineRule="exact"/>
              <w:rPr>
                <w:sz w:val="20"/>
                <w:szCs w:val="20"/>
                <w:color w:val="auto"/>
              </w:rPr>
            </w:pPr>
            <w:r>
              <w:rPr>
                <w:rFonts w:ascii="Arial" w:cs="Arial" w:eastAsia="Arial" w:hAnsi="Arial"/>
                <w:sz w:val="14"/>
                <w:szCs w:val="14"/>
                <w:color w:val="auto"/>
              </w:rPr>
              <w:t>(note 8)</w:t>
            </w:r>
          </w:p>
        </w:tc>
        <w:tc>
          <w:tcPr>
            <w:tcW w:w="98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3"/>
                <w:szCs w:val="13"/>
                <w:color w:val="auto"/>
              </w:rPr>
            </w:pPr>
          </w:p>
        </w:tc>
        <w:tc>
          <w:tcPr>
            <w:tcW w:w="82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900" w:type="dxa"/>
            <w:vAlign w:val="bottom"/>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80" w:type="dxa"/>
            <w:vAlign w:val="bottom"/>
            <w:gridSpan w:val="2"/>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140" w:type="dxa"/>
            <w:vAlign w:val="bottom"/>
          </w:tcPr>
          <w:p>
            <w:pPr>
              <w:spacing w:after="0"/>
              <w:rPr>
                <w:sz w:val="13"/>
                <w:szCs w:val="13"/>
                <w:color w:val="auto"/>
              </w:rPr>
            </w:pPr>
          </w:p>
        </w:tc>
        <w:tc>
          <w:tcPr>
            <w:tcW w:w="720" w:type="dxa"/>
            <w:vAlign w:val="bottom"/>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8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(4,487)</w:t>
            </w:r>
          </w:p>
        </w:tc>
        <w:tc>
          <w:tcPr>
            <w:tcW w:w="80" w:type="dxa"/>
            <w:vAlign w:val="bottom"/>
          </w:tcPr>
          <w:p>
            <w:pPr>
              <w:spacing w:after="0"/>
              <w:rPr>
                <w:sz w:val="13"/>
                <w:szCs w:val="13"/>
                <w:color w:val="auto"/>
              </w:rPr>
            </w:pPr>
          </w:p>
        </w:tc>
        <w:tc>
          <w:tcPr>
            <w:tcW w:w="1400" w:type="dxa"/>
            <w:vAlign w:val="bottom"/>
            <w:gridSpan w:val="2"/>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000" w:type="dxa"/>
            <w:vAlign w:val="bottom"/>
            <w:shd w:val="clear" w:color="auto" w:fill="CCEEFF"/>
          </w:tcPr>
          <w:p>
            <w:pPr>
              <w:spacing w:after="0" w:line="138" w:lineRule="exact"/>
              <w:rPr>
                <w:sz w:val="20"/>
                <w:szCs w:val="20"/>
                <w:color w:val="auto"/>
              </w:rPr>
            </w:pPr>
            <w:r>
              <w:rPr>
                <w:rFonts w:ascii="Arial" w:cs="Arial" w:eastAsia="Arial" w:hAnsi="Arial"/>
                <w:sz w:val="14"/>
                <w:szCs w:val="14"/>
                <w:color w:val="auto"/>
                <w:w w:val="96"/>
              </w:rPr>
              <w:t>Other comprehensive loss for the</w:t>
            </w:r>
          </w:p>
        </w:tc>
        <w:tc>
          <w:tcPr>
            <w:tcW w:w="8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9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000" w:type="dxa"/>
            <w:vAlign w:val="bottom"/>
            <w:shd w:val="clear" w:color="auto" w:fill="CCEEFF"/>
          </w:tcPr>
          <w:p>
            <w:pPr>
              <w:ind w:left="140"/>
              <w:spacing w:after="0" w:line="159" w:lineRule="exact"/>
              <w:rPr>
                <w:sz w:val="20"/>
                <w:szCs w:val="20"/>
                <w:color w:val="auto"/>
              </w:rPr>
            </w:pPr>
            <w:r>
              <w:rPr>
                <w:rFonts w:ascii="Arial" w:cs="Arial" w:eastAsia="Arial" w:hAnsi="Arial"/>
                <w:sz w:val="14"/>
                <w:szCs w:val="14"/>
                <w:color w:val="auto"/>
              </w:rPr>
              <w:t>year</w:t>
            </w:r>
          </w:p>
        </w:tc>
        <w:tc>
          <w:tcPr>
            <w:tcW w:w="98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3"/>
                <w:szCs w:val="13"/>
                <w:color w:val="auto"/>
              </w:rPr>
            </w:pPr>
          </w:p>
        </w:tc>
        <w:tc>
          <w:tcPr>
            <w:tcW w:w="82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90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140" w:type="dxa"/>
            <w:vAlign w:val="bottom"/>
            <w:shd w:val="clear" w:color="auto" w:fill="CCEEFF"/>
          </w:tcPr>
          <w:p>
            <w:pPr>
              <w:spacing w:after="0"/>
              <w:rPr>
                <w:sz w:val="13"/>
                <w:szCs w:val="13"/>
                <w:color w:val="auto"/>
              </w:rPr>
            </w:pPr>
          </w:p>
        </w:tc>
        <w:tc>
          <w:tcPr>
            <w:tcW w:w="7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140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(5,713)</w:t>
            </w:r>
          </w:p>
        </w:tc>
        <w:tc>
          <w:tcPr>
            <w:tcW w:w="0" w:type="dxa"/>
            <w:vAlign w:val="bottom"/>
          </w:tcPr>
          <w:p>
            <w:pPr>
              <w:spacing w:after="0"/>
              <w:rPr>
                <w:sz w:val="1"/>
                <w:szCs w:val="1"/>
                <w:color w:val="auto"/>
              </w:rPr>
            </w:pPr>
          </w:p>
        </w:tc>
      </w:tr>
      <w:tr>
        <w:trPr>
          <w:trHeight w:val="27"/>
        </w:trPr>
        <w:tc>
          <w:tcPr>
            <w:tcW w:w="202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Balance December 31, 2007</w:t>
            </w:r>
          </w:p>
        </w:tc>
        <w:tc>
          <w:tcPr>
            <w:tcW w:w="820" w:type="dxa"/>
            <w:vAlign w:val="bottom"/>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tcPr>
          <w:p>
            <w:pPr>
              <w:spacing w:after="0"/>
              <w:rPr>
                <w:sz w:val="2"/>
                <w:szCs w:val="2"/>
                <w:color w:val="auto"/>
              </w:rPr>
            </w:pPr>
          </w:p>
        </w:tc>
        <w:tc>
          <w:tcPr>
            <w:tcW w:w="660" w:type="dxa"/>
            <w:vAlign w:val="bottom"/>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Pr>
          <w:p>
            <w:pPr>
              <w:spacing w:after="0"/>
              <w:rPr>
                <w:sz w:val="2"/>
                <w:szCs w:val="2"/>
                <w:color w:val="auto"/>
              </w:rPr>
            </w:pPr>
          </w:p>
        </w:tc>
        <w:tc>
          <w:tcPr>
            <w:tcW w:w="900" w:type="dxa"/>
            <w:vAlign w:val="bottom"/>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Pr>
          <w:p>
            <w:pPr>
              <w:spacing w:after="0"/>
              <w:rPr>
                <w:sz w:val="2"/>
                <w:szCs w:val="2"/>
                <w:color w:val="auto"/>
              </w:rPr>
            </w:pPr>
          </w:p>
        </w:tc>
        <w:tc>
          <w:tcPr>
            <w:tcW w:w="680" w:type="dxa"/>
            <w:vAlign w:val="bottom"/>
            <w:gridSpan w:val="2"/>
          </w:tcPr>
          <w:p>
            <w:pPr>
              <w:spacing w:after="0"/>
              <w:rPr>
                <w:sz w:val="2"/>
                <w:szCs w:val="2"/>
                <w:color w:val="auto"/>
              </w:rPr>
            </w:pPr>
          </w:p>
        </w:tc>
        <w:tc>
          <w:tcPr>
            <w:tcW w:w="140" w:type="dxa"/>
            <w:vAlign w:val="bottom"/>
          </w:tcPr>
          <w:p>
            <w:pPr>
              <w:spacing w:after="0"/>
              <w:rPr>
                <w:sz w:val="2"/>
                <w:szCs w:val="2"/>
                <w:color w:val="auto"/>
              </w:rPr>
            </w:pPr>
          </w:p>
        </w:tc>
        <w:tc>
          <w:tcPr>
            <w:tcW w:w="720" w:type="dxa"/>
            <w:vAlign w:val="bottom"/>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Pr>
          <w:p>
            <w:pPr>
              <w:spacing w:after="0"/>
              <w:rPr>
                <w:sz w:val="2"/>
                <w:szCs w:val="2"/>
                <w:color w:val="auto"/>
              </w:rPr>
            </w:pPr>
          </w:p>
        </w:tc>
        <w:tc>
          <w:tcPr>
            <w:tcW w:w="520" w:type="dxa"/>
            <w:vAlign w:val="bottom"/>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Pr>
          <w:p>
            <w:pPr>
              <w:spacing w:after="0"/>
              <w:rPr>
                <w:sz w:val="2"/>
                <w:szCs w:val="2"/>
                <w:color w:val="auto"/>
              </w:rPr>
            </w:pPr>
          </w:p>
        </w:tc>
        <w:tc>
          <w:tcPr>
            <w:tcW w:w="1400" w:type="dxa"/>
            <w:vAlign w:val="bottom"/>
            <w:gridSpan w:val="2"/>
          </w:tcPr>
          <w:p>
            <w:pPr>
              <w:spacing w:after="0"/>
              <w:rPr>
                <w:sz w:val="2"/>
                <w:szCs w:val="2"/>
                <w:color w:val="auto"/>
              </w:rPr>
            </w:pPr>
          </w:p>
        </w:tc>
        <w:tc>
          <w:tcPr>
            <w:tcW w:w="0" w:type="dxa"/>
            <w:vAlign w:val="bottom"/>
          </w:tcPr>
          <w:p>
            <w:pPr>
              <w:spacing w:after="0"/>
              <w:rPr>
                <w:sz w:val="1"/>
                <w:szCs w:val="1"/>
                <w:color w:val="auto"/>
              </w:rPr>
            </w:pPr>
          </w:p>
        </w:tc>
      </w:tr>
      <w:tr>
        <w:trPr>
          <w:trHeight w:val="167"/>
        </w:trPr>
        <w:tc>
          <w:tcPr>
            <w:tcW w:w="2020" w:type="dxa"/>
            <w:vAlign w:val="bottom"/>
            <w:gridSpan w:val="2"/>
            <w:vMerge w:val="continue"/>
          </w:tcPr>
          <w:p>
            <w:pPr>
              <w:spacing w:after="0"/>
              <w:rPr>
                <w:sz w:val="14"/>
                <w:szCs w:val="14"/>
                <w:color w:val="auto"/>
              </w:rPr>
            </w:pP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142,403,379</w:t>
            </w:r>
          </w:p>
        </w:tc>
        <w:tc>
          <w:tcPr>
            <w:tcW w:w="160" w:type="dxa"/>
            <w:vAlign w:val="bottom"/>
          </w:tcPr>
          <w:p>
            <w:pPr>
              <w:spacing w:after="0"/>
              <w:rPr>
                <w:sz w:val="14"/>
                <w:szCs w:val="14"/>
                <w:color w:val="auto"/>
              </w:rPr>
            </w:pPr>
          </w:p>
        </w:tc>
        <w:tc>
          <w:tcPr>
            <w:tcW w:w="100" w:type="dxa"/>
            <w:vAlign w:val="bottom"/>
            <w:tcBorders>
              <w:top w:val="single" w:sz="8" w:color="auto"/>
              <w:bottom w:val="single" w:sz="8" w:color="auto"/>
            </w:tcBorders>
          </w:tcPr>
          <w:p>
            <w:pPr>
              <w:spacing w:after="0"/>
              <w:rPr>
                <w:sz w:val="14"/>
                <w:szCs w:val="14"/>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1,931,667</w:t>
            </w:r>
          </w:p>
        </w:tc>
        <w:tc>
          <w:tcPr>
            <w:tcW w:w="160" w:type="dxa"/>
            <w:vAlign w:val="bottom"/>
          </w:tcPr>
          <w:p>
            <w:pPr>
              <w:spacing w:after="0"/>
              <w:rPr>
                <w:sz w:val="14"/>
                <w:szCs w:val="14"/>
                <w:color w:val="auto"/>
              </w:rPr>
            </w:pPr>
          </w:p>
        </w:tc>
        <w:tc>
          <w:tcPr>
            <w:tcW w:w="80" w:type="dxa"/>
            <w:vAlign w:val="bottom"/>
            <w:tcBorders>
              <w:top w:val="single" w:sz="8" w:color="auto"/>
              <w:bottom w:val="single" w:sz="8" w:color="auto"/>
            </w:tcBorders>
          </w:tcPr>
          <w:p>
            <w:pPr>
              <w:spacing w:after="0"/>
              <w:rPr>
                <w:sz w:val="14"/>
                <w:szCs w:val="14"/>
                <w:color w:val="auto"/>
              </w:rPr>
            </w:pPr>
          </w:p>
        </w:tc>
        <w:tc>
          <w:tcPr>
            <w:tcW w:w="9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23,573</w:t>
            </w:r>
          </w:p>
        </w:tc>
        <w:tc>
          <w:tcPr>
            <w:tcW w:w="160" w:type="dxa"/>
            <w:vAlign w:val="bottom"/>
          </w:tcPr>
          <w:p>
            <w:pPr>
              <w:spacing w:after="0"/>
              <w:rPr>
                <w:sz w:val="14"/>
                <w:szCs w:val="14"/>
                <w:color w:val="auto"/>
              </w:rPr>
            </w:pPr>
          </w:p>
        </w:tc>
        <w:tc>
          <w:tcPr>
            <w:tcW w:w="180" w:type="dxa"/>
            <w:vAlign w:val="bottom"/>
            <w:tcBorders>
              <w:top w:val="single" w:sz="8" w:color="auto"/>
              <w:bottom w:val="single" w:sz="8" w:color="auto"/>
            </w:tcBorders>
          </w:tcPr>
          <w:p>
            <w:pPr>
              <w:spacing w:after="0"/>
              <w:rPr>
                <w:sz w:val="14"/>
                <w:szCs w:val="14"/>
                <w:color w:val="auto"/>
              </w:rPr>
            </w:pP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4"/>
                <w:szCs w:val="14"/>
                <w:color w:val="auto"/>
              </w:rPr>
            </w:pPr>
          </w:p>
        </w:tc>
        <w:tc>
          <w:tcPr>
            <w:tcW w:w="140" w:type="dxa"/>
            <w:vAlign w:val="bottom"/>
            <w:tcBorders>
              <w:top w:val="single" w:sz="8" w:color="auto"/>
              <w:bottom w:val="single" w:sz="8" w:color="auto"/>
            </w:tcBorders>
          </w:tcPr>
          <w:p>
            <w:pPr>
              <w:spacing w:after="0"/>
              <w:rPr>
                <w:sz w:val="14"/>
                <w:szCs w:val="14"/>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15,166</w:t>
            </w:r>
          </w:p>
        </w:tc>
        <w:tc>
          <w:tcPr>
            <w:tcW w:w="160" w:type="dxa"/>
            <w:vAlign w:val="bottom"/>
          </w:tcPr>
          <w:p>
            <w:pPr>
              <w:spacing w:after="0"/>
              <w:rPr>
                <w:sz w:val="14"/>
                <w:szCs w:val="14"/>
                <w:color w:val="auto"/>
              </w:rPr>
            </w:pPr>
          </w:p>
        </w:tc>
        <w:tc>
          <w:tcPr>
            <w:tcW w:w="160" w:type="dxa"/>
            <w:vAlign w:val="bottom"/>
            <w:tcBorders>
              <w:top w:val="single" w:sz="8" w:color="auto"/>
              <w:bottom w:val="single" w:sz="8" w:color="auto"/>
            </w:tcBorders>
          </w:tcPr>
          <w:p>
            <w:pPr>
              <w:spacing w:after="0"/>
              <w:rPr>
                <w:sz w:val="14"/>
                <w:szCs w:val="14"/>
                <w:color w:val="auto"/>
              </w:rPr>
            </w:pP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w w:val="98"/>
              </w:rPr>
              <w:t>112,240</w:t>
            </w:r>
          </w:p>
        </w:tc>
        <w:tc>
          <w:tcPr>
            <w:tcW w:w="160" w:type="dxa"/>
            <w:vAlign w:val="bottom"/>
          </w:tcPr>
          <w:p>
            <w:pPr>
              <w:spacing w:after="0"/>
              <w:rPr>
                <w:sz w:val="14"/>
                <w:szCs w:val="14"/>
                <w:color w:val="auto"/>
              </w:rPr>
            </w:pPr>
          </w:p>
        </w:tc>
        <w:tc>
          <w:tcPr>
            <w:tcW w:w="80" w:type="dxa"/>
            <w:vAlign w:val="bottom"/>
            <w:tcBorders>
              <w:top w:val="single" w:sz="8" w:color="auto"/>
              <w:bottom w:val="single" w:sz="8" w:color="auto"/>
            </w:tcBorders>
          </w:tcPr>
          <w:p>
            <w:pPr>
              <w:spacing w:after="0"/>
              <w:rPr>
                <w:sz w:val="14"/>
                <w:szCs w:val="14"/>
                <w:color w:val="auto"/>
              </w:rPr>
            </w:pPr>
          </w:p>
        </w:tc>
        <w:tc>
          <w:tcPr>
            <w:tcW w:w="12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(23,712)</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000" w:type="dxa"/>
            <w:vAlign w:val="bottom"/>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2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0"/>
        </w:trPr>
        <w:tc>
          <w:tcPr>
            <w:tcW w:w="20" w:type="dxa"/>
            <w:vAlign w:val="bottom"/>
          </w:tcPr>
          <w:p>
            <w:pPr>
              <w:spacing w:after="0"/>
              <w:rPr>
                <w:sz w:val="10"/>
                <w:szCs w:val="10"/>
                <w:color w:val="auto"/>
              </w:rPr>
            </w:pPr>
          </w:p>
        </w:tc>
        <w:tc>
          <w:tcPr>
            <w:tcW w:w="2000" w:type="dxa"/>
            <w:vAlign w:val="bottom"/>
            <w:shd w:val="clear" w:color="auto" w:fill="CCEEFF"/>
          </w:tcPr>
          <w:p>
            <w:pPr>
              <w:spacing w:after="0" w:line="120" w:lineRule="exact"/>
              <w:rPr>
                <w:sz w:val="20"/>
                <w:szCs w:val="20"/>
                <w:color w:val="auto"/>
              </w:rPr>
            </w:pPr>
            <w:r>
              <w:rPr>
                <w:rFonts w:ascii="Arial" w:cs="Arial" w:eastAsia="Arial" w:hAnsi="Arial"/>
                <w:sz w:val="12"/>
                <w:szCs w:val="12"/>
                <w:color w:val="auto"/>
              </w:rPr>
              <w:t>Shares issued under Employee</w:t>
            </w:r>
          </w:p>
        </w:tc>
        <w:tc>
          <w:tcPr>
            <w:tcW w:w="82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90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52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72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52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24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000" w:type="dxa"/>
            <w:vAlign w:val="bottom"/>
            <w:shd w:val="clear" w:color="auto" w:fill="CCEEFF"/>
          </w:tcPr>
          <w:p>
            <w:pPr>
              <w:ind w:left="140"/>
              <w:spacing w:after="0" w:line="159" w:lineRule="exact"/>
              <w:rPr>
                <w:sz w:val="20"/>
                <w:szCs w:val="20"/>
                <w:color w:val="auto"/>
              </w:rPr>
            </w:pPr>
            <w:r>
              <w:rPr>
                <w:rFonts w:ascii="Arial" w:cs="Arial" w:eastAsia="Arial" w:hAnsi="Arial"/>
                <w:sz w:val="14"/>
                <w:szCs w:val="14"/>
                <w:color w:val="auto"/>
              </w:rPr>
              <w:t>Stock Option Plan (note 7(a))</w:t>
            </w:r>
          </w:p>
        </w:tc>
        <w:tc>
          <w:tcPr>
            <w:tcW w:w="8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1,340,484</w:t>
            </w:r>
          </w:p>
        </w:tc>
        <w:tc>
          <w:tcPr>
            <w:tcW w:w="16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6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41,392</w:t>
            </w:r>
          </w:p>
        </w:tc>
        <w:tc>
          <w:tcPr>
            <w:tcW w:w="1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0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140" w:type="dxa"/>
            <w:vAlign w:val="bottom"/>
            <w:shd w:val="clear" w:color="auto" w:fill="CCEEFF"/>
          </w:tcPr>
          <w:p>
            <w:pPr>
              <w:spacing w:after="0"/>
              <w:rPr>
                <w:sz w:val="13"/>
                <w:szCs w:val="13"/>
                <w:color w:val="auto"/>
              </w:rPr>
            </w:pPr>
          </w:p>
        </w:tc>
        <w:tc>
          <w:tcPr>
            <w:tcW w:w="7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1400" w:type="dxa"/>
            <w:vAlign w:val="bottom"/>
            <w:gridSpan w:val="2"/>
            <w:shd w:val="clear" w:color="auto" w:fill="CCEEFF"/>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000" w:type="dxa"/>
            <w:vAlign w:val="bottom"/>
          </w:tcPr>
          <w:p>
            <w:pPr>
              <w:spacing w:after="0" w:line="149" w:lineRule="exact"/>
              <w:rPr>
                <w:sz w:val="20"/>
                <w:szCs w:val="20"/>
                <w:color w:val="auto"/>
              </w:rPr>
            </w:pPr>
            <w:r>
              <w:rPr>
                <w:rFonts w:ascii="Arial" w:cs="Arial" w:eastAsia="Arial" w:hAnsi="Arial"/>
                <w:sz w:val="14"/>
                <w:szCs w:val="14"/>
                <w:color w:val="auto"/>
              </w:rPr>
              <w:t>Stock options</w:t>
            </w:r>
          </w:p>
        </w:tc>
        <w:tc>
          <w:tcPr>
            <w:tcW w:w="9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82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900" w:type="dxa"/>
            <w:vAlign w:val="bottom"/>
          </w:tcPr>
          <w:p>
            <w:pPr>
              <w:jc w:val="right"/>
              <w:spacing w:after="0" w:line="149" w:lineRule="exact"/>
              <w:rPr>
                <w:sz w:val="20"/>
                <w:szCs w:val="20"/>
                <w:color w:val="auto"/>
              </w:rPr>
            </w:pPr>
            <w:r>
              <w:rPr>
                <w:rFonts w:ascii="Arial" w:cs="Arial" w:eastAsia="Arial" w:hAnsi="Arial"/>
                <w:sz w:val="14"/>
                <w:szCs w:val="14"/>
                <w:color w:val="auto"/>
              </w:rPr>
              <w:t>17,479</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8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14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140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000" w:type="dxa"/>
            <w:vAlign w:val="bottom"/>
            <w:shd w:val="clear" w:color="auto" w:fill="CCEEFF"/>
          </w:tcPr>
          <w:p>
            <w:pPr>
              <w:spacing w:after="0" w:line="138" w:lineRule="exact"/>
              <w:rPr>
                <w:sz w:val="20"/>
                <w:szCs w:val="20"/>
                <w:color w:val="auto"/>
              </w:rPr>
            </w:pPr>
            <w:r>
              <w:rPr>
                <w:rFonts w:ascii="Arial" w:cs="Arial" w:eastAsia="Arial" w:hAnsi="Arial"/>
                <w:sz w:val="14"/>
                <w:szCs w:val="14"/>
                <w:color w:val="auto"/>
                <w:w w:val="93"/>
              </w:rPr>
              <w:t>Shares issued under the Incentive</w:t>
            </w:r>
          </w:p>
        </w:tc>
        <w:tc>
          <w:tcPr>
            <w:tcW w:w="8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9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000" w:type="dxa"/>
            <w:vAlign w:val="bottom"/>
            <w:shd w:val="clear" w:color="auto" w:fill="CCEEFF"/>
          </w:tcPr>
          <w:p>
            <w:pPr>
              <w:ind w:left="140"/>
              <w:spacing w:after="0" w:line="149" w:lineRule="exact"/>
              <w:rPr>
                <w:sz w:val="20"/>
                <w:szCs w:val="20"/>
                <w:color w:val="auto"/>
              </w:rPr>
            </w:pPr>
            <w:r>
              <w:rPr>
                <w:rFonts w:ascii="Arial" w:cs="Arial" w:eastAsia="Arial" w:hAnsi="Arial"/>
                <w:sz w:val="14"/>
                <w:szCs w:val="14"/>
                <w:color w:val="auto"/>
              </w:rPr>
              <w:t>Share Purchase Plan</w:t>
            </w:r>
          </w:p>
        </w:tc>
        <w:tc>
          <w:tcPr>
            <w:tcW w:w="8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2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000" w:type="dxa"/>
            <w:vAlign w:val="bottom"/>
            <w:shd w:val="clear" w:color="auto" w:fill="CCEEFF"/>
          </w:tcPr>
          <w:p>
            <w:pPr>
              <w:ind w:left="140"/>
              <w:spacing w:after="0" w:line="159" w:lineRule="exact"/>
              <w:rPr>
                <w:sz w:val="20"/>
                <w:szCs w:val="20"/>
                <w:color w:val="auto"/>
              </w:rPr>
            </w:pPr>
            <w:r>
              <w:rPr>
                <w:rFonts w:ascii="Arial" w:cs="Arial" w:eastAsia="Arial" w:hAnsi="Arial"/>
                <w:sz w:val="14"/>
                <w:szCs w:val="14"/>
                <w:color w:val="auto"/>
              </w:rPr>
              <w:t>(note 7(b))</w:t>
            </w:r>
          </w:p>
        </w:tc>
        <w:tc>
          <w:tcPr>
            <w:tcW w:w="8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154,998</w:t>
            </w:r>
          </w:p>
        </w:tc>
        <w:tc>
          <w:tcPr>
            <w:tcW w:w="16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6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9,545</w:t>
            </w:r>
          </w:p>
        </w:tc>
        <w:tc>
          <w:tcPr>
            <w:tcW w:w="1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0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140" w:type="dxa"/>
            <w:vAlign w:val="bottom"/>
            <w:shd w:val="clear" w:color="auto" w:fill="CCEEFF"/>
          </w:tcPr>
          <w:p>
            <w:pPr>
              <w:spacing w:after="0"/>
              <w:rPr>
                <w:sz w:val="13"/>
                <w:szCs w:val="13"/>
                <w:color w:val="auto"/>
              </w:rPr>
            </w:pPr>
          </w:p>
        </w:tc>
        <w:tc>
          <w:tcPr>
            <w:tcW w:w="7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1400" w:type="dxa"/>
            <w:vAlign w:val="bottom"/>
            <w:gridSpan w:val="2"/>
            <w:shd w:val="clear" w:color="auto" w:fill="CCEEFF"/>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000" w:type="dxa"/>
            <w:vAlign w:val="bottom"/>
          </w:tcPr>
          <w:p>
            <w:pPr>
              <w:spacing w:after="0" w:line="138" w:lineRule="exact"/>
              <w:rPr>
                <w:sz w:val="20"/>
                <w:szCs w:val="20"/>
                <w:color w:val="auto"/>
              </w:rPr>
            </w:pPr>
            <w:r>
              <w:rPr>
                <w:rFonts w:ascii="Arial" w:cs="Arial" w:eastAsia="Arial" w:hAnsi="Arial"/>
                <w:sz w:val="14"/>
                <w:szCs w:val="14"/>
                <w:color w:val="auto"/>
                <w:w w:val="94"/>
              </w:rPr>
              <w:t>Shares issued under flow-through</w:t>
            </w:r>
          </w:p>
        </w:tc>
        <w:tc>
          <w:tcPr>
            <w:tcW w:w="8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9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000" w:type="dxa"/>
            <w:vAlign w:val="bottom"/>
          </w:tcPr>
          <w:p>
            <w:pPr>
              <w:ind w:left="140"/>
              <w:spacing w:after="0" w:line="149" w:lineRule="exact"/>
              <w:rPr>
                <w:sz w:val="20"/>
                <w:szCs w:val="20"/>
                <w:color w:val="auto"/>
              </w:rPr>
            </w:pPr>
            <w:r>
              <w:rPr>
                <w:rFonts w:ascii="Arial" w:cs="Arial" w:eastAsia="Arial" w:hAnsi="Arial"/>
                <w:sz w:val="14"/>
                <w:szCs w:val="14"/>
                <w:color w:val="auto"/>
              </w:rPr>
              <w:t>share private placement</w:t>
            </w:r>
          </w:p>
        </w:tc>
        <w:tc>
          <w:tcPr>
            <w:tcW w:w="8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000" w:type="dxa"/>
            <w:vAlign w:val="bottom"/>
          </w:tcPr>
          <w:p>
            <w:pPr>
              <w:ind w:left="140"/>
              <w:spacing w:after="0" w:line="159" w:lineRule="exact"/>
              <w:rPr>
                <w:sz w:val="20"/>
                <w:szCs w:val="20"/>
                <w:color w:val="auto"/>
              </w:rPr>
            </w:pPr>
            <w:r>
              <w:rPr>
                <w:rFonts w:ascii="Arial" w:cs="Arial" w:eastAsia="Arial" w:hAnsi="Arial"/>
                <w:sz w:val="14"/>
                <w:szCs w:val="14"/>
                <w:color w:val="auto"/>
              </w:rPr>
              <w:t>(note 6(b))</w:t>
            </w:r>
          </w:p>
        </w:tc>
        <w:tc>
          <w:tcPr>
            <w:tcW w:w="820" w:type="dxa"/>
            <w:vAlign w:val="bottom"/>
          </w:tcPr>
          <w:p>
            <w:pPr>
              <w:jc w:val="right"/>
              <w:spacing w:after="0" w:line="159" w:lineRule="exact"/>
              <w:rPr>
                <w:sz w:val="20"/>
                <w:szCs w:val="20"/>
                <w:color w:val="auto"/>
              </w:rPr>
            </w:pPr>
            <w:r>
              <w:rPr>
                <w:rFonts w:ascii="Arial" w:cs="Arial" w:eastAsia="Arial" w:hAnsi="Arial"/>
                <w:sz w:val="14"/>
                <w:szCs w:val="14"/>
                <w:color w:val="auto"/>
              </w:rPr>
              <w:t>779,250</w:t>
            </w:r>
          </w:p>
        </w:tc>
        <w:tc>
          <w:tcPr>
            <w:tcW w:w="1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60" w:type="dxa"/>
            <w:vAlign w:val="bottom"/>
          </w:tcPr>
          <w:p>
            <w:pPr>
              <w:jc w:val="right"/>
              <w:spacing w:after="0" w:line="159" w:lineRule="exact"/>
              <w:rPr>
                <w:sz w:val="20"/>
                <w:szCs w:val="20"/>
                <w:color w:val="auto"/>
              </w:rPr>
            </w:pPr>
            <w:r>
              <w:rPr>
                <w:rFonts w:ascii="Arial" w:cs="Arial" w:eastAsia="Arial" w:hAnsi="Arial"/>
                <w:sz w:val="14"/>
                <w:szCs w:val="14"/>
                <w:color w:val="auto"/>
              </w:rPr>
              <w:t>22,042</w:t>
            </w:r>
          </w:p>
        </w:tc>
        <w:tc>
          <w:tcPr>
            <w:tcW w:w="1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00" w:type="dxa"/>
            <w:vAlign w:val="bottom"/>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80" w:type="dxa"/>
            <w:vAlign w:val="bottom"/>
            <w:gridSpan w:val="2"/>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140" w:type="dxa"/>
            <w:vAlign w:val="bottom"/>
          </w:tcPr>
          <w:p>
            <w:pPr>
              <w:spacing w:after="0"/>
              <w:rPr>
                <w:sz w:val="13"/>
                <w:szCs w:val="13"/>
                <w:color w:val="auto"/>
              </w:rPr>
            </w:pPr>
          </w:p>
        </w:tc>
        <w:tc>
          <w:tcPr>
            <w:tcW w:w="720" w:type="dxa"/>
            <w:vAlign w:val="bottom"/>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8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1400" w:type="dxa"/>
            <w:vAlign w:val="bottom"/>
            <w:gridSpan w:val="2"/>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000" w:type="dxa"/>
            <w:vAlign w:val="bottom"/>
            <w:shd w:val="clear" w:color="auto" w:fill="CCEEFF"/>
          </w:tcPr>
          <w:p>
            <w:pPr>
              <w:spacing w:after="0" w:line="138" w:lineRule="exact"/>
              <w:rPr>
                <w:sz w:val="20"/>
                <w:szCs w:val="20"/>
                <w:color w:val="auto"/>
              </w:rPr>
            </w:pPr>
            <w:r>
              <w:rPr>
                <w:rFonts w:ascii="Arial" w:cs="Arial" w:eastAsia="Arial" w:hAnsi="Arial"/>
                <w:sz w:val="14"/>
                <w:szCs w:val="14"/>
                <w:color w:val="auto"/>
              </w:rPr>
              <w:t>Shares issued under the</w:t>
            </w:r>
          </w:p>
        </w:tc>
        <w:tc>
          <w:tcPr>
            <w:tcW w:w="8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9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000" w:type="dxa"/>
            <w:vAlign w:val="bottom"/>
            <w:shd w:val="clear" w:color="auto" w:fill="CCEEFF"/>
          </w:tcPr>
          <w:p>
            <w:pPr>
              <w:ind w:left="140"/>
              <w:spacing w:after="0" w:line="149" w:lineRule="exact"/>
              <w:rPr>
                <w:sz w:val="20"/>
                <w:szCs w:val="20"/>
                <w:color w:val="auto"/>
              </w:rPr>
            </w:pPr>
            <w:r>
              <w:rPr>
                <w:rFonts w:ascii="Arial" w:cs="Arial" w:eastAsia="Arial" w:hAnsi="Arial"/>
                <w:sz w:val="14"/>
                <w:szCs w:val="14"/>
                <w:color w:val="auto"/>
              </w:rPr>
              <w:t>Company's dividend</w:t>
            </w:r>
          </w:p>
        </w:tc>
        <w:tc>
          <w:tcPr>
            <w:tcW w:w="8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2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000" w:type="dxa"/>
            <w:vAlign w:val="bottom"/>
            <w:shd w:val="clear" w:color="auto" w:fill="CCEEFF"/>
          </w:tcPr>
          <w:p>
            <w:pPr>
              <w:ind w:left="140"/>
              <w:spacing w:after="0" w:line="159" w:lineRule="exact"/>
              <w:rPr>
                <w:sz w:val="20"/>
                <w:szCs w:val="20"/>
                <w:color w:val="auto"/>
              </w:rPr>
            </w:pPr>
            <w:r>
              <w:rPr>
                <w:rFonts w:ascii="Arial" w:cs="Arial" w:eastAsia="Arial" w:hAnsi="Arial"/>
                <w:sz w:val="14"/>
                <w:szCs w:val="14"/>
                <w:color w:val="auto"/>
              </w:rPr>
              <w:t>reinvestment plan</w:t>
            </w:r>
          </w:p>
        </w:tc>
        <w:tc>
          <w:tcPr>
            <w:tcW w:w="8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30,807</w:t>
            </w:r>
          </w:p>
        </w:tc>
        <w:tc>
          <w:tcPr>
            <w:tcW w:w="16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6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2,210</w:t>
            </w:r>
          </w:p>
        </w:tc>
        <w:tc>
          <w:tcPr>
            <w:tcW w:w="1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0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140" w:type="dxa"/>
            <w:vAlign w:val="bottom"/>
            <w:shd w:val="clear" w:color="auto" w:fill="CCEEFF"/>
          </w:tcPr>
          <w:p>
            <w:pPr>
              <w:spacing w:after="0"/>
              <w:rPr>
                <w:sz w:val="13"/>
                <w:szCs w:val="13"/>
                <w:color w:val="auto"/>
              </w:rPr>
            </w:pPr>
          </w:p>
        </w:tc>
        <w:tc>
          <w:tcPr>
            <w:tcW w:w="7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1400" w:type="dxa"/>
            <w:vAlign w:val="bottom"/>
            <w:gridSpan w:val="2"/>
            <w:shd w:val="clear" w:color="auto" w:fill="CCEEFF"/>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000" w:type="dxa"/>
            <w:vAlign w:val="bottom"/>
          </w:tcPr>
          <w:p>
            <w:pPr>
              <w:spacing w:after="0" w:line="138" w:lineRule="exact"/>
              <w:rPr>
                <w:sz w:val="20"/>
                <w:szCs w:val="20"/>
                <w:color w:val="auto"/>
              </w:rPr>
            </w:pPr>
            <w:r>
              <w:rPr>
                <w:rFonts w:ascii="Arial" w:cs="Arial" w:eastAsia="Arial" w:hAnsi="Arial"/>
                <w:sz w:val="14"/>
                <w:szCs w:val="14"/>
                <w:color w:val="auto"/>
              </w:rPr>
              <w:t>Shares issued under public</w:t>
            </w:r>
          </w:p>
        </w:tc>
        <w:tc>
          <w:tcPr>
            <w:tcW w:w="8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9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000" w:type="dxa"/>
            <w:vAlign w:val="bottom"/>
          </w:tcPr>
          <w:p>
            <w:pPr>
              <w:ind w:left="140"/>
              <w:spacing w:after="0" w:line="159" w:lineRule="exact"/>
              <w:rPr>
                <w:sz w:val="20"/>
                <w:szCs w:val="20"/>
                <w:color w:val="auto"/>
              </w:rPr>
            </w:pPr>
            <w:r>
              <w:rPr>
                <w:rFonts w:ascii="Arial" w:cs="Arial" w:eastAsia="Arial" w:hAnsi="Arial"/>
                <w:sz w:val="14"/>
                <w:szCs w:val="14"/>
                <w:color w:val="auto"/>
              </w:rPr>
              <w:t>offering (note 6(d))</w:t>
            </w:r>
          </w:p>
        </w:tc>
        <w:tc>
          <w:tcPr>
            <w:tcW w:w="820" w:type="dxa"/>
            <w:vAlign w:val="bottom"/>
          </w:tcPr>
          <w:p>
            <w:pPr>
              <w:jc w:val="right"/>
              <w:spacing w:after="0" w:line="159" w:lineRule="exact"/>
              <w:rPr>
                <w:sz w:val="20"/>
                <w:szCs w:val="20"/>
                <w:color w:val="auto"/>
              </w:rPr>
            </w:pPr>
            <w:r>
              <w:rPr>
                <w:rFonts w:ascii="Arial" w:cs="Arial" w:eastAsia="Arial" w:hAnsi="Arial"/>
                <w:sz w:val="14"/>
                <w:szCs w:val="14"/>
                <w:color w:val="auto"/>
              </w:rPr>
              <w:t>900,000</w:t>
            </w:r>
          </w:p>
        </w:tc>
        <w:tc>
          <w:tcPr>
            <w:tcW w:w="1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60" w:type="dxa"/>
            <w:vAlign w:val="bottom"/>
          </w:tcPr>
          <w:p>
            <w:pPr>
              <w:jc w:val="right"/>
              <w:spacing w:after="0" w:line="159" w:lineRule="exact"/>
              <w:rPr>
                <w:sz w:val="20"/>
                <w:szCs w:val="20"/>
                <w:color w:val="auto"/>
              </w:rPr>
            </w:pPr>
            <w:r>
              <w:rPr>
                <w:rFonts w:ascii="Arial" w:cs="Arial" w:eastAsia="Arial" w:hAnsi="Arial"/>
                <w:sz w:val="14"/>
                <w:szCs w:val="14"/>
                <w:color w:val="auto"/>
              </w:rPr>
              <w:t>34,200</w:t>
            </w:r>
          </w:p>
        </w:tc>
        <w:tc>
          <w:tcPr>
            <w:tcW w:w="1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00" w:type="dxa"/>
            <w:vAlign w:val="bottom"/>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80" w:type="dxa"/>
            <w:vAlign w:val="bottom"/>
            <w:gridSpan w:val="2"/>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140" w:type="dxa"/>
            <w:vAlign w:val="bottom"/>
          </w:tcPr>
          <w:p>
            <w:pPr>
              <w:spacing w:after="0"/>
              <w:rPr>
                <w:sz w:val="13"/>
                <w:szCs w:val="13"/>
                <w:color w:val="auto"/>
              </w:rPr>
            </w:pPr>
          </w:p>
        </w:tc>
        <w:tc>
          <w:tcPr>
            <w:tcW w:w="720" w:type="dxa"/>
            <w:vAlign w:val="bottom"/>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8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1400" w:type="dxa"/>
            <w:vAlign w:val="bottom"/>
            <w:gridSpan w:val="2"/>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000" w:type="dxa"/>
            <w:vAlign w:val="bottom"/>
            <w:shd w:val="clear" w:color="auto" w:fill="CCEEFF"/>
          </w:tcPr>
          <w:p>
            <w:pPr>
              <w:spacing w:after="0" w:line="138" w:lineRule="exact"/>
              <w:rPr>
                <w:sz w:val="20"/>
                <w:szCs w:val="20"/>
                <w:color w:val="auto"/>
              </w:rPr>
            </w:pPr>
            <w:r>
              <w:rPr>
                <w:rFonts w:ascii="Arial" w:cs="Arial" w:eastAsia="Arial" w:hAnsi="Arial"/>
                <w:sz w:val="14"/>
                <w:szCs w:val="14"/>
                <w:color w:val="auto"/>
              </w:rPr>
              <w:t>Shares issued under private</w:t>
            </w:r>
          </w:p>
        </w:tc>
        <w:tc>
          <w:tcPr>
            <w:tcW w:w="8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9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000" w:type="dxa"/>
            <w:vAlign w:val="bottom"/>
            <w:shd w:val="clear" w:color="auto" w:fill="CCEEFF"/>
          </w:tcPr>
          <w:p>
            <w:pPr>
              <w:ind w:left="140"/>
              <w:spacing w:after="0" w:line="159" w:lineRule="exact"/>
              <w:rPr>
                <w:sz w:val="20"/>
                <w:szCs w:val="20"/>
                <w:color w:val="auto"/>
              </w:rPr>
            </w:pPr>
            <w:r>
              <w:rPr>
                <w:rFonts w:ascii="Arial" w:cs="Arial" w:eastAsia="Arial" w:hAnsi="Arial"/>
                <w:sz w:val="14"/>
                <w:szCs w:val="14"/>
                <w:color w:val="auto"/>
              </w:rPr>
              <w:t>placement of units (note 6(c))</w:t>
            </w:r>
          </w:p>
        </w:tc>
        <w:tc>
          <w:tcPr>
            <w:tcW w:w="8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9,200,000</w:t>
            </w:r>
          </w:p>
        </w:tc>
        <w:tc>
          <w:tcPr>
            <w:tcW w:w="16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6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258,691</w:t>
            </w:r>
          </w:p>
        </w:tc>
        <w:tc>
          <w:tcPr>
            <w:tcW w:w="1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0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5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24,858</w:t>
            </w:r>
          </w:p>
        </w:tc>
        <w:tc>
          <w:tcPr>
            <w:tcW w:w="16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7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1400" w:type="dxa"/>
            <w:vAlign w:val="bottom"/>
            <w:gridSpan w:val="2"/>
            <w:shd w:val="clear" w:color="auto" w:fill="CCEEFF"/>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000" w:type="dxa"/>
            <w:vAlign w:val="bottom"/>
          </w:tcPr>
          <w:p>
            <w:pPr>
              <w:spacing w:after="0" w:line="149" w:lineRule="exact"/>
              <w:rPr>
                <w:sz w:val="20"/>
                <w:szCs w:val="20"/>
                <w:color w:val="auto"/>
              </w:rPr>
            </w:pPr>
            <w:r>
              <w:rPr>
                <w:rFonts w:ascii="Arial" w:cs="Arial" w:eastAsia="Arial" w:hAnsi="Arial"/>
                <w:sz w:val="14"/>
                <w:szCs w:val="14"/>
                <w:color w:val="auto"/>
              </w:rPr>
              <w:t>Net income for the year</w:t>
            </w:r>
          </w:p>
        </w:tc>
        <w:tc>
          <w:tcPr>
            <w:tcW w:w="9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82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90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8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14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520" w:type="dxa"/>
            <w:vAlign w:val="bottom"/>
          </w:tcPr>
          <w:p>
            <w:pPr>
              <w:jc w:val="right"/>
              <w:spacing w:after="0" w:line="149" w:lineRule="exact"/>
              <w:rPr>
                <w:sz w:val="20"/>
                <w:szCs w:val="20"/>
                <w:color w:val="auto"/>
              </w:rPr>
            </w:pPr>
            <w:r>
              <w:rPr>
                <w:rFonts w:ascii="Arial" w:cs="Arial" w:eastAsia="Arial" w:hAnsi="Arial"/>
                <w:sz w:val="14"/>
                <w:szCs w:val="14"/>
                <w:color w:val="auto"/>
              </w:rPr>
              <w:t>73,167</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000" w:type="dxa"/>
            <w:vAlign w:val="bottom"/>
            <w:shd w:val="clear" w:color="auto" w:fill="CCEEFF"/>
          </w:tcPr>
          <w:p>
            <w:pPr>
              <w:spacing w:after="0" w:line="138" w:lineRule="exact"/>
              <w:rPr>
                <w:sz w:val="20"/>
                <w:szCs w:val="20"/>
                <w:color w:val="auto"/>
              </w:rPr>
            </w:pPr>
            <w:r>
              <w:rPr>
                <w:rFonts w:ascii="Arial" w:cs="Arial" w:eastAsia="Arial" w:hAnsi="Arial"/>
                <w:sz w:val="14"/>
                <w:szCs w:val="14"/>
                <w:color w:val="auto"/>
              </w:rPr>
              <w:t>Dividends declared ($0.18 per</w:t>
            </w:r>
          </w:p>
        </w:tc>
        <w:tc>
          <w:tcPr>
            <w:tcW w:w="8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9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000" w:type="dxa"/>
            <w:vAlign w:val="bottom"/>
            <w:shd w:val="clear" w:color="auto" w:fill="CCEEFF"/>
          </w:tcPr>
          <w:p>
            <w:pPr>
              <w:ind w:left="140"/>
              <w:spacing w:after="0" w:line="159" w:lineRule="exact"/>
              <w:rPr>
                <w:sz w:val="20"/>
                <w:szCs w:val="20"/>
                <w:color w:val="auto"/>
              </w:rPr>
            </w:pPr>
            <w:r>
              <w:rPr>
                <w:rFonts w:ascii="Arial" w:cs="Arial" w:eastAsia="Arial" w:hAnsi="Arial"/>
                <w:sz w:val="14"/>
                <w:szCs w:val="14"/>
                <w:color w:val="auto"/>
              </w:rPr>
              <w:t>share) (note 6(a))</w:t>
            </w:r>
          </w:p>
        </w:tc>
        <w:tc>
          <w:tcPr>
            <w:tcW w:w="98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3"/>
                <w:szCs w:val="13"/>
                <w:color w:val="auto"/>
              </w:rPr>
            </w:pPr>
          </w:p>
        </w:tc>
        <w:tc>
          <w:tcPr>
            <w:tcW w:w="82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90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140" w:type="dxa"/>
            <w:vAlign w:val="bottom"/>
            <w:shd w:val="clear" w:color="auto" w:fill="CCEEFF"/>
          </w:tcPr>
          <w:p>
            <w:pPr>
              <w:spacing w:after="0"/>
              <w:rPr>
                <w:sz w:val="13"/>
                <w:szCs w:val="13"/>
                <w:color w:val="auto"/>
              </w:rPr>
            </w:pPr>
          </w:p>
        </w:tc>
        <w:tc>
          <w:tcPr>
            <w:tcW w:w="7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(27,866)</w:t>
            </w:r>
          </w:p>
        </w:tc>
        <w:tc>
          <w:tcPr>
            <w:tcW w:w="80" w:type="dxa"/>
            <w:vAlign w:val="bottom"/>
            <w:shd w:val="clear" w:color="auto" w:fill="CCEEFF"/>
          </w:tcPr>
          <w:p>
            <w:pPr>
              <w:spacing w:after="0"/>
              <w:rPr>
                <w:sz w:val="13"/>
                <w:szCs w:val="13"/>
                <w:color w:val="auto"/>
              </w:rPr>
            </w:pPr>
          </w:p>
        </w:tc>
        <w:tc>
          <w:tcPr>
            <w:tcW w:w="1400" w:type="dxa"/>
            <w:vAlign w:val="bottom"/>
            <w:gridSpan w:val="2"/>
            <w:shd w:val="clear" w:color="auto" w:fill="CCEEFF"/>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000" w:type="dxa"/>
            <w:vAlign w:val="bottom"/>
          </w:tcPr>
          <w:p>
            <w:pPr>
              <w:spacing w:after="0" w:line="138" w:lineRule="exact"/>
              <w:rPr>
                <w:sz w:val="20"/>
                <w:szCs w:val="20"/>
                <w:color w:val="auto"/>
              </w:rPr>
            </w:pPr>
            <w:r>
              <w:rPr>
                <w:rFonts w:ascii="Arial" w:cs="Arial" w:eastAsia="Arial" w:hAnsi="Arial"/>
                <w:sz w:val="14"/>
                <w:szCs w:val="14"/>
                <w:color w:val="auto"/>
                <w:w w:val="97"/>
              </w:rPr>
              <w:t>Other comprehensive income for</w:t>
            </w:r>
          </w:p>
        </w:tc>
        <w:tc>
          <w:tcPr>
            <w:tcW w:w="8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9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2000" w:type="dxa"/>
            <w:vAlign w:val="bottom"/>
          </w:tcPr>
          <w:p>
            <w:pPr>
              <w:ind w:left="140"/>
              <w:spacing w:after="0"/>
              <w:rPr>
                <w:sz w:val="20"/>
                <w:szCs w:val="20"/>
                <w:color w:val="auto"/>
              </w:rPr>
            </w:pPr>
            <w:r>
              <w:rPr>
                <w:rFonts w:ascii="Arial" w:cs="Arial" w:eastAsia="Arial" w:hAnsi="Arial"/>
                <w:sz w:val="14"/>
                <w:szCs w:val="14"/>
                <w:color w:val="auto"/>
              </w:rPr>
              <w:t>the year</w:t>
            </w:r>
          </w:p>
        </w:tc>
        <w:tc>
          <w:tcPr>
            <w:tcW w:w="82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5"/>
                <w:szCs w:val="15"/>
                <w:color w:val="auto"/>
              </w:rPr>
            </w:pPr>
          </w:p>
        </w:tc>
        <w:tc>
          <w:tcPr>
            <w:tcW w:w="100" w:type="dxa"/>
            <w:vAlign w:val="bottom"/>
            <w:tcBorders>
              <w:bottom w:val="single" w:sz="8" w:color="auto"/>
            </w:tcBorders>
          </w:tcPr>
          <w:p>
            <w:pPr>
              <w:spacing w:after="0"/>
              <w:rPr>
                <w:sz w:val="15"/>
                <w:szCs w:val="15"/>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5"/>
                <w:szCs w:val="15"/>
                <w:color w:val="auto"/>
              </w:rPr>
            </w:pPr>
          </w:p>
        </w:tc>
        <w:tc>
          <w:tcPr>
            <w:tcW w:w="80" w:type="dxa"/>
            <w:vAlign w:val="bottom"/>
            <w:tcBorders>
              <w:bottom w:val="single" w:sz="8" w:color="auto"/>
            </w:tcBorders>
          </w:tcPr>
          <w:p>
            <w:pPr>
              <w:spacing w:after="0"/>
              <w:rPr>
                <w:sz w:val="15"/>
                <w:szCs w:val="15"/>
                <w:color w:val="auto"/>
              </w:rPr>
            </w:pPr>
          </w:p>
        </w:tc>
        <w:tc>
          <w:tcPr>
            <w:tcW w:w="90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5"/>
                <w:szCs w:val="15"/>
                <w:color w:val="auto"/>
              </w:rPr>
            </w:pPr>
          </w:p>
        </w:tc>
        <w:tc>
          <w:tcPr>
            <w:tcW w:w="180" w:type="dxa"/>
            <w:vAlign w:val="bottom"/>
            <w:tcBorders>
              <w:bottom w:val="single" w:sz="8" w:color="auto"/>
            </w:tcBorders>
          </w:tcPr>
          <w:p>
            <w:pPr>
              <w:spacing w:after="0"/>
              <w:rPr>
                <w:sz w:val="15"/>
                <w:szCs w:val="15"/>
                <w:color w:val="auto"/>
              </w:rPr>
            </w:pPr>
          </w:p>
        </w:tc>
        <w:tc>
          <w:tcPr>
            <w:tcW w:w="52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5"/>
                <w:szCs w:val="15"/>
                <w:color w:val="auto"/>
              </w:rPr>
            </w:pPr>
          </w:p>
        </w:tc>
        <w:tc>
          <w:tcPr>
            <w:tcW w:w="140" w:type="dxa"/>
            <w:vAlign w:val="bottom"/>
            <w:tcBorders>
              <w:bottom w:val="single" w:sz="8" w:color="auto"/>
            </w:tcBorders>
          </w:tcPr>
          <w:p>
            <w:pPr>
              <w:spacing w:after="0"/>
              <w:rPr>
                <w:sz w:val="15"/>
                <w:szCs w:val="15"/>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5"/>
                <w:szCs w:val="15"/>
                <w:color w:val="auto"/>
              </w:rPr>
            </w:pPr>
          </w:p>
        </w:tc>
        <w:tc>
          <w:tcPr>
            <w:tcW w:w="160" w:type="dxa"/>
            <w:vAlign w:val="bottom"/>
            <w:tcBorders>
              <w:bottom w:val="single" w:sz="8" w:color="auto"/>
            </w:tcBorders>
          </w:tcPr>
          <w:p>
            <w:pPr>
              <w:spacing w:after="0"/>
              <w:rPr>
                <w:sz w:val="15"/>
                <w:szCs w:val="15"/>
                <w:color w:val="auto"/>
              </w:rPr>
            </w:pPr>
          </w:p>
        </w:tc>
        <w:tc>
          <w:tcPr>
            <w:tcW w:w="52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5"/>
                <w:szCs w:val="15"/>
                <w:color w:val="auto"/>
              </w:rPr>
            </w:pPr>
          </w:p>
        </w:tc>
        <w:tc>
          <w:tcPr>
            <w:tcW w:w="80" w:type="dxa"/>
            <w:vAlign w:val="bottom"/>
            <w:tcBorders>
              <w:bottom w:val="single" w:sz="8" w:color="auto"/>
            </w:tcBorders>
          </w:tcPr>
          <w:p>
            <w:pPr>
              <w:spacing w:after="0"/>
              <w:rPr>
                <w:sz w:val="15"/>
                <w:szCs w:val="15"/>
                <w:color w:val="auto"/>
              </w:rPr>
            </w:pPr>
          </w:p>
        </w:tc>
        <w:tc>
          <w:tcPr>
            <w:tcW w:w="124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3,104</w:t>
            </w: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000" w:type="dxa"/>
            <w:vAlign w:val="bottom"/>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Balance December 31, 2008</w:t>
            </w:r>
          </w:p>
        </w:tc>
        <w:tc>
          <w:tcPr>
            <w:tcW w:w="8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154,808,918</w:t>
            </w: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2,299,747</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41,052</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24,858</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15,166</w:t>
            </w: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98"/>
              </w:rPr>
              <w:t>157,541</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(20,608)</w:t>
            </w:r>
          </w:p>
        </w:tc>
        <w:tc>
          <w:tcPr>
            <w:tcW w:w="0" w:type="dxa"/>
            <w:vAlign w:val="bottom"/>
          </w:tcPr>
          <w:p>
            <w:pPr>
              <w:spacing w:after="0"/>
              <w:rPr>
                <w:sz w:val="1"/>
                <w:szCs w:val="1"/>
                <w:color w:val="auto"/>
              </w:rPr>
            </w:pPr>
          </w:p>
        </w:tc>
      </w:tr>
      <w:tr>
        <w:trPr>
          <w:trHeight w:val="27"/>
        </w:trPr>
        <w:tc>
          <w:tcPr>
            <w:tcW w:w="2020" w:type="dxa"/>
            <w:vAlign w:val="bottom"/>
            <w:gridSpan w:val="2"/>
            <w:vMerge w:val="restart"/>
          </w:tcPr>
          <w:p>
            <w:pPr>
              <w:spacing w:after="0"/>
              <w:rPr>
                <w:sz w:val="20"/>
                <w:szCs w:val="20"/>
                <w:color w:val="auto"/>
              </w:rPr>
            </w:pPr>
            <w:r>
              <w:rPr>
                <w:rFonts w:ascii="Arial" w:cs="Arial" w:eastAsia="Arial" w:hAnsi="Arial"/>
                <w:sz w:val="14"/>
                <w:szCs w:val="14"/>
                <w:color w:val="auto"/>
              </w:rPr>
              <w:t>Shares issued under Employee</w:t>
            </w:r>
          </w:p>
        </w:tc>
        <w:tc>
          <w:tcPr>
            <w:tcW w:w="8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24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2020" w:type="dxa"/>
            <w:vAlign w:val="bottom"/>
            <w:gridSpan w:val="2"/>
            <w:vMerge w:val="continue"/>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2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18"/>
        </w:trPr>
        <w:tc>
          <w:tcPr>
            <w:tcW w:w="2020" w:type="dxa"/>
            <w:vAlign w:val="bottom"/>
            <w:gridSpan w:val="2"/>
            <w:vMerge w:val="continue"/>
          </w:tcPr>
          <w:p>
            <w:pPr>
              <w:spacing w:after="0"/>
              <w:rPr>
                <w:sz w:val="10"/>
                <w:szCs w:val="10"/>
                <w:color w:val="auto"/>
              </w:rPr>
            </w:pPr>
          </w:p>
        </w:tc>
        <w:tc>
          <w:tcPr>
            <w:tcW w:w="8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90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7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2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000" w:type="dxa"/>
            <w:vAlign w:val="bottom"/>
          </w:tcPr>
          <w:p>
            <w:pPr>
              <w:ind w:left="140"/>
              <w:spacing w:after="0" w:line="159" w:lineRule="exact"/>
              <w:rPr>
                <w:sz w:val="20"/>
                <w:szCs w:val="20"/>
                <w:color w:val="auto"/>
              </w:rPr>
            </w:pPr>
            <w:r>
              <w:rPr>
                <w:rFonts w:ascii="Arial" w:cs="Arial" w:eastAsia="Arial" w:hAnsi="Arial"/>
                <w:sz w:val="14"/>
                <w:szCs w:val="14"/>
                <w:color w:val="auto"/>
              </w:rPr>
              <w:t>Stock Option Plan (note 7(a))</w:t>
            </w:r>
          </w:p>
        </w:tc>
        <w:tc>
          <w:tcPr>
            <w:tcW w:w="820" w:type="dxa"/>
            <w:vAlign w:val="bottom"/>
          </w:tcPr>
          <w:p>
            <w:pPr>
              <w:jc w:val="right"/>
              <w:spacing w:after="0" w:line="159" w:lineRule="exact"/>
              <w:rPr>
                <w:sz w:val="20"/>
                <w:szCs w:val="20"/>
                <w:color w:val="auto"/>
              </w:rPr>
            </w:pPr>
            <w:r>
              <w:rPr>
                <w:rFonts w:ascii="Arial" w:cs="Arial" w:eastAsia="Arial" w:hAnsi="Arial"/>
                <w:sz w:val="14"/>
                <w:szCs w:val="14"/>
                <w:color w:val="auto"/>
              </w:rPr>
              <w:t>1,238,000</w:t>
            </w:r>
          </w:p>
        </w:tc>
        <w:tc>
          <w:tcPr>
            <w:tcW w:w="1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60" w:type="dxa"/>
            <w:vAlign w:val="bottom"/>
          </w:tcPr>
          <w:p>
            <w:pPr>
              <w:jc w:val="right"/>
              <w:spacing w:after="0" w:line="159" w:lineRule="exact"/>
              <w:rPr>
                <w:sz w:val="20"/>
                <w:szCs w:val="20"/>
                <w:color w:val="auto"/>
              </w:rPr>
            </w:pPr>
            <w:r>
              <w:rPr>
                <w:rFonts w:ascii="Arial" w:cs="Arial" w:eastAsia="Arial" w:hAnsi="Arial"/>
                <w:sz w:val="14"/>
                <w:szCs w:val="14"/>
                <w:color w:val="auto"/>
              </w:rPr>
              <w:t>48,313</w:t>
            </w:r>
          </w:p>
        </w:tc>
        <w:tc>
          <w:tcPr>
            <w:tcW w:w="1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00" w:type="dxa"/>
            <w:vAlign w:val="bottom"/>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80" w:type="dxa"/>
            <w:vAlign w:val="bottom"/>
            <w:gridSpan w:val="2"/>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140" w:type="dxa"/>
            <w:vAlign w:val="bottom"/>
          </w:tcPr>
          <w:p>
            <w:pPr>
              <w:spacing w:after="0"/>
              <w:rPr>
                <w:sz w:val="13"/>
                <w:szCs w:val="13"/>
                <w:color w:val="auto"/>
              </w:rPr>
            </w:pPr>
          </w:p>
        </w:tc>
        <w:tc>
          <w:tcPr>
            <w:tcW w:w="720" w:type="dxa"/>
            <w:vAlign w:val="bottom"/>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8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1400" w:type="dxa"/>
            <w:vAlign w:val="bottom"/>
            <w:gridSpan w:val="2"/>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0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Stock options</w:t>
            </w:r>
          </w:p>
        </w:tc>
        <w:tc>
          <w:tcPr>
            <w:tcW w:w="9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9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24,719</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140" w:type="dxa"/>
            <w:vAlign w:val="bottom"/>
            <w:shd w:val="clear" w:color="auto" w:fill="CCEEFF"/>
          </w:tcPr>
          <w:p>
            <w:pPr>
              <w:spacing w:after="0"/>
              <w:rPr>
                <w:sz w:val="12"/>
                <w:szCs w:val="12"/>
                <w:color w:val="auto"/>
              </w:rPr>
            </w:pPr>
          </w:p>
        </w:tc>
        <w:tc>
          <w:tcPr>
            <w:tcW w:w="7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140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000" w:type="dxa"/>
            <w:vAlign w:val="bottom"/>
          </w:tcPr>
          <w:p>
            <w:pPr>
              <w:spacing w:after="0" w:line="138" w:lineRule="exact"/>
              <w:rPr>
                <w:sz w:val="20"/>
                <w:szCs w:val="20"/>
                <w:color w:val="auto"/>
              </w:rPr>
            </w:pPr>
            <w:r>
              <w:rPr>
                <w:rFonts w:ascii="Arial" w:cs="Arial" w:eastAsia="Arial" w:hAnsi="Arial"/>
                <w:sz w:val="14"/>
                <w:szCs w:val="14"/>
                <w:color w:val="auto"/>
                <w:w w:val="93"/>
              </w:rPr>
              <w:t>Shares issued under the Incentive</w:t>
            </w:r>
          </w:p>
        </w:tc>
        <w:tc>
          <w:tcPr>
            <w:tcW w:w="8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9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000" w:type="dxa"/>
            <w:vAlign w:val="bottom"/>
          </w:tcPr>
          <w:p>
            <w:pPr>
              <w:ind w:left="140"/>
              <w:spacing w:after="0" w:line="149" w:lineRule="exact"/>
              <w:rPr>
                <w:sz w:val="20"/>
                <w:szCs w:val="20"/>
                <w:color w:val="auto"/>
              </w:rPr>
            </w:pPr>
            <w:r>
              <w:rPr>
                <w:rFonts w:ascii="Arial" w:cs="Arial" w:eastAsia="Arial" w:hAnsi="Arial"/>
                <w:sz w:val="14"/>
                <w:szCs w:val="14"/>
                <w:color w:val="auto"/>
              </w:rPr>
              <w:t>Share Purchase Plan</w:t>
            </w:r>
          </w:p>
        </w:tc>
        <w:tc>
          <w:tcPr>
            <w:tcW w:w="8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000" w:type="dxa"/>
            <w:vAlign w:val="bottom"/>
          </w:tcPr>
          <w:p>
            <w:pPr>
              <w:ind w:left="140"/>
              <w:spacing w:after="0" w:line="159" w:lineRule="exact"/>
              <w:rPr>
                <w:sz w:val="20"/>
                <w:szCs w:val="20"/>
                <w:color w:val="auto"/>
              </w:rPr>
            </w:pPr>
            <w:r>
              <w:rPr>
                <w:rFonts w:ascii="Arial" w:cs="Arial" w:eastAsia="Arial" w:hAnsi="Arial"/>
                <w:sz w:val="14"/>
                <w:szCs w:val="14"/>
                <w:color w:val="auto"/>
              </w:rPr>
              <w:t>(note 7(b))</w:t>
            </w:r>
          </w:p>
        </w:tc>
        <w:tc>
          <w:tcPr>
            <w:tcW w:w="820" w:type="dxa"/>
            <w:vAlign w:val="bottom"/>
          </w:tcPr>
          <w:p>
            <w:pPr>
              <w:jc w:val="right"/>
              <w:spacing w:after="0" w:line="159" w:lineRule="exact"/>
              <w:rPr>
                <w:sz w:val="20"/>
                <w:szCs w:val="20"/>
                <w:color w:val="auto"/>
              </w:rPr>
            </w:pPr>
            <w:r>
              <w:rPr>
                <w:rFonts w:ascii="Arial" w:cs="Arial" w:eastAsia="Arial" w:hAnsi="Arial"/>
                <w:sz w:val="14"/>
                <w:szCs w:val="14"/>
                <w:color w:val="auto"/>
              </w:rPr>
              <w:t>196,649</w:t>
            </w:r>
          </w:p>
        </w:tc>
        <w:tc>
          <w:tcPr>
            <w:tcW w:w="1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60" w:type="dxa"/>
            <w:vAlign w:val="bottom"/>
          </w:tcPr>
          <w:p>
            <w:pPr>
              <w:jc w:val="right"/>
              <w:spacing w:after="0" w:line="159" w:lineRule="exact"/>
              <w:rPr>
                <w:sz w:val="20"/>
                <w:szCs w:val="20"/>
                <w:color w:val="auto"/>
              </w:rPr>
            </w:pPr>
            <w:r>
              <w:rPr>
                <w:rFonts w:ascii="Arial" w:cs="Arial" w:eastAsia="Arial" w:hAnsi="Arial"/>
                <w:sz w:val="14"/>
                <w:szCs w:val="14"/>
                <w:color w:val="auto"/>
              </w:rPr>
              <w:t>11,290</w:t>
            </w:r>
          </w:p>
        </w:tc>
        <w:tc>
          <w:tcPr>
            <w:tcW w:w="1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00" w:type="dxa"/>
            <w:vAlign w:val="bottom"/>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80" w:type="dxa"/>
            <w:vAlign w:val="bottom"/>
            <w:gridSpan w:val="2"/>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140" w:type="dxa"/>
            <w:vAlign w:val="bottom"/>
          </w:tcPr>
          <w:p>
            <w:pPr>
              <w:spacing w:after="0"/>
              <w:rPr>
                <w:sz w:val="13"/>
                <w:szCs w:val="13"/>
                <w:color w:val="auto"/>
              </w:rPr>
            </w:pPr>
          </w:p>
        </w:tc>
        <w:tc>
          <w:tcPr>
            <w:tcW w:w="720" w:type="dxa"/>
            <w:vAlign w:val="bottom"/>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8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1400" w:type="dxa"/>
            <w:vAlign w:val="bottom"/>
            <w:gridSpan w:val="2"/>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000" w:type="dxa"/>
            <w:vAlign w:val="bottom"/>
            <w:shd w:val="clear" w:color="auto" w:fill="CCEEFF"/>
          </w:tcPr>
          <w:p>
            <w:pPr>
              <w:spacing w:after="0" w:line="138" w:lineRule="exact"/>
              <w:rPr>
                <w:sz w:val="20"/>
                <w:szCs w:val="20"/>
                <w:color w:val="auto"/>
              </w:rPr>
            </w:pPr>
            <w:r>
              <w:rPr>
                <w:rFonts w:ascii="Arial" w:cs="Arial" w:eastAsia="Arial" w:hAnsi="Arial"/>
                <w:sz w:val="14"/>
                <w:szCs w:val="14"/>
                <w:color w:val="auto"/>
                <w:w w:val="94"/>
              </w:rPr>
              <w:t>Shares issued under flow-through</w:t>
            </w:r>
          </w:p>
        </w:tc>
        <w:tc>
          <w:tcPr>
            <w:tcW w:w="8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9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000" w:type="dxa"/>
            <w:vAlign w:val="bottom"/>
            <w:shd w:val="clear" w:color="auto" w:fill="CCEEFF"/>
          </w:tcPr>
          <w:p>
            <w:pPr>
              <w:ind w:left="140"/>
              <w:spacing w:after="0" w:line="149" w:lineRule="exact"/>
              <w:rPr>
                <w:sz w:val="20"/>
                <w:szCs w:val="20"/>
                <w:color w:val="auto"/>
              </w:rPr>
            </w:pPr>
            <w:r>
              <w:rPr>
                <w:rFonts w:ascii="Arial" w:cs="Arial" w:eastAsia="Arial" w:hAnsi="Arial"/>
                <w:sz w:val="14"/>
                <w:szCs w:val="14"/>
                <w:color w:val="auto"/>
              </w:rPr>
              <w:t>share private placement</w:t>
            </w:r>
          </w:p>
        </w:tc>
        <w:tc>
          <w:tcPr>
            <w:tcW w:w="8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2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000" w:type="dxa"/>
            <w:vAlign w:val="bottom"/>
            <w:shd w:val="clear" w:color="auto" w:fill="CCEEFF"/>
          </w:tcPr>
          <w:p>
            <w:pPr>
              <w:ind w:left="140"/>
              <w:spacing w:after="0" w:line="159" w:lineRule="exact"/>
              <w:rPr>
                <w:sz w:val="20"/>
                <w:szCs w:val="20"/>
                <w:color w:val="auto"/>
              </w:rPr>
            </w:pPr>
            <w:r>
              <w:rPr>
                <w:rFonts w:ascii="Arial" w:cs="Arial" w:eastAsia="Arial" w:hAnsi="Arial"/>
                <w:sz w:val="14"/>
                <w:szCs w:val="14"/>
                <w:color w:val="auto"/>
              </w:rPr>
              <w:t>(note 6(b))</w:t>
            </w:r>
          </w:p>
        </w:tc>
        <w:tc>
          <w:tcPr>
            <w:tcW w:w="8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358,900</w:t>
            </w:r>
          </w:p>
        </w:tc>
        <w:tc>
          <w:tcPr>
            <w:tcW w:w="16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6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19,153</w:t>
            </w:r>
          </w:p>
        </w:tc>
        <w:tc>
          <w:tcPr>
            <w:tcW w:w="1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0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140" w:type="dxa"/>
            <w:vAlign w:val="bottom"/>
            <w:shd w:val="clear" w:color="auto" w:fill="CCEEFF"/>
          </w:tcPr>
          <w:p>
            <w:pPr>
              <w:spacing w:after="0"/>
              <w:rPr>
                <w:sz w:val="13"/>
                <w:szCs w:val="13"/>
                <w:color w:val="auto"/>
              </w:rPr>
            </w:pPr>
          </w:p>
        </w:tc>
        <w:tc>
          <w:tcPr>
            <w:tcW w:w="7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1400" w:type="dxa"/>
            <w:vAlign w:val="bottom"/>
            <w:gridSpan w:val="2"/>
            <w:shd w:val="clear" w:color="auto" w:fill="CCEEFF"/>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000" w:type="dxa"/>
            <w:vAlign w:val="bottom"/>
          </w:tcPr>
          <w:p>
            <w:pPr>
              <w:spacing w:after="0" w:line="138" w:lineRule="exact"/>
              <w:rPr>
                <w:sz w:val="20"/>
                <w:szCs w:val="20"/>
                <w:color w:val="auto"/>
              </w:rPr>
            </w:pPr>
            <w:r>
              <w:rPr>
                <w:rFonts w:ascii="Arial" w:cs="Arial" w:eastAsia="Arial" w:hAnsi="Arial"/>
                <w:sz w:val="14"/>
                <w:szCs w:val="14"/>
                <w:color w:val="auto"/>
              </w:rPr>
              <w:t>Shares issued under the</w:t>
            </w:r>
          </w:p>
        </w:tc>
        <w:tc>
          <w:tcPr>
            <w:tcW w:w="8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9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000" w:type="dxa"/>
            <w:vAlign w:val="bottom"/>
          </w:tcPr>
          <w:p>
            <w:pPr>
              <w:ind w:left="140"/>
              <w:spacing w:after="0" w:line="149" w:lineRule="exact"/>
              <w:rPr>
                <w:sz w:val="20"/>
                <w:szCs w:val="20"/>
                <w:color w:val="auto"/>
              </w:rPr>
            </w:pPr>
            <w:r>
              <w:rPr>
                <w:rFonts w:ascii="Arial" w:cs="Arial" w:eastAsia="Arial" w:hAnsi="Arial"/>
                <w:sz w:val="14"/>
                <w:szCs w:val="14"/>
                <w:color w:val="auto"/>
              </w:rPr>
              <w:t>Company's dividend</w:t>
            </w:r>
          </w:p>
        </w:tc>
        <w:tc>
          <w:tcPr>
            <w:tcW w:w="8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000" w:type="dxa"/>
            <w:vAlign w:val="bottom"/>
          </w:tcPr>
          <w:p>
            <w:pPr>
              <w:ind w:left="140"/>
              <w:spacing w:after="0" w:line="159" w:lineRule="exact"/>
              <w:rPr>
                <w:sz w:val="20"/>
                <w:szCs w:val="20"/>
                <w:color w:val="auto"/>
              </w:rPr>
            </w:pPr>
            <w:r>
              <w:rPr>
                <w:rFonts w:ascii="Arial" w:cs="Arial" w:eastAsia="Arial" w:hAnsi="Arial"/>
                <w:sz w:val="14"/>
                <w:szCs w:val="14"/>
                <w:color w:val="auto"/>
              </w:rPr>
              <w:t>reinvestment plan</w:t>
            </w:r>
          </w:p>
        </w:tc>
        <w:tc>
          <w:tcPr>
            <w:tcW w:w="820" w:type="dxa"/>
            <w:vAlign w:val="bottom"/>
          </w:tcPr>
          <w:p>
            <w:pPr>
              <w:jc w:val="right"/>
              <w:spacing w:after="0" w:line="159" w:lineRule="exact"/>
              <w:rPr>
                <w:sz w:val="20"/>
                <w:szCs w:val="20"/>
                <w:color w:val="auto"/>
              </w:rPr>
            </w:pPr>
            <w:r>
              <w:rPr>
                <w:rFonts w:ascii="Arial" w:cs="Arial" w:eastAsia="Arial" w:hAnsi="Arial"/>
                <w:sz w:val="14"/>
                <w:szCs w:val="14"/>
                <w:color w:val="auto"/>
              </w:rPr>
              <w:t>18,764</w:t>
            </w:r>
          </w:p>
        </w:tc>
        <w:tc>
          <w:tcPr>
            <w:tcW w:w="1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60" w:type="dxa"/>
            <w:vAlign w:val="bottom"/>
          </w:tcPr>
          <w:p>
            <w:pPr>
              <w:jc w:val="right"/>
              <w:spacing w:after="0" w:line="159" w:lineRule="exact"/>
              <w:rPr>
                <w:sz w:val="20"/>
                <w:szCs w:val="20"/>
                <w:color w:val="auto"/>
              </w:rPr>
            </w:pPr>
            <w:r>
              <w:rPr>
                <w:rFonts w:ascii="Arial" w:cs="Arial" w:eastAsia="Arial" w:hAnsi="Arial"/>
                <w:sz w:val="14"/>
                <w:szCs w:val="14"/>
                <w:color w:val="auto"/>
              </w:rPr>
              <w:t>912</w:t>
            </w:r>
          </w:p>
        </w:tc>
        <w:tc>
          <w:tcPr>
            <w:tcW w:w="1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900" w:type="dxa"/>
            <w:vAlign w:val="bottom"/>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80" w:type="dxa"/>
            <w:vAlign w:val="bottom"/>
            <w:gridSpan w:val="2"/>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140" w:type="dxa"/>
            <w:vAlign w:val="bottom"/>
          </w:tcPr>
          <w:p>
            <w:pPr>
              <w:spacing w:after="0"/>
              <w:rPr>
                <w:sz w:val="13"/>
                <w:szCs w:val="13"/>
                <w:color w:val="auto"/>
              </w:rPr>
            </w:pPr>
          </w:p>
        </w:tc>
        <w:tc>
          <w:tcPr>
            <w:tcW w:w="720" w:type="dxa"/>
            <w:vAlign w:val="bottom"/>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8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1400" w:type="dxa"/>
            <w:vAlign w:val="bottom"/>
            <w:gridSpan w:val="2"/>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000" w:type="dxa"/>
            <w:vAlign w:val="bottom"/>
            <w:shd w:val="clear" w:color="auto" w:fill="CCEEFF"/>
          </w:tcPr>
          <w:p>
            <w:pPr>
              <w:spacing w:after="0" w:line="138" w:lineRule="exact"/>
              <w:rPr>
                <w:sz w:val="20"/>
                <w:szCs w:val="20"/>
                <w:color w:val="auto"/>
              </w:rPr>
            </w:pPr>
            <w:r>
              <w:rPr>
                <w:rFonts w:ascii="Arial" w:cs="Arial" w:eastAsia="Arial" w:hAnsi="Arial"/>
                <w:sz w:val="14"/>
                <w:szCs w:val="14"/>
                <w:color w:val="auto"/>
              </w:rPr>
              <w:t>Shares issued for purchase of</w:t>
            </w:r>
          </w:p>
        </w:tc>
        <w:tc>
          <w:tcPr>
            <w:tcW w:w="8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9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000" w:type="dxa"/>
            <w:vAlign w:val="bottom"/>
            <w:shd w:val="clear" w:color="auto" w:fill="CCEEFF"/>
          </w:tcPr>
          <w:p>
            <w:pPr>
              <w:ind w:left="140"/>
              <w:spacing w:after="0" w:line="159" w:lineRule="exact"/>
              <w:rPr>
                <w:sz w:val="20"/>
                <w:szCs w:val="20"/>
                <w:color w:val="auto"/>
              </w:rPr>
            </w:pPr>
            <w:r>
              <w:rPr>
                <w:rFonts w:ascii="Arial" w:cs="Arial" w:eastAsia="Arial" w:hAnsi="Arial"/>
                <w:sz w:val="14"/>
                <w:szCs w:val="14"/>
                <w:color w:val="auto"/>
              </w:rPr>
              <w:t>mining property (note 6(c))</w:t>
            </w:r>
          </w:p>
        </w:tc>
        <w:tc>
          <w:tcPr>
            <w:tcW w:w="8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33,825</w:t>
            </w:r>
          </w:p>
        </w:tc>
        <w:tc>
          <w:tcPr>
            <w:tcW w:w="16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6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894</w:t>
            </w:r>
          </w:p>
        </w:tc>
        <w:tc>
          <w:tcPr>
            <w:tcW w:w="1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90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140" w:type="dxa"/>
            <w:vAlign w:val="bottom"/>
            <w:shd w:val="clear" w:color="auto" w:fill="CCEEFF"/>
          </w:tcPr>
          <w:p>
            <w:pPr>
              <w:spacing w:after="0"/>
              <w:rPr>
                <w:sz w:val="13"/>
                <w:szCs w:val="13"/>
                <w:color w:val="auto"/>
              </w:rPr>
            </w:pPr>
          </w:p>
        </w:tc>
        <w:tc>
          <w:tcPr>
            <w:tcW w:w="7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1400" w:type="dxa"/>
            <w:vAlign w:val="bottom"/>
            <w:gridSpan w:val="2"/>
            <w:shd w:val="clear" w:color="auto" w:fill="CCEEFF"/>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000" w:type="dxa"/>
            <w:vAlign w:val="bottom"/>
          </w:tcPr>
          <w:p>
            <w:pPr>
              <w:spacing w:after="0" w:line="149" w:lineRule="exact"/>
              <w:rPr>
                <w:sz w:val="20"/>
                <w:szCs w:val="20"/>
                <w:color w:val="auto"/>
              </w:rPr>
            </w:pPr>
            <w:r>
              <w:rPr>
                <w:rFonts w:ascii="Arial" w:cs="Arial" w:eastAsia="Arial" w:hAnsi="Arial"/>
                <w:sz w:val="14"/>
                <w:szCs w:val="14"/>
                <w:color w:val="auto"/>
              </w:rPr>
              <w:t>Net income for the year</w:t>
            </w:r>
          </w:p>
        </w:tc>
        <w:tc>
          <w:tcPr>
            <w:tcW w:w="9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82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90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8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14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520" w:type="dxa"/>
            <w:vAlign w:val="bottom"/>
          </w:tcPr>
          <w:p>
            <w:pPr>
              <w:jc w:val="right"/>
              <w:spacing w:after="0" w:line="149" w:lineRule="exact"/>
              <w:rPr>
                <w:sz w:val="20"/>
                <w:szCs w:val="20"/>
                <w:color w:val="auto"/>
              </w:rPr>
            </w:pPr>
            <w:r>
              <w:rPr>
                <w:rFonts w:ascii="Arial" w:cs="Arial" w:eastAsia="Arial" w:hAnsi="Arial"/>
                <w:sz w:val="14"/>
                <w:szCs w:val="14"/>
                <w:color w:val="auto"/>
              </w:rPr>
              <w:t>86,538</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000" w:type="dxa"/>
            <w:vAlign w:val="bottom"/>
            <w:shd w:val="clear" w:color="auto" w:fill="CCEEFF"/>
          </w:tcPr>
          <w:p>
            <w:pPr>
              <w:spacing w:after="0" w:line="138" w:lineRule="exact"/>
              <w:rPr>
                <w:sz w:val="20"/>
                <w:szCs w:val="20"/>
                <w:color w:val="auto"/>
              </w:rPr>
            </w:pPr>
            <w:r>
              <w:rPr>
                <w:rFonts w:ascii="Arial" w:cs="Arial" w:eastAsia="Arial" w:hAnsi="Arial"/>
                <w:sz w:val="14"/>
                <w:szCs w:val="14"/>
                <w:color w:val="auto"/>
              </w:rPr>
              <w:t>Dividends declared ($0.18 per</w:t>
            </w:r>
          </w:p>
        </w:tc>
        <w:tc>
          <w:tcPr>
            <w:tcW w:w="8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9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000" w:type="dxa"/>
            <w:vAlign w:val="bottom"/>
            <w:shd w:val="clear" w:color="auto" w:fill="CCEEFF"/>
          </w:tcPr>
          <w:p>
            <w:pPr>
              <w:ind w:left="140"/>
              <w:spacing w:after="0" w:line="159" w:lineRule="exact"/>
              <w:rPr>
                <w:sz w:val="20"/>
                <w:szCs w:val="20"/>
                <w:color w:val="auto"/>
              </w:rPr>
            </w:pPr>
            <w:r>
              <w:rPr>
                <w:rFonts w:ascii="Arial" w:cs="Arial" w:eastAsia="Arial" w:hAnsi="Arial"/>
                <w:sz w:val="14"/>
                <w:szCs w:val="14"/>
                <w:color w:val="auto"/>
              </w:rPr>
              <w:t>share) (note 6(a))</w:t>
            </w:r>
          </w:p>
        </w:tc>
        <w:tc>
          <w:tcPr>
            <w:tcW w:w="98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3"/>
                <w:szCs w:val="13"/>
                <w:color w:val="auto"/>
              </w:rPr>
            </w:pPr>
          </w:p>
        </w:tc>
        <w:tc>
          <w:tcPr>
            <w:tcW w:w="82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90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140" w:type="dxa"/>
            <w:vAlign w:val="bottom"/>
            <w:shd w:val="clear" w:color="auto" w:fill="CCEEFF"/>
          </w:tcPr>
          <w:p>
            <w:pPr>
              <w:spacing w:after="0"/>
              <w:rPr>
                <w:sz w:val="13"/>
                <w:szCs w:val="13"/>
                <w:color w:val="auto"/>
              </w:rPr>
            </w:pPr>
          </w:p>
        </w:tc>
        <w:tc>
          <w:tcPr>
            <w:tcW w:w="7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(27,921)</w:t>
            </w:r>
          </w:p>
        </w:tc>
        <w:tc>
          <w:tcPr>
            <w:tcW w:w="80" w:type="dxa"/>
            <w:vAlign w:val="bottom"/>
            <w:shd w:val="clear" w:color="auto" w:fill="CCEEFF"/>
          </w:tcPr>
          <w:p>
            <w:pPr>
              <w:spacing w:after="0"/>
              <w:rPr>
                <w:sz w:val="13"/>
                <w:szCs w:val="13"/>
                <w:color w:val="auto"/>
              </w:rPr>
            </w:pPr>
          </w:p>
        </w:tc>
        <w:tc>
          <w:tcPr>
            <w:tcW w:w="1400" w:type="dxa"/>
            <w:vAlign w:val="bottom"/>
            <w:gridSpan w:val="2"/>
            <w:shd w:val="clear" w:color="auto" w:fill="CCEEFF"/>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000" w:type="dxa"/>
            <w:vAlign w:val="bottom"/>
          </w:tcPr>
          <w:p>
            <w:pPr>
              <w:spacing w:after="0" w:line="138" w:lineRule="exact"/>
              <w:rPr>
                <w:sz w:val="20"/>
                <w:szCs w:val="20"/>
                <w:color w:val="auto"/>
              </w:rPr>
            </w:pPr>
            <w:r>
              <w:rPr>
                <w:rFonts w:ascii="Arial" w:cs="Arial" w:eastAsia="Arial" w:hAnsi="Arial"/>
                <w:sz w:val="14"/>
                <w:szCs w:val="14"/>
                <w:color w:val="auto"/>
                <w:w w:val="97"/>
              </w:rPr>
              <w:t>Other comprehensive income for</w:t>
            </w:r>
          </w:p>
        </w:tc>
        <w:tc>
          <w:tcPr>
            <w:tcW w:w="8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9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000" w:type="dxa"/>
            <w:vAlign w:val="bottom"/>
          </w:tcPr>
          <w:p>
            <w:pPr>
              <w:ind w:left="140"/>
              <w:spacing w:after="0" w:line="159" w:lineRule="exact"/>
              <w:rPr>
                <w:sz w:val="20"/>
                <w:szCs w:val="20"/>
                <w:color w:val="auto"/>
              </w:rPr>
            </w:pPr>
            <w:r>
              <w:rPr>
                <w:rFonts w:ascii="Arial" w:cs="Arial" w:eastAsia="Arial" w:hAnsi="Arial"/>
                <w:sz w:val="14"/>
                <w:szCs w:val="14"/>
                <w:color w:val="auto"/>
              </w:rPr>
              <w:t>the year</w:t>
            </w:r>
          </w:p>
        </w:tc>
        <w:tc>
          <w:tcPr>
            <w:tcW w:w="98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3"/>
                <w:szCs w:val="13"/>
                <w:color w:val="auto"/>
              </w:rPr>
            </w:pPr>
          </w:p>
        </w:tc>
        <w:tc>
          <w:tcPr>
            <w:tcW w:w="82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900" w:type="dxa"/>
            <w:vAlign w:val="bottom"/>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80" w:type="dxa"/>
            <w:vAlign w:val="bottom"/>
            <w:gridSpan w:val="2"/>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140" w:type="dxa"/>
            <w:vAlign w:val="bottom"/>
          </w:tcPr>
          <w:p>
            <w:pPr>
              <w:spacing w:after="0"/>
              <w:rPr>
                <w:sz w:val="13"/>
                <w:szCs w:val="13"/>
                <w:color w:val="auto"/>
              </w:rPr>
            </w:pPr>
          </w:p>
        </w:tc>
        <w:tc>
          <w:tcPr>
            <w:tcW w:w="720" w:type="dxa"/>
            <w:vAlign w:val="bottom"/>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8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1240" w:type="dxa"/>
            <w:vAlign w:val="bottom"/>
          </w:tcPr>
          <w:p>
            <w:pPr>
              <w:jc w:val="right"/>
              <w:spacing w:after="0" w:line="159" w:lineRule="exact"/>
              <w:rPr>
                <w:sz w:val="20"/>
                <w:szCs w:val="20"/>
                <w:color w:val="auto"/>
              </w:rPr>
            </w:pPr>
            <w:r>
              <w:rPr>
                <w:rFonts w:ascii="Arial" w:cs="Arial" w:eastAsia="Arial" w:hAnsi="Arial"/>
                <w:sz w:val="14"/>
                <w:szCs w:val="14"/>
                <w:color w:val="auto"/>
              </w:rPr>
              <w:t>71,657</w:t>
            </w:r>
          </w:p>
        </w:tc>
        <w:tc>
          <w:tcPr>
            <w:tcW w:w="1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000" w:type="dxa"/>
            <w:vAlign w:val="bottom"/>
            <w:shd w:val="clear" w:color="auto" w:fill="CCEEFF"/>
          </w:tcPr>
          <w:p>
            <w:pPr>
              <w:spacing w:after="0" w:line="138" w:lineRule="exact"/>
              <w:rPr>
                <w:sz w:val="20"/>
                <w:szCs w:val="20"/>
                <w:color w:val="auto"/>
              </w:rPr>
            </w:pPr>
            <w:r>
              <w:rPr>
                <w:rFonts w:ascii="Arial" w:cs="Arial" w:eastAsia="Arial" w:hAnsi="Arial"/>
                <w:sz w:val="14"/>
                <w:szCs w:val="14"/>
                <w:color w:val="auto"/>
              </w:rPr>
              <w:t>Restricted share unit plan</w:t>
            </w:r>
          </w:p>
        </w:tc>
        <w:tc>
          <w:tcPr>
            <w:tcW w:w="8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9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000" w:type="dxa"/>
            <w:vAlign w:val="bottom"/>
            <w:shd w:val="clear" w:color="auto" w:fill="CCEEFF"/>
          </w:tcPr>
          <w:p>
            <w:pPr>
              <w:ind w:left="140"/>
              <w:spacing w:after="0" w:line="159" w:lineRule="exact"/>
              <w:rPr>
                <w:sz w:val="20"/>
                <w:szCs w:val="20"/>
                <w:color w:val="auto"/>
              </w:rPr>
            </w:pPr>
            <w:r>
              <w:rPr>
                <w:rFonts w:ascii="Arial" w:cs="Arial" w:eastAsia="Arial" w:hAnsi="Arial"/>
                <w:sz w:val="14"/>
                <w:szCs w:val="14"/>
                <w:color w:val="auto"/>
              </w:rPr>
              <w:t>(note 7(c))</w:t>
            </w:r>
          </w:p>
        </w:tc>
        <w:tc>
          <w:tcPr>
            <w:tcW w:w="98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(29,882)</w:t>
            </w:r>
          </w:p>
        </w:tc>
        <w:tc>
          <w:tcPr>
            <w:tcW w:w="100" w:type="dxa"/>
            <w:vAlign w:val="bottom"/>
            <w:shd w:val="clear" w:color="auto" w:fill="CCEEFF"/>
          </w:tcPr>
          <w:p>
            <w:pPr>
              <w:spacing w:after="0"/>
              <w:rPr>
                <w:sz w:val="13"/>
                <w:szCs w:val="13"/>
                <w:color w:val="auto"/>
              </w:rPr>
            </w:pPr>
          </w:p>
        </w:tc>
        <w:tc>
          <w:tcPr>
            <w:tcW w:w="82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(1,550)</w:t>
            </w:r>
          </w:p>
        </w:tc>
        <w:tc>
          <w:tcPr>
            <w:tcW w:w="80" w:type="dxa"/>
            <w:vAlign w:val="bottom"/>
            <w:shd w:val="clear" w:color="auto" w:fill="CCEEFF"/>
          </w:tcPr>
          <w:p>
            <w:pPr>
              <w:spacing w:after="0"/>
              <w:rPr>
                <w:sz w:val="13"/>
                <w:szCs w:val="13"/>
                <w:color w:val="auto"/>
              </w:rPr>
            </w:pPr>
          </w:p>
        </w:tc>
        <w:tc>
          <w:tcPr>
            <w:tcW w:w="90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140" w:type="dxa"/>
            <w:vAlign w:val="bottom"/>
            <w:shd w:val="clear" w:color="auto" w:fill="CCEEFF"/>
          </w:tcPr>
          <w:p>
            <w:pPr>
              <w:spacing w:after="0"/>
              <w:rPr>
                <w:sz w:val="13"/>
                <w:szCs w:val="13"/>
                <w:color w:val="auto"/>
              </w:rPr>
            </w:pPr>
          </w:p>
        </w:tc>
        <w:tc>
          <w:tcPr>
            <w:tcW w:w="7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68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1400" w:type="dxa"/>
            <w:vAlign w:val="bottom"/>
            <w:gridSpan w:val="2"/>
            <w:shd w:val="clear" w:color="auto" w:fill="CCEEFF"/>
          </w:tcPr>
          <w:p>
            <w:pPr>
              <w:jc w:val="right"/>
              <w:ind w:right="18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7"/>
        </w:trPr>
        <w:tc>
          <w:tcPr>
            <w:tcW w:w="202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Balance December 31, 2009</w:t>
            </w:r>
          </w:p>
        </w:tc>
        <w:tc>
          <w:tcPr>
            <w:tcW w:w="820" w:type="dxa"/>
            <w:vAlign w:val="bottom"/>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tcPr>
          <w:p>
            <w:pPr>
              <w:spacing w:after="0"/>
              <w:rPr>
                <w:sz w:val="2"/>
                <w:szCs w:val="2"/>
                <w:color w:val="auto"/>
              </w:rPr>
            </w:pPr>
          </w:p>
        </w:tc>
        <w:tc>
          <w:tcPr>
            <w:tcW w:w="660" w:type="dxa"/>
            <w:vAlign w:val="bottom"/>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Pr>
          <w:p>
            <w:pPr>
              <w:spacing w:after="0"/>
              <w:rPr>
                <w:sz w:val="2"/>
                <w:szCs w:val="2"/>
                <w:color w:val="auto"/>
              </w:rPr>
            </w:pPr>
          </w:p>
        </w:tc>
        <w:tc>
          <w:tcPr>
            <w:tcW w:w="900" w:type="dxa"/>
            <w:vAlign w:val="bottom"/>
          </w:tcPr>
          <w:p>
            <w:pPr>
              <w:spacing w:after="0"/>
              <w:rPr>
                <w:sz w:val="2"/>
                <w:szCs w:val="2"/>
                <w:color w:val="auto"/>
              </w:rPr>
            </w:pPr>
          </w:p>
        </w:tc>
        <w:tc>
          <w:tcPr>
            <w:tcW w:w="340" w:type="dxa"/>
            <w:vAlign w:val="bottom"/>
            <w:gridSpan w:val="2"/>
          </w:tcPr>
          <w:p>
            <w:pPr>
              <w:spacing w:after="0"/>
              <w:rPr>
                <w:sz w:val="2"/>
                <w:szCs w:val="2"/>
                <w:color w:val="auto"/>
              </w:rPr>
            </w:pPr>
          </w:p>
        </w:tc>
        <w:tc>
          <w:tcPr>
            <w:tcW w:w="520" w:type="dxa"/>
            <w:vAlign w:val="bottom"/>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Pr>
          <w:p>
            <w:pPr>
              <w:spacing w:after="0"/>
              <w:rPr>
                <w:sz w:val="2"/>
                <w:szCs w:val="2"/>
                <w:color w:val="auto"/>
              </w:rPr>
            </w:pPr>
          </w:p>
        </w:tc>
        <w:tc>
          <w:tcPr>
            <w:tcW w:w="720" w:type="dxa"/>
            <w:vAlign w:val="bottom"/>
          </w:tcPr>
          <w:p>
            <w:pPr>
              <w:spacing w:after="0"/>
              <w:rPr>
                <w:sz w:val="2"/>
                <w:szCs w:val="2"/>
                <w:color w:val="auto"/>
              </w:rPr>
            </w:pPr>
          </w:p>
        </w:tc>
        <w:tc>
          <w:tcPr>
            <w:tcW w:w="320" w:type="dxa"/>
            <w:vAlign w:val="bottom"/>
            <w:gridSpan w:val="2"/>
          </w:tcPr>
          <w:p>
            <w:pPr>
              <w:spacing w:after="0"/>
              <w:rPr>
                <w:sz w:val="2"/>
                <w:szCs w:val="2"/>
                <w:color w:val="auto"/>
              </w:rPr>
            </w:pPr>
          </w:p>
        </w:tc>
        <w:tc>
          <w:tcPr>
            <w:tcW w:w="520" w:type="dxa"/>
            <w:vAlign w:val="bottom"/>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Pr>
          <w:p>
            <w:pPr>
              <w:spacing w:after="0"/>
              <w:rPr>
                <w:sz w:val="2"/>
                <w:szCs w:val="2"/>
                <w:color w:val="auto"/>
              </w:rPr>
            </w:pPr>
          </w:p>
        </w:tc>
        <w:tc>
          <w:tcPr>
            <w:tcW w:w="1240" w:type="dxa"/>
            <w:vAlign w:val="bottom"/>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67"/>
        </w:trPr>
        <w:tc>
          <w:tcPr>
            <w:tcW w:w="2020" w:type="dxa"/>
            <w:vAlign w:val="bottom"/>
            <w:gridSpan w:val="2"/>
            <w:vMerge w:val="continue"/>
          </w:tcPr>
          <w:p>
            <w:pPr>
              <w:spacing w:after="0"/>
              <w:rPr>
                <w:sz w:val="14"/>
                <w:szCs w:val="14"/>
                <w:color w:val="auto"/>
              </w:rPr>
            </w:pP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156,625,174</w:t>
            </w:r>
          </w:p>
        </w:tc>
        <w:tc>
          <w:tcPr>
            <w:tcW w:w="160" w:type="dxa"/>
            <w:vAlign w:val="bottom"/>
          </w:tcPr>
          <w:p>
            <w:pPr>
              <w:spacing w:after="0"/>
              <w:rPr>
                <w:sz w:val="14"/>
                <w:szCs w:val="14"/>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w w:val="76"/>
              </w:rPr>
              <w:t>$</w:t>
            </w: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2,378,759</w:t>
            </w:r>
          </w:p>
        </w:tc>
        <w:tc>
          <w:tcPr>
            <w:tcW w:w="160" w:type="dxa"/>
            <w:vAlign w:val="bottom"/>
          </w:tcPr>
          <w:p>
            <w:pPr>
              <w:spacing w:after="0"/>
              <w:rPr>
                <w:sz w:val="14"/>
                <w:szCs w:val="14"/>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w w:val="76"/>
              </w:rPr>
              <w:t>$</w:t>
            </w:r>
          </w:p>
        </w:tc>
        <w:tc>
          <w:tcPr>
            <w:tcW w:w="9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65,771</w:t>
            </w:r>
          </w:p>
        </w:tc>
        <w:tc>
          <w:tcPr>
            <w:tcW w:w="160" w:type="dxa"/>
            <w:vAlign w:val="bottom"/>
          </w:tcPr>
          <w:p>
            <w:pPr>
              <w:spacing w:after="0"/>
              <w:rPr>
                <w:sz w:val="14"/>
                <w:szCs w:val="14"/>
                <w:color w:val="auto"/>
              </w:rPr>
            </w:pPr>
          </w:p>
        </w:tc>
        <w:tc>
          <w:tcPr>
            <w:tcW w:w="180" w:type="dxa"/>
            <w:vAlign w:val="bottom"/>
            <w:tcBorders>
              <w:top w:val="single" w:sz="8" w:color="auto"/>
              <w:bottom w:val="single" w:sz="8" w:color="auto"/>
            </w:tcBorders>
          </w:tcPr>
          <w:p>
            <w:pPr>
              <w:jc w:val="right"/>
              <w:ind w:right="32"/>
              <w:spacing w:after="0"/>
              <w:rPr>
                <w:sz w:val="20"/>
                <w:szCs w:val="20"/>
                <w:color w:val="auto"/>
              </w:rPr>
            </w:pPr>
            <w:r>
              <w:rPr>
                <w:rFonts w:ascii="Arial" w:cs="Arial" w:eastAsia="Arial" w:hAnsi="Arial"/>
                <w:sz w:val="14"/>
                <w:szCs w:val="14"/>
                <w:color w:val="auto"/>
                <w:w w:val="76"/>
              </w:rPr>
              <w:t>$</w:t>
            </w: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24,858</w:t>
            </w:r>
          </w:p>
        </w:tc>
        <w:tc>
          <w:tcPr>
            <w:tcW w:w="160" w:type="dxa"/>
            <w:vAlign w:val="bottom"/>
          </w:tcPr>
          <w:p>
            <w:pPr>
              <w:spacing w:after="0"/>
              <w:rPr>
                <w:sz w:val="14"/>
                <w:szCs w:val="14"/>
                <w:color w:val="auto"/>
              </w:rPr>
            </w:pPr>
          </w:p>
        </w:tc>
        <w:tc>
          <w:tcPr>
            <w:tcW w:w="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w w:val="76"/>
              </w:rPr>
              <w:t>$</w:t>
            </w: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15,166</w:t>
            </w:r>
          </w:p>
        </w:tc>
        <w:tc>
          <w:tcPr>
            <w:tcW w:w="160" w:type="dxa"/>
            <w:vAlign w:val="bottom"/>
          </w:tcPr>
          <w:p>
            <w:pPr>
              <w:spacing w:after="0"/>
              <w:rPr>
                <w:sz w:val="14"/>
                <w:szCs w:val="14"/>
                <w:color w:val="auto"/>
              </w:rPr>
            </w:pPr>
          </w:p>
        </w:tc>
        <w:tc>
          <w:tcPr>
            <w:tcW w:w="160" w:type="dxa"/>
            <w:vAlign w:val="bottom"/>
            <w:tcBorders>
              <w:top w:val="single" w:sz="8" w:color="auto"/>
              <w:bottom w:val="single" w:sz="8" w:color="auto"/>
            </w:tcBorders>
          </w:tcPr>
          <w:p>
            <w:pPr>
              <w:jc w:val="right"/>
              <w:ind w:right="12"/>
              <w:spacing w:after="0"/>
              <w:rPr>
                <w:sz w:val="20"/>
                <w:szCs w:val="20"/>
                <w:color w:val="auto"/>
              </w:rPr>
            </w:pPr>
            <w:r>
              <w:rPr>
                <w:rFonts w:ascii="Arial" w:cs="Arial" w:eastAsia="Arial" w:hAnsi="Arial"/>
                <w:sz w:val="14"/>
                <w:szCs w:val="14"/>
                <w:color w:val="auto"/>
                <w:w w:val="76"/>
              </w:rPr>
              <w:t>$</w:t>
            </w: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w w:val="98"/>
              </w:rPr>
              <w:t>216,158</w:t>
            </w:r>
          </w:p>
        </w:tc>
        <w:tc>
          <w:tcPr>
            <w:tcW w:w="160" w:type="dxa"/>
            <w:vAlign w:val="bottom"/>
          </w:tcPr>
          <w:p>
            <w:pPr>
              <w:spacing w:after="0"/>
              <w:rPr>
                <w:sz w:val="14"/>
                <w:szCs w:val="14"/>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w w:val="76"/>
              </w:rPr>
              <w:t>$</w:t>
            </w:r>
          </w:p>
        </w:tc>
        <w:tc>
          <w:tcPr>
            <w:tcW w:w="12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51,049</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000" w:type="dxa"/>
            <w:vAlign w:val="bottom"/>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2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jc w:val="center"/>
        <w:ind w:right="120"/>
        <w:spacing w:after="0"/>
        <w:rPr>
          <w:sz w:val="20"/>
          <w:szCs w:val="20"/>
          <w:color w:val="auto"/>
        </w:rPr>
      </w:pPr>
      <w:r>
        <w:rPr>
          <w:rFonts w:ascii="Arial" w:cs="Arial" w:eastAsia="Arial" w:hAnsi="Arial"/>
          <w:sz w:val="18"/>
          <w:szCs w:val="18"/>
          <w:i w:val="1"/>
          <w:iCs w:val="1"/>
          <w:color w:val="auto"/>
        </w:rPr>
        <w:t>See accompanying notes</w:t>
      </w:r>
    </w:p>
    <w:p>
      <w:pPr>
        <w:sectPr>
          <w:pgSz w:w="11900" w:h="16838" w:orient="portrait"/>
          <w:cols w:equalWidth="0" w:num="1">
            <w:col w:w="9260"/>
          </w:cols>
          <w:pgMar w:left="1380" w:top="341" w:right="1259" w:bottom="1440" w:gutter="0" w:footer="0" w:header="0"/>
        </w:sectPr>
      </w:pPr>
    </w:p>
    <w:p>
      <w:pPr>
        <w:spacing w:after="0" w:line="225" w:lineRule="exact"/>
        <w:rPr>
          <w:sz w:val="20"/>
          <w:szCs w:val="20"/>
          <w:color w:val="auto"/>
        </w:rPr>
      </w:pPr>
    </w:p>
    <w:p>
      <w:pPr>
        <w:jc w:val="center"/>
        <w:ind w:right="120"/>
        <w:spacing w:after="0"/>
        <w:rPr>
          <w:sz w:val="20"/>
          <w:szCs w:val="20"/>
          <w:color w:val="auto"/>
        </w:rPr>
      </w:pPr>
      <w:r>
        <w:rPr>
          <w:rFonts w:ascii="Arial" w:cs="Arial" w:eastAsia="Arial" w:hAnsi="Arial"/>
          <w:sz w:val="15"/>
          <w:szCs w:val="15"/>
          <w:color w:val="auto"/>
        </w:rPr>
        <w:t>156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-720090</wp:posOffset>
            </wp:positionH>
            <wp:positionV relativeFrom="paragraph">
              <wp:posOffset>168275</wp:posOffset>
            </wp:positionV>
            <wp:extent cx="7250430" cy="2159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9260"/>
          </w:cols>
          <w:pgMar w:left="1380" w:top="341" w:right="1259" w:bottom="1440" w:gutter="0" w:footer="0" w:header="0"/>
          <w:type w:val="continuous"/>
        </w:sectPr>
      </w:pPr>
    </w:p>
    <w:bookmarkStart w:id="199" w:name="page200"/>
    <w:bookmarkEnd w:id="199"/>
    <w:p>
      <w:pPr>
        <w:jc w:val="center"/>
        <w:ind w:right="40"/>
        <w:spacing w:after="0"/>
        <w:rPr>
          <w:sz w:val="20"/>
          <w:szCs w:val="20"/>
          <w:color w:val="auto"/>
        </w:rPr>
      </w:pPr>
      <w:r>
        <w:rPr>
          <w:rFonts w:ascii="Arial" w:cs="Arial" w:eastAsia="Arial" w:hAnsi="Arial"/>
          <w:sz w:val="18"/>
          <w:szCs w:val="18"/>
          <w:b w:val="1"/>
          <w:bCs w:val="1"/>
          <w:color w:val="auto"/>
        </w:rPr>
        <w:t>AGNICO-EAGLE MINES LIMITED</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CONSOLIDATED STATEMENTS OF CASH FLOWS</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(thousands of United States dollars, US GAAP basis)</w:t>
      </w:r>
    </w:p>
    <w:p>
      <w:pPr>
        <w:spacing w:after="0" w:line="28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60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2060" w:type="dxa"/>
            <w:vAlign w:val="bottom"/>
            <w:tcBorders>
              <w:bottom w:val="single" w:sz="8" w:color="auto"/>
            </w:tcBorders>
            <w:gridSpan w:val="7"/>
          </w:tcPr>
          <w:p>
            <w:pPr>
              <w:jc w:val="right"/>
              <w:spacing w:after="0"/>
              <w:rPr>
                <w:sz w:val="20"/>
                <w:szCs w:val="20"/>
                <w:color w:val="auto"/>
              </w:rPr>
            </w:pPr>
            <w:r>
              <w:rPr>
                <w:rFonts w:ascii="Arial" w:cs="Arial" w:eastAsia="Arial" w:hAnsi="Arial"/>
                <w:sz w:val="14"/>
                <w:szCs w:val="14"/>
                <w:b w:val="1"/>
                <w:bCs w:val="1"/>
                <w:color w:val="auto"/>
              </w:rPr>
              <w:t>Years ended December 31,</w:t>
            </w:r>
          </w:p>
        </w:tc>
        <w:tc>
          <w:tcPr>
            <w:tcW w:w="66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60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700" w:type="dxa"/>
            <w:vAlign w:val="bottom"/>
            <w:tcBorders>
              <w:bottom w:val="single" w:sz="8" w:color="auto"/>
            </w:tcBorders>
          </w:tcPr>
          <w:p>
            <w:pPr>
              <w:jc w:val="right"/>
              <w:ind w:right="213"/>
              <w:spacing w:after="0" w:line="142" w:lineRule="exact"/>
              <w:rPr>
                <w:sz w:val="20"/>
                <w:szCs w:val="20"/>
                <w:color w:val="auto"/>
              </w:rPr>
            </w:pPr>
            <w:r>
              <w:rPr>
                <w:rFonts w:ascii="Arial" w:cs="Arial" w:eastAsia="Arial" w:hAnsi="Arial"/>
                <w:sz w:val="14"/>
                <w:szCs w:val="14"/>
                <w:b w:val="1"/>
                <w:bCs w:val="1"/>
                <w:color w:val="auto"/>
              </w:rPr>
              <w:t>2009</w:t>
            </w:r>
          </w:p>
        </w:tc>
        <w:tc>
          <w:tcPr>
            <w:tcW w:w="160" w:type="dxa"/>
            <w:vAlign w:val="bottom"/>
          </w:tcPr>
          <w:p>
            <w:pPr>
              <w:spacing w:after="0"/>
              <w:rPr>
                <w:sz w:val="12"/>
                <w:szCs w:val="12"/>
                <w:color w:val="auto"/>
              </w:rPr>
            </w:pPr>
          </w:p>
        </w:tc>
        <w:tc>
          <w:tcPr>
            <w:tcW w:w="160" w:type="dxa"/>
            <w:vAlign w:val="bottom"/>
            <w:tcBorders>
              <w:bottom w:val="single" w:sz="8" w:color="auto"/>
            </w:tcBorders>
          </w:tcPr>
          <w:p>
            <w:pPr>
              <w:spacing w:after="0"/>
              <w:rPr>
                <w:sz w:val="12"/>
                <w:szCs w:val="12"/>
                <w:color w:val="auto"/>
              </w:rPr>
            </w:pPr>
          </w:p>
        </w:tc>
        <w:tc>
          <w:tcPr>
            <w:tcW w:w="700" w:type="dxa"/>
            <w:vAlign w:val="bottom"/>
            <w:tcBorders>
              <w:bottom w:val="single" w:sz="8" w:color="auto"/>
            </w:tcBorders>
          </w:tcPr>
          <w:p>
            <w:pPr>
              <w:jc w:val="right"/>
              <w:ind w:right="213"/>
              <w:spacing w:after="0" w:line="142" w:lineRule="exact"/>
              <w:rPr>
                <w:sz w:val="20"/>
                <w:szCs w:val="20"/>
                <w:color w:val="auto"/>
              </w:rPr>
            </w:pPr>
            <w:r>
              <w:rPr>
                <w:rFonts w:ascii="Arial" w:cs="Arial" w:eastAsia="Arial" w:hAnsi="Arial"/>
                <w:sz w:val="14"/>
                <w:szCs w:val="14"/>
                <w:b w:val="1"/>
                <w:bCs w:val="1"/>
                <w:color w:val="auto"/>
              </w:rPr>
              <w:t>2008</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Borders>
              <w:bottom w:val="single" w:sz="8" w:color="auto"/>
            </w:tcBorders>
          </w:tcPr>
          <w:p>
            <w:pPr>
              <w:spacing w:after="0"/>
              <w:rPr>
                <w:sz w:val="12"/>
                <w:szCs w:val="12"/>
                <w:color w:val="auto"/>
              </w:rPr>
            </w:pPr>
          </w:p>
        </w:tc>
        <w:tc>
          <w:tcPr>
            <w:tcW w:w="660" w:type="dxa"/>
            <w:vAlign w:val="bottom"/>
            <w:tcBorders>
              <w:bottom w:val="single" w:sz="8" w:color="auto"/>
            </w:tcBorders>
          </w:tcPr>
          <w:p>
            <w:pPr>
              <w:jc w:val="right"/>
              <w:ind w:right="213"/>
              <w:spacing w:after="0" w:line="142" w:lineRule="exact"/>
              <w:rPr>
                <w:sz w:val="20"/>
                <w:szCs w:val="20"/>
                <w:color w:val="auto"/>
              </w:rPr>
            </w:pPr>
            <w:r>
              <w:rPr>
                <w:rFonts w:ascii="Arial" w:cs="Arial" w:eastAsia="Arial" w:hAnsi="Arial"/>
                <w:sz w:val="14"/>
                <w:szCs w:val="14"/>
                <w:b w:val="1"/>
                <w:bCs w:val="1"/>
                <w:color w:val="auto"/>
              </w:rPr>
              <w:t>2007</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60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Operating activities</w:t>
            </w: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80" w:type="dxa"/>
            <w:vAlign w:val="bottom"/>
          </w:tcPr>
          <w:p>
            <w:pPr>
              <w:spacing w:after="0"/>
              <w:rPr>
                <w:sz w:val="20"/>
                <w:szCs w:val="20"/>
                <w:color w:val="auto"/>
              </w:rPr>
            </w:pPr>
            <w:r>
              <w:rPr>
                <w:rFonts w:ascii="Arial" w:cs="Arial" w:eastAsia="Arial" w:hAnsi="Arial"/>
                <w:sz w:val="18"/>
                <w:szCs w:val="18"/>
                <w:color w:val="auto"/>
              </w:rPr>
              <w:t>Net income for the year</w:t>
            </w:r>
          </w:p>
        </w:tc>
        <w:tc>
          <w:tcPr>
            <w:tcW w:w="160" w:type="dxa"/>
            <w:vAlign w:val="bottom"/>
            <w:gridSpan w:val="2"/>
          </w:tcPr>
          <w:p>
            <w:pPr>
              <w:jc w:val="right"/>
              <w:spacing w:after="0"/>
              <w:rPr>
                <w:sz w:val="20"/>
                <w:szCs w:val="20"/>
                <w:color w:val="auto"/>
              </w:rPr>
            </w:pPr>
            <w:r>
              <w:rPr>
                <w:rFonts w:ascii="Arial" w:cs="Arial" w:eastAsia="Arial" w:hAnsi="Arial"/>
                <w:sz w:val="18"/>
                <w:szCs w:val="18"/>
                <w:color w:val="auto"/>
                <w:w w:val="79"/>
              </w:rPr>
              <w:t>$</w:t>
            </w:r>
          </w:p>
        </w:tc>
        <w:tc>
          <w:tcPr>
            <w:tcW w:w="700" w:type="dxa"/>
            <w:vAlign w:val="bottom"/>
          </w:tcPr>
          <w:p>
            <w:pPr>
              <w:jc w:val="right"/>
              <w:spacing w:after="0"/>
              <w:rPr>
                <w:sz w:val="20"/>
                <w:szCs w:val="20"/>
                <w:color w:val="auto"/>
              </w:rPr>
            </w:pPr>
            <w:r>
              <w:rPr>
                <w:rFonts w:ascii="Arial" w:cs="Arial" w:eastAsia="Arial" w:hAnsi="Arial"/>
                <w:sz w:val="18"/>
                <w:szCs w:val="18"/>
                <w:color w:val="auto"/>
              </w:rPr>
              <w:t>86,538</w:t>
            </w:r>
          </w:p>
        </w:tc>
        <w:tc>
          <w:tcPr>
            <w:tcW w:w="160" w:type="dxa"/>
            <w:vAlign w:val="bottom"/>
          </w:tcPr>
          <w:p>
            <w:pPr>
              <w:spacing w:after="0"/>
              <w:rPr>
                <w:sz w:val="18"/>
                <w:szCs w:val="18"/>
                <w:color w:val="auto"/>
              </w:rPr>
            </w:pPr>
          </w:p>
        </w:tc>
        <w:tc>
          <w:tcPr>
            <w:tcW w:w="160" w:type="dxa"/>
            <w:vAlign w:val="bottom"/>
          </w:tcPr>
          <w:p>
            <w:pPr>
              <w:jc w:val="right"/>
              <w:ind w:right="3"/>
              <w:spacing w:after="0"/>
              <w:rPr>
                <w:sz w:val="20"/>
                <w:szCs w:val="20"/>
                <w:color w:val="auto"/>
              </w:rPr>
            </w:pPr>
            <w:r>
              <w:rPr>
                <w:rFonts w:ascii="Arial" w:cs="Arial" w:eastAsia="Arial" w:hAnsi="Arial"/>
                <w:sz w:val="15"/>
                <w:szCs w:val="15"/>
                <w:color w:val="auto"/>
                <w:w w:val="71"/>
              </w:rPr>
              <w:t>$</w:t>
            </w:r>
          </w:p>
        </w:tc>
        <w:tc>
          <w:tcPr>
            <w:tcW w:w="700" w:type="dxa"/>
            <w:vAlign w:val="bottom"/>
          </w:tcPr>
          <w:p>
            <w:pPr>
              <w:jc w:val="right"/>
              <w:spacing w:after="0"/>
              <w:rPr>
                <w:sz w:val="20"/>
                <w:szCs w:val="20"/>
                <w:color w:val="auto"/>
              </w:rPr>
            </w:pPr>
            <w:r>
              <w:rPr>
                <w:rFonts w:ascii="Arial" w:cs="Arial" w:eastAsia="Arial" w:hAnsi="Arial"/>
                <w:sz w:val="18"/>
                <w:szCs w:val="18"/>
                <w:color w:val="auto"/>
              </w:rPr>
              <w:t>73,167</w:t>
            </w:r>
          </w:p>
        </w:tc>
        <w:tc>
          <w:tcPr>
            <w:tcW w:w="100" w:type="dxa"/>
            <w:vAlign w:val="bottom"/>
          </w:tcPr>
          <w:p>
            <w:pPr>
              <w:spacing w:after="0"/>
              <w:rPr>
                <w:sz w:val="18"/>
                <w:szCs w:val="18"/>
                <w:color w:val="auto"/>
              </w:rPr>
            </w:pPr>
          </w:p>
        </w:tc>
        <w:tc>
          <w:tcPr>
            <w:tcW w:w="240" w:type="dxa"/>
            <w:vAlign w:val="bottom"/>
            <w:gridSpan w:val="2"/>
          </w:tcPr>
          <w:p>
            <w:pPr>
              <w:jc w:val="right"/>
              <w:ind w:right="23"/>
              <w:spacing w:after="0"/>
              <w:rPr>
                <w:sz w:val="20"/>
                <w:szCs w:val="20"/>
                <w:color w:val="auto"/>
              </w:rPr>
            </w:pPr>
            <w:r>
              <w:rPr>
                <w:rFonts w:ascii="Arial" w:cs="Arial" w:eastAsia="Arial" w:hAnsi="Arial"/>
                <w:sz w:val="18"/>
                <w:szCs w:val="18"/>
                <w:color w:val="auto"/>
              </w:rPr>
              <w:t>$</w:t>
            </w:r>
          </w:p>
        </w:tc>
        <w:tc>
          <w:tcPr>
            <w:tcW w:w="660" w:type="dxa"/>
            <w:vAlign w:val="bottom"/>
          </w:tcPr>
          <w:p>
            <w:pPr>
              <w:jc w:val="right"/>
              <w:spacing w:after="0"/>
              <w:rPr>
                <w:sz w:val="20"/>
                <w:szCs w:val="20"/>
                <w:color w:val="auto"/>
              </w:rPr>
            </w:pPr>
            <w:r>
              <w:rPr>
                <w:rFonts w:ascii="Arial" w:cs="Arial" w:eastAsia="Arial" w:hAnsi="Arial"/>
                <w:sz w:val="18"/>
                <w:szCs w:val="18"/>
                <w:color w:val="auto"/>
                <w:w w:val="98"/>
              </w:rPr>
              <w:t>139,345</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80" w:type="dxa"/>
            <w:vAlign w:val="bottom"/>
            <w:shd w:val="clear" w:color="auto" w:fill="CCEEFF"/>
          </w:tcPr>
          <w:p>
            <w:pPr>
              <w:spacing w:after="0"/>
              <w:rPr>
                <w:sz w:val="20"/>
                <w:szCs w:val="20"/>
                <w:color w:val="auto"/>
              </w:rPr>
            </w:pPr>
            <w:r>
              <w:rPr>
                <w:rFonts w:ascii="Arial" w:cs="Arial" w:eastAsia="Arial" w:hAnsi="Arial"/>
                <w:sz w:val="18"/>
                <w:szCs w:val="18"/>
                <w:color w:val="auto"/>
              </w:rPr>
              <w:t>Add (deduct) items not affecting cash:</w:t>
            </w: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80" w:type="dxa"/>
            <w:vAlign w:val="bottom"/>
          </w:tcPr>
          <w:p>
            <w:pPr>
              <w:ind w:left="120"/>
              <w:spacing w:after="0"/>
              <w:rPr>
                <w:sz w:val="20"/>
                <w:szCs w:val="20"/>
                <w:color w:val="auto"/>
              </w:rPr>
            </w:pPr>
            <w:r>
              <w:rPr>
                <w:rFonts w:ascii="Arial" w:cs="Arial" w:eastAsia="Arial" w:hAnsi="Arial"/>
                <w:sz w:val="18"/>
                <w:szCs w:val="18"/>
                <w:color w:val="auto"/>
              </w:rPr>
              <w:t>Amortization of plant and mine development</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72,461</w:t>
            </w:r>
          </w:p>
        </w:tc>
        <w:tc>
          <w:tcPr>
            <w:tcW w:w="1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36,133</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27,757</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80" w:type="dxa"/>
            <w:vAlign w:val="bottom"/>
            <w:shd w:val="clear" w:color="auto" w:fill="CCEEFF"/>
          </w:tcPr>
          <w:p>
            <w:pPr>
              <w:ind w:left="120"/>
              <w:spacing w:after="0"/>
              <w:rPr>
                <w:sz w:val="20"/>
                <w:szCs w:val="20"/>
                <w:color w:val="auto"/>
              </w:rPr>
            </w:pPr>
            <w:r>
              <w:rPr>
                <w:rFonts w:ascii="Arial" w:cs="Arial" w:eastAsia="Arial" w:hAnsi="Arial"/>
                <w:sz w:val="18"/>
                <w:szCs w:val="18"/>
                <w:color w:val="auto"/>
              </w:rPr>
              <w:t>Future income and mining taxes</w:t>
            </w: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20,309</w:t>
            </w: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16,681</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16,380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80" w:type="dxa"/>
            <w:vAlign w:val="bottom"/>
          </w:tcPr>
          <w:p>
            <w:pPr>
              <w:ind w:left="120"/>
              <w:spacing w:after="0"/>
              <w:rPr>
                <w:sz w:val="20"/>
                <w:szCs w:val="20"/>
                <w:color w:val="auto"/>
              </w:rPr>
            </w:pPr>
            <w:r>
              <w:rPr>
                <w:rFonts w:ascii="Arial" w:cs="Arial" w:eastAsia="Arial" w:hAnsi="Arial"/>
                <w:sz w:val="18"/>
                <w:szCs w:val="18"/>
                <w:color w:val="auto"/>
              </w:rPr>
              <w:t>Loss (gain) on sale of securities, net</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8"/>
                <w:szCs w:val="18"/>
                <w:color w:val="auto"/>
              </w:rPr>
              <w:t>(20,677)</w:t>
            </w:r>
          </w:p>
        </w:tc>
        <w:tc>
          <w:tcPr>
            <w:tcW w:w="16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49,186</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820" w:type="dxa"/>
            <w:vAlign w:val="bottom"/>
            <w:gridSpan w:val="2"/>
          </w:tcPr>
          <w:p>
            <w:pPr>
              <w:jc w:val="right"/>
              <w:ind w:right="100"/>
              <w:spacing w:after="0"/>
              <w:rPr>
                <w:sz w:val="20"/>
                <w:szCs w:val="20"/>
                <w:color w:val="auto"/>
              </w:rPr>
            </w:pPr>
            <w:r>
              <w:rPr>
                <w:rFonts w:ascii="Arial" w:cs="Arial" w:eastAsia="Arial" w:hAnsi="Arial"/>
                <w:sz w:val="18"/>
                <w:szCs w:val="18"/>
                <w:color w:val="auto"/>
              </w:rPr>
              <w:t>(4,088)</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80" w:type="dxa"/>
            <w:vAlign w:val="bottom"/>
            <w:shd w:val="clear" w:color="auto" w:fill="CCEEFF"/>
          </w:tcPr>
          <w:p>
            <w:pPr>
              <w:ind w:left="120"/>
              <w:spacing w:after="0"/>
              <w:rPr>
                <w:sz w:val="20"/>
                <w:szCs w:val="20"/>
                <w:color w:val="auto"/>
              </w:rPr>
            </w:pPr>
            <w:r>
              <w:rPr>
                <w:rFonts w:ascii="Arial" w:cs="Arial" w:eastAsia="Arial" w:hAnsi="Arial"/>
                <w:sz w:val="18"/>
                <w:szCs w:val="18"/>
                <w:color w:val="auto"/>
              </w:rPr>
              <w:t>Stock-based compensation</w:t>
            </w: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28,753</w:t>
            </w: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16,061</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12,155</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80" w:type="dxa"/>
            <w:vAlign w:val="bottom"/>
          </w:tcPr>
          <w:p>
            <w:pPr>
              <w:ind w:left="120"/>
              <w:spacing w:after="0"/>
              <w:rPr>
                <w:sz w:val="20"/>
                <w:szCs w:val="20"/>
                <w:color w:val="auto"/>
              </w:rPr>
            </w:pPr>
            <w:r>
              <w:rPr>
                <w:rFonts w:ascii="Arial" w:cs="Arial" w:eastAsia="Arial" w:hAnsi="Arial"/>
                <w:sz w:val="18"/>
                <w:szCs w:val="18"/>
                <w:color w:val="auto"/>
              </w:rPr>
              <w:t>Foreign currency translation loss (gain)</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39,831</w:t>
            </w:r>
          </w:p>
        </w:tc>
        <w:tc>
          <w:tcPr>
            <w:tcW w:w="1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0" w:type="dxa"/>
            <w:vAlign w:val="bottom"/>
            <w:gridSpan w:val="2"/>
          </w:tcPr>
          <w:p>
            <w:pPr>
              <w:jc w:val="right"/>
              <w:ind w:right="60"/>
              <w:spacing w:after="0"/>
              <w:rPr>
                <w:sz w:val="20"/>
                <w:szCs w:val="20"/>
                <w:color w:val="auto"/>
              </w:rPr>
            </w:pPr>
            <w:r>
              <w:rPr>
                <w:rFonts w:ascii="Arial" w:cs="Arial" w:eastAsia="Arial" w:hAnsi="Arial"/>
                <w:sz w:val="18"/>
                <w:szCs w:val="18"/>
                <w:color w:val="auto"/>
              </w:rPr>
              <w:t>(77,688)</w:t>
            </w: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32,297</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80" w:type="dxa"/>
            <w:vAlign w:val="bottom"/>
            <w:shd w:val="clear" w:color="auto" w:fill="CCEEFF"/>
          </w:tcPr>
          <w:p>
            <w:pPr>
              <w:ind w:left="120"/>
              <w:spacing w:after="0"/>
              <w:rPr>
                <w:sz w:val="20"/>
                <w:szCs w:val="20"/>
                <w:color w:val="auto"/>
              </w:rPr>
            </w:pPr>
            <w:r>
              <w:rPr>
                <w:rFonts w:ascii="Arial" w:cs="Arial" w:eastAsia="Arial" w:hAnsi="Arial"/>
                <w:sz w:val="18"/>
                <w:szCs w:val="18"/>
                <w:color w:val="auto"/>
              </w:rPr>
              <w:t>Other</w:t>
            </w: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5,321</w:t>
            </w: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4,642</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14,921</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80" w:type="dxa"/>
            <w:vAlign w:val="bottom"/>
          </w:tcPr>
          <w:p>
            <w:pPr>
              <w:spacing w:after="0"/>
              <w:rPr>
                <w:sz w:val="20"/>
                <w:szCs w:val="20"/>
                <w:color w:val="auto"/>
              </w:rPr>
            </w:pPr>
            <w:r>
              <w:rPr>
                <w:rFonts w:ascii="Arial" w:cs="Arial" w:eastAsia="Arial" w:hAnsi="Arial"/>
                <w:sz w:val="18"/>
                <w:szCs w:val="18"/>
                <w:color w:val="auto"/>
              </w:rPr>
              <w:t>Changes in non-cash working capital balances</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80" w:type="dxa"/>
            <w:vAlign w:val="bottom"/>
            <w:shd w:val="clear" w:color="auto" w:fill="CCEEFF"/>
          </w:tcPr>
          <w:p>
            <w:pPr>
              <w:ind w:left="120"/>
              <w:spacing w:after="0"/>
              <w:rPr>
                <w:sz w:val="20"/>
                <w:szCs w:val="20"/>
                <w:color w:val="auto"/>
              </w:rPr>
            </w:pPr>
            <w:r>
              <w:rPr>
                <w:rFonts w:ascii="Arial" w:cs="Arial" w:eastAsia="Arial" w:hAnsi="Arial"/>
                <w:sz w:val="18"/>
                <w:szCs w:val="18"/>
                <w:color w:val="auto"/>
              </w:rPr>
              <w:t>Trade receivables</w:t>
            </w: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(47,930)</w:t>
            </w:r>
          </w:p>
        </w:tc>
        <w:tc>
          <w:tcPr>
            <w:tcW w:w="16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33,779</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5,568</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80" w:type="dxa"/>
            <w:vAlign w:val="bottom"/>
          </w:tcPr>
          <w:p>
            <w:pPr>
              <w:ind w:left="120"/>
              <w:spacing w:after="0"/>
              <w:rPr>
                <w:sz w:val="20"/>
                <w:szCs w:val="20"/>
                <w:color w:val="auto"/>
              </w:rPr>
            </w:pPr>
            <w:r>
              <w:rPr>
                <w:rFonts w:ascii="Arial" w:cs="Arial" w:eastAsia="Arial" w:hAnsi="Arial"/>
                <w:sz w:val="18"/>
                <w:szCs w:val="18"/>
                <w:color w:val="auto"/>
              </w:rPr>
              <w:t>Income taxes (payable)/recoverable</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8"/>
                <w:szCs w:val="18"/>
                <w:color w:val="auto"/>
              </w:rPr>
              <w:t>(313)</w:t>
            </w:r>
          </w:p>
        </w:tc>
        <w:tc>
          <w:tcPr>
            <w:tcW w:w="16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4,814</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820" w:type="dxa"/>
            <w:vAlign w:val="bottom"/>
            <w:gridSpan w:val="2"/>
          </w:tcPr>
          <w:p>
            <w:pPr>
              <w:jc w:val="right"/>
              <w:ind w:right="100"/>
              <w:spacing w:after="0"/>
              <w:rPr>
                <w:sz w:val="20"/>
                <w:szCs w:val="20"/>
                <w:color w:val="auto"/>
              </w:rPr>
            </w:pPr>
            <w:r>
              <w:rPr>
                <w:rFonts w:ascii="Arial" w:cs="Arial" w:eastAsia="Arial" w:hAnsi="Arial"/>
                <w:sz w:val="18"/>
                <w:szCs w:val="18"/>
                <w:color w:val="auto"/>
              </w:rPr>
              <w:t>(14,231)</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80" w:type="dxa"/>
            <w:vAlign w:val="bottom"/>
            <w:shd w:val="clear" w:color="auto" w:fill="CCEEFF"/>
          </w:tcPr>
          <w:p>
            <w:pPr>
              <w:ind w:left="120"/>
              <w:spacing w:after="0"/>
              <w:rPr>
                <w:sz w:val="20"/>
                <w:szCs w:val="20"/>
                <w:color w:val="auto"/>
              </w:rPr>
            </w:pPr>
            <w:r>
              <w:rPr>
                <w:rFonts w:ascii="Arial" w:cs="Arial" w:eastAsia="Arial" w:hAnsi="Arial"/>
                <w:sz w:val="18"/>
                <w:szCs w:val="18"/>
                <w:color w:val="auto"/>
              </w:rPr>
              <w:t>Inventories</w:t>
            </w: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(90,772)</w:t>
            </w:r>
          </w:p>
        </w:tc>
        <w:tc>
          <w:tcPr>
            <w:tcW w:w="16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(45,904)</w:t>
            </w: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(1,187)</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80" w:type="dxa"/>
            <w:vAlign w:val="bottom"/>
          </w:tcPr>
          <w:p>
            <w:pPr>
              <w:ind w:left="120"/>
              <w:spacing w:after="0"/>
              <w:rPr>
                <w:sz w:val="20"/>
                <w:szCs w:val="20"/>
                <w:color w:val="auto"/>
              </w:rPr>
            </w:pPr>
            <w:r>
              <w:rPr>
                <w:rFonts w:ascii="Arial" w:cs="Arial" w:eastAsia="Arial" w:hAnsi="Arial"/>
                <w:sz w:val="18"/>
                <w:szCs w:val="18"/>
                <w:color w:val="auto"/>
              </w:rPr>
              <w:t>Other current assets</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4,834</w:t>
            </w:r>
          </w:p>
        </w:tc>
        <w:tc>
          <w:tcPr>
            <w:tcW w:w="1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0" w:type="dxa"/>
            <w:vAlign w:val="bottom"/>
            <w:gridSpan w:val="2"/>
          </w:tcPr>
          <w:p>
            <w:pPr>
              <w:jc w:val="right"/>
              <w:ind w:right="60"/>
              <w:spacing w:after="0"/>
              <w:rPr>
                <w:sz w:val="20"/>
                <w:szCs w:val="20"/>
                <w:color w:val="auto"/>
              </w:rPr>
            </w:pPr>
            <w:r>
              <w:rPr>
                <w:rFonts w:ascii="Arial" w:cs="Arial" w:eastAsia="Arial" w:hAnsi="Arial"/>
                <w:sz w:val="18"/>
                <w:szCs w:val="18"/>
                <w:color w:val="auto"/>
              </w:rPr>
              <w:t>(24,334)</w:t>
            </w: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820" w:type="dxa"/>
            <w:vAlign w:val="bottom"/>
            <w:gridSpan w:val="2"/>
          </w:tcPr>
          <w:p>
            <w:pPr>
              <w:jc w:val="right"/>
              <w:ind w:right="100"/>
              <w:spacing w:after="0"/>
              <w:rPr>
                <w:sz w:val="20"/>
                <w:szCs w:val="20"/>
                <w:color w:val="auto"/>
              </w:rPr>
            </w:pPr>
            <w:r>
              <w:rPr>
                <w:rFonts w:ascii="Arial" w:cs="Arial" w:eastAsia="Arial" w:hAnsi="Arial"/>
                <w:sz w:val="18"/>
                <w:szCs w:val="18"/>
                <w:color w:val="auto"/>
              </w:rPr>
              <w:t>(39,055)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80" w:type="dxa"/>
            <w:vAlign w:val="bottom"/>
            <w:shd w:val="clear" w:color="auto" w:fill="CCEEFF"/>
          </w:tcPr>
          <w:p>
            <w:pPr>
              <w:ind w:left="120"/>
              <w:spacing w:after="0"/>
              <w:rPr>
                <w:sz w:val="20"/>
                <w:szCs w:val="20"/>
                <w:color w:val="auto"/>
              </w:rPr>
            </w:pPr>
            <w:r>
              <w:rPr>
                <w:rFonts w:ascii="Arial" w:cs="Arial" w:eastAsia="Arial" w:hAnsi="Arial"/>
                <w:sz w:val="18"/>
                <w:szCs w:val="18"/>
                <w:color w:val="auto"/>
              </w:rPr>
              <w:t>Accounts payable and accrued liabilities</w:t>
            </w: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28,552</w:t>
            </w: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34,492</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55,661</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80" w:type="dxa"/>
            <w:vAlign w:val="bottom"/>
          </w:tcPr>
          <w:p>
            <w:pPr>
              <w:ind w:left="120"/>
              <w:spacing w:after="0"/>
              <w:rPr>
                <w:sz w:val="20"/>
                <w:szCs w:val="20"/>
                <w:color w:val="auto"/>
              </w:rPr>
            </w:pPr>
            <w:r>
              <w:rPr>
                <w:rFonts w:ascii="Arial" w:cs="Arial" w:eastAsia="Arial" w:hAnsi="Arial"/>
                <w:sz w:val="18"/>
                <w:szCs w:val="18"/>
                <w:color w:val="auto"/>
              </w:rPr>
              <w:t>Prepaid royalty</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8"/>
                <w:szCs w:val="18"/>
                <w:color w:val="auto"/>
              </w:rPr>
              <w:t>(13,321)</w:t>
            </w:r>
          </w:p>
        </w:tc>
        <w:tc>
          <w:tcPr>
            <w:tcW w:w="160" w:type="dxa"/>
            <w:vAlign w:val="bottom"/>
          </w:tcPr>
          <w:p>
            <w:pPr>
              <w:spacing w:after="0"/>
              <w:rPr>
                <w:sz w:val="18"/>
                <w:szCs w:val="18"/>
                <w:color w:val="auto"/>
              </w:rPr>
            </w:pPr>
          </w:p>
        </w:tc>
        <w:tc>
          <w:tcPr>
            <w:tcW w:w="80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8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80" w:type="dxa"/>
            <w:vAlign w:val="bottom"/>
            <w:shd w:val="clear" w:color="auto" w:fill="CCEEFF"/>
          </w:tcPr>
          <w:p>
            <w:pPr>
              <w:ind w:left="120"/>
              <w:spacing w:after="0"/>
              <w:rPr>
                <w:sz w:val="20"/>
                <w:szCs w:val="20"/>
                <w:color w:val="auto"/>
              </w:rPr>
            </w:pPr>
            <w:r>
              <w:rPr>
                <w:rFonts w:ascii="Arial" w:cs="Arial" w:eastAsia="Arial" w:hAnsi="Arial"/>
                <w:sz w:val="18"/>
                <w:szCs w:val="18"/>
                <w:color w:val="auto"/>
              </w:rPr>
              <w:t>Interest payable</w:t>
            </w: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1,520</w:t>
            </w: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146</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
        </w:trPr>
        <w:tc>
          <w:tcPr>
            <w:tcW w:w="6100" w:type="dxa"/>
            <w:vAlign w:val="bottom"/>
            <w:gridSpan w:val="2"/>
            <w:vMerge w:val="restart"/>
          </w:tcPr>
          <w:p>
            <w:pPr>
              <w:spacing w:after="0"/>
              <w:rPr>
                <w:sz w:val="20"/>
                <w:szCs w:val="20"/>
                <w:color w:val="auto"/>
              </w:rPr>
            </w:pPr>
            <w:r>
              <w:rPr>
                <w:rFonts w:ascii="Arial" w:cs="Arial" w:eastAsia="Arial" w:hAnsi="Arial"/>
                <w:sz w:val="18"/>
                <w:szCs w:val="18"/>
                <w:color w:val="auto"/>
              </w:rPr>
              <w:t>Cash provided by operating activities</w:t>
            </w:r>
          </w:p>
        </w:tc>
        <w:tc>
          <w:tcPr>
            <w:tcW w:w="2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16"/>
        </w:trPr>
        <w:tc>
          <w:tcPr>
            <w:tcW w:w="6100" w:type="dxa"/>
            <w:vAlign w:val="bottom"/>
            <w:gridSpan w:val="2"/>
            <w:vMerge w:val="continue"/>
          </w:tcPr>
          <w:p>
            <w:pPr>
              <w:spacing w:after="0"/>
              <w:rPr>
                <w:sz w:val="18"/>
                <w:szCs w:val="18"/>
                <w:color w:val="auto"/>
              </w:rPr>
            </w:pP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115,106</w:t>
            </w:r>
          </w:p>
        </w:tc>
        <w:tc>
          <w:tcPr>
            <w:tcW w:w="1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121,175</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w w:val="98"/>
              </w:rPr>
              <w:t>245,523</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
        </w:trPr>
        <w:tc>
          <w:tcPr>
            <w:tcW w:w="610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426"/>
        </w:trPr>
        <w:tc>
          <w:tcPr>
            <w:tcW w:w="20" w:type="dxa"/>
            <w:vAlign w:val="bottom"/>
          </w:tcPr>
          <w:p>
            <w:pPr>
              <w:spacing w:after="0"/>
              <w:rPr>
                <w:sz w:val="24"/>
                <w:szCs w:val="24"/>
                <w:color w:val="auto"/>
              </w:rPr>
            </w:pPr>
          </w:p>
        </w:tc>
        <w:tc>
          <w:tcPr>
            <w:tcW w:w="60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Investing activities</w:t>
            </w:r>
          </w:p>
        </w:tc>
        <w:tc>
          <w:tcPr>
            <w:tcW w:w="2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70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70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6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80" w:type="dxa"/>
            <w:vAlign w:val="bottom"/>
          </w:tcPr>
          <w:p>
            <w:pPr>
              <w:spacing w:after="0"/>
              <w:rPr>
                <w:sz w:val="20"/>
                <w:szCs w:val="20"/>
                <w:color w:val="auto"/>
              </w:rPr>
            </w:pPr>
            <w:r>
              <w:rPr>
                <w:rFonts w:ascii="Arial" w:cs="Arial" w:eastAsia="Arial" w:hAnsi="Arial"/>
                <w:sz w:val="18"/>
                <w:szCs w:val="18"/>
                <w:color w:val="auto"/>
              </w:rPr>
              <w:t>Additions to property, plant and mine development</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8"/>
                <w:szCs w:val="18"/>
                <w:color w:val="auto"/>
                <w:w w:val="93"/>
              </w:rPr>
              <w:t>(657,175)</w:t>
            </w:r>
          </w:p>
        </w:tc>
        <w:tc>
          <w:tcPr>
            <w:tcW w:w="160" w:type="dxa"/>
            <w:vAlign w:val="bottom"/>
          </w:tcPr>
          <w:p>
            <w:pPr>
              <w:spacing w:after="0"/>
              <w:rPr>
                <w:sz w:val="18"/>
                <w:szCs w:val="18"/>
                <w:color w:val="auto"/>
              </w:rPr>
            </w:pPr>
          </w:p>
        </w:tc>
        <w:tc>
          <w:tcPr>
            <w:tcW w:w="800" w:type="dxa"/>
            <w:vAlign w:val="bottom"/>
            <w:gridSpan w:val="2"/>
          </w:tcPr>
          <w:p>
            <w:pPr>
              <w:jc w:val="right"/>
              <w:ind w:right="60"/>
              <w:spacing w:after="0"/>
              <w:rPr>
                <w:sz w:val="20"/>
                <w:szCs w:val="20"/>
                <w:color w:val="auto"/>
              </w:rPr>
            </w:pPr>
            <w:r>
              <w:rPr>
                <w:rFonts w:ascii="Arial" w:cs="Arial" w:eastAsia="Arial" w:hAnsi="Arial"/>
                <w:sz w:val="18"/>
                <w:szCs w:val="18"/>
                <w:color w:val="auto"/>
                <w:w w:val="93"/>
              </w:rPr>
              <w:t>(908,853)</w:t>
            </w: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820" w:type="dxa"/>
            <w:vAlign w:val="bottom"/>
            <w:gridSpan w:val="2"/>
          </w:tcPr>
          <w:p>
            <w:pPr>
              <w:jc w:val="right"/>
              <w:ind w:right="100"/>
              <w:spacing w:after="0"/>
              <w:rPr>
                <w:sz w:val="20"/>
                <w:szCs w:val="20"/>
                <w:color w:val="auto"/>
              </w:rPr>
            </w:pPr>
            <w:r>
              <w:rPr>
                <w:rFonts w:ascii="Arial" w:cs="Arial" w:eastAsia="Arial" w:hAnsi="Arial"/>
                <w:sz w:val="18"/>
                <w:szCs w:val="18"/>
                <w:color w:val="auto"/>
                <w:w w:val="90"/>
              </w:rPr>
              <w:t>(523,793)</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80" w:type="dxa"/>
            <w:vAlign w:val="bottom"/>
            <w:shd w:val="clear" w:color="auto" w:fill="CCEEFF"/>
          </w:tcPr>
          <w:p>
            <w:pPr>
              <w:spacing w:after="0"/>
              <w:rPr>
                <w:sz w:val="20"/>
                <w:szCs w:val="20"/>
                <w:color w:val="auto"/>
              </w:rPr>
            </w:pPr>
            <w:r>
              <w:rPr>
                <w:rFonts w:ascii="Arial" w:cs="Arial" w:eastAsia="Arial" w:hAnsi="Arial"/>
                <w:sz w:val="18"/>
                <w:szCs w:val="18"/>
                <w:color w:val="auto"/>
              </w:rPr>
              <w:t>Purchase of gold derivatives (note 9)</w:t>
            </w: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(15,875)</w:t>
            </w: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6080" w:type="dxa"/>
            <w:vAlign w:val="bottom"/>
          </w:tcPr>
          <w:p>
            <w:pPr>
              <w:spacing w:after="0"/>
              <w:rPr>
                <w:sz w:val="20"/>
                <w:szCs w:val="20"/>
                <w:color w:val="auto"/>
              </w:rPr>
            </w:pPr>
            <w:r>
              <w:rPr>
                <w:rFonts w:ascii="Arial" w:cs="Arial" w:eastAsia="Arial" w:hAnsi="Arial"/>
                <w:sz w:val="18"/>
                <w:szCs w:val="18"/>
                <w:color w:val="auto"/>
                <w:w w:val="90"/>
              </w:rPr>
              <w:t>Cash acquired on acquisition of Cumberland Resources Ltd. net of transaction costs</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6080" w:type="dxa"/>
            <w:vAlign w:val="bottom"/>
          </w:tcPr>
          <w:p>
            <w:pPr>
              <w:ind w:left="160"/>
              <w:spacing w:after="0"/>
              <w:rPr>
                <w:sz w:val="20"/>
                <w:szCs w:val="20"/>
                <w:color w:val="auto"/>
              </w:rPr>
            </w:pPr>
            <w:r>
              <w:rPr>
                <w:rFonts w:ascii="Arial" w:cs="Arial" w:eastAsia="Arial" w:hAnsi="Arial"/>
                <w:sz w:val="18"/>
                <w:szCs w:val="18"/>
                <w:color w:val="auto"/>
              </w:rPr>
              <w:t>(note 9)</w:t>
            </w:r>
          </w:p>
        </w:tc>
        <w:tc>
          <w:tcPr>
            <w:tcW w:w="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6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9"/>
                <w:szCs w:val="19"/>
                <w:color w:val="auto"/>
              </w:rPr>
            </w:pPr>
          </w:p>
        </w:tc>
        <w:tc>
          <w:tcPr>
            <w:tcW w:w="80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84,207</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6080" w:type="dxa"/>
            <w:vAlign w:val="bottom"/>
            <w:shd w:val="clear" w:color="auto" w:fill="CCEEFF"/>
          </w:tcPr>
          <w:p>
            <w:pPr>
              <w:spacing w:after="0"/>
              <w:rPr>
                <w:sz w:val="20"/>
                <w:szCs w:val="20"/>
                <w:color w:val="auto"/>
              </w:rPr>
            </w:pPr>
            <w:r>
              <w:rPr>
                <w:rFonts w:ascii="Arial" w:cs="Arial" w:eastAsia="Arial" w:hAnsi="Arial"/>
                <w:sz w:val="18"/>
                <w:szCs w:val="18"/>
                <w:color w:val="auto"/>
              </w:rPr>
              <w:t>Recoverable value-added tax on acquisition of Pinos Altos property</w:t>
            </w: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9,750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80" w:type="dxa"/>
            <w:vAlign w:val="bottom"/>
          </w:tcPr>
          <w:p>
            <w:pPr>
              <w:spacing w:after="0"/>
              <w:rPr>
                <w:sz w:val="20"/>
                <w:szCs w:val="20"/>
                <w:color w:val="auto"/>
              </w:rPr>
            </w:pPr>
            <w:r>
              <w:rPr>
                <w:rFonts w:ascii="Arial" w:cs="Arial" w:eastAsia="Arial" w:hAnsi="Arial"/>
                <w:sz w:val="18"/>
                <w:szCs w:val="18"/>
                <w:color w:val="auto"/>
              </w:rPr>
              <w:t>Sale (purchase) of Stornoway Diamond Corporation debentures</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6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10,720</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820" w:type="dxa"/>
            <w:vAlign w:val="bottom"/>
            <w:gridSpan w:val="2"/>
          </w:tcPr>
          <w:p>
            <w:pPr>
              <w:jc w:val="right"/>
              <w:ind w:right="100"/>
              <w:spacing w:after="0"/>
              <w:rPr>
                <w:sz w:val="20"/>
                <w:szCs w:val="20"/>
                <w:color w:val="auto"/>
              </w:rPr>
            </w:pPr>
            <w:r>
              <w:rPr>
                <w:rFonts w:ascii="Arial" w:cs="Arial" w:eastAsia="Arial" w:hAnsi="Arial"/>
                <w:sz w:val="18"/>
                <w:szCs w:val="18"/>
                <w:color w:val="auto"/>
              </w:rPr>
              <w:t>(8,519)</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80" w:type="dxa"/>
            <w:vAlign w:val="bottom"/>
            <w:shd w:val="clear" w:color="auto" w:fill="CCEEFF"/>
          </w:tcPr>
          <w:p>
            <w:pPr>
              <w:spacing w:after="0"/>
              <w:rPr>
                <w:sz w:val="20"/>
                <w:szCs w:val="20"/>
                <w:color w:val="auto"/>
              </w:rPr>
            </w:pPr>
            <w:r>
              <w:rPr>
                <w:rFonts w:ascii="Arial" w:cs="Arial" w:eastAsia="Arial" w:hAnsi="Arial"/>
                <w:sz w:val="18"/>
                <w:szCs w:val="18"/>
                <w:color w:val="auto"/>
              </w:rPr>
              <w:t>Decrease (increase) in short-term investments</w:t>
            </w: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(3,313)</w:t>
            </w:r>
          </w:p>
        </w:tc>
        <w:tc>
          <w:tcPr>
            <w:tcW w:w="16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78,770</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91,272</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80" w:type="dxa"/>
            <w:vAlign w:val="bottom"/>
          </w:tcPr>
          <w:p>
            <w:pPr>
              <w:spacing w:after="0"/>
              <w:rPr>
                <w:sz w:val="20"/>
                <w:szCs w:val="20"/>
                <w:color w:val="auto"/>
              </w:rPr>
            </w:pPr>
            <w:r>
              <w:rPr>
                <w:rFonts w:ascii="Arial" w:cs="Arial" w:eastAsia="Arial" w:hAnsi="Arial"/>
                <w:sz w:val="18"/>
                <w:szCs w:val="18"/>
                <w:color w:val="auto"/>
              </w:rPr>
              <w:t>Net proceeds on available-for-sale securities</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48,258</w:t>
            </w:r>
          </w:p>
        </w:tc>
        <w:tc>
          <w:tcPr>
            <w:tcW w:w="1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43,583</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5,393</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80" w:type="dxa"/>
            <w:vAlign w:val="bottom"/>
            <w:shd w:val="clear" w:color="auto" w:fill="CCEEFF"/>
          </w:tcPr>
          <w:p>
            <w:pPr>
              <w:spacing w:after="0"/>
              <w:rPr>
                <w:sz w:val="20"/>
                <w:szCs w:val="20"/>
                <w:color w:val="auto"/>
              </w:rPr>
            </w:pPr>
            <w:r>
              <w:rPr>
                <w:rFonts w:ascii="Arial" w:cs="Arial" w:eastAsia="Arial" w:hAnsi="Arial"/>
                <w:sz w:val="18"/>
                <w:szCs w:val="18"/>
                <w:color w:val="auto"/>
              </w:rPr>
              <w:t>Purchase of available-for-sale securities</w:t>
            </w: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(6,380)</w:t>
            </w:r>
          </w:p>
        </w:tc>
        <w:tc>
          <w:tcPr>
            <w:tcW w:w="16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3"/>
              </w:rPr>
              <w:t>(113,225)</w:t>
            </w: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(13,079)</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6080" w:type="dxa"/>
            <w:vAlign w:val="bottom"/>
          </w:tcPr>
          <w:p>
            <w:pPr>
              <w:spacing w:after="0"/>
              <w:rPr>
                <w:sz w:val="20"/>
                <w:szCs w:val="20"/>
                <w:color w:val="auto"/>
              </w:rPr>
            </w:pPr>
            <w:r>
              <w:rPr>
                <w:rFonts w:ascii="Arial" w:cs="Arial" w:eastAsia="Arial" w:hAnsi="Arial"/>
                <w:sz w:val="18"/>
                <w:szCs w:val="18"/>
                <w:color w:val="auto"/>
              </w:rPr>
              <w:t>Decrease (increase) in restricted cash</w:t>
            </w:r>
          </w:p>
        </w:tc>
        <w:tc>
          <w:tcPr>
            <w:tcW w:w="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30,999</w:t>
            </w:r>
          </w:p>
        </w:tc>
        <w:tc>
          <w:tcPr>
            <w:tcW w:w="1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00" w:type="dxa"/>
            <w:vAlign w:val="bottom"/>
            <w:gridSpan w:val="2"/>
          </w:tcPr>
          <w:p>
            <w:pPr>
              <w:jc w:val="right"/>
              <w:ind w:right="60"/>
              <w:spacing w:after="0"/>
              <w:rPr>
                <w:sz w:val="20"/>
                <w:szCs w:val="20"/>
                <w:color w:val="auto"/>
              </w:rPr>
            </w:pPr>
            <w:r>
              <w:rPr>
                <w:rFonts w:ascii="Arial" w:cs="Arial" w:eastAsia="Arial" w:hAnsi="Arial"/>
                <w:sz w:val="18"/>
                <w:szCs w:val="18"/>
                <w:color w:val="auto"/>
              </w:rPr>
              <w:t>(28,544)</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20" w:type="dxa"/>
            <w:vAlign w:val="bottom"/>
            <w:gridSpan w:val="2"/>
          </w:tcPr>
          <w:p>
            <w:pPr>
              <w:jc w:val="right"/>
              <w:ind w:right="100"/>
              <w:spacing w:after="0"/>
              <w:rPr>
                <w:sz w:val="20"/>
                <w:szCs w:val="20"/>
                <w:color w:val="auto"/>
              </w:rPr>
            </w:pPr>
            <w:r>
              <w:rPr>
                <w:rFonts w:ascii="Arial" w:cs="Arial" w:eastAsia="Arial" w:hAnsi="Arial"/>
                <w:sz w:val="18"/>
                <w:szCs w:val="18"/>
                <w:color w:val="auto"/>
              </w:rPr>
              <w:t>(2,455)</w:t>
            </w:r>
          </w:p>
        </w:tc>
        <w:tc>
          <w:tcPr>
            <w:tcW w:w="0" w:type="dxa"/>
            <w:vAlign w:val="bottom"/>
          </w:tcPr>
          <w:p>
            <w:pPr>
              <w:spacing w:after="0"/>
              <w:rPr>
                <w:sz w:val="1"/>
                <w:szCs w:val="1"/>
                <w:color w:val="auto"/>
              </w:rPr>
            </w:pPr>
          </w:p>
        </w:tc>
      </w:tr>
      <w:tr>
        <w:trPr>
          <w:trHeight w:val="21"/>
        </w:trPr>
        <w:tc>
          <w:tcPr>
            <w:tcW w:w="20" w:type="dxa"/>
            <w:vAlign w:val="bottom"/>
          </w:tcPr>
          <w:p>
            <w:pPr>
              <w:spacing w:after="0" w:line="20" w:lineRule="exact"/>
              <w:rPr>
                <w:sz w:val="1"/>
                <w:szCs w:val="1"/>
                <w:color w:val="auto"/>
              </w:rPr>
            </w:pPr>
          </w:p>
        </w:tc>
        <w:tc>
          <w:tcPr>
            <w:tcW w:w="60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6080" w:type="dxa"/>
            <w:vAlign w:val="bottom"/>
            <w:shd w:val="clear" w:color="auto" w:fill="CCEEFF"/>
          </w:tcPr>
          <w:p>
            <w:pPr>
              <w:spacing w:after="0"/>
              <w:rPr>
                <w:sz w:val="20"/>
                <w:szCs w:val="20"/>
                <w:color w:val="auto"/>
              </w:rPr>
            </w:pPr>
            <w:r>
              <w:rPr>
                <w:rFonts w:ascii="Arial" w:cs="Arial" w:eastAsia="Arial" w:hAnsi="Arial"/>
                <w:sz w:val="18"/>
                <w:szCs w:val="18"/>
                <w:color w:val="auto"/>
              </w:rPr>
              <w:t>Cash used in investing activities</w:t>
            </w: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3"/>
              </w:rPr>
              <w:t>(587,611)</w:t>
            </w:r>
          </w:p>
        </w:tc>
        <w:tc>
          <w:tcPr>
            <w:tcW w:w="16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3"/>
              </w:rPr>
              <w:t>(917,549)</w:t>
            </w: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90"/>
              </w:rPr>
              <w:t>(373,099)</w:t>
            </w:r>
          </w:p>
        </w:tc>
        <w:tc>
          <w:tcPr>
            <w:tcW w:w="0" w:type="dxa"/>
            <w:vAlign w:val="bottom"/>
          </w:tcPr>
          <w:p>
            <w:pPr>
              <w:spacing w:after="0"/>
              <w:rPr>
                <w:sz w:val="1"/>
                <w:szCs w:val="1"/>
                <w:color w:val="auto"/>
              </w:rPr>
            </w:pPr>
          </w:p>
        </w:tc>
      </w:tr>
      <w:tr>
        <w:trPr>
          <w:trHeight w:val="27"/>
        </w:trPr>
        <w:tc>
          <w:tcPr>
            <w:tcW w:w="610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Financing activities</w:t>
            </w:r>
          </w:p>
        </w:tc>
        <w:tc>
          <w:tcPr>
            <w:tcW w:w="2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424"/>
        </w:trPr>
        <w:tc>
          <w:tcPr>
            <w:tcW w:w="6100" w:type="dxa"/>
            <w:vAlign w:val="bottom"/>
            <w:gridSpan w:val="2"/>
            <w:vMerge w:val="continue"/>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6080" w:type="dxa"/>
            <w:vAlign w:val="bottom"/>
            <w:shd w:val="clear" w:color="auto" w:fill="CCEEFF"/>
          </w:tcPr>
          <w:p>
            <w:pPr>
              <w:spacing w:after="0"/>
              <w:rPr>
                <w:sz w:val="20"/>
                <w:szCs w:val="20"/>
                <w:color w:val="auto"/>
              </w:rPr>
            </w:pPr>
            <w:r>
              <w:rPr>
                <w:rFonts w:ascii="Arial" w:cs="Arial" w:eastAsia="Arial" w:hAnsi="Arial"/>
                <w:sz w:val="18"/>
                <w:szCs w:val="18"/>
                <w:color w:val="auto"/>
              </w:rPr>
              <w:t>Dividends paid</w:t>
            </w: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(27,132)</w:t>
            </w:r>
          </w:p>
        </w:tc>
        <w:tc>
          <w:tcPr>
            <w:tcW w:w="16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(23,779)</w:t>
            </w: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(13,406)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80" w:type="dxa"/>
            <w:vAlign w:val="bottom"/>
          </w:tcPr>
          <w:p>
            <w:pPr>
              <w:spacing w:after="0"/>
              <w:rPr>
                <w:sz w:val="20"/>
                <w:szCs w:val="20"/>
                <w:color w:val="auto"/>
              </w:rPr>
            </w:pPr>
            <w:r>
              <w:rPr>
                <w:rFonts w:ascii="Arial" w:cs="Arial" w:eastAsia="Arial" w:hAnsi="Arial"/>
                <w:sz w:val="18"/>
                <w:szCs w:val="18"/>
                <w:color w:val="auto"/>
              </w:rPr>
              <w:t>Repayment of capital lease obligations</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8"/>
                <w:szCs w:val="18"/>
                <w:color w:val="auto"/>
              </w:rPr>
              <w:t>(13,177)</w:t>
            </w:r>
          </w:p>
        </w:tc>
        <w:tc>
          <w:tcPr>
            <w:tcW w:w="160" w:type="dxa"/>
            <w:vAlign w:val="bottom"/>
          </w:tcPr>
          <w:p>
            <w:pPr>
              <w:spacing w:after="0"/>
              <w:rPr>
                <w:sz w:val="18"/>
                <w:szCs w:val="18"/>
                <w:color w:val="auto"/>
              </w:rPr>
            </w:pPr>
          </w:p>
        </w:tc>
        <w:tc>
          <w:tcPr>
            <w:tcW w:w="800" w:type="dxa"/>
            <w:vAlign w:val="bottom"/>
            <w:gridSpan w:val="2"/>
          </w:tcPr>
          <w:p>
            <w:pPr>
              <w:jc w:val="right"/>
              <w:ind w:right="60"/>
              <w:spacing w:after="0"/>
              <w:rPr>
                <w:sz w:val="20"/>
                <w:szCs w:val="20"/>
                <w:color w:val="auto"/>
              </w:rPr>
            </w:pPr>
            <w:r>
              <w:rPr>
                <w:rFonts w:ascii="Arial" w:cs="Arial" w:eastAsia="Arial" w:hAnsi="Arial"/>
                <w:sz w:val="18"/>
                <w:szCs w:val="18"/>
                <w:color w:val="auto"/>
              </w:rPr>
              <w:t>(16,178)</w:t>
            </w: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820" w:type="dxa"/>
            <w:vAlign w:val="bottom"/>
            <w:gridSpan w:val="2"/>
          </w:tcPr>
          <w:p>
            <w:pPr>
              <w:jc w:val="right"/>
              <w:ind w:right="100"/>
              <w:spacing w:after="0"/>
              <w:rPr>
                <w:sz w:val="20"/>
                <w:szCs w:val="20"/>
                <w:color w:val="auto"/>
              </w:rPr>
            </w:pPr>
            <w:r>
              <w:rPr>
                <w:rFonts w:ascii="Arial" w:cs="Arial" w:eastAsia="Arial" w:hAnsi="Arial"/>
                <w:sz w:val="18"/>
                <w:szCs w:val="18"/>
                <w:color w:val="auto"/>
              </w:rPr>
              <w:t>(3,418)</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80" w:type="dxa"/>
            <w:vAlign w:val="bottom"/>
            <w:shd w:val="clear" w:color="auto" w:fill="CCEEFF"/>
          </w:tcPr>
          <w:p>
            <w:pPr>
              <w:spacing w:after="0"/>
              <w:rPr>
                <w:sz w:val="20"/>
                <w:szCs w:val="20"/>
                <w:color w:val="auto"/>
              </w:rPr>
            </w:pPr>
            <w:r>
              <w:rPr>
                <w:rFonts w:ascii="Arial" w:cs="Arial" w:eastAsia="Arial" w:hAnsi="Arial"/>
                <w:sz w:val="18"/>
                <w:szCs w:val="18"/>
                <w:color w:val="auto"/>
              </w:rPr>
              <w:t>Sale-leaseback financing</w:t>
            </w: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21,389</w:t>
            </w: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80" w:type="dxa"/>
            <w:vAlign w:val="bottom"/>
          </w:tcPr>
          <w:p>
            <w:pPr>
              <w:spacing w:after="0"/>
              <w:rPr>
                <w:sz w:val="20"/>
                <w:szCs w:val="20"/>
                <w:color w:val="auto"/>
              </w:rPr>
            </w:pPr>
            <w:r>
              <w:rPr>
                <w:rFonts w:ascii="Arial" w:cs="Arial" w:eastAsia="Arial" w:hAnsi="Arial"/>
                <w:sz w:val="18"/>
                <w:szCs w:val="18"/>
                <w:color w:val="auto"/>
              </w:rPr>
              <w:t>Proceeds from bank debt</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625,000</w:t>
            </w:r>
          </w:p>
        </w:tc>
        <w:tc>
          <w:tcPr>
            <w:tcW w:w="1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300,000</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8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80" w:type="dxa"/>
            <w:vAlign w:val="bottom"/>
            <w:shd w:val="clear" w:color="auto" w:fill="CCEEFF"/>
          </w:tcPr>
          <w:p>
            <w:pPr>
              <w:spacing w:after="0"/>
              <w:rPr>
                <w:sz w:val="20"/>
                <w:szCs w:val="20"/>
                <w:color w:val="auto"/>
              </w:rPr>
            </w:pPr>
            <w:r>
              <w:rPr>
                <w:rFonts w:ascii="Arial" w:cs="Arial" w:eastAsia="Arial" w:hAnsi="Arial"/>
                <w:sz w:val="18"/>
                <w:szCs w:val="18"/>
                <w:color w:val="auto"/>
              </w:rPr>
              <w:t>Repayment of bank debt</w:t>
            </w: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3"/>
              </w:rPr>
              <w:t>(110,000)</w:t>
            </w:r>
          </w:p>
        </w:tc>
        <w:tc>
          <w:tcPr>
            <w:tcW w:w="16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3"/>
              </w:rPr>
              <w:t>(100,000)</w:t>
            </w: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80" w:type="dxa"/>
            <w:vAlign w:val="bottom"/>
          </w:tcPr>
          <w:p>
            <w:pPr>
              <w:spacing w:after="0"/>
              <w:rPr>
                <w:sz w:val="20"/>
                <w:szCs w:val="20"/>
                <w:color w:val="auto"/>
              </w:rPr>
            </w:pPr>
            <w:r>
              <w:rPr>
                <w:rFonts w:ascii="Arial" w:cs="Arial" w:eastAsia="Arial" w:hAnsi="Arial"/>
                <w:sz w:val="18"/>
                <w:szCs w:val="18"/>
                <w:color w:val="auto"/>
              </w:rPr>
              <w:t>Credit facility financing costs</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8"/>
                <w:szCs w:val="18"/>
                <w:color w:val="auto"/>
              </w:rPr>
              <w:t>(4,784)</w:t>
            </w:r>
          </w:p>
        </w:tc>
        <w:tc>
          <w:tcPr>
            <w:tcW w:w="160" w:type="dxa"/>
            <w:vAlign w:val="bottom"/>
          </w:tcPr>
          <w:p>
            <w:pPr>
              <w:spacing w:after="0"/>
              <w:rPr>
                <w:sz w:val="18"/>
                <w:szCs w:val="18"/>
                <w:color w:val="auto"/>
              </w:rPr>
            </w:pPr>
          </w:p>
        </w:tc>
        <w:tc>
          <w:tcPr>
            <w:tcW w:w="800" w:type="dxa"/>
            <w:vAlign w:val="bottom"/>
            <w:gridSpan w:val="2"/>
          </w:tcPr>
          <w:p>
            <w:pPr>
              <w:jc w:val="right"/>
              <w:ind w:right="60"/>
              <w:spacing w:after="0"/>
              <w:rPr>
                <w:sz w:val="20"/>
                <w:szCs w:val="20"/>
                <w:color w:val="auto"/>
              </w:rPr>
            </w:pPr>
            <w:r>
              <w:rPr>
                <w:rFonts w:ascii="Arial" w:cs="Arial" w:eastAsia="Arial" w:hAnsi="Arial"/>
                <w:sz w:val="18"/>
                <w:szCs w:val="18"/>
                <w:color w:val="auto"/>
              </w:rPr>
              <w:t>(3,094)</w:t>
            </w: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8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080" w:type="dxa"/>
            <w:vAlign w:val="bottom"/>
            <w:shd w:val="clear" w:color="auto" w:fill="CCEEFF"/>
          </w:tcPr>
          <w:p>
            <w:pPr>
              <w:spacing w:after="0"/>
              <w:rPr>
                <w:sz w:val="20"/>
                <w:szCs w:val="20"/>
                <w:color w:val="auto"/>
              </w:rPr>
            </w:pPr>
            <w:r>
              <w:rPr>
                <w:rFonts w:ascii="Arial" w:cs="Arial" w:eastAsia="Arial" w:hAnsi="Arial"/>
                <w:sz w:val="18"/>
                <w:szCs w:val="18"/>
                <w:color w:val="auto"/>
              </w:rPr>
              <w:t>Common shares issued</w:t>
            </w: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68,522</w:t>
            </w: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376,265</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8"/>
              </w:rPr>
              <w:t>144,138</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6080" w:type="dxa"/>
            <w:vAlign w:val="bottom"/>
          </w:tcPr>
          <w:p>
            <w:pPr>
              <w:spacing w:after="0"/>
              <w:rPr>
                <w:sz w:val="20"/>
                <w:szCs w:val="20"/>
                <w:color w:val="auto"/>
              </w:rPr>
            </w:pPr>
            <w:r>
              <w:rPr>
                <w:rFonts w:ascii="Arial" w:cs="Arial" w:eastAsia="Arial" w:hAnsi="Arial"/>
                <w:sz w:val="18"/>
                <w:szCs w:val="18"/>
                <w:color w:val="auto"/>
              </w:rPr>
              <w:t>Warrants issued</w:t>
            </w:r>
          </w:p>
        </w:tc>
        <w:tc>
          <w:tcPr>
            <w:tcW w:w="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6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9"/>
                <w:szCs w:val="19"/>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24,858</w:t>
            </w: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
        </w:trPr>
        <w:tc>
          <w:tcPr>
            <w:tcW w:w="20" w:type="dxa"/>
            <w:vAlign w:val="bottom"/>
          </w:tcPr>
          <w:p>
            <w:pPr>
              <w:spacing w:after="0" w:line="20" w:lineRule="exact"/>
              <w:rPr>
                <w:sz w:val="1"/>
                <w:szCs w:val="1"/>
                <w:color w:val="auto"/>
              </w:rPr>
            </w:pPr>
          </w:p>
        </w:tc>
        <w:tc>
          <w:tcPr>
            <w:tcW w:w="60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6080" w:type="dxa"/>
            <w:vAlign w:val="bottom"/>
            <w:shd w:val="clear" w:color="auto" w:fill="CCEEFF"/>
          </w:tcPr>
          <w:p>
            <w:pPr>
              <w:spacing w:after="0"/>
              <w:rPr>
                <w:sz w:val="20"/>
                <w:szCs w:val="20"/>
                <w:color w:val="auto"/>
              </w:rPr>
            </w:pPr>
            <w:r>
              <w:rPr>
                <w:rFonts w:ascii="Arial" w:cs="Arial" w:eastAsia="Arial" w:hAnsi="Arial"/>
                <w:sz w:val="18"/>
                <w:szCs w:val="18"/>
                <w:color w:val="auto"/>
              </w:rPr>
              <w:t>Cash provided by financing activities</w:t>
            </w: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559,818</w:t>
            </w: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558,072</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8"/>
              </w:rPr>
              <w:t>127,314</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6100" w:type="dxa"/>
            <w:vAlign w:val="bottom"/>
            <w:gridSpan w:val="2"/>
            <w:vMerge w:val="restart"/>
          </w:tcPr>
          <w:p>
            <w:pPr>
              <w:spacing w:after="0"/>
              <w:rPr>
                <w:sz w:val="20"/>
                <w:szCs w:val="20"/>
                <w:color w:val="auto"/>
              </w:rPr>
            </w:pPr>
            <w:r>
              <w:rPr>
                <w:rFonts w:ascii="Arial" w:cs="Arial" w:eastAsia="Arial" w:hAnsi="Arial"/>
                <w:sz w:val="18"/>
                <w:szCs w:val="18"/>
                <w:color w:val="auto"/>
              </w:rPr>
              <w:t>Effect of exchange rate changes on cash and cash equivalents</w:t>
            </w:r>
          </w:p>
        </w:tc>
        <w:tc>
          <w:tcPr>
            <w:tcW w:w="20" w:type="dxa"/>
            <w:vAlign w:val="bottom"/>
          </w:tcPr>
          <w:p>
            <w:pPr>
              <w:spacing w:after="0"/>
              <w:rPr>
                <w:sz w:val="2"/>
                <w:szCs w:val="2"/>
                <w:color w:val="auto"/>
              </w:rPr>
            </w:pPr>
          </w:p>
        </w:tc>
        <w:tc>
          <w:tcPr>
            <w:tcW w:w="140" w:type="dxa"/>
            <w:vAlign w:val="bottom"/>
          </w:tcPr>
          <w:p>
            <w:pPr>
              <w:spacing w:after="0"/>
              <w:rPr>
                <w:sz w:val="2"/>
                <w:szCs w:val="2"/>
                <w:color w:val="auto"/>
              </w:rPr>
            </w:pPr>
          </w:p>
        </w:tc>
        <w:tc>
          <w:tcPr>
            <w:tcW w:w="700" w:type="dxa"/>
            <w:vAlign w:val="bottom"/>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Pr>
          <w:p>
            <w:pPr>
              <w:spacing w:after="0"/>
              <w:rPr>
                <w:sz w:val="2"/>
                <w:szCs w:val="2"/>
                <w:color w:val="auto"/>
              </w:rPr>
            </w:pPr>
          </w:p>
        </w:tc>
        <w:tc>
          <w:tcPr>
            <w:tcW w:w="800" w:type="dxa"/>
            <w:vAlign w:val="bottom"/>
            <w:gridSpan w:val="2"/>
          </w:tcPr>
          <w:p>
            <w:pPr>
              <w:spacing w:after="0"/>
              <w:rPr>
                <w:sz w:val="2"/>
                <w:szCs w:val="2"/>
                <w:color w:val="auto"/>
              </w:rPr>
            </w:pPr>
          </w:p>
        </w:tc>
        <w:tc>
          <w:tcPr>
            <w:tcW w:w="60" w:type="dxa"/>
            <w:vAlign w:val="bottom"/>
          </w:tcPr>
          <w:p>
            <w:pPr>
              <w:spacing w:after="0"/>
              <w:rPr>
                <w:sz w:val="2"/>
                <w:szCs w:val="2"/>
                <w:color w:val="auto"/>
              </w:rPr>
            </w:pPr>
          </w:p>
        </w:tc>
        <w:tc>
          <w:tcPr>
            <w:tcW w:w="180" w:type="dxa"/>
            <w:vAlign w:val="bottom"/>
          </w:tcPr>
          <w:p>
            <w:pPr>
              <w:spacing w:after="0"/>
              <w:rPr>
                <w:sz w:val="2"/>
                <w:szCs w:val="2"/>
                <w:color w:val="auto"/>
              </w:rPr>
            </w:pPr>
          </w:p>
        </w:tc>
        <w:tc>
          <w:tcPr>
            <w:tcW w:w="660" w:type="dxa"/>
            <w:vAlign w:val="bottom"/>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16"/>
        </w:trPr>
        <w:tc>
          <w:tcPr>
            <w:tcW w:w="6100" w:type="dxa"/>
            <w:vAlign w:val="bottom"/>
            <w:gridSpan w:val="2"/>
            <w:vMerge w:val="continue"/>
          </w:tcPr>
          <w:p>
            <w:pPr>
              <w:spacing w:after="0"/>
              <w:rPr>
                <w:sz w:val="18"/>
                <w:szCs w:val="18"/>
                <w:color w:val="auto"/>
              </w:rPr>
            </w:pPr>
          </w:p>
        </w:tc>
        <w:tc>
          <w:tcPr>
            <w:tcW w:w="20" w:type="dxa"/>
            <w:vAlign w:val="bottom"/>
          </w:tcPr>
          <w:p>
            <w:pPr>
              <w:spacing w:after="0"/>
              <w:rPr>
                <w:sz w:val="18"/>
                <w:szCs w:val="18"/>
                <w:color w:val="auto"/>
              </w:rPr>
            </w:pPr>
          </w:p>
        </w:tc>
        <w:tc>
          <w:tcPr>
            <w:tcW w:w="140" w:type="dxa"/>
            <w:vAlign w:val="bottom"/>
            <w:tcBorders>
              <w:top w:val="single" w:sz="8" w:color="auto"/>
            </w:tcBorders>
          </w:tcPr>
          <w:p>
            <w:pPr>
              <w:spacing w:after="0"/>
              <w:rPr>
                <w:sz w:val="18"/>
                <w:szCs w:val="18"/>
                <w:color w:val="auto"/>
              </w:rPr>
            </w:pPr>
          </w:p>
        </w:tc>
        <w:tc>
          <w:tcPr>
            <w:tcW w:w="7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4,585</w:t>
            </w:r>
          </w:p>
        </w:tc>
        <w:tc>
          <w:tcPr>
            <w:tcW w:w="160" w:type="dxa"/>
            <w:vAlign w:val="bottom"/>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7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(8,110)</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Borders>
              <w:top w:val="single" w:sz="8" w:color="auto"/>
            </w:tcBorders>
          </w:tcPr>
          <w:p>
            <w:pPr>
              <w:spacing w:after="0"/>
              <w:rPr>
                <w:sz w:val="18"/>
                <w:szCs w:val="18"/>
                <w:color w:val="auto"/>
              </w:rPr>
            </w:pPr>
          </w:p>
        </w:tc>
        <w:tc>
          <w:tcPr>
            <w:tcW w:w="6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26,481</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
        </w:trPr>
        <w:tc>
          <w:tcPr>
            <w:tcW w:w="20" w:type="dxa"/>
            <w:vAlign w:val="bottom"/>
          </w:tcPr>
          <w:p>
            <w:pPr>
              <w:spacing w:after="0" w:line="20" w:lineRule="exact"/>
              <w:rPr>
                <w:sz w:val="1"/>
                <w:szCs w:val="1"/>
                <w:color w:val="auto"/>
              </w:rPr>
            </w:pPr>
          </w:p>
        </w:tc>
        <w:tc>
          <w:tcPr>
            <w:tcW w:w="60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6080" w:type="dxa"/>
            <w:vAlign w:val="bottom"/>
            <w:shd w:val="clear" w:color="auto" w:fill="CCEEFF"/>
          </w:tcPr>
          <w:p>
            <w:pPr>
              <w:spacing w:after="0"/>
              <w:rPr>
                <w:sz w:val="20"/>
                <w:szCs w:val="20"/>
                <w:color w:val="auto"/>
              </w:rPr>
            </w:pPr>
            <w:r>
              <w:rPr>
                <w:rFonts w:ascii="Arial" w:cs="Arial" w:eastAsia="Arial" w:hAnsi="Arial"/>
                <w:sz w:val="18"/>
                <w:szCs w:val="18"/>
                <w:color w:val="auto"/>
              </w:rPr>
              <w:t>Net increase (decrease) in cash and cash equivalents during the year</w:t>
            </w: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91,898</w:t>
            </w: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3"/>
              </w:rPr>
              <w:t>(246,412)</w:t>
            </w: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26,219</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6080" w:type="dxa"/>
            <w:vAlign w:val="bottom"/>
          </w:tcPr>
          <w:p>
            <w:pPr>
              <w:spacing w:after="0"/>
              <w:rPr>
                <w:sz w:val="20"/>
                <w:szCs w:val="20"/>
                <w:color w:val="auto"/>
              </w:rPr>
            </w:pPr>
            <w:r>
              <w:rPr>
                <w:rFonts w:ascii="Arial" w:cs="Arial" w:eastAsia="Arial" w:hAnsi="Arial"/>
                <w:sz w:val="18"/>
                <w:szCs w:val="18"/>
                <w:color w:val="auto"/>
              </w:rPr>
              <w:t>Cash and cash equivalents, beginning of year</w:t>
            </w:r>
          </w:p>
        </w:tc>
        <w:tc>
          <w:tcPr>
            <w:tcW w:w="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68,382</w:t>
            </w:r>
          </w:p>
        </w:tc>
        <w:tc>
          <w:tcPr>
            <w:tcW w:w="1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314,794</w:t>
            </w: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w w:val="98"/>
              </w:rPr>
              <w:t>288,575</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
        </w:trPr>
        <w:tc>
          <w:tcPr>
            <w:tcW w:w="20" w:type="dxa"/>
            <w:vAlign w:val="bottom"/>
          </w:tcPr>
          <w:p>
            <w:pPr>
              <w:spacing w:after="0" w:line="20" w:lineRule="exact"/>
              <w:rPr>
                <w:sz w:val="1"/>
                <w:szCs w:val="1"/>
                <w:color w:val="auto"/>
              </w:rPr>
            </w:pPr>
          </w:p>
        </w:tc>
        <w:tc>
          <w:tcPr>
            <w:tcW w:w="60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6080" w:type="dxa"/>
            <w:vAlign w:val="bottom"/>
            <w:shd w:val="clear" w:color="auto" w:fill="CCEEFF"/>
          </w:tcPr>
          <w:p>
            <w:pPr>
              <w:spacing w:after="0"/>
              <w:rPr>
                <w:sz w:val="20"/>
                <w:szCs w:val="20"/>
                <w:color w:val="auto"/>
              </w:rPr>
            </w:pPr>
            <w:r>
              <w:rPr>
                <w:rFonts w:ascii="Arial" w:cs="Arial" w:eastAsia="Arial" w:hAnsi="Arial"/>
                <w:sz w:val="18"/>
                <w:szCs w:val="18"/>
                <w:color w:val="auto"/>
              </w:rPr>
              <w:t>Cash and cash equivalents, end of year</w:t>
            </w: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160,280</w:t>
            </w: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jc w:val="right"/>
              <w:ind w:right="3"/>
              <w:spacing w:after="0"/>
              <w:rPr>
                <w:sz w:val="20"/>
                <w:szCs w:val="20"/>
                <w:color w:val="auto"/>
              </w:rPr>
            </w:pPr>
            <w:r>
              <w:rPr>
                <w:rFonts w:ascii="Arial" w:cs="Arial" w:eastAsia="Arial" w:hAnsi="Arial"/>
                <w:sz w:val="15"/>
                <w:szCs w:val="15"/>
                <w:color w:val="auto"/>
                <w:w w:val="71"/>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68,382</w:t>
            </w:r>
          </w:p>
        </w:tc>
        <w:tc>
          <w:tcPr>
            <w:tcW w:w="100" w:type="dxa"/>
            <w:vAlign w:val="bottom"/>
            <w:shd w:val="clear" w:color="auto" w:fill="CCEEFF"/>
          </w:tcPr>
          <w:p>
            <w:pPr>
              <w:spacing w:after="0"/>
              <w:rPr>
                <w:sz w:val="18"/>
                <w:szCs w:val="18"/>
                <w:color w:val="auto"/>
              </w:rPr>
            </w:pPr>
          </w:p>
        </w:tc>
        <w:tc>
          <w:tcPr>
            <w:tcW w:w="240" w:type="dxa"/>
            <w:vAlign w:val="bottom"/>
            <w:gridSpan w:val="2"/>
            <w:shd w:val="clear" w:color="auto" w:fill="CCEEFF"/>
          </w:tcPr>
          <w:p>
            <w:pPr>
              <w:jc w:val="right"/>
              <w:ind w:right="23"/>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8"/>
              </w:rPr>
              <w:t>314,794</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6100" w:type="dxa"/>
            <w:vAlign w:val="bottom"/>
            <w:gridSpan w:val="2"/>
            <w:vMerge w:val="restart"/>
          </w:tcPr>
          <w:p>
            <w:pPr>
              <w:spacing w:after="0"/>
              <w:rPr>
                <w:sz w:val="20"/>
                <w:szCs w:val="20"/>
                <w:color w:val="auto"/>
              </w:rPr>
            </w:pPr>
            <w:r>
              <w:rPr>
                <w:rFonts w:ascii="Arial" w:cs="Arial" w:eastAsia="Arial" w:hAnsi="Arial"/>
                <w:sz w:val="18"/>
                <w:szCs w:val="18"/>
                <w:b w:val="1"/>
                <w:bCs w:val="1"/>
                <w:i w:val="1"/>
                <w:iCs w:val="1"/>
                <w:color w:val="auto"/>
              </w:rPr>
              <w:t>Supplemental cash flow information:</w:t>
            </w:r>
          </w:p>
        </w:tc>
        <w:tc>
          <w:tcPr>
            <w:tcW w:w="2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6100" w:type="dxa"/>
            <w:vAlign w:val="bottom"/>
            <w:gridSpan w:val="2"/>
            <w:vMerge w:val="continu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1"/>
        </w:trPr>
        <w:tc>
          <w:tcPr>
            <w:tcW w:w="6100" w:type="dxa"/>
            <w:vAlign w:val="bottom"/>
            <w:gridSpan w:val="2"/>
            <w:vMerge w:val="continue"/>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6080" w:type="dxa"/>
            <w:vAlign w:val="bottom"/>
            <w:shd w:val="clear" w:color="auto" w:fill="CCEEFF"/>
          </w:tcPr>
          <w:p>
            <w:pPr>
              <w:spacing w:after="0"/>
              <w:rPr>
                <w:sz w:val="20"/>
                <w:szCs w:val="20"/>
                <w:color w:val="auto"/>
              </w:rPr>
            </w:pPr>
            <w:r>
              <w:rPr>
                <w:rFonts w:ascii="Arial" w:cs="Arial" w:eastAsia="Arial" w:hAnsi="Arial"/>
                <w:sz w:val="18"/>
                <w:szCs w:val="18"/>
                <w:color w:val="auto"/>
              </w:rPr>
              <w:t>Interest paid during the year</w:t>
            </w: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17,189</w:t>
            </w: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jc w:val="right"/>
              <w:ind w:right="3"/>
              <w:spacing w:after="0"/>
              <w:rPr>
                <w:sz w:val="20"/>
                <w:szCs w:val="20"/>
                <w:color w:val="auto"/>
              </w:rPr>
            </w:pPr>
            <w:r>
              <w:rPr>
                <w:rFonts w:ascii="Arial" w:cs="Arial" w:eastAsia="Arial" w:hAnsi="Arial"/>
                <w:sz w:val="15"/>
                <w:szCs w:val="15"/>
                <w:color w:val="auto"/>
                <w:w w:val="71"/>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6,345</w:t>
            </w:r>
          </w:p>
        </w:tc>
        <w:tc>
          <w:tcPr>
            <w:tcW w:w="100" w:type="dxa"/>
            <w:vAlign w:val="bottom"/>
            <w:shd w:val="clear" w:color="auto" w:fill="CCEEFF"/>
          </w:tcPr>
          <w:p>
            <w:pPr>
              <w:spacing w:after="0"/>
              <w:rPr>
                <w:sz w:val="18"/>
                <w:szCs w:val="18"/>
                <w:color w:val="auto"/>
              </w:rPr>
            </w:pPr>
          </w:p>
        </w:tc>
        <w:tc>
          <w:tcPr>
            <w:tcW w:w="240" w:type="dxa"/>
            <w:vAlign w:val="bottom"/>
            <w:gridSpan w:val="2"/>
            <w:shd w:val="clear" w:color="auto" w:fill="CCEEFF"/>
          </w:tcPr>
          <w:p>
            <w:pPr>
              <w:jc w:val="right"/>
              <w:ind w:right="23"/>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2,406</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6100" w:type="dxa"/>
            <w:vAlign w:val="bottom"/>
            <w:gridSpan w:val="2"/>
            <w:vMerge w:val="restart"/>
          </w:tcPr>
          <w:p>
            <w:pPr>
              <w:spacing w:after="0"/>
              <w:rPr>
                <w:sz w:val="20"/>
                <w:szCs w:val="20"/>
                <w:color w:val="auto"/>
              </w:rPr>
            </w:pPr>
            <w:r>
              <w:rPr>
                <w:rFonts w:ascii="Arial" w:cs="Arial" w:eastAsia="Arial" w:hAnsi="Arial"/>
                <w:sz w:val="18"/>
                <w:szCs w:val="18"/>
                <w:color w:val="auto"/>
              </w:rPr>
              <w:t>Income, mining and capital taxes paid during the year</w:t>
            </w:r>
          </w:p>
        </w:tc>
        <w:tc>
          <w:tcPr>
            <w:tcW w:w="2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6100" w:type="dxa"/>
            <w:vAlign w:val="bottom"/>
            <w:gridSpan w:val="2"/>
            <w:vMerge w:val="continue"/>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40" w:type="dxa"/>
            <w:vAlign w:val="bottom"/>
            <w:gridSpan w:val="2"/>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3"/>
        </w:trPr>
        <w:tc>
          <w:tcPr>
            <w:tcW w:w="6100" w:type="dxa"/>
            <w:vAlign w:val="bottom"/>
            <w:gridSpan w:val="2"/>
            <w:vMerge w:val="continue"/>
          </w:tcPr>
          <w:p>
            <w:pPr>
              <w:spacing w:after="0"/>
              <w:rPr>
                <w:sz w:val="17"/>
                <w:szCs w:val="17"/>
                <w:color w:val="auto"/>
              </w:rPr>
            </w:pPr>
          </w:p>
        </w:tc>
        <w:tc>
          <w:tcPr>
            <w:tcW w:w="20" w:type="dxa"/>
            <w:vAlign w:val="bottom"/>
          </w:tcPr>
          <w:p>
            <w:pPr>
              <w:spacing w:after="0"/>
              <w:rPr>
                <w:sz w:val="17"/>
                <w:szCs w:val="17"/>
                <w:color w:val="auto"/>
              </w:rPr>
            </w:pPr>
          </w:p>
        </w:tc>
        <w:tc>
          <w:tcPr>
            <w:tcW w:w="14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00" w:type="dxa"/>
            <w:vAlign w:val="bottom"/>
            <w:tcBorders>
              <w:top w:val="single" w:sz="8" w:color="auto"/>
            </w:tcBorders>
          </w:tcPr>
          <w:p>
            <w:pPr>
              <w:jc w:val="right"/>
              <w:spacing w:after="0" w:line="203" w:lineRule="exact"/>
              <w:rPr>
                <w:sz w:val="20"/>
                <w:szCs w:val="20"/>
                <w:color w:val="auto"/>
              </w:rPr>
            </w:pPr>
            <w:r>
              <w:rPr>
                <w:rFonts w:ascii="Arial" w:cs="Arial" w:eastAsia="Arial" w:hAnsi="Arial"/>
                <w:sz w:val="18"/>
                <w:szCs w:val="18"/>
                <w:color w:val="auto"/>
              </w:rPr>
              <w:t>8,792</w:t>
            </w:r>
          </w:p>
        </w:tc>
        <w:tc>
          <w:tcPr>
            <w:tcW w:w="160" w:type="dxa"/>
            <w:vAlign w:val="bottom"/>
          </w:tcPr>
          <w:p>
            <w:pPr>
              <w:spacing w:after="0"/>
              <w:rPr>
                <w:sz w:val="17"/>
                <w:szCs w:val="17"/>
                <w:color w:val="auto"/>
              </w:rPr>
            </w:pPr>
          </w:p>
        </w:tc>
        <w:tc>
          <w:tcPr>
            <w:tcW w:w="160" w:type="dxa"/>
            <w:vAlign w:val="bottom"/>
            <w:tcBorders>
              <w:top w:val="single" w:sz="8" w:color="auto"/>
            </w:tcBorders>
          </w:tcPr>
          <w:p>
            <w:pPr>
              <w:jc w:val="right"/>
              <w:ind w:right="3"/>
              <w:spacing w:after="0"/>
              <w:rPr>
                <w:sz w:val="20"/>
                <w:szCs w:val="20"/>
                <w:color w:val="auto"/>
              </w:rPr>
            </w:pPr>
            <w:r>
              <w:rPr>
                <w:rFonts w:ascii="Arial" w:cs="Arial" w:eastAsia="Arial" w:hAnsi="Arial"/>
                <w:sz w:val="15"/>
                <w:szCs w:val="15"/>
                <w:color w:val="auto"/>
                <w:w w:val="71"/>
              </w:rPr>
              <w:t>$</w:t>
            </w:r>
          </w:p>
        </w:tc>
        <w:tc>
          <w:tcPr>
            <w:tcW w:w="700" w:type="dxa"/>
            <w:vAlign w:val="bottom"/>
            <w:tcBorders>
              <w:top w:val="single" w:sz="8" w:color="auto"/>
            </w:tcBorders>
          </w:tcPr>
          <w:p>
            <w:pPr>
              <w:jc w:val="right"/>
              <w:spacing w:after="0" w:line="203" w:lineRule="exact"/>
              <w:rPr>
                <w:sz w:val="20"/>
                <w:szCs w:val="20"/>
                <w:color w:val="auto"/>
              </w:rPr>
            </w:pPr>
            <w:r>
              <w:rPr>
                <w:rFonts w:ascii="Arial" w:cs="Arial" w:eastAsia="Arial" w:hAnsi="Arial"/>
                <w:sz w:val="18"/>
                <w:szCs w:val="18"/>
                <w:color w:val="auto"/>
              </w:rPr>
              <w:t>3,802</w:t>
            </w: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80" w:type="dxa"/>
            <w:vAlign w:val="bottom"/>
            <w:tcBorders>
              <w:top w:val="single" w:sz="8" w:color="auto"/>
            </w:tcBorders>
          </w:tcPr>
          <w:p>
            <w:pPr>
              <w:jc w:val="right"/>
              <w:ind w:right="23"/>
              <w:spacing w:after="0"/>
              <w:rPr>
                <w:sz w:val="20"/>
                <w:szCs w:val="20"/>
                <w:color w:val="auto"/>
              </w:rPr>
            </w:pPr>
            <w:r>
              <w:rPr>
                <w:rFonts w:ascii="Arial" w:cs="Arial" w:eastAsia="Arial" w:hAnsi="Arial"/>
                <w:sz w:val="15"/>
                <w:szCs w:val="15"/>
                <w:color w:val="auto"/>
                <w:w w:val="71"/>
              </w:rPr>
              <w:t>$</w:t>
            </w:r>
          </w:p>
        </w:tc>
        <w:tc>
          <w:tcPr>
            <w:tcW w:w="660" w:type="dxa"/>
            <w:vAlign w:val="bottom"/>
            <w:tcBorders>
              <w:top w:val="single" w:sz="8" w:color="auto"/>
            </w:tcBorders>
          </w:tcPr>
          <w:p>
            <w:pPr>
              <w:jc w:val="right"/>
              <w:spacing w:after="0" w:line="203" w:lineRule="exact"/>
              <w:rPr>
                <w:sz w:val="20"/>
                <w:szCs w:val="20"/>
                <w:color w:val="auto"/>
              </w:rPr>
            </w:pPr>
            <w:r>
              <w:rPr>
                <w:rFonts w:ascii="Arial" w:cs="Arial" w:eastAsia="Arial" w:hAnsi="Arial"/>
                <w:sz w:val="18"/>
                <w:szCs w:val="18"/>
                <w:color w:val="auto"/>
              </w:rPr>
              <w:t>22,138</w:t>
            </w: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
        </w:trPr>
        <w:tc>
          <w:tcPr>
            <w:tcW w:w="20" w:type="dxa"/>
            <w:vAlign w:val="bottom"/>
          </w:tcPr>
          <w:p>
            <w:pPr>
              <w:spacing w:after="0" w:line="20" w:lineRule="exact"/>
              <w:rPr>
                <w:sz w:val="1"/>
                <w:szCs w:val="1"/>
                <w:color w:val="auto"/>
              </w:rPr>
            </w:pPr>
          </w:p>
        </w:tc>
        <w:tc>
          <w:tcPr>
            <w:tcW w:w="608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0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See accompanying notes</w:t>
      </w:r>
    </w:p>
    <w:p>
      <w:pPr>
        <w:sectPr>
          <w:pgSz w:w="11900" w:h="16838" w:orient="portrait"/>
          <w:cols w:equalWidth="0" w:num="1">
            <w:col w:w="9140"/>
          </w:cols>
          <w:pgMar w:left="1380" w:top="341" w:right="1379" w:bottom="1440" w:gutter="0" w:footer="0" w:header="0"/>
        </w:sectPr>
      </w:pP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157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-720090</wp:posOffset>
            </wp:positionH>
            <wp:positionV relativeFrom="paragraph">
              <wp:posOffset>168275</wp:posOffset>
            </wp:positionV>
            <wp:extent cx="7250430" cy="2159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9140"/>
          </w:cols>
          <w:pgMar w:left="1380" w:top="341" w:right="1379" w:bottom="1440" w:gutter="0" w:footer="0" w:header="0"/>
          <w:type w:val="continuous"/>
        </w:sectPr>
      </w:pPr>
    </w:p>
    <w:bookmarkStart w:id="200" w:name="page201"/>
    <w:bookmarkEnd w:id="200"/>
    <w:p>
      <w:pPr>
        <w:jc w:val="center"/>
        <w:ind w:right="40"/>
        <w:spacing w:after="0"/>
        <w:rPr>
          <w:sz w:val="20"/>
          <w:szCs w:val="20"/>
          <w:color w:val="auto"/>
        </w:rPr>
      </w:pPr>
      <w:r>
        <w:rPr>
          <w:rFonts w:ascii="Arial" w:cs="Arial" w:eastAsia="Arial" w:hAnsi="Arial"/>
          <w:sz w:val="18"/>
          <w:szCs w:val="18"/>
          <w:b w:val="1"/>
          <w:bCs w:val="1"/>
          <w:color w:val="auto"/>
        </w:rPr>
        <w:t>AGNICO-EAGLE MINES LIMITED</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(thousands of United States dollars, except per share amounts, unless otherwise indicated)</w:t>
      </w:r>
    </w:p>
    <w:p>
      <w:pPr>
        <w:spacing w:after="0" w:line="21"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December 31, 2009</w:t>
      </w:r>
    </w:p>
    <w:p>
      <w:pPr>
        <w:spacing w:after="0" w:line="214" w:lineRule="exact"/>
        <w:rPr>
          <w:sz w:val="20"/>
          <w:szCs w:val="20"/>
          <w:color w:val="auto"/>
        </w:rPr>
      </w:pPr>
    </w:p>
    <w:p>
      <w:pPr>
        <w:ind w:left="280" w:hanging="272"/>
        <w:spacing w:after="0"/>
        <w:tabs>
          <w:tab w:leader="none" w:pos="280" w:val="left"/>
        </w:tabs>
        <w:numPr>
          <w:ilvl w:val="0"/>
          <w:numId w:val="82"/>
        </w:numPr>
        <w:rPr>
          <w:rFonts w:ascii="Arial" w:cs="Arial" w:eastAsia="Arial" w:hAnsi="Arial"/>
          <w:sz w:val="14"/>
          <w:szCs w:val="14"/>
          <w:b w:val="1"/>
          <w:bCs w:val="1"/>
          <w:color w:val="auto"/>
        </w:rPr>
      </w:pPr>
      <w:r>
        <w:rPr>
          <w:rFonts w:ascii="Arial" w:cs="Arial" w:eastAsia="Arial" w:hAnsi="Arial"/>
          <w:sz w:val="14"/>
          <w:szCs w:val="14"/>
          <w:b w:val="1"/>
          <w:bCs w:val="1"/>
          <w:color w:val="auto"/>
        </w:rPr>
        <w:t>TRADE RECEIVABLES AND REVENUES FROM MINING OPERATIONS</w:t>
      </w:r>
    </w:p>
    <w:p>
      <w:pPr>
        <w:spacing w:after="0" w:line="206" w:lineRule="exact"/>
        <w:rPr>
          <w:sz w:val="20"/>
          <w:szCs w:val="20"/>
          <w:color w:val="auto"/>
        </w:rPr>
      </w:pPr>
    </w:p>
    <w:p>
      <w:pPr>
        <w:jc w:val="both"/>
        <w:ind w:left="540"/>
        <w:spacing w:after="0" w:line="288" w:lineRule="auto"/>
        <w:rPr>
          <w:sz w:val="20"/>
          <w:szCs w:val="20"/>
          <w:color w:val="auto"/>
        </w:rPr>
      </w:pPr>
      <w:r>
        <w:rPr>
          <w:rFonts w:ascii="Arial" w:cs="Arial" w:eastAsia="Arial" w:hAnsi="Arial"/>
          <w:sz w:val="12"/>
          <w:szCs w:val="12"/>
          <w:color w:val="auto"/>
        </w:rPr>
        <w:t>Agnico-Eagle is a gold mining company with operations in Canada, Finland, Mexico and an advanced-stage construction project in northern Canada. The Company earns a significant proportion of its sales revenues from the production and sale of gold in both dore bars and concentrate form. The remainder of revenue and cash flow is generated by the production and sale of byproduct metals. The revenue from byproduct metals are mainly generated by production at the LaRonde Mine in Canada (silver, zinc, copper and lead) and the Pinos Altos Mine in Mexico (silver).</w:t>
      </w:r>
    </w:p>
    <w:p>
      <w:pPr>
        <w:spacing w:after="0" w:line="165" w:lineRule="exact"/>
        <w:rPr>
          <w:sz w:val="20"/>
          <w:szCs w:val="20"/>
          <w:color w:val="auto"/>
        </w:rPr>
      </w:pPr>
    </w:p>
    <w:p>
      <w:pPr>
        <w:jc w:val="both"/>
        <w:ind w:left="540" w:right="20"/>
        <w:spacing w:after="0" w:line="318" w:lineRule="auto"/>
        <w:rPr>
          <w:sz w:val="20"/>
          <w:szCs w:val="20"/>
          <w:color w:val="auto"/>
        </w:rPr>
      </w:pPr>
      <w:r>
        <w:rPr>
          <w:rFonts w:ascii="Arial" w:cs="Arial" w:eastAsia="Arial" w:hAnsi="Arial"/>
          <w:sz w:val="12"/>
          <w:szCs w:val="12"/>
          <w:color w:val="auto"/>
        </w:rPr>
        <w:t>Sales revenues are generated from operations in Canada, Finland, and Mexico. The cash flow and profitability of the Company's operations are significantly affected by the market price of gold, and to a lesser extent, silver, zinc, copper, and lead. The prices of these metals can fluctuate widely and are affected by numerous factors beyond the Company's control.</w:t>
      </w:r>
    </w:p>
    <w:p>
      <w:pPr>
        <w:spacing w:after="0" w:line="148" w:lineRule="exact"/>
        <w:rPr>
          <w:sz w:val="20"/>
          <w:szCs w:val="20"/>
          <w:color w:val="auto"/>
        </w:rPr>
      </w:pPr>
    </w:p>
    <w:p>
      <w:pPr>
        <w:ind w:left="540"/>
        <w:spacing w:after="0"/>
        <w:rPr>
          <w:sz w:val="20"/>
          <w:szCs w:val="20"/>
          <w:color w:val="auto"/>
        </w:rPr>
      </w:pPr>
      <w:r>
        <w:rPr>
          <w:rFonts w:ascii="Arial" w:cs="Arial" w:eastAsia="Arial" w:hAnsi="Arial"/>
          <w:sz w:val="14"/>
          <w:szCs w:val="14"/>
          <w:color w:val="auto"/>
        </w:rPr>
        <w:t>As gold can be sold through numerous gold market traders worldwide, the Company is not economically dependent on a limited number of customers for the sale of its product.</w:t>
      </w:r>
    </w:p>
    <w:p>
      <w:pPr>
        <w:spacing w:after="0" w:line="204" w:lineRule="exact"/>
        <w:rPr>
          <w:sz w:val="20"/>
          <w:szCs w:val="20"/>
          <w:color w:val="auto"/>
        </w:rPr>
      </w:pPr>
    </w:p>
    <w:p>
      <w:pPr>
        <w:jc w:val="both"/>
        <w:ind w:left="540"/>
        <w:spacing w:after="0" w:line="239" w:lineRule="auto"/>
        <w:rPr>
          <w:sz w:val="20"/>
          <w:szCs w:val="20"/>
          <w:color w:val="auto"/>
        </w:rPr>
      </w:pPr>
      <w:r>
        <w:rPr>
          <w:rFonts w:ascii="Arial" w:cs="Arial" w:eastAsia="Arial" w:hAnsi="Arial"/>
          <w:sz w:val="14"/>
          <w:szCs w:val="14"/>
          <w:color w:val="auto"/>
        </w:rPr>
        <w:t>Trade receivables are recognized once the transfer of ownership for the metals sold has occurred and reflect the amounts owing to the Company in respect of its sales of bullion or concentrates to third parties prior to the satisfaction in full of payment obligations of the third parties.</w:t>
      </w:r>
    </w:p>
    <w:p>
      <w:pPr>
        <w:spacing w:after="0" w:line="191" w:lineRule="exact"/>
        <w:rPr>
          <w:sz w:val="20"/>
          <w:szCs w:val="20"/>
          <w:color w:val="auto"/>
        </w:rPr>
      </w:pPr>
    </w:p>
    <w:tbl>
      <w:tblPr>
        <w:tblLayout w:type="fixed"/>
        <w:tblInd w:w="1160" w:type="dxa"/>
        <w:tblCellMar>
          <w:top w:w="0" w:type="dxa"/>
          <w:left w:w="0" w:type="dxa"/>
          <w:bottom w:w="0" w:type="dxa"/>
          <w:right w:w="0" w:type="dxa"/>
        </w:tblCellMar>
      </w:tblPr>
      <w:tr>
        <w:trPr>
          <w:trHeight w:val="161"/>
        </w:trPr>
        <w:tc>
          <w:tcPr>
            <w:tcW w:w="764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460" w:type="dxa"/>
            <w:vAlign w:val="bottom"/>
            <w:tcBorders>
              <w:bottom w:val="single" w:sz="8" w:color="auto"/>
            </w:tcBorders>
          </w:tcPr>
          <w:p>
            <w:pPr>
              <w:jc w:val="right"/>
              <w:ind w:right="92"/>
              <w:spacing w:after="0"/>
              <w:rPr>
                <w:sz w:val="20"/>
                <w:szCs w:val="20"/>
                <w:color w:val="auto"/>
              </w:rPr>
            </w:pPr>
            <w:r>
              <w:rPr>
                <w:rFonts w:ascii="Arial" w:cs="Arial" w:eastAsia="Arial" w:hAnsi="Arial"/>
                <w:sz w:val="14"/>
                <w:szCs w:val="14"/>
                <w:b w:val="1"/>
                <w:bCs w:val="1"/>
                <w:color w:val="auto"/>
                <w:w w:val="89"/>
              </w:rPr>
              <w:t>2009</w:t>
            </w:r>
          </w:p>
        </w:tc>
        <w:tc>
          <w:tcPr>
            <w:tcW w:w="16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460" w:type="dxa"/>
            <w:vAlign w:val="bottom"/>
            <w:tcBorders>
              <w:bottom w:val="single" w:sz="8" w:color="auto"/>
            </w:tcBorders>
          </w:tcPr>
          <w:p>
            <w:pPr>
              <w:jc w:val="right"/>
              <w:ind w:right="92"/>
              <w:spacing w:after="0"/>
              <w:rPr>
                <w:sz w:val="20"/>
                <w:szCs w:val="20"/>
                <w:color w:val="auto"/>
              </w:rPr>
            </w:pPr>
            <w:r>
              <w:rPr>
                <w:rFonts w:ascii="Arial" w:cs="Arial" w:eastAsia="Arial" w:hAnsi="Arial"/>
                <w:sz w:val="14"/>
                <w:szCs w:val="14"/>
                <w:b w:val="1"/>
                <w:bCs w:val="1"/>
                <w:color w:val="auto"/>
                <w:w w:val="89"/>
              </w:rPr>
              <w:t>2008</w:t>
            </w:r>
          </w:p>
        </w:tc>
        <w:tc>
          <w:tcPr>
            <w:tcW w:w="160" w:type="dxa"/>
            <w:vAlign w:val="bottom"/>
          </w:tcPr>
          <w:p>
            <w:pPr>
              <w:spacing w:after="0"/>
              <w:rPr>
                <w:sz w:val="14"/>
                <w:szCs w:val="14"/>
                <w:color w:val="auto"/>
              </w:rPr>
            </w:pPr>
          </w:p>
        </w:tc>
      </w:tr>
      <w:tr>
        <w:trPr>
          <w:trHeight w:val="142"/>
        </w:trPr>
        <w:tc>
          <w:tcPr>
            <w:tcW w:w="7640" w:type="dxa"/>
            <w:vAlign w:val="bottom"/>
            <w:shd w:val="clear" w:color="auto" w:fill="CCEEFF"/>
          </w:tcPr>
          <w:p>
            <w:pPr>
              <w:ind w:left="200"/>
              <w:spacing w:after="0" w:line="142" w:lineRule="exact"/>
              <w:rPr>
                <w:sz w:val="20"/>
                <w:szCs w:val="20"/>
                <w:color w:val="auto"/>
              </w:rPr>
            </w:pPr>
            <w:r>
              <w:rPr>
                <w:rFonts w:ascii="Arial" w:cs="Arial" w:eastAsia="Arial" w:hAnsi="Arial"/>
                <w:sz w:val="14"/>
                <w:szCs w:val="14"/>
                <w:color w:val="auto"/>
              </w:rPr>
              <w:t>Bullion awaiting settlement</w:t>
            </w:r>
          </w:p>
        </w:tc>
        <w:tc>
          <w:tcPr>
            <w:tcW w:w="1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46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3,488</w:t>
            </w:r>
          </w:p>
        </w:tc>
        <w:tc>
          <w:tcPr>
            <w:tcW w:w="280" w:type="dxa"/>
            <w:vAlign w:val="bottom"/>
            <w:gridSpan w:val="2"/>
            <w:shd w:val="clear" w:color="auto" w:fill="CCEEFF"/>
          </w:tcPr>
          <w:p>
            <w:pPr>
              <w:jc w:val="right"/>
              <w:ind w:right="40"/>
              <w:spacing w:after="0" w:line="142" w:lineRule="exact"/>
              <w:rPr>
                <w:sz w:val="20"/>
                <w:szCs w:val="20"/>
                <w:color w:val="auto"/>
              </w:rPr>
            </w:pPr>
            <w:r>
              <w:rPr>
                <w:rFonts w:ascii="Arial" w:cs="Arial" w:eastAsia="Arial" w:hAnsi="Arial"/>
                <w:sz w:val="14"/>
                <w:szCs w:val="14"/>
                <w:color w:val="auto"/>
              </w:rPr>
              <w:t>$</w:t>
            </w:r>
          </w:p>
        </w:tc>
        <w:tc>
          <w:tcPr>
            <w:tcW w:w="620" w:type="dxa"/>
            <w:vAlign w:val="bottom"/>
            <w:gridSpan w:val="2"/>
            <w:shd w:val="clear" w:color="auto" w:fill="CCEEFF"/>
          </w:tcPr>
          <w:p>
            <w:pPr>
              <w:jc w:val="right"/>
              <w:ind w:right="160"/>
              <w:spacing w:after="0" w:line="142" w:lineRule="exact"/>
              <w:rPr>
                <w:sz w:val="20"/>
                <w:szCs w:val="20"/>
                <w:color w:val="auto"/>
              </w:rPr>
            </w:pPr>
            <w:r>
              <w:rPr>
                <w:rFonts w:ascii="Arial" w:cs="Arial" w:eastAsia="Arial" w:hAnsi="Arial"/>
                <w:sz w:val="14"/>
                <w:szCs w:val="14"/>
                <w:color w:val="auto"/>
              </w:rPr>
              <w:t>—</w:t>
            </w:r>
          </w:p>
        </w:tc>
      </w:tr>
      <w:tr>
        <w:trPr>
          <w:trHeight w:val="174"/>
        </w:trPr>
        <w:tc>
          <w:tcPr>
            <w:tcW w:w="7640" w:type="dxa"/>
            <w:vAlign w:val="bottom"/>
          </w:tcPr>
          <w:p>
            <w:pPr>
              <w:ind w:left="200"/>
              <w:spacing w:after="0"/>
              <w:rPr>
                <w:sz w:val="20"/>
                <w:szCs w:val="20"/>
                <w:color w:val="auto"/>
              </w:rPr>
            </w:pPr>
            <w:r>
              <w:rPr>
                <w:rFonts w:ascii="Arial" w:cs="Arial" w:eastAsia="Arial" w:hAnsi="Arial"/>
                <w:sz w:val="14"/>
                <w:szCs w:val="14"/>
                <w:color w:val="auto"/>
              </w:rPr>
              <w:t>Concentrates awaiting settlement</w:t>
            </w:r>
          </w:p>
        </w:tc>
        <w:tc>
          <w:tcPr>
            <w:tcW w:w="120" w:type="dxa"/>
            <w:vAlign w:val="bottom"/>
            <w:tcBorders>
              <w:bottom w:val="single" w:sz="8" w:color="auto"/>
            </w:tcBorders>
          </w:tcPr>
          <w:p>
            <w:pPr>
              <w:spacing w:after="0"/>
              <w:rPr>
                <w:sz w:val="15"/>
                <w:szCs w:val="15"/>
                <w:color w:val="auto"/>
              </w:rPr>
            </w:pPr>
          </w:p>
        </w:tc>
        <w:tc>
          <w:tcPr>
            <w:tcW w:w="46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90,083</w:t>
            </w:r>
          </w:p>
        </w:tc>
        <w:tc>
          <w:tcPr>
            <w:tcW w:w="160" w:type="dxa"/>
            <w:vAlign w:val="bottom"/>
          </w:tcPr>
          <w:p>
            <w:pPr>
              <w:spacing w:after="0"/>
              <w:rPr>
                <w:sz w:val="15"/>
                <w:szCs w:val="15"/>
                <w:color w:val="auto"/>
              </w:rPr>
            </w:pPr>
          </w:p>
        </w:tc>
        <w:tc>
          <w:tcPr>
            <w:tcW w:w="120" w:type="dxa"/>
            <w:vAlign w:val="bottom"/>
            <w:tcBorders>
              <w:bottom w:val="single" w:sz="8" w:color="auto"/>
            </w:tcBorders>
          </w:tcPr>
          <w:p>
            <w:pPr>
              <w:spacing w:after="0"/>
              <w:rPr>
                <w:sz w:val="15"/>
                <w:szCs w:val="15"/>
                <w:color w:val="auto"/>
              </w:rPr>
            </w:pPr>
          </w:p>
        </w:tc>
        <w:tc>
          <w:tcPr>
            <w:tcW w:w="46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45,640</w:t>
            </w:r>
          </w:p>
        </w:tc>
        <w:tc>
          <w:tcPr>
            <w:tcW w:w="160" w:type="dxa"/>
            <w:vAlign w:val="bottom"/>
          </w:tcPr>
          <w:p>
            <w:pPr>
              <w:spacing w:after="0"/>
              <w:rPr>
                <w:sz w:val="15"/>
                <w:szCs w:val="15"/>
                <w:color w:val="auto"/>
              </w:rPr>
            </w:pPr>
          </w:p>
        </w:tc>
      </w:tr>
      <w:tr>
        <w:trPr>
          <w:trHeight w:val="211"/>
        </w:trPr>
        <w:tc>
          <w:tcPr>
            <w:tcW w:w="7640" w:type="dxa"/>
            <w:vAlign w:val="bottom"/>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4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93,571</w:t>
            </w:r>
          </w:p>
        </w:tc>
        <w:tc>
          <w:tcPr>
            <w:tcW w:w="280" w:type="dxa"/>
            <w:vAlign w:val="bottom"/>
            <w:gridSpan w:val="2"/>
            <w:shd w:val="clear" w:color="auto" w:fill="CCEEFF"/>
          </w:tcPr>
          <w:p>
            <w:pPr>
              <w:jc w:val="right"/>
              <w:ind w:right="40"/>
              <w:spacing w:after="0"/>
              <w:rPr>
                <w:sz w:val="20"/>
                <w:szCs w:val="20"/>
                <w:color w:val="auto"/>
              </w:rPr>
            </w:pPr>
            <w:r>
              <w:rPr>
                <w:rFonts w:ascii="Arial" w:cs="Arial" w:eastAsia="Arial" w:hAnsi="Arial"/>
                <w:sz w:val="14"/>
                <w:szCs w:val="14"/>
                <w:color w:val="auto"/>
              </w:rPr>
              <w:t>$</w:t>
            </w:r>
          </w:p>
        </w:tc>
        <w:tc>
          <w:tcPr>
            <w:tcW w:w="4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45,640</w:t>
            </w:r>
          </w:p>
        </w:tc>
        <w:tc>
          <w:tcPr>
            <w:tcW w:w="160" w:type="dxa"/>
            <w:vAlign w:val="bottom"/>
            <w:shd w:val="clear" w:color="auto" w:fill="CCEEFF"/>
          </w:tcPr>
          <w:p>
            <w:pPr>
              <w:spacing w:after="0"/>
              <w:rPr>
                <w:sz w:val="18"/>
                <w:szCs w:val="18"/>
                <w:color w:val="auto"/>
              </w:rPr>
            </w:pPr>
          </w:p>
        </w:tc>
      </w:tr>
      <w:tr>
        <w:trPr>
          <w:trHeight w:val="27"/>
        </w:trPr>
        <w:tc>
          <w:tcPr>
            <w:tcW w:w="764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r>
      <w:tr>
        <w:trPr>
          <w:trHeight w:val="20"/>
        </w:trPr>
        <w:tc>
          <w:tcPr>
            <w:tcW w:w="764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3" w:lineRule="exact"/>
        <w:rPr>
          <w:sz w:val="20"/>
          <w:szCs w:val="20"/>
          <w:color w:val="auto"/>
        </w:rPr>
      </w:pPr>
    </w:p>
    <w:tbl>
      <w:tblPr>
        <w:tblLayout w:type="fixed"/>
        <w:tblInd w:w="1160" w:type="dxa"/>
        <w:tblCellMar>
          <w:top w:w="0" w:type="dxa"/>
          <w:left w:w="0" w:type="dxa"/>
          <w:bottom w:w="0" w:type="dxa"/>
          <w:right w:w="0" w:type="dxa"/>
        </w:tblCellMar>
      </w:tblPr>
      <w:tr>
        <w:trPr>
          <w:trHeight w:val="161"/>
        </w:trPr>
        <w:tc>
          <w:tcPr>
            <w:tcW w:w="670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520" w:type="dxa"/>
            <w:vAlign w:val="bottom"/>
            <w:tcBorders>
              <w:bottom w:val="single" w:sz="8" w:color="auto"/>
            </w:tcBorders>
          </w:tcPr>
          <w:p>
            <w:pPr>
              <w:jc w:val="right"/>
              <w:ind w:right="132"/>
              <w:spacing w:after="0"/>
              <w:rPr>
                <w:sz w:val="20"/>
                <w:szCs w:val="20"/>
                <w:color w:val="auto"/>
              </w:rPr>
            </w:pPr>
            <w:r>
              <w:rPr>
                <w:rFonts w:ascii="Arial" w:cs="Arial" w:eastAsia="Arial" w:hAnsi="Arial"/>
                <w:sz w:val="14"/>
                <w:szCs w:val="14"/>
                <w:b w:val="1"/>
                <w:bCs w:val="1"/>
                <w:color w:val="auto"/>
                <w:w w:val="96"/>
              </w:rPr>
              <w:t>2009</w:t>
            </w:r>
          </w:p>
        </w:tc>
        <w:tc>
          <w:tcPr>
            <w:tcW w:w="16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520" w:type="dxa"/>
            <w:vAlign w:val="bottom"/>
            <w:tcBorders>
              <w:bottom w:val="single" w:sz="8" w:color="auto"/>
            </w:tcBorders>
          </w:tcPr>
          <w:p>
            <w:pPr>
              <w:jc w:val="right"/>
              <w:ind w:right="132"/>
              <w:spacing w:after="0"/>
              <w:rPr>
                <w:sz w:val="20"/>
                <w:szCs w:val="20"/>
                <w:color w:val="auto"/>
              </w:rPr>
            </w:pPr>
            <w:r>
              <w:rPr>
                <w:rFonts w:ascii="Arial" w:cs="Arial" w:eastAsia="Arial" w:hAnsi="Arial"/>
                <w:sz w:val="14"/>
                <w:szCs w:val="14"/>
                <w:b w:val="1"/>
                <w:bCs w:val="1"/>
                <w:color w:val="auto"/>
                <w:w w:val="96"/>
              </w:rPr>
              <w:t>2008</w:t>
            </w:r>
          </w:p>
        </w:tc>
        <w:tc>
          <w:tcPr>
            <w:tcW w:w="16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520" w:type="dxa"/>
            <w:vAlign w:val="bottom"/>
            <w:tcBorders>
              <w:bottom w:val="single" w:sz="8" w:color="auto"/>
            </w:tcBorders>
          </w:tcPr>
          <w:p>
            <w:pPr>
              <w:jc w:val="right"/>
              <w:ind w:right="132"/>
              <w:spacing w:after="0"/>
              <w:rPr>
                <w:sz w:val="20"/>
                <w:szCs w:val="20"/>
                <w:color w:val="auto"/>
              </w:rPr>
            </w:pPr>
            <w:r>
              <w:rPr>
                <w:rFonts w:ascii="Arial" w:cs="Arial" w:eastAsia="Arial" w:hAnsi="Arial"/>
                <w:sz w:val="14"/>
                <w:szCs w:val="14"/>
                <w:b w:val="1"/>
                <w:bCs w:val="1"/>
                <w:color w:val="auto"/>
                <w:w w:val="96"/>
              </w:rPr>
              <w:t>2007</w:t>
            </w:r>
          </w:p>
        </w:tc>
        <w:tc>
          <w:tcPr>
            <w:tcW w:w="160" w:type="dxa"/>
            <w:vAlign w:val="bottom"/>
          </w:tcPr>
          <w:p>
            <w:pPr>
              <w:spacing w:after="0"/>
              <w:rPr>
                <w:sz w:val="14"/>
                <w:szCs w:val="14"/>
                <w:color w:val="auto"/>
              </w:rPr>
            </w:pPr>
          </w:p>
        </w:tc>
      </w:tr>
      <w:tr>
        <w:trPr>
          <w:trHeight w:val="142"/>
        </w:trPr>
        <w:tc>
          <w:tcPr>
            <w:tcW w:w="6700" w:type="dxa"/>
            <w:vAlign w:val="bottom"/>
            <w:shd w:val="clear" w:color="auto" w:fill="CCEEFF"/>
          </w:tcPr>
          <w:p>
            <w:pPr>
              <w:ind w:left="200"/>
              <w:spacing w:after="0" w:line="142" w:lineRule="exact"/>
              <w:rPr>
                <w:sz w:val="20"/>
                <w:szCs w:val="20"/>
                <w:color w:val="auto"/>
              </w:rPr>
            </w:pPr>
            <w:r>
              <w:rPr>
                <w:rFonts w:ascii="Arial" w:cs="Arial" w:eastAsia="Arial" w:hAnsi="Arial"/>
                <w:sz w:val="14"/>
                <w:szCs w:val="14"/>
                <w:b w:val="1"/>
                <w:bCs w:val="1"/>
                <w:i w:val="1"/>
                <w:iCs w:val="1"/>
                <w:color w:val="auto"/>
              </w:rPr>
              <w:t>Revenues from mining operations (thousands):</w:t>
            </w:r>
          </w:p>
        </w:tc>
        <w:tc>
          <w:tcPr>
            <w:tcW w:w="12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r>
      <w:tr>
        <w:trPr>
          <w:trHeight w:val="149"/>
        </w:trPr>
        <w:tc>
          <w:tcPr>
            <w:tcW w:w="6700" w:type="dxa"/>
            <w:vAlign w:val="bottom"/>
          </w:tcPr>
          <w:p>
            <w:pPr>
              <w:ind w:left="200"/>
              <w:spacing w:after="0" w:line="149" w:lineRule="exact"/>
              <w:rPr>
                <w:sz w:val="20"/>
                <w:szCs w:val="20"/>
                <w:color w:val="auto"/>
              </w:rPr>
            </w:pPr>
            <w:r>
              <w:rPr>
                <w:rFonts w:ascii="Arial" w:cs="Arial" w:eastAsia="Arial" w:hAnsi="Arial"/>
                <w:sz w:val="14"/>
                <w:szCs w:val="14"/>
                <w:color w:val="auto"/>
              </w:rPr>
              <w:t>Gold</w:t>
            </w:r>
          </w:p>
        </w:tc>
        <w:tc>
          <w:tcPr>
            <w:tcW w:w="120" w:type="dxa"/>
            <w:vAlign w:val="bottom"/>
          </w:tcPr>
          <w:p>
            <w:pPr>
              <w:jc w:val="right"/>
              <w:ind w:right="9"/>
              <w:spacing w:after="0"/>
              <w:rPr>
                <w:sz w:val="20"/>
                <w:szCs w:val="20"/>
                <w:color w:val="auto"/>
              </w:rPr>
            </w:pPr>
            <w:r>
              <w:rPr>
                <w:rFonts w:ascii="Arial" w:cs="Arial" w:eastAsia="Arial" w:hAnsi="Arial"/>
                <w:sz w:val="10"/>
                <w:szCs w:val="10"/>
                <w:color w:val="auto"/>
                <w:w w:val="71"/>
              </w:rPr>
              <w:t>$</w:t>
            </w:r>
          </w:p>
        </w:tc>
        <w:tc>
          <w:tcPr>
            <w:tcW w:w="520" w:type="dxa"/>
            <w:vAlign w:val="bottom"/>
          </w:tcPr>
          <w:p>
            <w:pPr>
              <w:jc w:val="right"/>
              <w:spacing w:after="0" w:line="149" w:lineRule="exact"/>
              <w:rPr>
                <w:sz w:val="20"/>
                <w:szCs w:val="20"/>
                <w:color w:val="auto"/>
              </w:rPr>
            </w:pPr>
            <w:r>
              <w:rPr>
                <w:rFonts w:ascii="Arial" w:cs="Arial" w:eastAsia="Arial" w:hAnsi="Arial"/>
                <w:sz w:val="14"/>
                <w:szCs w:val="14"/>
                <w:color w:val="auto"/>
                <w:w w:val="98"/>
              </w:rPr>
              <w:t>474,875</w:t>
            </w:r>
          </w:p>
        </w:tc>
        <w:tc>
          <w:tcPr>
            <w:tcW w:w="30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520" w:type="dxa"/>
            <w:vAlign w:val="bottom"/>
          </w:tcPr>
          <w:p>
            <w:pPr>
              <w:jc w:val="right"/>
              <w:spacing w:after="0" w:line="149" w:lineRule="exact"/>
              <w:rPr>
                <w:sz w:val="20"/>
                <w:szCs w:val="20"/>
                <w:color w:val="auto"/>
              </w:rPr>
            </w:pPr>
            <w:r>
              <w:rPr>
                <w:rFonts w:ascii="Arial" w:cs="Arial" w:eastAsia="Arial" w:hAnsi="Arial"/>
                <w:sz w:val="14"/>
                <w:szCs w:val="14"/>
                <w:color w:val="auto"/>
                <w:w w:val="94"/>
              </w:rPr>
              <w:t>227,576</w:t>
            </w:r>
          </w:p>
        </w:tc>
        <w:tc>
          <w:tcPr>
            <w:tcW w:w="2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520" w:type="dxa"/>
            <w:vAlign w:val="bottom"/>
          </w:tcPr>
          <w:p>
            <w:pPr>
              <w:jc w:val="right"/>
              <w:spacing w:after="0" w:line="149" w:lineRule="exact"/>
              <w:rPr>
                <w:sz w:val="20"/>
                <w:szCs w:val="20"/>
                <w:color w:val="auto"/>
              </w:rPr>
            </w:pPr>
            <w:r>
              <w:rPr>
                <w:rFonts w:ascii="Arial" w:cs="Arial" w:eastAsia="Arial" w:hAnsi="Arial"/>
                <w:sz w:val="14"/>
                <w:szCs w:val="14"/>
                <w:color w:val="auto"/>
                <w:w w:val="98"/>
              </w:rPr>
              <w:t>171,537</w:t>
            </w:r>
          </w:p>
        </w:tc>
        <w:tc>
          <w:tcPr>
            <w:tcW w:w="160" w:type="dxa"/>
            <w:vAlign w:val="bottom"/>
          </w:tcPr>
          <w:p>
            <w:pPr>
              <w:spacing w:after="0"/>
              <w:rPr>
                <w:sz w:val="12"/>
                <w:szCs w:val="12"/>
                <w:color w:val="auto"/>
              </w:rPr>
            </w:pPr>
          </w:p>
        </w:tc>
      </w:tr>
      <w:tr>
        <w:trPr>
          <w:trHeight w:val="149"/>
        </w:trPr>
        <w:tc>
          <w:tcPr>
            <w:tcW w:w="670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Silver</w:t>
            </w:r>
          </w:p>
        </w:tc>
        <w:tc>
          <w:tcPr>
            <w:tcW w:w="12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59,155</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59,398</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70,028</w:t>
            </w:r>
          </w:p>
        </w:tc>
        <w:tc>
          <w:tcPr>
            <w:tcW w:w="160" w:type="dxa"/>
            <w:vAlign w:val="bottom"/>
            <w:shd w:val="clear" w:color="auto" w:fill="CCEEFF"/>
          </w:tcPr>
          <w:p>
            <w:pPr>
              <w:spacing w:after="0"/>
              <w:rPr>
                <w:sz w:val="12"/>
                <w:szCs w:val="12"/>
                <w:color w:val="auto"/>
              </w:rPr>
            </w:pPr>
          </w:p>
        </w:tc>
      </w:tr>
      <w:tr>
        <w:trPr>
          <w:trHeight w:val="149"/>
        </w:trPr>
        <w:tc>
          <w:tcPr>
            <w:tcW w:w="6700" w:type="dxa"/>
            <w:vAlign w:val="bottom"/>
          </w:tcPr>
          <w:p>
            <w:pPr>
              <w:ind w:left="200"/>
              <w:spacing w:after="0" w:line="149" w:lineRule="exact"/>
              <w:rPr>
                <w:sz w:val="20"/>
                <w:szCs w:val="20"/>
                <w:color w:val="auto"/>
              </w:rPr>
            </w:pPr>
            <w:r>
              <w:rPr>
                <w:rFonts w:ascii="Arial" w:cs="Arial" w:eastAsia="Arial" w:hAnsi="Arial"/>
                <w:sz w:val="14"/>
                <w:szCs w:val="14"/>
                <w:color w:val="auto"/>
              </w:rPr>
              <w:t>Zinc</w:t>
            </w:r>
          </w:p>
        </w:tc>
        <w:tc>
          <w:tcPr>
            <w:tcW w:w="120" w:type="dxa"/>
            <w:vAlign w:val="bottom"/>
          </w:tcPr>
          <w:p>
            <w:pPr>
              <w:spacing w:after="0"/>
              <w:rPr>
                <w:sz w:val="12"/>
                <w:szCs w:val="12"/>
                <w:color w:val="auto"/>
              </w:rPr>
            </w:pPr>
          </w:p>
        </w:tc>
        <w:tc>
          <w:tcPr>
            <w:tcW w:w="520" w:type="dxa"/>
            <w:vAlign w:val="bottom"/>
          </w:tcPr>
          <w:p>
            <w:pPr>
              <w:jc w:val="right"/>
              <w:spacing w:after="0" w:line="149" w:lineRule="exact"/>
              <w:rPr>
                <w:sz w:val="20"/>
                <w:szCs w:val="20"/>
                <w:color w:val="auto"/>
              </w:rPr>
            </w:pPr>
            <w:r>
              <w:rPr>
                <w:rFonts w:ascii="Arial" w:cs="Arial" w:eastAsia="Arial" w:hAnsi="Arial"/>
                <w:sz w:val="14"/>
                <w:szCs w:val="14"/>
                <w:color w:val="auto"/>
              </w:rPr>
              <w:t>57,034</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20" w:type="dxa"/>
            <w:vAlign w:val="bottom"/>
          </w:tcPr>
          <w:p>
            <w:pPr>
              <w:jc w:val="right"/>
              <w:spacing w:after="0" w:line="149" w:lineRule="exact"/>
              <w:rPr>
                <w:sz w:val="20"/>
                <w:szCs w:val="20"/>
                <w:color w:val="auto"/>
              </w:rPr>
            </w:pPr>
            <w:r>
              <w:rPr>
                <w:rFonts w:ascii="Arial" w:cs="Arial" w:eastAsia="Arial" w:hAnsi="Arial"/>
                <w:sz w:val="14"/>
                <w:szCs w:val="14"/>
                <w:color w:val="auto"/>
              </w:rPr>
              <w:t>54,364</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20" w:type="dxa"/>
            <w:vAlign w:val="bottom"/>
          </w:tcPr>
          <w:p>
            <w:pPr>
              <w:jc w:val="right"/>
              <w:spacing w:after="0" w:line="149" w:lineRule="exact"/>
              <w:rPr>
                <w:sz w:val="20"/>
                <w:szCs w:val="20"/>
                <w:color w:val="auto"/>
              </w:rPr>
            </w:pPr>
            <w:r>
              <w:rPr>
                <w:rFonts w:ascii="Arial" w:cs="Arial" w:eastAsia="Arial" w:hAnsi="Arial"/>
                <w:sz w:val="14"/>
                <w:szCs w:val="14"/>
                <w:color w:val="auto"/>
                <w:w w:val="98"/>
              </w:rPr>
              <w:t>156,340</w:t>
            </w:r>
          </w:p>
        </w:tc>
        <w:tc>
          <w:tcPr>
            <w:tcW w:w="160" w:type="dxa"/>
            <w:vAlign w:val="bottom"/>
          </w:tcPr>
          <w:p>
            <w:pPr>
              <w:spacing w:after="0"/>
              <w:rPr>
                <w:sz w:val="12"/>
                <w:szCs w:val="12"/>
                <w:color w:val="auto"/>
              </w:rPr>
            </w:pPr>
          </w:p>
        </w:tc>
      </w:tr>
      <w:tr>
        <w:trPr>
          <w:trHeight w:val="149"/>
        </w:trPr>
        <w:tc>
          <w:tcPr>
            <w:tcW w:w="670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Copper</w:t>
            </w:r>
          </w:p>
        </w:tc>
        <w:tc>
          <w:tcPr>
            <w:tcW w:w="12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22,571</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27,600</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34,300</w:t>
            </w:r>
          </w:p>
        </w:tc>
        <w:tc>
          <w:tcPr>
            <w:tcW w:w="160" w:type="dxa"/>
            <w:vAlign w:val="bottom"/>
            <w:shd w:val="clear" w:color="auto" w:fill="CCEEFF"/>
          </w:tcPr>
          <w:p>
            <w:pPr>
              <w:spacing w:after="0"/>
              <w:rPr>
                <w:sz w:val="12"/>
                <w:szCs w:val="12"/>
                <w:color w:val="auto"/>
              </w:rPr>
            </w:pPr>
          </w:p>
        </w:tc>
      </w:tr>
      <w:tr>
        <w:trPr>
          <w:trHeight w:val="174"/>
        </w:trPr>
        <w:tc>
          <w:tcPr>
            <w:tcW w:w="6700" w:type="dxa"/>
            <w:vAlign w:val="bottom"/>
          </w:tcPr>
          <w:p>
            <w:pPr>
              <w:ind w:left="200"/>
              <w:spacing w:after="0"/>
              <w:rPr>
                <w:sz w:val="20"/>
                <w:szCs w:val="20"/>
                <w:color w:val="auto"/>
              </w:rPr>
            </w:pPr>
            <w:r>
              <w:rPr>
                <w:rFonts w:ascii="Arial" w:cs="Arial" w:eastAsia="Arial" w:hAnsi="Arial"/>
                <w:sz w:val="14"/>
                <w:szCs w:val="14"/>
                <w:color w:val="auto"/>
              </w:rPr>
              <w:t>Lead</w:t>
            </w:r>
          </w:p>
        </w:tc>
        <w:tc>
          <w:tcPr>
            <w:tcW w:w="120" w:type="dxa"/>
            <w:vAlign w:val="bottom"/>
            <w:tcBorders>
              <w:bottom w:val="single" w:sz="8" w:color="auto"/>
            </w:tcBorders>
          </w:tcPr>
          <w:p>
            <w:pPr>
              <w:spacing w:after="0"/>
              <w:rPr>
                <w:sz w:val="15"/>
                <w:szCs w:val="15"/>
                <w:color w:val="auto"/>
              </w:rPr>
            </w:pPr>
          </w:p>
        </w:tc>
        <w:tc>
          <w:tcPr>
            <w:tcW w:w="52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127</w:t>
            </w:r>
          </w:p>
        </w:tc>
        <w:tc>
          <w:tcPr>
            <w:tcW w:w="160" w:type="dxa"/>
            <w:vAlign w:val="bottom"/>
          </w:tcPr>
          <w:p>
            <w:pPr>
              <w:spacing w:after="0"/>
              <w:rPr>
                <w:sz w:val="15"/>
                <w:szCs w:val="15"/>
                <w:color w:val="auto"/>
              </w:rPr>
            </w:pPr>
          </w:p>
        </w:tc>
        <w:tc>
          <w:tcPr>
            <w:tcW w:w="140" w:type="dxa"/>
            <w:vAlign w:val="bottom"/>
            <w:tcBorders>
              <w:bottom w:val="single" w:sz="8" w:color="auto"/>
            </w:tcBorders>
          </w:tcPr>
          <w:p>
            <w:pPr>
              <w:spacing w:after="0"/>
              <w:rPr>
                <w:sz w:val="15"/>
                <w:szCs w:val="15"/>
                <w:color w:val="auto"/>
              </w:rPr>
            </w:pPr>
          </w:p>
        </w:tc>
        <w:tc>
          <w:tcPr>
            <w:tcW w:w="52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5"/>
                <w:szCs w:val="15"/>
                <w:color w:val="auto"/>
              </w:rPr>
            </w:pPr>
          </w:p>
        </w:tc>
        <w:tc>
          <w:tcPr>
            <w:tcW w:w="120" w:type="dxa"/>
            <w:vAlign w:val="bottom"/>
            <w:tcBorders>
              <w:bottom w:val="single" w:sz="8" w:color="auto"/>
            </w:tcBorders>
          </w:tcPr>
          <w:p>
            <w:pPr>
              <w:spacing w:after="0"/>
              <w:rPr>
                <w:sz w:val="15"/>
                <w:szCs w:val="15"/>
                <w:color w:val="auto"/>
              </w:rPr>
            </w:pPr>
          </w:p>
        </w:tc>
        <w:tc>
          <w:tcPr>
            <w:tcW w:w="52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5"/>
                <w:szCs w:val="15"/>
                <w:color w:val="auto"/>
              </w:rPr>
            </w:pPr>
          </w:p>
        </w:tc>
      </w:tr>
      <w:tr>
        <w:trPr>
          <w:trHeight w:val="211"/>
        </w:trPr>
        <w:tc>
          <w:tcPr>
            <w:tcW w:w="6700" w:type="dxa"/>
            <w:vAlign w:val="bottom"/>
            <w:shd w:val="clear" w:color="auto" w:fill="CCEEFF"/>
          </w:tcPr>
          <w:p>
            <w:pPr>
              <w:spacing w:after="0"/>
              <w:rPr>
                <w:sz w:val="18"/>
                <w:szCs w:val="18"/>
                <w:color w:val="auto"/>
              </w:rPr>
            </w:pPr>
          </w:p>
        </w:tc>
        <w:tc>
          <w:tcPr>
            <w:tcW w:w="120" w:type="dxa"/>
            <w:vAlign w:val="bottom"/>
            <w:shd w:val="clear" w:color="auto" w:fill="CCEEFF"/>
          </w:tcPr>
          <w:p>
            <w:pPr>
              <w:jc w:val="right"/>
              <w:ind w:right="9"/>
              <w:spacing w:after="0"/>
              <w:rPr>
                <w:sz w:val="20"/>
                <w:szCs w:val="20"/>
                <w:color w:val="auto"/>
              </w:rPr>
            </w:pPr>
            <w:r>
              <w:rPr>
                <w:rFonts w:ascii="Arial" w:cs="Arial" w:eastAsia="Arial" w:hAnsi="Arial"/>
                <w:sz w:val="10"/>
                <w:szCs w:val="10"/>
                <w:color w:val="auto"/>
                <w:w w:val="71"/>
              </w:rPr>
              <w:t>$</w:t>
            </w:r>
          </w:p>
        </w:tc>
        <w:tc>
          <w:tcPr>
            <w:tcW w:w="520" w:type="dxa"/>
            <w:vAlign w:val="bottom"/>
            <w:shd w:val="clear" w:color="auto" w:fill="CCEEFF"/>
          </w:tcPr>
          <w:p>
            <w:pPr>
              <w:jc w:val="right"/>
              <w:spacing w:after="0"/>
              <w:rPr>
                <w:sz w:val="20"/>
                <w:szCs w:val="20"/>
                <w:color w:val="auto"/>
              </w:rPr>
            </w:pPr>
            <w:r>
              <w:rPr>
                <w:rFonts w:ascii="Arial" w:cs="Arial" w:eastAsia="Arial" w:hAnsi="Arial"/>
                <w:sz w:val="14"/>
                <w:szCs w:val="14"/>
                <w:color w:val="auto"/>
                <w:w w:val="98"/>
              </w:rPr>
              <w:t>613,762</w:t>
            </w:r>
          </w:p>
        </w:tc>
        <w:tc>
          <w:tcPr>
            <w:tcW w:w="30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w:t>
            </w:r>
          </w:p>
        </w:tc>
        <w:tc>
          <w:tcPr>
            <w:tcW w:w="520" w:type="dxa"/>
            <w:vAlign w:val="bottom"/>
            <w:shd w:val="clear" w:color="auto" w:fill="CCEEFF"/>
          </w:tcPr>
          <w:p>
            <w:pPr>
              <w:jc w:val="right"/>
              <w:spacing w:after="0"/>
              <w:rPr>
                <w:sz w:val="20"/>
                <w:szCs w:val="20"/>
                <w:color w:val="auto"/>
              </w:rPr>
            </w:pPr>
            <w:r>
              <w:rPr>
                <w:rFonts w:ascii="Arial" w:cs="Arial" w:eastAsia="Arial" w:hAnsi="Arial"/>
                <w:sz w:val="14"/>
                <w:szCs w:val="14"/>
                <w:color w:val="auto"/>
                <w:w w:val="94"/>
              </w:rPr>
              <w:t>368,938</w:t>
            </w:r>
          </w:p>
        </w:tc>
        <w:tc>
          <w:tcPr>
            <w:tcW w:w="28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w:t>
            </w:r>
          </w:p>
        </w:tc>
        <w:tc>
          <w:tcPr>
            <w:tcW w:w="520" w:type="dxa"/>
            <w:vAlign w:val="bottom"/>
            <w:shd w:val="clear" w:color="auto" w:fill="CCEEFF"/>
          </w:tcPr>
          <w:p>
            <w:pPr>
              <w:jc w:val="right"/>
              <w:spacing w:after="0"/>
              <w:rPr>
                <w:sz w:val="20"/>
                <w:szCs w:val="20"/>
                <w:color w:val="auto"/>
              </w:rPr>
            </w:pPr>
            <w:r>
              <w:rPr>
                <w:rFonts w:ascii="Arial" w:cs="Arial" w:eastAsia="Arial" w:hAnsi="Arial"/>
                <w:sz w:val="14"/>
                <w:szCs w:val="14"/>
                <w:color w:val="auto"/>
                <w:w w:val="98"/>
              </w:rPr>
              <w:t>432,205</w:t>
            </w:r>
          </w:p>
        </w:tc>
        <w:tc>
          <w:tcPr>
            <w:tcW w:w="160" w:type="dxa"/>
            <w:vAlign w:val="bottom"/>
            <w:shd w:val="clear" w:color="auto" w:fill="CCEEFF"/>
          </w:tcPr>
          <w:p>
            <w:pPr>
              <w:spacing w:after="0"/>
              <w:rPr>
                <w:sz w:val="18"/>
                <w:szCs w:val="18"/>
                <w:color w:val="auto"/>
              </w:rPr>
            </w:pPr>
          </w:p>
        </w:tc>
      </w:tr>
      <w:tr>
        <w:trPr>
          <w:trHeight w:val="27"/>
        </w:trPr>
        <w:tc>
          <w:tcPr>
            <w:tcW w:w="670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r>
      <w:tr>
        <w:trPr>
          <w:trHeight w:val="20"/>
        </w:trPr>
        <w:tc>
          <w:tcPr>
            <w:tcW w:w="670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5" w:lineRule="exact"/>
        <w:rPr>
          <w:sz w:val="20"/>
          <w:szCs w:val="20"/>
          <w:color w:val="auto"/>
        </w:rPr>
      </w:pPr>
    </w:p>
    <w:p>
      <w:pPr>
        <w:jc w:val="both"/>
        <w:ind w:left="540"/>
        <w:spacing w:after="0" w:line="233" w:lineRule="auto"/>
        <w:rPr>
          <w:sz w:val="20"/>
          <w:szCs w:val="20"/>
          <w:color w:val="auto"/>
        </w:rPr>
      </w:pPr>
      <w:r>
        <w:rPr>
          <w:rFonts w:ascii="Arial" w:cs="Arial" w:eastAsia="Arial" w:hAnsi="Arial"/>
          <w:sz w:val="14"/>
          <w:szCs w:val="14"/>
          <w:color w:val="auto"/>
        </w:rPr>
        <w:t>In 2009, precious metals accounted for 87% of Agnico-Eagle's revenues from mining operations (2008 — 78%; 2007 — 56%). The remaining revenues from mining operations consisted of net byproduct metals revenues. In 2009, these net byproduct revenues as a percentage of total revenues from mining operations were 9% from zinc (2008 — 15%; 2007 — 36%) and 4% from copper (2008 — 7%; 2007 — 8%).</w:t>
      </w:r>
    </w:p>
    <w:p>
      <w:pPr>
        <w:spacing w:after="0" w:line="191" w:lineRule="exact"/>
        <w:rPr>
          <w:sz w:val="20"/>
          <w:szCs w:val="20"/>
          <w:color w:val="auto"/>
        </w:rPr>
      </w:pPr>
    </w:p>
    <w:tbl>
      <w:tblPr>
        <w:tblLayout w:type="fixed"/>
        <w:tblInd w:w="0" w:type="dxa"/>
        <w:tblCellMar>
          <w:top w:w="0" w:type="dxa"/>
          <w:left w:w="0" w:type="dxa"/>
          <w:bottom w:w="0" w:type="dxa"/>
          <w:right w:w="0" w:type="dxa"/>
        </w:tblCellMar>
      </w:tblPr>
      <w:tr>
        <w:trPr>
          <w:trHeight w:val="174"/>
        </w:trPr>
        <w:tc>
          <w:tcPr>
            <w:tcW w:w="8800" w:type="dxa"/>
            <w:vAlign w:val="bottom"/>
            <w:gridSpan w:val="3"/>
          </w:tcPr>
          <w:p>
            <w:pPr>
              <w:spacing w:after="0"/>
              <w:rPr>
                <w:sz w:val="20"/>
                <w:szCs w:val="20"/>
                <w:color w:val="auto"/>
              </w:rPr>
            </w:pPr>
            <w:r>
              <w:rPr>
                <w:rFonts w:ascii="Arial" w:cs="Arial" w:eastAsia="Arial" w:hAnsi="Arial"/>
                <w:sz w:val="14"/>
                <w:szCs w:val="14"/>
                <w:b w:val="1"/>
                <w:bCs w:val="1"/>
                <w:color w:val="auto"/>
              </w:rPr>
              <w:t>2.   OTHER ASSETS</w:t>
            </w:r>
          </w:p>
        </w:tc>
        <w:tc>
          <w:tcPr>
            <w:tcW w:w="12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160" w:type="dxa"/>
            <w:vAlign w:val="bottom"/>
          </w:tcPr>
          <w:p>
            <w:pPr>
              <w:spacing w:after="0"/>
              <w:rPr>
                <w:sz w:val="15"/>
                <w:szCs w:val="15"/>
                <w:color w:val="auto"/>
              </w:rPr>
            </w:pPr>
          </w:p>
        </w:tc>
      </w:tr>
      <w:tr>
        <w:trPr>
          <w:trHeight w:val="365"/>
        </w:trPr>
        <w:tc>
          <w:tcPr>
            <w:tcW w:w="900" w:type="dxa"/>
            <w:vAlign w:val="bottom"/>
          </w:tcPr>
          <w:p>
            <w:pPr>
              <w:ind w:left="540"/>
              <w:spacing w:after="0"/>
              <w:rPr>
                <w:sz w:val="20"/>
                <w:szCs w:val="20"/>
                <w:color w:val="auto"/>
              </w:rPr>
            </w:pPr>
            <w:r>
              <w:rPr>
                <w:rFonts w:ascii="Arial" w:cs="Arial" w:eastAsia="Arial" w:hAnsi="Arial"/>
                <w:sz w:val="14"/>
                <w:szCs w:val="14"/>
                <w:b w:val="1"/>
                <w:bCs w:val="1"/>
                <w:i w:val="1"/>
                <w:iCs w:val="1"/>
                <w:color w:val="auto"/>
              </w:rPr>
              <w:t>(a)</w:t>
            </w:r>
          </w:p>
        </w:tc>
        <w:tc>
          <w:tcPr>
            <w:tcW w:w="7900" w:type="dxa"/>
            <w:vAlign w:val="bottom"/>
            <w:gridSpan w:val="2"/>
          </w:tcPr>
          <w:p>
            <w:pPr>
              <w:ind w:left="180"/>
              <w:spacing w:after="0"/>
              <w:rPr>
                <w:sz w:val="20"/>
                <w:szCs w:val="20"/>
                <w:color w:val="auto"/>
              </w:rPr>
            </w:pPr>
            <w:r>
              <w:rPr>
                <w:rFonts w:ascii="Arial" w:cs="Arial" w:eastAsia="Arial" w:hAnsi="Arial"/>
                <w:sz w:val="14"/>
                <w:szCs w:val="14"/>
                <w:b w:val="1"/>
                <w:bCs w:val="1"/>
                <w:i w:val="1"/>
                <w:iCs w:val="1"/>
                <w:color w:val="auto"/>
              </w:rPr>
              <w:t>Other current assets</w:t>
            </w:r>
          </w:p>
        </w:tc>
        <w:tc>
          <w:tcPr>
            <w:tcW w:w="1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60" w:type="dxa"/>
            <w:vAlign w:val="bottom"/>
          </w:tcPr>
          <w:p>
            <w:pPr>
              <w:spacing w:after="0"/>
              <w:rPr>
                <w:sz w:val="24"/>
                <w:szCs w:val="24"/>
                <w:color w:val="auto"/>
              </w:rPr>
            </w:pPr>
          </w:p>
        </w:tc>
      </w:tr>
      <w:tr>
        <w:trPr>
          <w:trHeight w:val="338"/>
        </w:trPr>
        <w:tc>
          <w:tcPr>
            <w:tcW w:w="9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764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jc w:val="right"/>
              <w:ind w:right="92"/>
              <w:spacing w:after="0"/>
              <w:rPr>
                <w:sz w:val="20"/>
                <w:szCs w:val="20"/>
                <w:color w:val="auto"/>
              </w:rPr>
            </w:pPr>
            <w:r>
              <w:rPr>
                <w:rFonts w:ascii="Arial" w:cs="Arial" w:eastAsia="Arial" w:hAnsi="Arial"/>
                <w:sz w:val="14"/>
                <w:szCs w:val="14"/>
                <w:b w:val="1"/>
                <w:bCs w:val="1"/>
                <w:color w:val="auto"/>
                <w:w w:val="89"/>
              </w:rPr>
              <w:t>2009</w:t>
            </w:r>
          </w:p>
        </w:tc>
        <w:tc>
          <w:tcPr>
            <w:tcW w:w="16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jc w:val="right"/>
              <w:ind w:right="92"/>
              <w:spacing w:after="0"/>
              <w:rPr>
                <w:sz w:val="20"/>
                <w:szCs w:val="20"/>
                <w:color w:val="auto"/>
              </w:rPr>
            </w:pPr>
            <w:r>
              <w:rPr>
                <w:rFonts w:ascii="Arial" w:cs="Arial" w:eastAsia="Arial" w:hAnsi="Arial"/>
                <w:sz w:val="14"/>
                <w:szCs w:val="14"/>
                <w:b w:val="1"/>
                <w:bCs w:val="1"/>
                <w:color w:val="auto"/>
                <w:w w:val="89"/>
              </w:rPr>
              <w:t>2008</w:t>
            </w:r>
          </w:p>
        </w:tc>
        <w:tc>
          <w:tcPr>
            <w:tcW w:w="160" w:type="dxa"/>
            <w:vAlign w:val="bottom"/>
          </w:tcPr>
          <w:p>
            <w:pPr>
              <w:spacing w:after="0"/>
              <w:rPr>
                <w:sz w:val="24"/>
                <w:szCs w:val="24"/>
                <w:color w:val="auto"/>
              </w:rPr>
            </w:pPr>
          </w:p>
        </w:tc>
      </w:tr>
      <w:tr>
        <w:trPr>
          <w:trHeight w:val="142"/>
        </w:trPr>
        <w:tc>
          <w:tcPr>
            <w:tcW w:w="9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640" w:type="dxa"/>
            <w:vAlign w:val="bottom"/>
            <w:shd w:val="clear" w:color="auto" w:fill="CCEEFF"/>
          </w:tcPr>
          <w:p>
            <w:pPr>
              <w:ind w:left="420"/>
              <w:spacing w:after="0" w:line="142" w:lineRule="exact"/>
              <w:rPr>
                <w:sz w:val="20"/>
                <w:szCs w:val="20"/>
                <w:color w:val="auto"/>
              </w:rPr>
            </w:pPr>
            <w:r>
              <w:rPr>
                <w:rFonts w:ascii="Arial" w:cs="Arial" w:eastAsia="Arial" w:hAnsi="Arial"/>
                <w:sz w:val="14"/>
                <w:szCs w:val="14"/>
                <w:color w:val="auto"/>
              </w:rPr>
              <w:t>Federal, provincial and other sales taxes receivable</w:t>
            </w:r>
          </w:p>
        </w:tc>
        <w:tc>
          <w:tcPr>
            <w:tcW w:w="1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46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37,847</w:t>
            </w:r>
          </w:p>
        </w:tc>
        <w:tc>
          <w:tcPr>
            <w:tcW w:w="280" w:type="dxa"/>
            <w:vAlign w:val="bottom"/>
            <w:gridSpan w:val="2"/>
            <w:shd w:val="clear" w:color="auto" w:fill="CCEEFF"/>
          </w:tcPr>
          <w:p>
            <w:pPr>
              <w:jc w:val="right"/>
              <w:ind w:right="40"/>
              <w:spacing w:after="0" w:line="142" w:lineRule="exact"/>
              <w:rPr>
                <w:sz w:val="20"/>
                <w:szCs w:val="20"/>
                <w:color w:val="auto"/>
              </w:rPr>
            </w:pPr>
            <w:r>
              <w:rPr>
                <w:rFonts w:ascii="Arial" w:cs="Arial" w:eastAsia="Arial" w:hAnsi="Arial"/>
                <w:sz w:val="14"/>
                <w:szCs w:val="14"/>
                <w:color w:val="auto"/>
              </w:rPr>
              <w:t>$</w:t>
            </w:r>
          </w:p>
        </w:tc>
        <w:tc>
          <w:tcPr>
            <w:tcW w:w="46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52,669</w:t>
            </w:r>
          </w:p>
        </w:tc>
        <w:tc>
          <w:tcPr>
            <w:tcW w:w="160" w:type="dxa"/>
            <w:vAlign w:val="bottom"/>
            <w:shd w:val="clear" w:color="auto" w:fill="CCEEFF"/>
          </w:tcPr>
          <w:p>
            <w:pPr>
              <w:spacing w:after="0"/>
              <w:rPr>
                <w:sz w:val="12"/>
                <w:szCs w:val="12"/>
                <w:color w:val="auto"/>
              </w:rPr>
            </w:pPr>
          </w:p>
        </w:tc>
      </w:tr>
      <w:tr>
        <w:trPr>
          <w:trHeight w:val="149"/>
        </w:trPr>
        <w:tc>
          <w:tcPr>
            <w:tcW w:w="9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640" w:type="dxa"/>
            <w:vAlign w:val="bottom"/>
          </w:tcPr>
          <w:p>
            <w:pPr>
              <w:ind w:left="420"/>
              <w:spacing w:after="0" w:line="149" w:lineRule="exact"/>
              <w:rPr>
                <w:sz w:val="20"/>
                <w:szCs w:val="20"/>
                <w:color w:val="auto"/>
              </w:rPr>
            </w:pPr>
            <w:r>
              <w:rPr>
                <w:rFonts w:ascii="Arial" w:cs="Arial" w:eastAsia="Arial" w:hAnsi="Arial"/>
                <w:sz w:val="14"/>
                <w:szCs w:val="14"/>
                <w:color w:val="auto"/>
              </w:rPr>
              <w:t>Interest receivable</w:t>
            </w:r>
          </w:p>
        </w:tc>
        <w:tc>
          <w:tcPr>
            <w:tcW w:w="120" w:type="dxa"/>
            <w:vAlign w:val="bottom"/>
          </w:tcPr>
          <w:p>
            <w:pPr>
              <w:spacing w:after="0"/>
              <w:rPr>
                <w:sz w:val="12"/>
                <w:szCs w:val="12"/>
                <w:color w:val="auto"/>
              </w:rPr>
            </w:pPr>
          </w:p>
        </w:tc>
        <w:tc>
          <w:tcPr>
            <w:tcW w:w="460" w:type="dxa"/>
            <w:vAlign w:val="bottom"/>
          </w:tcPr>
          <w:p>
            <w:pPr>
              <w:jc w:val="right"/>
              <w:spacing w:after="0" w:line="149" w:lineRule="exact"/>
              <w:rPr>
                <w:sz w:val="20"/>
                <w:szCs w:val="20"/>
                <w:color w:val="auto"/>
              </w:rPr>
            </w:pPr>
            <w:r>
              <w:rPr>
                <w:rFonts w:ascii="Arial" w:cs="Arial" w:eastAsia="Arial" w:hAnsi="Arial"/>
                <w:sz w:val="14"/>
                <w:szCs w:val="14"/>
                <w:color w:val="auto"/>
              </w:rPr>
              <w:t>163</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60" w:type="dxa"/>
            <w:vAlign w:val="bottom"/>
          </w:tcPr>
          <w:p>
            <w:pPr>
              <w:jc w:val="right"/>
              <w:spacing w:after="0" w:line="149" w:lineRule="exact"/>
              <w:rPr>
                <w:sz w:val="20"/>
                <w:szCs w:val="20"/>
                <w:color w:val="auto"/>
              </w:rPr>
            </w:pPr>
            <w:r>
              <w:rPr>
                <w:rFonts w:ascii="Arial" w:cs="Arial" w:eastAsia="Arial" w:hAnsi="Arial"/>
                <w:sz w:val="14"/>
                <w:szCs w:val="14"/>
                <w:color w:val="auto"/>
              </w:rPr>
              <w:t>154</w:t>
            </w:r>
          </w:p>
        </w:tc>
        <w:tc>
          <w:tcPr>
            <w:tcW w:w="160" w:type="dxa"/>
            <w:vAlign w:val="bottom"/>
          </w:tcPr>
          <w:p>
            <w:pPr>
              <w:spacing w:after="0"/>
              <w:rPr>
                <w:sz w:val="12"/>
                <w:szCs w:val="12"/>
                <w:color w:val="auto"/>
              </w:rPr>
            </w:pPr>
          </w:p>
        </w:tc>
      </w:tr>
      <w:tr>
        <w:trPr>
          <w:trHeight w:val="149"/>
        </w:trPr>
        <w:tc>
          <w:tcPr>
            <w:tcW w:w="9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64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Prepaid expenses</w:t>
            </w:r>
          </w:p>
        </w:tc>
        <w:tc>
          <w:tcPr>
            <w:tcW w:w="12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4,797</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3,880</w:t>
            </w:r>
          </w:p>
        </w:tc>
        <w:tc>
          <w:tcPr>
            <w:tcW w:w="160" w:type="dxa"/>
            <w:vAlign w:val="bottom"/>
            <w:shd w:val="clear" w:color="auto" w:fill="CCEEFF"/>
          </w:tcPr>
          <w:p>
            <w:pPr>
              <w:spacing w:after="0"/>
              <w:rPr>
                <w:sz w:val="12"/>
                <w:szCs w:val="12"/>
                <w:color w:val="auto"/>
              </w:rPr>
            </w:pPr>
          </w:p>
        </w:tc>
      </w:tr>
      <w:tr>
        <w:trPr>
          <w:trHeight w:val="149"/>
        </w:trPr>
        <w:tc>
          <w:tcPr>
            <w:tcW w:w="9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640" w:type="dxa"/>
            <w:vAlign w:val="bottom"/>
          </w:tcPr>
          <w:p>
            <w:pPr>
              <w:ind w:left="420"/>
              <w:spacing w:after="0" w:line="149" w:lineRule="exact"/>
              <w:rPr>
                <w:sz w:val="20"/>
                <w:szCs w:val="20"/>
                <w:color w:val="auto"/>
              </w:rPr>
            </w:pPr>
            <w:r>
              <w:rPr>
                <w:rFonts w:ascii="Arial" w:cs="Arial" w:eastAsia="Arial" w:hAnsi="Arial"/>
                <w:sz w:val="14"/>
                <w:szCs w:val="14"/>
                <w:color w:val="auto"/>
              </w:rPr>
              <w:t>Employee loans receivable</w:t>
            </w:r>
          </w:p>
        </w:tc>
        <w:tc>
          <w:tcPr>
            <w:tcW w:w="120" w:type="dxa"/>
            <w:vAlign w:val="bottom"/>
          </w:tcPr>
          <w:p>
            <w:pPr>
              <w:spacing w:after="0"/>
              <w:rPr>
                <w:sz w:val="12"/>
                <w:szCs w:val="12"/>
                <w:color w:val="auto"/>
              </w:rPr>
            </w:pPr>
          </w:p>
        </w:tc>
        <w:tc>
          <w:tcPr>
            <w:tcW w:w="460" w:type="dxa"/>
            <w:vAlign w:val="bottom"/>
          </w:tcPr>
          <w:p>
            <w:pPr>
              <w:jc w:val="right"/>
              <w:spacing w:after="0" w:line="149" w:lineRule="exact"/>
              <w:rPr>
                <w:sz w:val="20"/>
                <w:szCs w:val="20"/>
                <w:color w:val="auto"/>
              </w:rPr>
            </w:pPr>
            <w:r>
              <w:rPr>
                <w:rFonts w:ascii="Arial" w:cs="Arial" w:eastAsia="Arial" w:hAnsi="Arial"/>
                <w:sz w:val="14"/>
                <w:szCs w:val="14"/>
                <w:color w:val="auto"/>
              </w:rPr>
              <w:t>3,640</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60" w:type="dxa"/>
            <w:vAlign w:val="bottom"/>
          </w:tcPr>
          <w:p>
            <w:pPr>
              <w:jc w:val="right"/>
              <w:spacing w:after="0" w:line="149" w:lineRule="exact"/>
              <w:rPr>
                <w:sz w:val="20"/>
                <w:szCs w:val="20"/>
                <w:color w:val="auto"/>
              </w:rPr>
            </w:pPr>
            <w:r>
              <w:rPr>
                <w:rFonts w:ascii="Arial" w:cs="Arial" w:eastAsia="Arial" w:hAnsi="Arial"/>
                <w:sz w:val="14"/>
                <w:szCs w:val="14"/>
                <w:color w:val="auto"/>
              </w:rPr>
              <w:t>2,530</w:t>
            </w:r>
          </w:p>
        </w:tc>
        <w:tc>
          <w:tcPr>
            <w:tcW w:w="160" w:type="dxa"/>
            <w:vAlign w:val="bottom"/>
          </w:tcPr>
          <w:p>
            <w:pPr>
              <w:spacing w:after="0"/>
              <w:rPr>
                <w:sz w:val="12"/>
                <w:szCs w:val="12"/>
                <w:color w:val="auto"/>
              </w:rPr>
            </w:pPr>
          </w:p>
        </w:tc>
      </w:tr>
      <w:tr>
        <w:trPr>
          <w:trHeight w:val="149"/>
        </w:trPr>
        <w:tc>
          <w:tcPr>
            <w:tcW w:w="9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64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Government refundables for local community improvements</w:t>
            </w:r>
          </w:p>
        </w:tc>
        <w:tc>
          <w:tcPr>
            <w:tcW w:w="12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1,764</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572</w:t>
            </w:r>
          </w:p>
        </w:tc>
        <w:tc>
          <w:tcPr>
            <w:tcW w:w="160" w:type="dxa"/>
            <w:vAlign w:val="bottom"/>
            <w:shd w:val="clear" w:color="auto" w:fill="CCEEFF"/>
          </w:tcPr>
          <w:p>
            <w:pPr>
              <w:spacing w:after="0"/>
              <w:rPr>
                <w:sz w:val="12"/>
                <w:szCs w:val="12"/>
                <w:color w:val="auto"/>
              </w:rPr>
            </w:pPr>
          </w:p>
        </w:tc>
      </w:tr>
      <w:tr>
        <w:trPr>
          <w:trHeight w:val="149"/>
        </w:trPr>
        <w:tc>
          <w:tcPr>
            <w:tcW w:w="9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640" w:type="dxa"/>
            <w:vAlign w:val="bottom"/>
          </w:tcPr>
          <w:p>
            <w:pPr>
              <w:ind w:left="420"/>
              <w:spacing w:after="0" w:line="149" w:lineRule="exact"/>
              <w:rPr>
                <w:sz w:val="20"/>
                <w:szCs w:val="20"/>
                <w:color w:val="auto"/>
              </w:rPr>
            </w:pPr>
            <w:r>
              <w:rPr>
                <w:rFonts w:ascii="Arial" w:cs="Arial" w:eastAsia="Arial" w:hAnsi="Arial"/>
                <w:sz w:val="14"/>
                <w:szCs w:val="14"/>
                <w:color w:val="auto"/>
              </w:rPr>
              <w:t>Prepaid royalty</w:t>
            </w:r>
          </w:p>
        </w:tc>
        <w:tc>
          <w:tcPr>
            <w:tcW w:w="120" w:type="dxa"/>
            <w:vAlign w:val="bottom"/>
          </w:tcPr>
          <w:p>
            <w:pPr>
              <w:spacing w:after="0"/>
              <w:rPr>
                <w:sz w:val="12"/>
                <w:szCs w:val="12"/>
                <w:color w:val="auto"/>
              </w:rPr>
            </w:pPr>
          </w:p>
        </w:tc>
        <w:tc>
          <w:tcPr>
            <w:tcW w:w="460" w:type="dxa"/>
            <w:vAlign w:val="bottom"/>
          </w:tcPr>
          <w:p>
            <w:pPr>
              <w:jc w:val="right"/>
              <w:spacing w:after="0" w:line="149" w:lineRule="exact"/>
              <w:rPr>
                <w:sz w:val="20"/>
                <w:szCs w:val="20"/>
                <w:color w:val="auto"/>
              </w:rPr>
            </w:pPr>
            <w:r>
              <w:rPr>
                <w:rFonts w:ascii="Arial" w:cs="Arial" w:eastAsia="Arial" w:hAnsi="Arial"/>
                <w:sz w:val="14"/>
                <w:szCs w:val="14"/>
                <w:color w:val="auto"/>
              </w:rPr>
              <w:t>5,377</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2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r>
      <w:tr>
        <w:trPr>
          <w:trHeight w:val="149"/>
        </w:trPr>
        <w:tc>
          <w:tcPr>
            <w:tcW w:w="9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64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Other</w:t>
            </w:r>
          </w:p>
        </w:tc>
        <w:tc>
          <w:tcPr>
            <w:tcW w:w="12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7,571</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6,189</w:t>
            </w:r>
          </w:p>
        </w:tc>
        <w:tc>
          <w:tcPr>
            <w:tcW w:w="160" w:type="dxa"/>
            <w:vAlign w:val="bottom"/>
            <w:shd w:val="clear" w:color="auto" w:fill="CCEEFF"/>
          </w:tcPr>
          <w:p>
            <w:pPr>
              <w:spacing w:after="0"/>
              <w:rPr>
                <w:sz w:val="12"/>
                <w:szCs w:val="12"/>
                <w:color w:val="auto"/>
              </w:rPr>
            </w:pPr>
          </w:p>
        </w:tc>
      </w:tr>
      <w:tr>
        <w:trPr>
          <w:trHeight w:val="27"/>
        </w:trPr>
        <w:tc>
          <w:tcPr>
            <w:tcW w:w="900" w:type="dxa"/>
            <w:vAlign w:val="bottom"/>
          </w:tcPr>
          <w:p>
            <w:pPr>
              <w:spacing w:after="0"/>
              <w:rPr>
                <w:sz w:val="2"/>
                <w:szCs w:val="2"/>
                <w:color w:val="auto"/>
              </w:rPr>
            </w:pPr>
          </w:p>
        </w:tc>
        <w:tc>
          <w:tcPr>
            <w:tcW w:w="260" w:type="dxa"/>
            <w:vAlign w:val="bottom"/>
          </w:tcPr>
          <w:p>
            <w:pPr>
              <w:spacing w:after="0"/>
              <w:rPr>
                <w:sz w:val="2"/>
                <w:szCs w:val="2"/>
                <w:color w:val="auto"/>
              </w:rPr>
            </w:pPr>
          </w:p>
        </w:tc>
        <w:tc>
          <w:tcPr>
            <w:tcW w:w="764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r>
      <w:tr>
        <w:trPr>
          <w:trHeight w:val="230"/>
        </w:trPr>
        <w:tc>
          <w:tcPr>
            <w:tcW w:w="9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7640" w:type="dxa"/>
            <w:vAlign w:val="bottom"/>
          </w:tcPr>
          <w:p>
            <w:pPr>
              <w:spacing w:after="0"/>
              <w:rPr>
                <w:sz w:val="20"/>
                <w:szCs w:val="20"/>
                <w:color w:val="auto"/>
              </w:rPr>
            </w:pPr>
          </w:p>
        </w:tc>
        <w:tc>
          <w:tcPr>
            <w:tcW w:w="120" w:type="dxa"/>
            <w:vAlign w:val="bottom"/>
          </w:tcPr>
          <w:p>
            <w:pPr>
              <w:jc w:val="right"/>
              <w:spacing w:after="0"/>
              <w:rPr>
                <w:sz w:val="20"/>
                <w:szCs w:val="20"/>
                <w:color w:val="auto"/>
              </w:rPr>
            </w:pPr>
            <w:r>
              <w:rPr>
                <w:rFonts w:ascii="Arial" w:cs="Arial" w:eastAsia="Arial" w:hAnsi="Arial"/>
                <w:sz w:val="14"/>
                <w:szCs w:val="14"/>
                <w:color w:val="auto"/>
                <w:w w:val="76"/>
              </w:rPr>
              <w:t>$</w:t>
            </w:r>
          </w:p>
        </w:tc>
        <w:tc>
          <w:tcPr>
            <w:tcW w:w="460" w:type="dxa"/>
            <w:vAlign w:val="bottom"/>
          </w:tcPr>
          <w:p>
            <w:pPr>
              <w:jc w:val="right"/>
              <w:spacing w:after="0"/>
              <w:rPr>
                <w:sz w:val="20"/>
                <w:szCs w:val="20"/>
                <w:color w:val="auto"/>
              </w:rPr>
            </w:pPr>
            <w:r>
              <w:rPr>
                <w:rFonts w:ascii="Arial" w:cs="Arial" w:eastAsia="Arial" w:hAnsi="Arial"/>
                <w:sz w:val="14"/>
                <w:szCs w:val="14"/>
                <w:color w:val="auto"/>
              </w:rPr>
              <w:t>61,159</w:t>
            </w:r>
          </w:p>
        </w:tc>
        <w:tc>
          <w:tcPr>
            <w:tcW w:w="280" w:type="dxa"/>
            <w:vAlign w:val="bottom"/>
            <w:gridSpan w:val="2"/>
          </w:tcPr>
          <w:p>
            <w:pPr>
              <w:jc w:val="right"/>
              <w:ind w:right="40"/>
              <w:spacing w:after="0"/>
              <w:rPr>
                <w:sz w:val="20"/>
                <w:szCs w:val="20"/>
                <w:color w:val="auto"/>
              </w:rPr>
            </w:pPr>
            <w:r>
              <w:rPr>
                <w:rFonts w:ascii="Arial" w:cs="Arial" w:eastAsia="Arial" w:hAnsi="Arial"/>
                <w:sz w:val="14"/>
                <w:szCs w:val="14"/>
                <w:color w:val="auto"/>
              </w:rPr>
              <w:t>$</w:t>
            </w:r>
          </w:p>
        </w:tc>
        <w:tc>
          <w:tcPr>
            <w:tcW w:w="460" w:type="dxa"/>
            <w:vAlign w:val="bottom"/>
          </w:tcPr>
          <w:p>
            <w:pPr>
              <w:jc w:val="right"/>
              <w:spacing w:after="0"/>
              <w:rPr>
                <w:sz w:val="20"/>
                <w:szCs w:val="20"/>
                <w:color w:val="auto"/>
              </w:rPr>
            </w:pPr>
            <w:r>
              <w:rPr>
                <w:rFonts w:ascii="Arial" w:cs="Arial" w:eastAsia="Arial" w:hAnsi="Arial"/>
                <w:sz w:val="14"/>
                <w:szCs w:val="14"/>
                <w:color w:val="auto"/>
              </w:rPr>
              <w:t>65,994</w:t>
            </w:r>
          </w:p>
        </w:tc>
        <w:tc>
          <w:tcPr>
            <w:tcW w:w="160" w:type="dxa"/>
            <w:vAlign w:val="bottom"/>
          </w:tcPr>
          <w:p>
            <w:pPr>
              <w:spacing w:after="0"/>
              <w:rPr>
                <w:sz w:val="20"/>
                <w:szCs w:val="20"/>
                <w:color w:val="auto"/>
              </w:rPr>
            </w:pPr>
          </w:p>
        </w:tc>
      </w:tr>
      <w:tr>
        <w:trPr>
          <w:trHeight w:val="20"/>
        </w:trPr>
        <w:tc>
          <w:tcPr>
            <w:tcW w:w="9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76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5" w:lineRule="exact"/>
        <w:rPr>
          <w:sz w:val="20"/>
          <w:szCs w:val="20"/>
          <w:color w:val="auto"/>
        </w:rPr>
      </w:pPr>
    </w:p>
    <w:p>
      <w:pPr>
        <w:ind w:left="1080"/>
        <w:spacing w:after="0" w:line="239" w:lineRule="auto"/>
        <w:rPr>
          <w:sz w:val="20"/>
          <w:szCs w:val="20"/>
          <w:color w:val="auto"/>
        </w:rPr>
      </w:pPr>
      <w:r>
        <w:rPr>
          <w:rFonts w:ascii="Arial" w:cs="Arial" w:eastAsia="Arial" w:hAnsi="Arial"/>
          <w:sz w:val="14"/>
          <w:szCs w:val="14"/>
          <w:color w:val="auto"/>
        </w:rPr>
        <w:t>In 2009, the Company realized $41.0 million (2008 — $40.5 million; 2007 — $5.4 million) in proceeds and recorded a gain of $10.1 million (2008 — $25.6 million; 2007 — $4.1 million) in the consolidated statements of income on the sale of available-for-sale</w:t>
      </w:r>
    </w:p>
    <w:p>
      <w:pPr>
        <w:spacing w:after="0" w:line="19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201" w:name="page202"/>
    <w:bookmarkEnd w:id="201"/>
    <w:p>
      <w:pPr>
        <w:jc w:val="center"/>
        <w:spacing w:after="0"/>
        <w:rPr>
          <w:sz w:val="20"/>
          <w:szCs w:val="20"/>
          <w:color w:val="auto"/>
        </w:rPr>
      </w:pPr>
      <w:r>
        <w:rPr>
          <w:rFonts w:ascii="Arial" w:cs="Arial" w:eastAsia="Arial" w:hAnsi="Arial"/>
          <w:sz w:val="18"/>
          <w:szCs w:val="18"/>
          <w:b w:val="1"/>
          <w:bCs w:val="1"/>
          <w:color w:val="auto"/>
        </w:rPr>
        <w:t>AGNICO-EAGLE MINES LIMITED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 (Continued)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(thousands of United States dollars, except per share amounts, unless otherwise indicated)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December 31, 2009</w:t>
      </w:r>
    </w:p>
    <w:p>
      <w:pPr>
        <w:spacing w:after="0" w:line="214" w:lineRule="exact"/>
        <w:rPr>
          <w:sz w:val="20"/>
          <w:szCs w:val="20"/>
          <w:color w:val="auto"/>
        </w:rPr>
      </w:pPr>
    </w:p>
    <w:p>
      <w:pPr>
        <w:ind w:left="280" w:hanging="272"/>
        <w:spacing w:after="0"/>
        <w:tabs>
          <w:tab w:leader="none" w:pos="280" w:val="left"/>
        </w:tabs>
        <w:numPr>
          <w:ilvl w:val="0"/>
          <w:numId w:val="83"/>
        </w:numPr>
        <w:rPr>
          <w:rFonts w:ascii="Arial" w:cs="Arial" w:eastAsia="Arial" w:hAnsi="Arial"/>
          <w:sz w:val="14"/>
          <w:szCs w:val="14"/>
          <w:b w:val="1"/>
          <w:bCs w:val="1"/>
          <w:color w:val="auto"/>
        </w:rPr>
      </w:pPr>
      <w:r>
        <w:rPr>
          <w:rFonts w:ascii="Arial" w:cs="Arial" w:eastAsia="Arial" w:hAnsi="Arial"/>
          <w:sz w:val="14"/>
          <w:szCs w:val="14"/>
          <w:b w:val="1"/>
          <w:bCs w:val="1"/>
          <w:color w:val="auto"/>
        </w:rPr>
        <w:t>OTHER ASSETS (Continued)</w:t>
      </w:r>
    </w:p>
    <w:p>
      <w:pPr>
        <w:spacing w:after="0" w:line="206" w:lineRule="exact"/>
        <w:rPr>
          <w:sz w:val="20"/>
          <w:szCs w:val="20"/>
          <w:color w:val="auto"/>
        </w:rPr>
      </w:pPr>
    </w:p>
    <w:p>
      <w:pPr>
        <w:ind w:left="1080"/>
        <w:spacing w:after="0" w:line="239" w:lineRule="auto"/>
        <w:rPr>
          <w:sz w:val="20"/>
          <w:szCs w:val="20"/>
          <w:color w:val="auto"/>
        </w:rPr>
      </w:pPr>
      <w:r>
        <w:rPr>
          <w:rFonts w:ascii="Arial" w:cs="Arial" w:eastAsia="Arial" w:hAnsi="Arial"/>
          <w:sz w:val="14"/>
          <w:szCs w:val="14"/>
          <w:color w:val="auto"/>
        </w:rPr>
        <w:t>securities. Available-for-sale securities consist of equity securities whose cost basis is determined using the average cost method. Available-for-sale securities are carried at fair value determined as follows:</w:t>
      </w:r>
    </w:p>
    <w:p>
      <w:pPr>
        <w:spacing w:after="0" w:line="191" w:lineRule="exact"/>
        <w:rPr>
          <w:sz w:val="20"/>
          <w:szCs w:val="20"/>
          <w:color w:val="auto"/>
        </w:rPr>
      </w:pPr>
    </w:p>
    <w:tbl>
      <w:tblPr>
        <w:tblLayout w:type="fixed"/>
        <w:tblInd w:w="1160" w:type="dxa"/>
        <w:tblCellMar>
          <w:top w:w="0" w:type="dxa"/>
          <w:left w:w="0" w:type="dxa"/>
          <w:bottom w:w="0" w:type="dxa"/>
          <w:right w:w="0" w:type="dxa"/>
        </w:tblCellMar>
      </w:tblPr>
      <w:tr>
        <w:trPr>
          <w:trHeight w:val="161"/>
        </w:trPr>
        <w:tc>
          <w:tcPr>
            <w:tcW w:w="758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520" w:type="dxa"/>
            <w:vAlign w:val="bottom"/>
            <w:tcBorders>
              <w:bottom w:val="single" w:sz="8" w:color="auto"/>
            </w:tcBorders>
          </w:tcPr>
          <w:p>
            <w:pPr>
              <w:jc w:val="right"/>
              <w:ind w:right="132"/>
              <w:spacing w:after="0"/>
              <w:rPr>
                <w:sz w:val="20"/>
                <w:szCs w:val="20"/>
                <w:color w:val="auto"/>
              </w:rPr>
            </w:pPr>
            <w:r>
              <w:rPr>
                <w:rFonts w:ascii="Arial" w:cs="Arial" w:eastAsia="Arial" w:hAnsi="Arial"/>
                <w:sz w:val="14"/>
                <w:szCs w:val="14"/>
                <w:b w:val="1"/>
                <w:bCs w:val="1"/>
                <w:color w:val="auto"/>
                <w:w w:val="96"/>
              </w:rPr>
              <w:t>2009</w:t>
            </w:r>
          </w:p>
        </w:tc>
        <w:tc>
          <w:tcPr>
            <w:tcW w:w="16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460" w:type="dxa"/>
            <w:vAlign w:val="bottom"/>
            <w:tcBorders>
              <w:bottom w:val="single" w:sz="8" w:color="auto"/>
            </w:tcBorders>
          </w:tcPr>
          <w:p>
            <w:pPr>
              <w:jc w:val="right"/>
              <w:ind w:right="92"/>
              <w:spacing w:after="0"/>
              <w:rPr>
                <w:sz w:val="20"/>
                <w:szCs w:val="20"/>
                <w:color w:val="auto"/>
              </w:rPr>
            </w:pPr>
            <w:r>
              <w:rPr>
                <w:rFonts w:ascii="Arial" w:cs="Arial" w:eastAsia="Arial" w:hAnsi="Arial"/>
                <w:sz w:val="14"/>
                <w:szCs w:val="14"/>
                <w:b w:val="1"/>
                <w:bCs w:val="1"/>
                <w:color w:val="auto"/>
                <w:w w:val="89"/>
              </w:rPr>
              <w:t>2008</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7580" w:type="dxa"/>
            <w:vAlign w:val="bottom"/>
            <w:shd w:val="clear" w:color="auto" w:fill="CCEEFF"/>
          </w:tcPr>
          <w:p>
            <w:pPr>
              <w:ind w:left="420"/>
              <w:spacing w:after="0" w:line="142" w:lineRule="exact"/>
              <w:rPr>
                <w:sz w:val="20"/>
                <w:szCs w:val="20"/>
                <w:color w:val="auto"/>
              </w:rPr>
            </w:pPr>
            <w:r>
              <w:rPr>
                <w:rFonts w:ascii="Arial" w:cs="Arial" w:eastAsia="Arial" w:hAnsi="Arial"/>
                <w:sz w:val="14"/>
                <w:szCs w:val="14"/>
                <w:color w:val="auto"/>
              </w:rPr>
              <w:t>Cost</w:t>
            </w:r>
          </w:p>
        </w:tc>
        <w:tc>
          <w:tcPr>
            <w:tcW w:w="120" w:type="dxa"/>
            <w:vAlign w:val="bottom"/>
            <w:shd w:val="clear" w:color="auto" w:fill="CCEEFF"/>
          </w:tcPr>
          <w:p>
            <w:pPr>
              <w:jc w:val="right"/>
              <w:ind w:right="9"/>
              <w:spacing w:after="0"/>
              <w:rPr>
                <w:sz w:val="20"/>
                <w:szCs w:val="20"/>
                <w:color w:val="auto"/>
              </w:rPr>
            </w:pPr>
            <w:r>
              <w:rPr>
                <w:rFonts w:ascii="Arial" w:cs="Arial" w:eastAsia="Arial" w:hAnsi="Arial"/>
                <w:sz w:val="10"/>
                <w:szCs w:val="10"/>
                <w:color w:val="auto"/>
                <w:w w:val="71"/>
              </w:rPr>
              <w:t>$</w:t>
            </w:r>
          </w:p>
        </w:tc>
        <w:tc>
          <w:tcPr>
            <w:tcW w:w="5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44,470</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46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68,691</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7580" w:type="dxa"/>
            <w:vAlign w:val="bottom"/>
          </w:tcPr>
          <w:p>
            <w:pPr>
              <w:ind w:left="420"/>
              <w:spacing w:after="0" w:line="149" w:lineRule="exact"/>
              <w:rPr>
                <w:sz w:val="20"/>
                <w:szCs w:val="20"/>
                <w:color w:val="auto"/>
              </w:rPr>
            </w:pPr>
            <w:r>
              <w:rPr>
                <w:rFonts w:ascii="Arial" w:cs="Arial" w:eastAsia="Arial" w:hAnsi="Arial"/>
                <w:sz w:val="14"/>
                <w:szCs w:val="14"/>
                <w:color w:val="auto"/>
              </w:rPr>
              <w:t>Unrealized gains</w:t>
            </w:r>
          </w:p>
        </w:tc>
        <w:tc>
          <w:tcPr>
            <w:tcW w:w="120" w:type="dxa"/>
            <w:vAlign w:val="bottom"/>
          </w:tcPr>
          <w:p>
            <w:pPr>
              <w:spacing w:after="0"/>
              <w:rPr>
                <w:sz w:val="12"/>
                <w:szCs w:val="12"/>
                <w:color w:val="auto"/>
              </w:rPr>
            </w:pPr>
          </w:p>
        </w:tc>
        <w:tc>
          <w:tcPr>
            <w:tcW w:w="520" w:type="dxa"/>
            <w:vAlign w:val="bottom"/>
          </w:tcPr>
          <w:p>
            <w:pPr>
              <w:jc w:val="right"/>
              <w:spacing w:after="0" w:line="149" w:lineRule="exact"/>
              <w:rPr>
                <w:sz w:val="20"/>
                <w:szCs w:val="20"/>
                <w:color w:val="auto"/>
              </w:rPr>
            </w:pPr>
            <w:r>
              <w:rPr>
                <w:rFonts w:ascii="Arial" w:cs="Arial" w:eastAsia="Arial" w:hAnsi="Arial"/>
                <w:sz w:val="14"/>
                <w:szCs w:val="14"/>
                <w:color w:val="auto"/>
              </w:rPr>
              <w:t>67,508</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60" w:type="dxa"/>
            <w:vAlign w:val="bottom"/>
          </w:tcPr>
          <w:p>
            <w:pPr>
              <w:jc w:val="right"/>
              <w:spacing w:after="0" w:line="149" w:lineRule="exact"/>
              <w:rPr>
                <w:sz w:val="20"/>
                <w:szCs w:val="20"/>
                <w:color w:val="auto"/>
              </w:rPr>
            </w:pPr>
            <w:r>
              <w:rPr>
                <w:rFonts w:ascii="Arial" w:cs="Arial" w:eastAsia="Arial" w:hAnsi="Arial"/>
                <w:sz w:val="14"/>
                <w:szCs w:val="14"/>
                <w:color w:val="auto"/>
              </w:rPr>
              <w:t>1,692</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758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Unrealized losses</w:t>
            </w:r>
          </w:p>
        </w:tc>
        <w:tc>
          <w:tcPr>
            <w:tcW w:w="1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(11)</w:t>
            </w:r>
          </w:p>
        </w:tc>
        <w:tc>
          <w:tcPr>
            <w:tcW w:w="120" w:type="dxa"/>
            <w:vAlign w:val="bottom"/>
            <w:shd w:val="clear" w:color="auto" w:fill="CCEEFF"/>
          </w:tcPr>
          <w:p>
            <w:pPr>
              <w:spacing w:after="0"/>
              <w:rPr>
                <w:sz w:val="12"/>
                <w:szCs w:val="12"/>
                <w:color w:val="auto"/>
              </w:rPr>
            </w:pPr>
          </w:p>
        </w:tc>
        <w:tc>
          <w:tcPr>
            <w:tcW w:w="62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7"/>
        </w:trPr>
        <w:tc>
          <w:tcPr>
            <w:tcW w:w="7580" w:type="dxa"/>
            <w:vAlign w:val="bottom"/>
            <w:vMerge w:val="restart"/>
          </w:tcPr>
          <w:p>
            <w:pPr>
              <w:ind w:left="420"/>
              <w:spacing w:after="0"/>
              <w:rPr>
                <w:sz w:val="20"/>
                <w:szCs w:val="20"/>
                <w:color w:val="auto"/>
              </w:rPr>
            </w:pPr>
            <w:r>
              <w:rPr>
                <w:rFonts w:ascii="Arial" w:cs="Arial" w:eastAsia="Arial" w:hAnsi="Arial"/>
                <w:sz w:val="14"/>
                <w:szCs w:val="14"/>
                <w:color w:val="auto"/>
              </w:rPr>
              <w:t>Estimated fair value of available-for-sale securities</w:t>
            </w:r>
          </w:p>
        </w:tc>
        <w:tc>
          <w:tcPr>
            <w:tcW w:w="12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67"/>
        </w:trPr>
        <w:tc>
          <w:tcPr>
            <w:tcW w:w="7580" w:type="dxa"/>
            <w:vAlign w:val="bottom"/>
            <w:vMerge w:val="continue"/>
          </w:tcPr>
          <w:p>
            <w:pPr>
              <w:spacing w:after="0"/>
              <w:rPr>
                <w:sz w:val="14"/>
                <w:szCs w:val="14"/>
                <w:color w:val="auto"/>
              </w:rPr>
            </w:pPr>
          </w:p>
        </w:tc>
        <w:tc>
          <w:tcPr>
            <w:tcW w:w="120" w:type="dxa"/>
            <w:vAlign w:val="bottom"/>
            <w:tcBorders>
              <w:bottom w:val="single" w:sz="8" w:color="auto"/>
            </w:tcBorders>
          </w:tcPr>
          <w:p>
            <w:pPr>
              <w:jc w:val="right"/>
              <w:ind w:right="9"/>
              <w:spacing w:after="0"/>
              <w:rPr>
                <w:sz w:val="20"/>
                <w:szCs w:val="20"/>
                <w:color w:val="auto"/>
              </w:rPr>
            </w:pPr>
            <w:r>
              <w:rPr>
                <w:rFonts w:ascii="Arial" w:cs="Arial" w:eastAsia="Arial" w:hAnsi="Arial"/>
                <w:sz w:val="10"/>
                <w:szCs w:val="10"/>
                <w:color w:val="auto"/>
                <w:w w:val="71"/>
              </w:rPr>
              <w:t>$</w:t>
            </w:r>
          </w:p>
        </w:tc>
        <w:tc>
          <w:tcPr>
            <w:tcW w:w="52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w w:val="98"/>
              </w:rPr>
              <w:t>111,967</w:t>
            </w:r>
          </w:p>
        </w:tc>
        <w:tc>
          <w:tcPr>
            <w:tcW w:w="160" w:type="dxa"/>
            <w:vAlign w:val="bottom"/>
          </w:tcPr>
          <w:p>
            <w:pPr>
              <w:spacing w:after="0"/>
              <w:rPr>
                <w:sz w:val="14"/>
                <w:szCs w:val="14"/>
                <w:color w:val="auto"/>
              </w:rPr>
            </w:pP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w w:val="76"/>
              </w:rPr>
              <w:t>$</w:t>
            </w:r>
          </w:p>
        </w:tc>
        <w:tc>
          <w:tcPr>
            <w:tcW w:w="46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70,383</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758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92" w:lineRule="exact"/>
        <w:rPr>
          <w:sz w:val="20"/>
          <w:szCs w:val="20"/>
          <w:color w:val="auto"/>
        </w:rPr>
      </w:pPr>
    </w:p>
    <w:tbl>
      <w:tblPr>
        <w:tblLayout w:type="fixed"/>
        <w:tblInd w:w="540" w:type="dxa"/>
        <w:tblCellMar>
          <w:top w:w="0" w:type="dxa"/>
          <w:left w:w="0" w:type="dxa"/>
          <w:bottom w:w="0" w:type="dxa"/>
          <w:right w:w="0" w:type="dxa"/>
        </w:tblCellMar>
      </w:tblPr>
      <w:tr>
        <w:trPr>
          <w:trHeight w:val="186"/>
        </w:trPr>
        <w:tc>
          <w:tcPr>
            <w:tcW w:w="360" w:type="dxa"/>
            <w:vAlign w:val="bottom"/>
          </w:tcPr>
          <w:p>
            <w:pPr>
              <w:spacing w:after="0"/>
              <w:rPr>
                <w:sz w:val="20"/>
                <w:szCs w:val="20"/>
                <w:color w:val="auto"/>
              </w:rPr>
            </w:pPr>
            <w:r>
              <w:rPr>
                <w:rFonts w:ascii="Arial" w:cs="Arial" w:eastAsia="Arial" w:hAnsi="Arial"/>
                <w:sz w:val="14"/>
                <w:szCs w:val="14"/>
                <w:b w:val="1"/>
                <w:bCs w:val="1"/>
                <w:i w:val="1"/>
                <w:iCs w:val="1"/>
                <w:color w:val="auto"/>
              </w:rPr>
              <w:t>(b)</w:t>
            </w:r>
          </w:p>
        </w:tc>
        <w:tc>
          <w:tcPr>
            <w:tcW w:w="7960" w:type="dxa"/>
            <w:vAlign w:val="bottom"/>
            <w:gridSpan w:val="4"/>
          </w:tcPr>
          <w:p>
            <w:pPr>
              <w:ind w:left="180"/>
              <w:spacing w:after="0"/>
              <w:rPr>
                <w:sz w:val="20"/>
                <w:szCs w:val="20"/>
                <w:color w:val="auto"/>
              </w:rPr>
            </w:pPr>
            <w:r>
              <w:rPr>
                <w:rFonts w:ascii="Arial" w:cs="Arial" w:eastAsia="Arial" w:hAnsi="Arial"/>
                <w:sz w:val="14"/>
                <w:szCs w:val="14"/>
                <w:b w:val="1"/>
                <w:bCs w:val="1"/>
                <w:i w:val="1"/>
                <w:iCs w:val="1"/>
                <w:color w:val="auto"/>
              </w:rPr>
              <w:t>Other assets</w:t>
            </w:r>
          </w:p>
        </w:tc>
        <w:tc>
          <w:tcPr>
            <w:tcW w:w="12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160" w:type="dxa"/>
            <w:vAlign w:val="bottom"/>
          </w:tcPr>
          <w:p>
            <w:pPr>
              <w:spacing w:after="0"/>
              <w:rPr>
                <w:sz w:val="16"/>
                <w:szCs w:val="16"/>
                <w:color w:val="auto"/>
              </w:rPr>
            </w:pPr>
          </w:p>
        </w:tc>
      </w:tr>
      <w:tr>
        <w:trPr>
          <w:trHeight w:val="338"/>
        </w:trPr>
        <w:tc>
          <w:tcPr>
            <w:tcW w:w="3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598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jc w:val="right"/>
              <w:ind w:right="92"/>
              <w:spacing w:after="0"/>
              <w:rPr>
                <w:sz w:val="20"/>
                <w:szCs w:val="20"/>
                <w:color w:val="auto"/>
              </w:rPr>
            </w:pPr>
            <w:r>
              <w:rPr>
                <w:rFonts w:ascii="Arial" w:cs="Arial" w:eastAsia="Arial" w:hAnsi="Arial"/>
                <w:sz w:val="14"/>
                <w:szCs w:val="14"/>
                <w:b w:val="1"/>
                <w:bCs w:val="1"/>
                <w:color w:val="auto"/>
                <w:w w:val="89"/>
              </w:rPr>
              <w:t>2009</w:t>
            </w:r>
          </w:p>
        </w:tc>
        <w:tc>
          <w:tcPr>
            <w:tcW w:w="180" w:type="dxa"/>
            <w:vAlign w:val="bottom"/>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420" w:type="dxa"/>
            <w:vAlign w:val="bottom"/>
            <w:tcBorders>
              <w:bottom w:val="single" w:sz="8" w:color="auto"/>
            </w:tcBorders>
          </w:tcPr>
          <w:p>
            <w:pPr>
              <w:jc w:val="right"/>
              <w:ind w:right="52"/>
              <w:spacing w:after="0"/>
              <w:rPr>
                <w:sz w:val="20"/>
                <w:szCs w:val="20"/>
                <w:color w:val="auto"/>
              </w:rPr>
            </w:pPr>
            <w:r>
              <w:rPr>
                <w:rFonts w:ascii="Arial" w:cs="Arial" w:eastAsia="Arial" w:hAnsi="Arial"/>
                <w:sz w:val="14"/>
                <w:szCs w:val="14"/>
                <w:b w:val="1"/>
                <w:bCs w:val="1"/>
                <w:color w:val="auto"/>
                <w:w w:val="89"/>
              </w:rPr>
              <w:t>2008</w:t>
            </w:r>
          </w:p>
        </w:tc>
        <w:tc>
          <w:tcPr>
            <w:tcW w:w="160" w:type="dxa"/>
            <w:vAlign w:val="bottom"/>
          </w:tcPr>
          <w:p>
            <w:pPr>
              <w:spacing w:after="0"/>
              <w:rPr>
                <w:sz w:val="24"/>
                <w:szCs w:val="24"/>
                <w:color w:val="auto"/>
              </w:rPr>
            </w:pPr>
          </w:p>
        </w:tc>
      </w:tr>
      <w:tr>
        <w:trPr>
          <w:trHeight w:val="142"/>
        </w:trPr>
        <w:tc>
          <w:tcPr>
            <w:tcW w:w="3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700" w:type="dxa"/>
            <w:vAlign w:val="bottom"/>
            <w:gridSpan w:val="3"/>
            <w:shd w:val="clear" w:color="auto" w:fill="CCEEFF"/>
          </w:tcPr>
          <w:p>
            <w:pPr>
              <w:ind w:left="420"/>
              <w:spacing w:after="0" w:line="142" w:lineRule="exact"/>
              <w:rPr>
                <w:sz w:val="20"/>
                <w:szCs w:val="20"/>
                <w:color w:val="auto"/>
              </w:rPr>
            </w:pPr>
            <w:r>
              <w:rPr>
                <w:rFonts w:ascii="Arial" w:cs="Arial" w:eastAsia="Arial" w:hAnsi="Arial"/>
                <w:sz w:val="14"/>
                <w:szCs w:val="14"/>
                <w:color w:val="auto"/>
              </w:rPr>
              <w:t>Deferred financing costs, less accumulated amortization of $2,732 (2008 — $1,192)</w:t>
            </w:r>
          </w:p>
        </w:tc>
        <w:tc>
          <w:tcPr>
            <w:tcW w:w="1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46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7,516</w:t>
            </w:r>
          </w:p>
        </w:tc>
        <w:tc>
          <w:tcPr>
            <w:tcW w:w="260" w:type="dxa"/>
            <w:vAlign w:val="bottom"/>
            <w:gridSpan w:val="2"/>
            <w:shd w:val="clear" w:color="auto" w:fill="CCEEFF"/>
          </w:tcPr>
          <w:p>
            <w:pPr>
              <w:jc w:val="right"/>
              <w:ind w:right="20"/>
              <w:spacing w:after="0" w:line="142" w:lineRule="exact"/>
              <w:rPr>
                <w:sz w:val="20"/>
                <w:szCs w:val="20"/>
                <w:color w:val="auto"/>
              </w:rPr>
            </w:pPr>
            <w:r>
              <w:rPr>
                <w:rFonts w:ascii="Arial" w:cs="Arial" w:eastAsia="Arial" w:hAnsi="Arial"/>
                <w:sz w:val="14"/>
                <w:szCs w:val="14"/>
                <w:color w:val="auto"/>
              </w:rPr>
              <w:t>$</w:t>
            </w:r>
          </w:p>
        </w:tc>
        <w:tc>
          <w:tcPr>
            <w:tcW w:w="4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5,126</w:t>
            </w:r>
          </w:p>
        </w:tc>
        <w:tc>
          <w:tcPr>
            <w:tcW w:w="160" w:type="dxa"/>
            <w:vAlign w:val="bottom"/>
            <w:shd w:val="clear" w:color="auto" w:fill="CCEEFF"/>
          </w:tcPr>
          <w:p>
            <w:pPr>
              <w:spacing w:after="0"/>
              <w:rPr>
                <w:sz w:val="12"/>
                <w:szCs w:val="12"/>
                <w:color w:val="auto"/>
              </w:rPr>
            </w:pPr>
          </w:p>
        </w:tc>
      </w:tr>
      <w:tr>
        <w:trPr>
          <w:trHeight w:val="176"/>
        </w:trPr>
        <w:tc>
          <w:tcPr>
            <w:tcW w:w="36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7700" w:type="dxa"/>
            <w:vAlign w:val="bottom"/>
            <w:gridSpan w:val="3"/>
          </w:tcPr>
          <w:p>
            <w:pPr>
              <w:ind w:left="420"/>
              <w:spacing w:after="0" w:line="176" w:lineRule="exact"/>
              <w:rPr>
                <w:sz w:val="20"/>
                <w:szCs w:val="20"/>
                <w:color w:val="auto"/>
              </w:rPr>
            </w:pPr>
            <w:r>
              <w:rPr>
                <w:rFonts w:ascii="Arial" w:cs="Arial" w:eastAsia="Arial" w:hAnsi="Arial"/>
                <w:sz w:val="13"/>
                <w:szCs w:val="13"/>
                <w:color w:val="auto"/>
              </w:rPr>
              <w:t>Non-current ore in stockpile</w:t>
            </w:r>
            <w:r>
              <w:rPr>
                <w:rFonts w:ascii="Arial" w:cs="Arial" w:eastAsia="Arial" w:hAnsi="Arial"/>
                <w:sz w:val="20"/>
                <w:szCs w:val="20"/>
                <w:color w:val="auto"/>
                <w:vertAlign w:val="superscript"/>
              </w:rPr>
              <w:t>(i)</w:t>
            </w:r>
          </w:p>
        </w:tc>
        <w:tc>
          <w:tcPr>
            <w:tcW w:w="120" w:type="dxa"/>
            <w:vAlign w:val="bottom"/>
          </w:tcPr>
          <w:p>
            <w:pPr>
              <w:spacing w:after="0"/>
              <w:rPr>
                <w:sz w:val="15"/>
                <w:szCs w:val="15"/>
                <w:color w:val="auto"/>
              </w:rPr>
            </w:pPr>
          </w:p>
        </w:tc>
        <w:tc>
          <w:tcPr>
            <w:tcW w:w="460" w:type="dxa"/>
            <w:vAlign w:val="bottom"/>
          </w:tcPr>
          <w:p>
            <w:pPr>
              <w:jc w:val="right"/>
              <w:spacing w:after="0"/>
              <w:rPr>
                <w:sz w:val="20"/>
                <w:szCs w:val="20"/>
                <w:color w:val="auto"/>
              </w:rPr>
            </w:pPr>
            <w:r>
              <w:rPr>
                <w:rFonts w:ascii="Arial" w:cs="Arial" w:eastAsia="Arial" w:hAnsi="Arial"/>
                <w:sz w:val="14"/>
                <w:szCs w:val="14"/>
                <w:color w:val="auto"/>
              </w:rPr>
              <w:t>11,684</w:t>
            </w:r>
          </w:p>
        </w:tc>
        <w:tc>
          <w:tcPr>
            <w:tcW w:w="1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80" w:type="dxa"/>
            <w:vAlign w:val="bottom"/>
            <w:gridSpan w:val="2"/>
          </w:tcPr>
          <w:p>
            <w:pPr>
              <w:jc w:val="right"/>
              <w:ind w:right="160"/>
              <w:spacing w:after="0"/>
              <w:rPr>
                <w:sz w:val="20"/>
                <w:szCs w:val="20"/>
                <w:color w:val="auto"/>
              </w:rPr>
            </w:pPr>
            <w:r>
              <w:rPr>
                <w:rFonts w:ascii="Arial" w:cs="Arial" w:eastAsia="Arial" w:hAnsi="Arial"/>
                <w:sz w:val="14"/>
                <w:szCs w:val="14"/>
                <w:color w:val="auto"/>
              </w:rPr>
              <w:t>—</w:t>
            </w:r>
          </w:p>
        </w:tc>
      </w:tr>
      <w:tr>
        <w:trPr>
          <w:trHeight w:val="176"/>
        </w:trPr>
        <w:tc>
          <w:tcPr>
            <w:tcW w:w="36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7700" w:type="dxa"/>
            <w:vAlign w:val="bottom"/>
            <w:gridSpan w:val="3"/>
            <w:shd w:val="clear" w:color="auto" w:fill="CCEEFF"/>
          </w:tcPr>
          <w:p>
            <w:pPr>
              <w:ind w:left="420"/>
              <w:spacing w:after="0" w:line="176" w:lineRule="exact"/>
              <w:rPr>
                <w:sz w:val="20"/>
                <w:szCs w:val="20"/>
                <w:color w:val="auto"/>
              </w:rPr>
            </w:pPr>
            <w:r>
              <w:rPr>
                <w:rFonts w:ascii="Arial" w:cs="Arial" w:eastAsia="Arial" w:hAnsi="Arial"/>
                <w:sz w:val="13"/>
                <w:szCs w:val="13"/>
                <w:color w:val="auto"/>
              </w:rPr>
              <w:t>Prepaid royalty</w:t>
            </w:r>
            <w:r>
              <w:rPr>
                <w:rFonts w:ascii="Arial" w:cs="Arial" w:eastAsia="Arial" w:hAnsi="Arial"/>
                <w:sz w:val="20"/>
                <w:szCs w:val="20"/>
                <w:color w:val="auto"/>
                <w:vertAlign w:val="superscript"/>
              </w:rPr>
              <w:t>(ii)</w:t>
            </w:r>
          </w:p>
        </w:tc>
        <w:tc>
          <w:tcPr>
            <w:tcW w:w="120" w:type="dxa"/>
            <w:vAlign w:val="bottom"/>
            <w:shd w:val="clear" w:color="auto" w:fill="CCEEFF"/>
          </w:tcPr>
          <w:p>
            <w:pPr>
              <w:spacing w:after="0"/>
              <w:rPr>
                <w:sz w:val="15"/>
                <w:szCs w:val="15"/>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13,321</w:t>
            </w:r>
          </w:p>
        </w:tc>
        <w:tc>
          <w:tcPr>
            <w:tcW w:w="1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58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w:t>
            </w:r>
          </w:p>
        </w:tc>
      </w:tr>
      <w:tr>
        <w:trPr>
          <w:trHeight w:val="149"/>
        </w:trPr>
        <w:tc>
          <w:tcPr>
            <w:tcW w:w="3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700" w:type="dxa"/>
            <w:vAlign w:val="bottom"/>
            <w:gridSpan w:val="3"/>
          </w:tcPr>
          <w:p>
            <w:pPr>
              <w:ind w:left="420"/>
              <w:spacing w:after="0" w:line="149" w:lineRule="exact"/>
              <w:rPr>
                <w:sz w:val="20"/>
                <w:szCs w:val="20"/>
                <w:color w:val="auto"/>
              </w:rPr>
            </w:pPr>
            <w:r>
              <w:rPr>
                <w:rFonts w:ascii="Arial" w:cs="Arial" w:eastAsia="Arial" w:hAnsi="Arial"/>
                <w:sz w:val="14"/>
                <w:szCs w:val="14"/>
                <w:color w:val="auto"/>
              </w:rPr>
              <w:t>Finnish government grants</w:t>
            </w:r>
          </w:p>
        </w:tc>
        <w:tc>
          <w:tcPr>
            <w:tcW w:w="120" w:type="dxa"/>
            <w:vAlign w:val="bottom"/>
          </w:tcPr>
          <w:p>
            <w:pPr>
              <w:spacing w:after="0"/>
              <w:rPr>
                <w:sz w:val="12"/>
                <w:szCs w:val="12"/>
                <w:color w:val="auto"/>
              </w:rPr>
            </w:pPr>
          </w:p>
        </w:tc>
        <w:tc>
          <w:tcPr>
            <w:tcW w:w="46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20" w:type="dxa"/>
            <w:vAlign w:val="bottom"/>
          </w:tcPr>
          <w:p>
            <w:pPr>
              <w:jc w:val="right"/>
              <w:spacing w:after="0" w:line="149" w:lineRule="exact"/>
              <w:rPr>
                <w:sz w:val="20"/>
                <w:szCs w:val="20"/>
                <w:color w:val="auto"/>
              </w:rPr>
            </w:pPr>
            <w:r>
              <w:rPr>
                <w:rFonts w:ascii="Arial" w:cs="Arial" w:eastAsia="Arial" w:hAnsi="Arial"/>
                <w:sz w:val="14"/>
                <w:szCs w:val="14"/>
                <w:color w:val="auto"/>
              </w:rPr>
              <w:t>2,981</w:t>
            </w:r>
          </w:p>
        </w:tc>
        <w:tc>
          <w:tcPr>
            <w:tcW w:w="160" w:type="dxa"/>
            <w:vAlign w:val="bottom"/>
          </w:tcPr>
          <w:p>
            <w:pPr>
              <w:spacing w:after="0"/>
              <w:rPr>
                <w:sz w:val="12"/>
                <w:szCs w:val="12"/>
                <w:color w:val="auto"/>
              </w:rPr>
            </w:pPr>
          </w:p>
        </w:tc>
      </w:tr>
      <w:tr>
        <w:trPr>
          <w:trHeight w:val="149"/>
        </w:trPr>
        <w:tc>
          <w:tcPr>
            <w:tcW w:w="3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700" w:type="dxa"/>
            <w:vAlign w:val="bottom"/>
            <w:gridSpan w:val="3"/>
            <w:shd w:val="clear" w:color="auto" w:fill="CCEEFF"/>
          </w:tcPr>
          <w:p>
            <w:pPr>
              <w:ind w:left="420"/>
              <w:spacing w:after="0" w:line="149" w:lineRule="exact"/>
              <w:rPr>
                <w:sz w:val="20"/>
                <w:szCs w:val="20"/>
                <w:color w:val="auto"/>
              </w:rPr>
            </w:pPr>
            <w:r>
              <w:rPr>
                <w:rFonts w:ascii="Arial" w:cs="Arial" w:eastAsia="Arial" w:hAnsi="Arial"/>
                <w:sz w:val="14"/>
                <w:szCs w:val="14"/>
                <w:color w:val="auto"/>
              </w:rPr>
              <w:t>Other</w:t>
            </w:r>
          </w:p>
        </w:tc>
        <w:tc>
          <w:tcPr>
            <w:tcW w:w="12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1,120</w:t>
            </w: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276</w:t>
            </w:r>
          </w:p>
        </w:tc>
        <w:tc>
          <w:tcPr>
            <w:tcW w:w="160" w:type="dxa"/>
            <w:vAlign w:val="bottom"/>
            <w:shd w:val="clear" w:color="auto" w:fill="CCEEFF"/>
          </w:tcPr>
          <w:p>
            <w:pPr>
              <w:spacing w:after="0"/>
              <w:rPr>
                <w:sz w:val="12"/>
                <w:szCs w:val="12"/>
                <w:color w:val="auto"/>
              </w:rPr>
            </w:pPr>
          </w:p>
        </w:tc>
      </w:tr>
      <w:tr>
        <w:trPr>
          <w:trHeight w:val="27"/>
        </w:trPr>
        <w:tc>
          <w:tcPr>
            <w:tcW w:w="360" w:type="dxa"/>
            <w:vAlign w:val="bottom"/>
          </w:tcPr>
          <w:p>
            <w:pPr>
              <w:spacing w:after="0"/>
              <w:rPr>
                <w:sz w:val="2"/>
                <w:szCs w:val="2"/>
                <w:color w:val="auto"/>
              </w:rPr>
            </w:pPr>
          </w:p>
        </w:tc>
        <w:tc>
          <w:tcPr>
            <w:tcW w:w="260" w:type="dxa"/>
            <w:vAlign w:val="bottom"/>
          </w:tcPr>
          <w:p>
            <w:pPr>
              <w:spacing w:after="0"/>
              <w:rPr>
                <w:sz w:val="2"/>
                <w:szCs w:val="2"/>
                <w:color w:val="auto"/>
              </w:rPr>
            </w:pPr>
          </w:p>
        </w:tc>
        <w:tc>
          <w:tcPr>
            <w:tcW w:w="540" w:type="dxa"/>
            <w:vAlign w:val="bottom"/>
          </w:tcPr>
          <w:p>
            <w:pPr>
              <w:spacing w:after="0"/>
              <w:rPr>
                <w:sz w:val="2"/>
                <w:szCs w:val="2"/>
                <w:color w:val="auto"/>
              </w:rPr>
            </w:pPr>
          </w:p>
        </w:tc>
        <w:tc>
          <w:tcPr>
            <w:tcW w:w="1180" w:type="dxa"/>
            <w:vAlign w:val="bottom"/>
          </w:tcPr>
          <w:p>
            <w:pPr>
              <w:spacing w:after="0"/>
              <w:rPr>
                <w:sz w:val="2"/>
                <w:szCs w:val="2"/>
                <w:color w:val="auto"/>
              </w:rPr>
            </w:pPr>
          </w:p>
        </w:tc>
        <w:tc>
          <w:tcPr>
            <w:tcW w:w="598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r>
      <w:tr>
        <w:trPr>
          <w:trHeight w:val="230"/>
        </w:trPr>
        <w:tc>
          <w:tcPr>
            <w:tcW w:w="36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1180" w:type="dxa"/>
            <w:vAlign w:val="bottom"/>
          </w:tcPr>
          <w:p>
            <w:pPr>
              <w:spacing w:after="0"/>
              <w:rPr>
                <w:sz w:val="20"/>
                <w:szCs w:val="20"/>
                <w:color w:val="auto"/>
              </w:rPr>
            </w:pPr>
          </w:p>
        </w:tc>
        <w:tc>
          <w:tcPr>
            <w:tcW w:w="5980" w:type="dxa"/>
            <w:vAlign w:val="bottom"/>
          </w:tcPr>
          <w:p>
            <w:pPr>
              <w:spacing w:after="0"/>
              <w:rPr>
                <w:sz w:val="20"/>
                <w:szCs w:val="20"/>
                <w:color w:val="auto"/>
              </w:rPr>
            </w:pPr>
          </w:p>
        </w:tc>
        <w:tc>
          <w:tcPr>
            <w:tcW w:w="120" w:type="dxa"/>
            <w:vAlign w:val="bottom"/>
          </w:tcPr>
          <w:p>
            <w:pPr>
              <w:jc w:val="right"/>
              <w:spacing w:after="0"/>
              <w:rPr>
                <w:sz w:val="20"/>
                <w:szCs w:val="20"/>
                <w:color w:val="auto"/>
              </w:rPr>
            </w:pPr>
            <w:r>
              <w:rPr>
                <w:rFonts w:ascii="Arial" w:cs="Arial" w:eastAsia="Arial" w:hAnsi="Arial"/>
                <w:sz w:val="14"/>
                <w:szCs w:val="14"/>
                <w:color w:val="auto"/>
                <w:w w:val="76"/>
              </w:rPr>
              <w:t>$</w:t>
            </w:r>
          </w:p>
        </w:tc>
        <w:tc>
          <w:tcPr>
            <w:tcW w:w="460" w:type="dxa"/>
            <w:vAlign w:val="bottom"/>
          </w:tcPr>
          <w:p>
            <w:pPr>
              <w:jc w:val="right"/>
              <w:spacing w:after="0"/>
              <w:rPr>
                <w:sz w:val="20"/>
                <w:szCs w:val="20"/>
                <w:color w:val="auto"/>
              </w:rPr>
            </w:pPr>
            <w:r>
              <w:rPr>
                <w:rFonts w:ascii="Arial" w:cs="Arial" w:eastAsia="Arial" w:hAnsi="Arial"/>
                <w:sz w:val="14"/>
                <w:szCs w:val="14"/>
                <w:color w:val="auto"/>
              </w:rPr>
              <w:t>33,641</w:t>
            </w:r>
          </w:p>
        </w:tc>
        <w:tc>
          <w:tcPr>
            <w:tcW w:w="260" w:type="dxa"/>
            <w:vAlign w:val="bottom"/>
            <w:gridSpan w:val="2"/>
          </w:tcPr>
          <w:p>
            <w:pPr>
              <w:jc w:val="right"/>
              <w:ind w:right="20"/>
              <w:spacing w:after="0"/>
              <w:rPr>
                <w:sz w:val="20"/>
                <w:szCs w:val="20"/>
                <w:color w:val="auto"/>
              </w:rPr>
            </w:pPr>
            <w:r>
              <w:rPr>
                <w:rFonts w:ascii="Arial" w:cs="Arial" w:eastAsia="Arial" w:hAnsi="Arial"/>
                <w:sz w:val="14"/>
                <w:szCs w:val="14"/>
                <w:color w:val="auto"/>
              </w:rPr>
              <w:t>$</w:t>
            </w:r>
          </w:p>
        </w:tc>
        <w:tc>
          <w:tcPr>
            <w:tcW w:w="420" w:type="dxa"/>
            <w:vAlign w:val="bottom"/>
          </w:tcPr>
          <w:p>
            <w:pPr>
              <w:jc w:val="right"/>
              <w:spacing w:after="0"/>
              <w:rPr>
                <w:sz w:val="20"/>
                <w:szCs w:val="20"/>
                <w:color w:val="auto"/>
              </w:rPr>
            </w:pPr>
            <w:r>
              <w:rPr>
                <w:rFonts w:ascii="Arial" w:cs="Arial" w:eastAsia="Arial" w:hAnsi="Arial"/>
                <w:sz w:val="14"/>
                <w:szCs w:val="14"/>
                <w:color w:val="auto"/>
              </w:rPr>
              <w:t>8,383</w:t>
            </w:r>
          </w:p>
        </w:tc>
        <w:tc>
          <w:tcPr>
            <w:tcW w:w="160" w:type="dxa"/>
            <w:vAlign w:val="bottom"/>
          </w:tcPr>
          <w:p>
            <w:pPr>
              <w:spacing w:after="0"/>
              <w:rPr>
                <w:sz w:val="20"/>
                <w:szCs w:val="20"/>
                <w:color w:val="auto"/>
              </w:rPr>
            </w:pPr>
          </w:p>
        </w:tc>
      </w:tr>
      <w:tr>
        <w:trPr>
          <w:trHeight w:val="20"/>
        </w:trPr>
        <w:tc>
          <w:tcPr>
            <w:tcW w:w="3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180" w:type="dxa"/>
            <w:vAlign w:val="bottom"/>
          </w:tcPr>
          <w:p>
            <w:pPr>
              <w:spacing w:after="0" w:line="20" w:lineRule="exact"/>
              <w:rPr>
                <w:sz w:val="1"/>
                <w:szCs w:val="1"/>
                <w:color w:val="auto"/>
              </w:rPr>
            </w:pPr>
          </w:p>
        </w:tc>
        <w:tc>
          <w:tcPr>
            <w:tcW w:w="59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203"/>
        </w:trPr>
        <w:tc>
          <w:tcPr>
            <w:tcW w:w="36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1180" w:type="dxa"/>
            <w:vAlign w:val="bottom"/>
            <w:tcBorders>
              <w:bottom w:val="single" w:sz="8" w:color="auto"/>
            </w:tcBorders>
          </w:tcPr>
          <w:p>
            <w:pPr>
              <w:spacing w:after="0"/>
              <w:rPr>
                <w:sz w:val="17"/>
                <w:szCs w:val="17"/>
                <w:color w:val="auto"/>
              </w:rPr>
            </w:pPr>
          </w:p>
        </w:tc>
        <w:tc>
          <w:tcPr>
            <w:tcW w:w="59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160" w:type="dxa"/>
            <w:vAlign w:val="bottom"/>
          </w:tcPr>
          <w:p>
            <w:pPr>
              <w:spacing w:after="0"/>
              <w:rPr>
                <w:sz w:val="17"/>
                <w:szCs w:val="17"/>
                <w:color w:val="auto"/>
              </w:rPr>
            </w:pPr>
          </w:p>
        </w:tc>
      </w:tr>
    </w:tbl>
    <w:p>
      <w:pPr>
        <w:spacing w:after="0" w:line="192" w:lineRule="exact"/>
        <w:rPr>
          <w:sz w:val="20"/>
          <w:szCs w:val="20"/>
          <w:color w:val="auto"/>
        </w:rPr>
      </w:pPr>
    </w:p>
    <w:p>
      <w:pPr>
        <w:ind w:left="2760" w:hanging="530"/>
        <w:spacing w:after="0" w:line="239" w:lineRule="auto"/>
        <w:tabs>
          <w:tab w:leader="none" w:pos="2760" w:val="left"/>
        </w:tabs>
        <w:numPr>
          <w:ilvl w:val="1"/>
          <w:numId w:val="84"/>
        </w:numPr>
        <w:rPr>
          <w:rFonts w:ascii="Arial" w:cs="Arial" w:eastAsia="Arial" w:hAnsi="Arial"/>
          <w:sz w:val="14"/>
          <w:szCs w:val="14"/>
          <w:color w:val="auto"/>
        </w:rPr>
      </w:pPr>
      <w:r>
        <w:rPr>
          <w:rFonts w:ascii="Arial" w:cs="Arial" w:eastAsia="Arial" w:hAnsi="Arial"/>
          <w:sz w:val="14"/>
          <w:szCs w:val="14"/>
          <w:color w:val="auto"/>
        </w:rPr>
        <w:t>Due to the structure of the Goldex Mine ore body, a significant amount of drilling and blasting is incurred in the early years of its mine life resulting in a long-term stockpile.</w:t>
      </w:r>
    </w:p>
    <w:p>
      <w:pPr>
        <w:spacing w:after="0" w:line="111" w:lineRule="exact"/>
        <w:rPr>
          <w:rFonts w:ascii="Arial" w:cs="Arial" w:eastAsia="Arial" w:hAnsi="Arial"/>
          <w:sz w:val="14"/>
          <w:szCs w:val="14"/>
          <w:color w:val="auto"/>
        </w:rPr>
      </w:pPr>
    </w:p>
    <w:p>
      <w:pPr>
        <w:ind w:left="2760" w:hanging="530"/>
        <w:spacing w:after="0"/>
        <w:tabs>
          <w:tab w:leader="none" w:pos="2760" w:val="left"/>
        </w:tabs>
        <w:numPr>
          <w:ilvl w:val="1"/>
          <w:numId w:val="84"/>
        </w:numPr>
        <w:rPr>
          <w:rFonts w:ascii="Arial" w:cs="Arial" w:eastAsia="Arial" w:hAnsi="Arial"/>
          <w:sz w:val="14"/>
          <w:szCs w:val="14"/>
          <w:color w:val="auto"/>
        </w:rPr>
      </w:pPr>
      <w:r>
        <w:rPr>
          <w:rFonts w:ascii="Arial" w:cs="Arial" w:eastAsia="Arial" w:hAnsi="Arial"/>
          <w:sz w:val="14"/>
          <w:szCs w:val="14"/>
          <w:color w:val="auto"/>
        </w:rPr>
        <w:t>The prepaid royalty relates to the Pinos Altos Mine in Mexico.</w:t>
      </w:r>
    </w:p>
    <w:p>
      <w:pPr>
        <w:spacing w:after="0" w:line="201" w:lineRule="exact"/>
        <w:rPr>
          <w:rFonts w:ascii="Arial" w:cs="Arial" w:eastAsia="Arial" w:hAnsi="Arial"/>
          <w:sz w:val="14"/>
          <w:szCs w:val="14"/>
          <w:color w:val="auto"/>
        </w:rPr>
      </w:pPr>
    </w:p>
    <w:p>
      <w:pPr>
        <w:ind w:left="280" w:hanging="272"/>
        <w:spacing w:after="0"/>
        <w:tabs>
          <w:tab w:leader="none" w:pos="280" w:val="left"/>
        </w:tabs>
        <w:numPr>
          <w:ilvl w:val="0"/>
          <w:numId w:val="85"/>
        </w:numPr>
        <w:rPr>
          <w:rFonts w:ascii="Arial" w:cs="Arial" w:eastAsia="Arial" w:hAnsi="Arial"/>
          <w:sz w:val="14"/>
          <w:szCs w:val="14"/>
          <w:b w:val="1"/>
          <w:bCs w:val="1"/>
          <w:color w:val="auto"/>
        </w:rPr>
      </w:pPr>
      <w:r>
        <w:rPr>
          <w:rFonts w:ascii="Arial" w:cs="Arial" w:eastAsia="Arial" w:hAnsi="Arial"/>
          <w:sz w:val="14"/>
          <w:szCs w:val="14"/>
          <w:b w:val="1"/>
          <w:bCs w:val="1"/>
          <w:color w:val="auto"/>
        </w:rPr>
        <w:t>PROPERTY, PLANT AND MINE DEVELOPMENT</w:t>
      </w:r>
    </w:p>
    <w:p>
      <w:pPr>
        <w:spacing w:after="0" w:line="204" w:lineRule="exact"/>
        <w:rPr>
          <w:sz w:val="20"/>
          <w:szCs w:val="20"/>
          <w:color w:val="auto"/>
        </w:rPr>
      </w:pPr>
    </w:p>
    <w:tbl>
      <w:tblPr>
        <w:tblLayout w:type="fixed"/>
        <w:tblInd w:w="540" w:type="dxa"/>
        <w:tblCellMar>
          <w:top w:w="0" w:type="dxa"/>
          <w:left w:w="0" w:type="dxa"/>
          <w:bottom w:w="0" w:type="dxa"/>
          <w:right w:w="0" w:type="dxa"/>
        </w:tblCellMar>
      </w:tblPr>
      <w:tr>
        <w:trPr>
          <w:trHeight w:val="161"/>
        </w:trPr>
        <w:tc>
          <w:tcPr>
            <w:tcW w:w="620" w:type="dxa"/>
            <w:vAlign w:val="bottom"/>
          </w:tcPr>
          <w:p>
            <w:pPr>
              <w:spacing w:after="0"/>
              <w:rPr>
                <w:sz w:val="14"/>
                <w:szCs w:val="14"/>
                <w:color w:val="auto"/>
              </w:rPr>
            </w:pPr>
          </w:p>
        </w:tc>
        <w:tc>
          <w:tcPr>
            <w:tcW w:w="332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tcPr>
          <w:p>
            <w:pPr>
              <w:jc w:val="right"/>
              <w:ind w:right="232"/>
              <w:spacing w:after="0"/>
              <w:rPr>
                <w:sz w:val="20"/>
                <w:szCs w:val="20"/>
                <w:color w:val="auto"/>
              </w:rPr>
            </w:pPr>
            <w:r>
              <w:rPr>
                <w:rFonts w:ascii="Arial" w:cs="Arial" w:eastAsia="Arial" w:hAnsi="Arial"/>
                <w:sz w:val="14"/>
                <w:szCs w:val="14"/>
                <w:b w:val="1"/>
                <w:bCs w:val="1"/>
                <w:color w:val="auto"/>
              </w:rPr>
              <w:t>2009</w:t>
            </w:r>
          </w:p>
        </w:tc>
        <w:tc>
          <w:tcPr>
            <w:tcW w:w="16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64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240" w:type="dxa"/>
            <w:vAlign w:val="bottom"/>
            <w:tcBorders>
              <w:bottom w:val="single" w:sz="8" w:color="auto"/>
            </w:tcBorders>
          </w:tcPr>
          <w:p>
            <w:pPr>
              <w:spacing w:after="0"/>
              <w:rPr>
                <w:sz w:val="14"/>
                <w:szCs w:val="14"/>
                <w:color w:val="auto"/>
              </w:rPr>
            </w:pPr>
          </w:p>
        </w:tc>
        <w:tc>
          <w:tcPr>
            <w:tcW w:w="38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4"/>
                <w:szCs w:val="14"/>
                <w:b w:val="1"/>
                <w:bCs w:val="1"/>
                <w:color w:val="auto"/>
              </w:rPr>
              <w:t>2008</w:t>
            </w:r>
          </w:p>
        </w:tc>
        <w:tc>
          <w:tcPr>
            <w:tcW w:w="20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58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29"/>
        </w:trPr>
        <w:tc>
          <w:tcPr>
            <w:tcW w:w="620" w:type="dxa"/>
            <w:vAlign w:val="bottom"/>
          </w:tcPr>
          <w:p>
            <w:pPr>
              <w:spacing w:after="0"/>
              <w:rPr>
                <w:sz w:val="11"/>
                <w:szCs w:val="11"/>
                <w:color w:val="auto"/>
              </w:rPr>
            </w:pPr>
          </w:p>
        </w:tc>
        <w:tc>
          <w:tcPr>
            <w:tcW w:w="33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900" w:type="dxa"/>
            <w:vAlign w:val="bottom"/>
            <w:gridSpan w:val="2"/>
          </w:tcPr>
          <w:p>
            <w:pPr>
              <w:jc w:val="right"/>
              <w:ind w:right="12"/>
              <w:spacing w:after="0" w:line="129" w:lineRule="exact"/>
              <w:rPr>
                <w:sz w:val="20"/>
                <w:szCs w:val="20"/>
                <w:color w:val="auto"/>
              </w:rPr>
            </w:pPr>
            <w:r>
              <w:rPr>
                <w:rFonts w:ascii="Arial" w:cs="Arial" w:eastAsia="Arial" w:hAnsi="Arial"/>
                <w:sz w:val="14"/>
                <w:szCs w:val="14"/>
                <w:b w:val="1"/>
                <w:bCs w:val="1"/>
                <w:color w:val="auto"/>
                <w:w w:val="90"/>
              </w:rPr>
              <w:t>Accumulated</w:t>
            </w:r>
          </w:p>
        </w:tc>
        <w:tc>
          <w:tcPr>
            <w:tcW w:w="1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tcPr>
          <w:p>
            <w:pPr>
              <w:jc w:val="right"/>
              <w:ind w:right="252"/>
              <w:spacing w:after="0" w:line="129" w:lineRule="exact"/>
              <w:rPr>
                <w:sz w:val="20"/>
                <w:szCs w:val="20"/>
                <w:color w:val="auto"/>
              </w:rPr>
            </w:pPr>
            <w:r>
              <w:rPr>
                <w:rFonts w:ascii="Arial" w:cs="Arial" w:eastAsia="Arial" w:hAnsi="Arial"/>
                <w:sz w:val="14"/>
                <w:szCs w:val="14"/>
                <w:b w:val="1"/>
                <w:bCs w:val="1"/>
                <w:color w:val="auto"/>
              </w:rPr>
              <w:t>Net</w:t>
            </w:r>
          </w:p>
        </w:tc>
        <w:tc>
          <w:tcPr>
            <w:tcW w:w="1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900" w:type="dxa"/>
            <w:vAlign w:val="bottom"/>
            <w:gridSpan w:val="4"/>
          </w:tcPr>
          <w:p>
            <w:pPr>
              <w:jc w:val="right"/>
              <w:ind w:right="12"/>
              <w:spacing w:after="0" w:line="129" w:lineRule="exact"/>
              <w:rPr>
                <w:sz w:val="20"/>
                <w:szCs w:val="20"/>
                <w:color w:val="auto"/>
              </w:rPr>
            </w:pPr>
            <w:r>
              <w:rPr>
                <w:rFonts w:ascii="Arial" w:cs="Arial" w:eastAsia="Arial" w:hAnsi="Arial"/>
                <w:sz w:val="14"/>
                <w:szCs w:val="14"/>
                <w:b w:val="1"/>
                <w:bCs w:val="1"/>
                <w:color w:val="auto"/>
                <w:w w:val="90"/>
              </w:rPr>
              <w:t>Accumulated</w:t>
            </w:r>
          </w:p>
        </w:tc>
        <w:tc>
          <w:tcPr>
            <w:tcW w:w="1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740" w:type="dxa"/>
            <w:vAlign w:val="bottom"/>
            <w:gridSpan w:val="2"/>
          </w:tcPr>
          <w:p>
            <w:pPr>
              <w:jc w:val="right"/>
              <w:ind w:right="360"/>
              <w:spacing w:after="0" w:line="129" w:lineRule="exact"/>
              <w:rPr>
                <w:sz w:val="20"/>
                <w:szCs w:val="20"/>
                <w:color w:val="auto"/>
              </w:rPr>
            </w:pPr>
            <w:r>
              <w:rPr>
                <w:rFonts w:ascii="Arial" w:cs="Arial" w:eastAsia="Arial" w:hAnsi="Arial"/>
                <w:sz w:val="14"/>
                <w:szCs w:val="14"/>
                <w:b w:val="1"/>
                <w:bCs w:val="1"/>
                <w:color w:val="auto"/>
              </w:rPr>
              <w:t>Net</w:t>
            </w:r>
          </w:p>
        </w:tc>
        <w:tc>
          <w:tcPr>
            <w:tcW w:w="1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1"/>
        </w:trPr>
        <w:tc>
          <w:tcPr>
            <w:tcW w:w="620" w:type="dxa"/>
            <w:vAlign w:val="bottom"/>
          </w:tcPr>
          <w:p>
            <w:pPr>
              <w:spacing w:after="0"/>
              <w:rPr>
                <w:sz w:val="14"/>
                <w:szCs w:val="14"/>
                <w:color w:val="auto"/>
              </w:rPr>
            </w:pPr>
          </w:p>
        </w:tc>
        <w:tc>
          <w:tcPr>
            <w:tcW w:w="332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jc w:val="right"/>
              <w:ind w:right="192"/>
              <w:spacing w:after="0"/>
              <w:rPr>
                <w:sz w:val="20"/>
                <w:szCs w:val="20"/>
                <w:color w:val="auto"/>
              </w:rPr>
            </w:pPr>
            <w:r>
              <w:rPr>
                <w:rFonts w:ascii="Arial" w:cs="Arial" w:eastAsia="Arial" w:hAnsi="Arial"/>
                <w:sz w:val="14"/>
                <w:szCs w:val="14"/>
                <w:b w:val="1"/>
                <w:bCs w:val="1"/>
                <w:color w:val="auto"/>
              </w:rPr>
              <w:t>Cost</w:t>
            </w:r>
          </w:p>
        </w:tc>
        <w:tc>
          <w:tcPr>
            <w:tcW w:w="160" w:type="dxa"/>
            <w:vAlign w:val="bottom"/>
          </w:tcPr>
          <w:p>
            <w:pPr>
              <w:spacing w:after="0"/>
              <w:rPr>
                <w:sz w:val="14"/>
                <w:szCs w:val="14"/>
                <w:color w:val="auto"/>
              </w:rPr>
            </w:pPr>
          </w:p>
        </w:tc>
        <w:tc>
          <w:tcPr>
            <w:tcW w:w="900" w:type="dxa"/>
            <w:vAlign w:val="bottom"/>
            <w:tcBorders>
              <w:bottom w:val="single" w:sz="8" w:color="auto"/>
            </w:tcBorders>
            <w:gridSpan w:val="2"/>
          </w:tcPr>
          <w:p>
            <w:pPr>
              <w:jc w:val="right"/>
              <w:ind w:right="12"/>
              <w:spacing w:after="0"/>
              <w:rPr>
                <w:sz w:val="20"/>
                <w:szCs w:val="20"/>
                <w:color w:val="auto"/>
              </w:rPr>
            </w:pPr>
            <w:r>
              <w:rPr>
                <w:rFonts w:ascii="Arial" w:cs="Arial" w:eastAsia="Arial" w:hAnsi="Arial"/>
                <w:sz w:val="14"/>
                <w:szCs w:val="14"/>
                <w:b w:val="1"/>
                <w:bCs w:val="1"/>
                <w:color w:val="auto"/>
                <w:w w:val="93"/>
              </w:rPr>
              <w:t>Amortization</w:t>
            </w:r>
          </w:p>
        </w:tc>
        <w:tc>
          <w:tcPr>
            <w:tcW w:w="160" w:type="dxa"/>
            <w:vAlign w:val="bottom"/>
          </w:tcPr>
          <w:p>
            <w:pPr>
              <w:spacing w:after="0"/>
              <w:rPr>
                <w:sz w:val="14"/>
                <w:szCs w:val="14"/>
                <w:color w:val="auto"/>
              </w:rPr>
            </w:pPr>
          </w:p>
        </w:tc>
        <w:tc>
          <w:tcPr>
            <w:tcW w:w="820" w:type="dxa"/>
            <w:vAlign w:val="bottom"/>
            <w:tcBorders>
              <w:bottom w:val="single" w:sz="8" w:color="auto"/>
            </w:tcBorders>
            <w:gridSpan w:val="2"/>
          </w:tcPr>
          <w:p>
            <w:pPr>
              <w:jc w:val="right"/>
              <w:ind w:right="12"/>
              <w:spacing w:after="0"/>
              <w:rPr>
                <w:sz w:val="20"/>
                <w:szCs w:val="20"/>
                <w:color w:val="auto"/>
              </w:rPr>
            </w:pPr>
            <w:r>
              <w:rPr>
                <w:rFonts w:ascii="Arial" w:cs="Arial" w:eastAsia="Arial" w:hAnsi="Arial"/>
                <w:sz w:val="14"/>
                <w:szCs w:val="14"/>
                <w:b w:val="1"/>
                <w:bCs w:val="1"/>
                <w:color w:val="auto"/>
                <w:w w:val="94"/>
              </w:rPr>
              <w:t>Book Value</w:t>
            </w:r>
          </w:p>
        </w:tc>
        <w:tc>
          <w:tcPr>
            <w:tcW w:w="16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gridSpan w:val="2"/>
          </w:tcPr>
          <w:p>
            <w:pPr>
              <w:jc w:val="right"/>
              <w:ind w:right="192"/>
              <w:spacing w:after="0"/>
              <w:rPr>
                <w:sz w:val="20"/>
                <w:szCs w:val="20"/>
                <w:color w:val="auto"/>
              </w:rPr>
            </w:pPr>
            <w:r>
              <w:rPr>
                <w:rFonts w:ascii="Arial" w:cs="Arial" w:eastAsia="Arial" w:hAnsi="Arial"/>
                <w:sz w:val="14"/>
                <w:szCs w:val="14"/>
                <w:b w:val="1"/>
                <w:bCs w:val="1"/>
                <w:color w:val="auto"/>
              </w:rPr>
              <w:t>Cost</w:t>
            </w:r>
          </w:p>
        </w:tc>
        <w:tc>
          <w:tcPr>
            <w:tcW w:w="160" w:type="dxa"/>
            <w:vAlign w:val="bottom"/>
          </w:tcPr>
          <w:p>
            <w:pPr>
              <w:spacing w:after="0"/>
              <w:rPr>
                <w:sz w:val="14"/>
                <w:szCs w:val="14"/>
                <w:color w:val="auto"/>
              </w:rPr>
            </w:pPr>
          </w:p>
        </w:tc>
        <w:tc>
          <w:tcPr>
            <w:tcW w:w="900" w:type="dxa"/>
            <w:vAlign w:val="bottom"/>
            <w:tcBorders>
              <w:bottom w:val="single" w:sz="8" w:color="auto"/>
            </w:tcBorders>
            <w:gridSpan w:val="4"/>
          </w:tcPr>
          <w:p>
            <w:pPr>
              <w:jc w:val="right"/>
              <w:ind w:right="12"/>
              <w:spacing w:after="0"/>
              <w:rPr>
                <w:sz w:val="20"/>
                <w:szCs w:val="20"/>
                <w:color w:val="auto"/>
              </w:rPr>
            </w:pPr>
            <w:r>
              <w:rPr>
                <w:rFonts w:ascii="Arial" w:cs="Arial" w:eastAsia="Arial" w:hAnsi="Arial"/>
                <w:sz w:val="14"/>
                <w:szCs w:val="14"/>
                <w:b w:val="1"/>
                <w:bCs w:val="1"/>
                <w:color w:val="auto"/>
                <w:w w:val="93"/>
              </w:rPr>
              <w:t>Amortization</w:t>
            </w:r>
          </w:p>
        </w:tc>
        <w:tc>
          <w:tcPr>
            <w:tcW w:w="160" w:type="dxa"/>
            <w:vAlign w:val="bottom"/>
          </w:tcPr>
          <w:p>
            <w:pPr>
              <w:spacing w:after="0"/>
              <w:rPr>
                <w:sz w:val="14"/>
                <w:szCs w:val="14"/>
                <w:color w:val="auto"/>
              </w:rPr>
            </w:pPr>
          </w:p>
        </w:tc>
        <w:tc>
          <w:tcPr>
            <w:tcW w:w="860" w:type="dxa"/>
            <w:vAlign w:val="bottom"/>
            <w:tcBorders>
              <w:bottom w:val="single" w:sz="8" w:color="auto"/>
            </w:tcBorders>
            <w:gridSpan w:val="3"/>
          </w:tcPr>
          <w:p>
            <w:pPr>
              <w:jc w:val="right"/>
              <w:ind w:right="140"/>
              <w:spacing w:after="0"/>
              <w:rPr>
                <w:sz w:val="20"/>
                <w:szCs w:val="20"/>
                <w:color w:val="auto"/>
              </w:rPr>
            </w:pPr>
            <w:r>
              <w:rPr>
                <w:rFonts w:ascii="Arial" w:cs="Arial" w:eastAsia="Arial" w:hAnsi="Arial"/>
                <w:sz w:val="14"/>
                <w:szCs w:val="14"/>
                <w:b w:val="1"/>
                <w:bCs w:val="1"/>
                <w:color w:val="auto"/>
                <w:w w:val="91"/>
              </w:rPr>
              <w:t>Book Value</w:t>
            </w: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620" w:type="dxa"/>
            <w:vAlign w:val="bottom"/>
          </w:tcPr>
          <w:p>
            <w:pPr>
              <w:spacing w:after="0"/>
              <w:rPr>
                <w:sz w:val="12"/>
                <w:szCs w:val="12"/>
                <w:color w:val="auto"/>
              </w:rPr>
            </w:pPr>
          </w:p>
        </w:tc>
        <w:tc>
          <w:tcPr>
            <w:tcW w:w="3320" w:type="dxa"/>
            <w:vAlign w:val="bottom"/>
            <w:shd w:val="clear" w:color="auto" w:fill="CCEEFF"/>
          </w:tcPr>
          <w:p>
            <w:pPr>
              <w:ind w:left="100"/>
              <w:spacing w:after="0" w:line="142" w:lineRule="exact"/>
              <w:rPr>
                <w:sz w:val="20"/>
                <w:szCs w:val="20"/>
                <w:color w:val="auto"/>
              </w:rPr>
            </w:pPr>
            <w:r>
              <w:rPr>
                <w:rFonts w:ascii="Arial" w:cs="Arial" w:eastAsia="Arial" w:hAnsi="Arial"/>
                <w:sz w:val="14"/>
                <w:szCs w:val="14"/>
                <w:color w:val="auto"/>
              </w:rPr>
              <w:t>Mining properties</w:t>
            </w:r>
          </w:p>
        </w:tc>
        <w:tc>
          <w:tcPr>
            <w:tcW w:w="14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6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93"/>
              </w:rPr>
              <w:t>1,221,646</w:t>
            </w:r>
          </w:p>
        </w:tc>
        <w:tc>
          <w:tcPr>
            <w:tcW w:w="360" w:type="dxa"/>
            <w:vAlign w:val="bottom"/>
            <w:gridSpan w:val="2"/>
            <w:shd w:val="clear" w:color="auto" w:fill="CCEEFF"/>
          </w:tcPr>
          <w:p>
            <w:pPr>
              <w:jc w:val="right"/>
              <w:ind w:right="52"/>
              <w:spacing w:after="0" w:line="142" w:lineRule="exact"/>
              <w:rPr>
                <w:sz w:val="20"/>
                <w:szCs w:val="20"/>
                <w:color w:val="auto"/>
              </w:rPr>
            </w:pPr>
            <w:r>
              <w:rPr>
                <w:rFonts w:ascii="Arial" w:cs="Arial" w:eastAsia="Arial" w:hAnsi="Arial"/>
                <w:sz w:val="14"/>
                <w:szCs w:val="14"/>
                <w:color w:val="auto"/>
              </w:rPr>
              <w:t>$</w:t>
            </w:r>
          </w:p>
        </w:tc>
        <w:tc>
          <w:tcPr>
            <w:tcW w:w="70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27,865</w:t>
            </w:r>
          </w:p>
        </w:tc>
        <w:tc>
          <w:tcPr>
            <w:tcW w:w="340" w:type="dxa"/>
            <w:vAlign w:val="bottom"/>
            <w:gridSpan w:val="2"/>
            <w:shd w:val="clear" w:color="auto" w:fill="CCEEFF"/>
          </w:tcPr>
          <w:p>
            <w:pPr>
              <w:jc w:val="right"/>
              <w:ind w:right="32"/>
              <w:spacing w:after="0" w:line="142" w:lineRule="exact"/>
              <w:rPr>
                <w:sz w:val="20"/>
                <w:szCs w:val="20"/>
                <w:color w:val="auto"/>
              </w:rPr>
            </w:pPr>
            <w:r>
              <w:rPr>
                <w:rFonts w:ascii="Arial" w:cs="Arial" w:eastAsia="Arial" w:hAnsi="Arial"/>
                <w:sz w:val="14"/>
                <w:szCs w:val="14"/>
                <w:color w:val="auto"/>
              </w:rPr>
              <w:t>$</w:t>
            </w:r>
          </w:p>
        </w:tc>
        <w:tc>
          <w:tcPr>
            <w:tcW w:w="64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96"/>
              </w:rPr>
              <w:t>1,193,781</w:t>
            </w:r>
          </w:p>
        </w:tc>
        <w:tc>
          <w:tcPr>
            <w:tcW w:w="300" w:type="dxa"/>
            <w:vAlign w:val="bottom"/>
            <w:gridSpan w:val="2"/>
            <w:shd w:val="clear" w:color="auto" w:fill="CCEEFF"/>
          </w:tcPr>
          <w:p>
            <w:pPr>
              <w:jc w:val="right"/>
              <w:ind w:right="60"/>
              <w:spacing w:after="0" w:line="142" w:lineRule="exact"/>
              <w:rPr>
                <w:sz w:val="20"/>
                <w:szCs w:val="20"/>
                <w:color w:val="auto"/>
              </w:rPr>
            </w:pPr>
            <w:r>
              <w:rPr>
                <w:rFonts w:ascii="Arial" w:cs="Arial" w:eastAsia="Arial" w:hAnsi="Arial"/>
                <w:sz w:val="14"/>
                <w:szCs w:val="14"/>
                <w:color w:val="auto"/>
              </w:rPr>
              <w:t>$</w:t>
            </w:r>
          </w:p>
        </w:tc>
        <w:tc>
          <w:tcPr>
            <w:tcW w:w="62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w w:val="93"/>
              </w:rPr>
              <w:t>1,192,079</w:t>
            </w:r>
          </w:p>
        </w:tc>
        <w:tc>
          <w:tcPr>
            <w:tcW w:w="24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820" w:type="dxa"/>
            <w:vAlign w:val="bottom"/>
            <w:gridSpan w:val="3"/>
            <w:shd w:val="clear" w:color="auto" w:fill="CCEEFF"/>
          </w:tcPr>
          <w:p>
            <w:pPr>
              <w:jc w:val="right"/>
              <w:spacing w:after="0" w:line="142" w:lineRule="exact"/>
              <w:rPr>
                <w:sz w:val="20"/>
                <w:szCs w:val="20"/>
                <w:color w:val="auto"/>
              </w:rPr>
            </w:pPr>
            <w:r>
              <w:rPr>
                <w:rFonts w:ascii="Arial" w:cs="Arial" w:eastAsia="Arial" w:hAnsi="Arial"/>
                <w:sz w:val="14"/>
                <w:szCs w:val="14"/>
                <w:color w:val="auto"/>
              </w:rPr>
              <w:t>24,469</w:t>
            </w:r>
          </w:p>
        </w:tc>
        <w:tc>
          <w:tcPr>
            <w:tcW w:w="28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740" w:type="dxa"/>
            <w:vAlign w:val="bottom"/>
            <w:tcBorders>
              <w:right w:val="single" w:sz="8" w:color="CCEEFF"/>
            </w:tcBorders>
            <w:gridSpan w:val="2"/>
            <w:shd w:val="clear" w:color="auto" w:fill="CCEEFF"/>
          </w:tcPr>
          <w:p>
            <w:pPr>
              <w:jc w:val="right"/>
              <w:ind w:right="60"/>
              <w:spacing w:after="0" w:line="142" w:lineRule="exact"/>
              <w:rPr>
                <w:sz w:val="20"/>
                <w:szCs w:val="20"/>
                <w:color w:val="auto"/>
              </w:rPr>
            </w:pPr>
            <w:r>
              <w:rPr>
                <w:rFonts w:ascii="Arial" w:cs="Arial" w:eastAsia="Arial" w:hAnsi="Arial"/>
                <w:sz w:val="14"/>
                <w:szCs w:val="14"/>
                <w:color w:val="auto"/>
              </w:rPr>
              <w:t>1,167,610</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620" w:type="dxa"/>
            <w:vAlign w:val="bottom"/>
          </w:tcPr>
          <w:p>
            <w:pPr>
              <w:spacing w:after="0"/>
              <w:rPr>
                <w:sz w:val="12"/>
                <w:szCs w:val="12"/>
                <w:color w:val="auto"/>
              </w:rPr>
            </w:pPr>
          </w:p>
        </w:tc>
        <w:tc>
          <w:tcPr>
            <w:tcW w:w="3320" w:type="dxa"/>
            <w:vAlign w:val="bottom"/>
          </w:tcPr>
          <w:p>
            <w:pPr>
              <w:ind w:left="100"/>
              <w:spacing w:after="0" w:line="149" w:lineRule="exact"/>
              <w:rPr>
                <w:sz w:val="20"/>
                <w:szCs w:val="20"/>
                <w:color w:val="auto"/>
              </w:rPr>
            </w:pPr>
            <w:r>
              <w:rPr>
                <w:rFonts w:ascii="Arial" w:cs="Arial" w:eastAsia="Arial" w:hAnsi="Arial"/>
                <w:sz w:val="14"/>
                <w:szCs w:val="14"/>
                <w:color w:val="auto"/>
              </w:rPr>
              <w:t>Plant and equipment</w:t>
            </w:r>
          </w:p>
        </w:tc>
        <w:tc>
          <w:tcPr>
            <w:tcW w:w="14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w w:val="93"/>
              </w:rPr>
              <w:t>1,389,081</w:t>
            </w:r>
          </w:p>
        </w:tc>
        <w:tc>
          <w:tcPr>
            <w:tcW w:w="1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700" w:type="dxa"/>
            <w:vAlign w:val="bottom"/>
          </w:tcPr>
          <w:p>
            <w:pPr>
              <w:jc w:val="right"/>
              <w:spacing w:after="0" w:line="149" w:lineRule="exact"/>
              <w:rPr>
                <w:sz w:val="20"/>
                <w:szCs w:val="20"/>
                <w:color w:val="auto"/>
              </w:rPr>
            </w:pPr>
            <w:r>
              <w:rPr>
                <w:rFonts w:ascii="Arial" w:cs="Arial" w:eastAsia="Arial" w:hAnsi="Arial"/>
                <w:sz w:val="14"/>
                <w:szCs w:val="14"/>
                <w:color w:val="auto"/>
              </w:rPr>
              <w:t>197,794</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w w:val="96"/>
              </w:rPr>
              <w:t>1,191,287</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541,081</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gridSpan w:val="3"/>
          </w:tcPr>
          <w:p>
            <w:pPr>
              <w:jc w:val="right"/>
              <w:spacing w:after="0" w:line="149" w:lineRule="exact"/>
              <w:rPr>
                <w:sz w:val="20"/>
                <w:szCs w:val="20"/>
                <w:color w:val="auto"/>
              </w:rPr>
            </w:pPr>
            <w:r>
              <w:rPr>
                <w:rFonts w:ascii="Arial" w:cs="Arial" w:eastAsia="Arial" w:hAnsi="Arial"/>
                <w:sz w:val="14"/>
                <w:szCs w:val="14"/>
                <w:color w:val="auto"/>
              </w:rPr>
              <w:t>135,794</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4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405,287</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620" w:type="dxa"/>
            <w:vAlign w:val="bottom"/>
          </w:tcPr>
          <w:p>
            <w:pPr>
              <w:spacing w:after="0"/>
              <w:rPr>
                <w:sz w:val="12"/>
                <w:szCs w:val="12"/>
                <w:color w:val="auto"/>
              </w:rPr>
            </w:pPr>
          </w:p>
        </w:tc>
        <w:tc>
          <w:tcPr>
            <w:tcW w:w="3320" w:type="dxa"/>
            <w:vAlign w:val="bottom"/>
            <w:shd w:val="clear" w:color="auto" w:fill="CCEEFF"/>
          </w:tcPr>
          <w:p>
            <w:pPr>
              <w:ind w:left="100"/>
              <w:spacing w:after="0" w:line="149" w:lineRule="exact"/>
              <w:rPr>
                <w:sz w:val="20"/>
                <w:szCs w:val="20"/>
                <w:color w:val="auto"/>
              </w:rPr>
            </w:pPr>
            <w:r>
              <w:rPr>
                <w:rFonts w:ascii="Arial" w:cs="Arial" w:eastAsia="Arial" w:hAnsi="Arial"/>
                <w:sz w:val="14"/>
                <w:szCs w:val="14"/>
                <w:color w:val="auto"/>
              </w:rPr>
              <w:t>Mine development costs</w:t>
            </w:r>
          </w:p>
        </w:tc>
        <w:tc>
          <w:tcPr>
            <w:tcW w:w="14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445,628</w:t>
            </w:r>
          </w:p>
        </w:tc>
        <w:tc>
          <w:tcPr>
            <w:tcW w:w="1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111,674</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333,954</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288,923</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gridSpan w:val="3"/>
            <w:shd w:val="clear" w:color="auto" w:fill="CCEEFF"/>
          </w:tcPr>
          <w:p>
            <w:pPr>
              <w:jc w:val="right"/>
              <w:spacing w:after="0" w:line="149" w:lineRule="exact"/>
              <w:rPr>
                <w:sz w:val="20"/>
                <w:szCs w:val="20"/>
                <w:color w:val="auto"/>
              </w:rPr>
            </w:pPr>
            <w:r>
              <w:rPr>
                <w:rFonts w:ascii="Arial" w:cs="Arial" w:eastAsia="Arial" w:hAnsi="Arial"/>
                <w:sz w:val="14"/>
                <w:szCs w:val="14"/>
                <w:color w:val="auto"/>
              </w:rPr>
              <w:t>94,465</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40" w:type="dxa"/>
            <w:vAlign w:val="bottom"/>
            <w:tcBorders>
              <w:right w:val="single" w:sz="8" w:color="CCEEFF"/>
            </w:tcBorders>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194,458</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620" w:type="dxa"/>
            <w:vAlign w:val="bottom"/>
          </w:tcPr>
          <w:p>
            <w:pPr>
              <w:spacing w:after="0"/>
              <w:rPr>
                <w:sz w:val="12"/>
                <w:szCs w:val="12"/>
                <w:color w:val="auto"/>
              </w:rPr>
            </w:pPr>
          </w:p>
        </w:tc>
        <w:tc>
          <w:tcPr>
            <w:tcW w:w="3320" w:type="dxa"/>
            <w:vAlign w:val="bottom"/>
          </w:tcPr>
          <w:p>
            <w:pPr>
              <w:ind w:left="100"/>
              <w:spacing w:after="0" w:line="149" w:lineRule="exact"/>
              <w:rPr>
                <w:sz w:val="20"/>
                <w:szCs w:val="20"/>
                <w:color w:val="auto"/>
              </w:rPr>
            </w:pPr>
            <w:r>
              <w:rPr>
                <w:rFonts w:ascii="Arial" w:cs="Arial" w:eastAsia="Arial" w:hAnsi="Arial"/>
                <w:sz w:val="14"/>
                <w:szCs w:val="14"/>
                <w:color w:val="auto"/>
              </w:rPr>
              <w:t>Construction in progress:</w:t>
            </w:r>
          </w:p>
        </w:tc>
        <w:tc>
          <w:tcPr>
            <w:tcW w:w="14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620" w:type="dxa"/>
            <w:vAlign w:val="bottom"/>
          </w:tcPr>
          <w:p>
            <w:pPr>
              <w:spacing w:after="0"/>
              <w:rPr>
                <w:sz w:val="12"/>
                <w:szCs w:val="12"/>
                <w:color w:val="auto"/>
              </w:rPr>
            </w:pPr>
          </w:p>
        </w:tc>
        <w:tc>
          <w:tcPr>
            <w:tcW w:w="3320" w:type="dxa"/>
            <w:vAlign w:val="bottom"/>
            <w:shd w:val="clear" w:color="auto" w:fill="CCEEFF"/>
          </w:tcPr>
          <w:p>
            <w:pPr>
              <w:ind w:left="320"/>
              <w:spacing w:after="0" w:line="149" w:lineRule="exact"/>
              <w:rPr>
                <w:sz w:val="20"/>
                <w:szCs w:val="20"/>
                <w:color w:val="auto"/>
              </w:rPr>
            </w:pPr>
            <w:r>
              <w:rPr>
                <w:rFonts w:ascii="Arial" w:cs="Arial" w:eastAsia="Arial" w:hAnsi="Arial"/>
                <w:sz w:val="14"/>
                <w:szCs w:val="14"/>
                <w:color w:val="auto"/>
              </w:rPr>
              <w:t>Goldex Mine</w:t>
            </w:r>
          </w:p>
        </w:tc>
        <w:tc>
          <w:tcPr>
            <w:tcW w:w="14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60" w:type="dxa"/>
            <w:vAlign w:val="bottom"/>
            <w:gridSpan w:val="3"/>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620" w:type="dxa"/>
            <w:vAlign w:val="bottom"/>
          </w:tcPr>
          <w:p>
            <w:pPr>
              <w:spacing w:after="0"/>
              <w:rPr>
                <w:sz w:val="12"/>
                <w:szCs w:val="12"/>
                <w:color w:val="auto"/>
              </w:rPr>
            </w:pPr>
          </w:p>
        </w:tc>
        <w:tc>
          <w:tcPr>
            <w:tcW w:w="3320" w:type="dxa"/>
            <w:vAlign w:val="bottom"/>
          </w:tcPr>
          <w:p>
            <w:pPr>
              <w:ind w:left="320"/>
              <w:spacing w:after="0" w:line="149" w:lineRule="exact"/>
              <w:rPr>
                <w:sz w:val="20"/>
                <w:szCs w:val="20"/>
                <w:color w:val="auto"/>
              </w:rPr>
            </w:pPr>
            <w:r>
              <w:rPr>
                <w:rFonts w:ascii="Arial" w:cs="Arial" w:eastAsia="Arial" w:hAnsi="Arial"/>
                <w:sz w:val="14"/>
                <w:szCs w:val="14"/>
                <w:color w:val="auto"/>
              </w:rPr>
              <w:t>LaRonde Mine extension</w:t>
            </w:r>
          </w:p>
        </w:tc>
        <w:tc>
          <w:tcPr>
            <w:tcW w:w="14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121,102</w:t>
            </w:r>
          </w:p>
        </w:tc>
        <w:tc>
          <w:tcPr>
            <w:tcW w:w="1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70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121,102</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83,340</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0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4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83,340</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620" w:type="dxa"/>
            <w:vAlign w:val="bottom"/>
          </w:tcPr>
          <w:p>
            <w:pPr>
              <w:spacing w:after="0"/>
              <w:rPr>
                <w:sz w:val="12"/>
                <w:szCs w:val="12"/>
                <w:color w:val="auto"/>
              </w:rPr>
            </w:pPr>
          </w:p>
        </w:tc>
        <w:tc>
          <w:tcPr>
            <w:tcW w:w="3320" w:type="dxa"/>
            <w:vAlign w:val="bottom"/>
            <w:shd w:val="clear" w:color="auto" w:fill="CCEEFF"/>
          </w:tcPr>
          <w:p>
            <w:pPr>
              <w:ind w:left="320"/>
              <w:spacing w:after="0" w:line="149" w:lineRule="exact"/>
              <w:rPr>
                <w:sz w:val="20"/>
                <w:szCs w:val="20"/>
                <w:color w:val="auto"/>
              </w:rPr>
            </w:pPr>
            <w:r>
              <w:rPr>
                <w:rFonts w:ascii="Arial" w:cs="Arial" w:eastAsia="Arial" w:hAnsi="Arial"/>
                <w:sz w:val="14"/>
                <w:szCs w:val="14"/>
                <w:color w:val="auto"/>
              </w:rPr>
              <w:t>Pinos Altos Mine</w:t>
            </w:r>
          </w:p>
        </w:tc>
        <w:tc>
          <w:tcPr>
            <w:tcW w:w="14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212,751</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40" w:type="dxa"/>
            <w:vAlign w:val="bottom"/>
            <w:tcBorders>
              <w:right w:val="single" w:sz="8" w:color="CCEEFF"/>
            </w:tcBorders>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212,751</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620" w:type="dxa"/>
            <w:vAlign w:val="bottom"/>
          </w:tcPr>
          <w:p>
            <w:pPr>
              <w:spacing w:after="0"/>
              <w:rPr>
                <w:sz w:val="12"/>
                <w:szCs w:val="12"/>
                <w:color w:val="auto"/>
              </w:rPr>
            </w:pPr>
          </w:p>
        </w:tc>
        <w:tc>
          <w:tcPr>
            <w:tcW w:w="3320" w:type="dxa"/>
            <w:vAlign w:val="bottom"/>
          </w:tcPr>
          <w:p>
            <w:pPr>
              <w:ind w:left="320"/>
              <w:spacing w:after="0" w:line="149" w:lineRule="exact"/>
              <w:rPr>
                <w:sz w:val="20"/>
                <w:szCs w:val="20"/>
                <w:color w:val="auto"/>
              </w:rPr>
            </w:pPr>
            <w:r>
              <w:rPr>
                <w:rFonts w:ascii="Arial" w:cs="Arial" w:eastAsia="Arial" w:hAnsi="Arial"/>
                <w:sz w:val="14"/>
                <w:szCs w:val="14"/>
                <w:color w:val="auto"/>
              </w:rPr>
              <w:t>Meadowbank Mine</w:t>
            </w:r>
          </w:p>
        </w:tc>
        <w:tc>
          <w:tcPr>
            <w:tcW w:w="14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741,674</w:t>
            </w:r>
          </w:p>
        </w:tc>
        <w:tc>
          <w:tcPr>
            <w:tcW w:w="1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70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741,674</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479,392</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0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4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479,392</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620" w:type="dxa"/>
            <w:vAlign w:val="bottom"/>
          </w:tcPr>
          <w:p>
            <w:pPr>
              <w:spacing w:after="0"/>
              <w:rPr>
                <w:sz w:val="12"/>
                <w:szCs w:val="12"/>
                <w:color w:val="auto"/>
              </w:rPr>
            </w:pPr>
          </w:p>
        </w:tc>
        <w:tc>
          <w:tcPr>
            <w:tcW w:w="3320" w:type="dxa"/>
            <w:vAlign w:val="bottom"/>
            <w:shd w:val="clear" w:color="auto" w:fill="CCEEFF"/>
          </w:tcPr>
          <w:p>
            <w:pPr>
              <w:ind w:left="320"/>
              <w:spacing w:after="0" w:line="149" w:lineRule="exact"/>
              <w:rPr>
                <w:sz w:val="20"/>
                <w:szCs w:val="20"/>
                <w:color w:val="auto"/>
              </w:rPr>
            </w:pPr>
            <w:r>
              <w:rPr>
                <w:rFonts w:ascii="Arial" w:cs="Arial" w:eastAsia="Arial" w:hAnsi="Arial"/>
                <w:sz w:val="14"/>
                <w:szCs w:val="14"/>
                <w:color w:val="auto"/>
              </w:rPr>
              <w:t>Kittila Mine</w:t>
            </w:r>
          </w:p>
        </w:tc>
        <w:tc>
          <w:tcPr>
            <w:tcW w:w="14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302,954</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40" w:type="dxa"/>
            <w:vAlign w:val="bottom"/>
            <w:tcBorders>
              <w:right w:val="single" w:sz="8" w:color="CCEEFF"/>
            </w:tcBorders>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302,954</w:t>
            </w:r>
          </w:p>
        </w:tc>
        <w:tc>
          <w:tcPr>
            <w:tcW w:w="12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620" w:type="dxa"/>
            <w:vAlign w:val="bottom"/>
          </w:tcPr>
          <w:p>
            <w:pPr>
              <w:spacing w:after="0"/>
              <w:rPr>
                <w:sz w:val="15"/>
                <w:szCs w:val="15"/>
                <w:color w:val="auto"/>
              </w:rPr>
            </w:pPr>
          </w:p>
        </w:tc>
        <w:tc>
          <w:tcPr>
            <w:tcW w:w="3320" w:type="dxa"/>
            <w:vAlign w:val="bottom"/>
          </w:tcPr>
          <w:p>
            <w:pPr>
              <w:ind w:left="320"/>
              <w:spacing w:after="0"/>
              <w:rPr>
                <w:sz w:val="20"/>
                <w:szCs w:val="20"/>
                <w:color w:val="auto"/>
              </w:rPr>
            </w:pPr>
            <w:r>
              <w:rPr>
                <w:rFonts w:ascii="Arial" w:cs="Arial" w:eastAsia="Arial" w:hAnsi="Arial"/>
                <w:sz w:val="14"/>
                <w:szCs w:val="14"/>
                <w:color w:val="auto"/>
              </w:rPr>
              <w:t>Lapa Mine</w:t>
            </w:r>
          </w:p>
        </w:tc>
        <w:tc>
          <w:tcPr>
            <w:tcW w:w="140" w:type="dxa"/>
            <w:vAlign w:val="bottom"/>
            <w:tcBorders>
              <w:bottom w:val="single" w:sz="8" w:color="auto"/>
            </w:tcBorders>
          </w:tcPr>
          <w:p>
            <w:pPr>
              <w:spacing w:after="0"/>
              <w:rPr>
                <w:sz w:val="15"/>
                <w:szCs w:val="15"/>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5"/>
                <w:szCs w:val="15"/>
                <w:color w:val="auto"/>
              </w:rPr>
            </w:pPr>
          </w:p>
        </w:tc>
        <w:tc>
          <w:tcPr>
            <w:tcW w:w="200" w:type="dxa"/>
            <w:vAlign w:val="bottom"/>
            <w:tcBorders>
              <w:bottom w:val="single" w:sz="8" w:color="auto"/>
            </w:tcBorders>
          </w:tcPr>
          <w:p>
            <w:pPr>
              <w:spacing w:after="0"/>
              <w:rPr>
                <w:sz w:val="15"/>
                <w:szCs w:val="15"/>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5"/>
                <w:szCs w:val="15"/>
                <w:color w:val="auto"/>
              </w:rPr>
            </w:pPr>
          </w:p>
        </w:tc>
        <w:tc>
          <w:tcPr>
            <w:tcW w:w="180" w:type="dxa"/>
            <w:vAlign w:val="bottom"/>
            <w:tcBorders>
              <w:bottom w:val="single" w:sz="8" w:color="auto"/>
            </w:tcBorders>
          </w:tcPr>
          <w:p>
            <w:pPr>
              <w:spacing w:after="0"/>
              <w:rPr>
                <w:sz w:val="15"/>
                <w:szCs w:val="15"/>
                <w:color w:val="auto"/>
              </w:rPr>
            </w:pP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5"/>
                <w:szCs w:val="15"/>
                <w:color w:val="auto"/>
              </w:rPr>
            </w:pPr>
          </w:p>
        </w:tc>
        <w:tc>
          <w:tcPr>
            <w:tcW w:w="140" w:type="dxa"/>
            <w:vAlign w:val="bottom"/>
            <w:tcBorders>
              <w:bottom w:val="single" w:sz="8" w:color="auto"/>
            </w:tcBorders>
          </w:tcPr>
          <w:p>
            <w:pPr>
              <w:spacing w:after="0"/>
              <w:rPr>
                <w:sz w:val="15"/>
                <w:szCs w:val="15"/>
                <w:color w:val="auto"/>
              </w:rPr>
            </w:pPr>
          </w:p>
        </w:tc>
        <w:tc>
          <w:tcPr>
            <w:tcW w:w="620" w:type="dxa"/>
            <w:vAlign w:val="bottom"/>
            <w:tcBorders>
              <w:bottom w:val="single" w:sz="8" w:color="auto"/>
            </w:tcBorders>
            <w:gridSpan w:val="2"/>
          </w:tcPr>
          <w:p>
            <w:pPr>
              <w:jc w:val="right"/>
              <w:spacing w:after="0"/>
              <w:rPr>
                <w:sz w:val="20"/>
                <w:szCs w:val="20"/>
                <w:color w:val="auto"/>
              </w:rPr>
            </w:pPr>
            <w:r>
              <w:rPr>
                <w:rFonts w:ascii="Arial" w:cs="Arial" w:eastAsia="Arial" w:hAnsi="Arial"/>
                <w:sz w:val="14"/>
                <w:szCs w:val="14"/>
                <w:color w:val="auto"/>
              </w:rPr>
              <w:t>151,708</w:t>
            </w:r>
          </w:p>
        </w:tc>
        <w:tc>
          <w:tcPr>
            <w:tcW w:w="160" w:type="dxa"/>
            <w:vAlign w:val="bottom"/>
          </w:tcPr>
          <w:p>
            <w:pPr>
              <w:spacing w:after="0"/>
              <w:rPr>
                <w:sz w:val="15"/>
                <w:szCs w:val="15"/>
                <w:color w:val="auto"/>
              </w:rPr>
            </w:pPr>
          </w:p>
        </w:tc>
        <w:tc>
          <w:tcPr>
            <w:tcW w:w="80" w:type="dxa"/>
            <w:vAlign w:val="bottom"/>
            <w:tcBorders>
              <w:bottom w:val="single" w:sz="8" w:color="auto"/>
            </w:tcBorders>
          </w:tcPr>
          <w:p>
            <w:pPr>
              <w:spacing w:after="0"/>
              <w:rPr>
                <w:sz w:val="15"/>
                <w:szCs w:val="15"/>
                <w:color w:val="auto"/>
              </w:rPr>
            </w:pPr>
          </w:p>
        </w:tc>
        <w:tc>
          <w:tcPr>
            <w:tcW w:w="460" w:type="dxa"/>
            <w:vAlign w:val="bottom"/>
            <w:tcBorders>
              <w:bottom w:val="single" w:sz="8" w:color="auto"/>
            </w:tcBorders>
          </w:tcPr>
          <w:p>
            <w:pPr>
              <w:spacing w:after="0"/>
              <w:rPr>
                <w:sz w:val="15"/>
                <w:szCs w:val="15"/>
                <w:color w:val="auto"/>
              </w:rPr>
            </w:pPr>
          </w:p>
        </w:tc>
        <w:tc>
          <w:tcPr>
            <w:tcW w:w="160" w:type="dxa"/>
            <w:vAlign w:val="bottom"/>
            <w:tcBorders>
              <w:bottom w:val="single" w:sz="8" w:color="auto"/>
            </w:tcBorders>
          </w:tcPr>
          <w:p>
            <w:pPr>
              <w:spacing w:after="0"/>
              <w:rPr>
                <w:sz w:val="15"/>
                <w:szCs w:val="15"/>
                <w:color w:val="auto"/>
              </w:rPr>
            </w:pPr>
          </w:p>
        </w:tc>
        <w:tc>
          <w:tcPr>
            <w:tcW w:w="20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5"/>
                <w:szCs w:val="15"/>
                <w:color w:val="auto"/>
              </w:rPr>
            </w:pPr>
          </w:p>
        </w:tc>
        <w:tc>
          <w:tcPr>
            <w:tcW w:w="120" w:type="dxa"/>
            <w:vAlign w:val="bottom"/>
            <w:tcBorders>
              <w:bottom w:val="single" w:sz="8" w:color="auto"/>
            </w:tcBorders>
          </w:tcPr>
          <w:p>
            <w:pPr>
              <w:spacing w:after="0"/>
              <w:rPr>
                <w:sz w:val="15"/>
                <w:szCs w:val="15"/>
                <w:color w:val="auto"/>
              </w:rPr>
            </w:pPr>
          </w:p>
        </w:tc>
        <w:tc>
          <w:tcPr>
            <w:tcW w:w="740" w:type="dxa"/>
            <w:vAlign w:val="bottom"/>
            <w:tcBorders>
              <w:bottom w:val="single" w:sz="8" w:color="auto"/>
            </w:tcBorders>
            <w:gridSpan w:val="2"/>
          </w:tcPr>
          <w:p>
            <w:pPr>
              <w:jc w:val="right"/>
              <w:ind w:right="60"/>
              <w:spacing w:after="0"/>
              <w:rPr>
                <w:sz w:val="20"/>
                <w:szCs w:val="20"/>
                <w:color w:val="auto"/>
              </w:rPr>
            </w:pPr>
            <w:r>
              <w:rPr>
                <w:rFonts w:ascii="Arial" w:cs="Arial" w:eastAsia="Arial" w:hAnsi="Arial"/>
                <w:sz w:val="14"/>
                <w:szCs w:val="14"/>
                <w:color w:val="auto"/>
              </w:rPr>
              <w:t>151,708</w:t>
            </w:r>
          </w:p>
        </w:tc>
        <w:tc>
          <w:tcPr>
            <w:tcW w:w="1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11"/>
        </w:trPr>
        <w:tc>
          <w:tcPr>
            <w:tcW w:w="620" w:type="dxa"/>
            <w:vAlign w:val="bottom"/>
          </w:tcPr>
          <w:p>
            <w:pPr>
              <w:spacing w:after="0"/>
              <w:rPr>
                <w:sz w:val="18"/>
                <w:szCs w:val="18"/>
                <w:color w:val="auto"/>
              </w:rPr>
            </w:pPr>
          </w:p>
        </w:tc>
        <w:tc>
          <w:tcPr>
            <w:tcW w:w="332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4"/>
                <w:szCs w:val="14"/>
                <w:color w:val="auto"/>
                <w:w w:val="93"/>
              </w:rPr>
              <w:t>3,919,131</w:t>
            </w:r>
          </w:p>
        </w:tc>
        <w:tc>
          <w:tcPr>
            <w:tcW w:w="360" w:type="dxa"/>
            <w:vAlign w:val="bottom"/>
            <w:gridSpan w:val="2"/>
            <w:shd w:val="clear" w:color="auto" w:fill="CCEEFF"/>
          </w:tcPr>
          <w:p>
            <w:pPr>
              <w:jc w:val="right"/>
              <w:ind w:right="52"/>
              <w:spacing w:after="0"/>
              <w:rPr>
                <w:sz w:val="20"/>
                <w:szCs w:val="20"/>
                <w:color w:val="auto"/>
              </w:rPr>
            </w:pPr>
            <w:r>
              <w:rPr>
                <w:rFonts w:ascii="Arial" w:cs="Arial" w:eastAsia="Arial" w:hAnsi="Arial"/>
                <w:sz w:val="14"/>
                <w:szCs w:val="14"/>
                <w:color w:val="auto"/>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337,333</w:t>
            </w:r>
          </w:p>
        </w:tc>
        <w:tc>
          <w:tcPr>
            <w:tcW w:w="340" w:type="dxa"/>
            <w:vAlign w:val="bottom"/>
            <w:gridSpan w:val="2"/>
            <w:shd w:val="clear" w:color="auto" w:fill="CCEEFF"/>
          </w:tcPr>
          <w:p>
            <w:pPr>
              <w:jc w:val="right"/>
              <w:ind w:right="32"/>
              <w:spacing w:after="0"/>
              <w:rPr>
                <w:sz w:val="20"/>
                <w:szCs w:val="20"/>
                <w:color w:val="auto"/>
              </w:rPr>
            </w:pPr>
            <w:r>
              <w:rPr>
                <w:rFonts w:ascii="Arial" w:cs="Arial" w:eastAsia="Arial" w:hAnsi="Arial"/>
                <w:sz w:val="14"/>
                <w:szCs w:val="14"/>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4"/>
                <w:szCs w:val="14"/>
                <w:color w:val="auto"/>
                <w:w w:val="96"/>
              </w:rPr>
              <w:t>3,581,798</w:t>
            </w:r>
          </w:p>
        </w:tc>
        <w:tc>
          <w:tcPr>
            <w:tcW w:w="30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w w:val="93"/>
              </w:rPr>
              <w:t>3,252,228</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820" w:type="dxa"/>
            <w:vAlign w:val="bottom"/>
            <w:gridSpan w:val="3"/>
            <w:shd w:val="clear" w:color="auto" w:fill="CCEEFF"/>
          </w:tcPr>
          <w:p>
            <w:pPr>
              <w:jc w:val="right"/>
              <w:spacing w:after="0"/>
              <w:rPr>
                <w:sz w:val="20"/>
                <w:szCs w:val="20"/>
                <w:color w:val="auto"/>
              </w:rPr>
            </w:pPr>
            <w:r>
              <w:rPr>
                <w:rFonts w:ascii="Arial" w:cs="Arial" w:eastAsia="Arial" w:hAnsi="Arial"/>
                <w:sz w:val="14"/>
                <w:szCs w:val="14"/>
                <w:color w:val="auto"/>
              </w:rPr>
              <w:t>254,728</w:t>
            </w:r>
          </w:p>
        </w:tc>
        <w:tc>
          <w:tcPr>
            <w:tcW w:w="28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740" w:type="dxa"/>
            <w:vAlign w:val="bottom"/>
            <w:tcBorders>
              <w:right w:val="single" w:sz="8" w:color="CCEEFF"/>
            </w:tcBorders>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2,997,500</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394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Geographic Information</w:t>
            </w:r>
          </w:p>
        </w:tc>
        <w:tc>
          <w:tcPr>
            <w:tcW w:w="14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3940" w:type="dxa"/>
            <w:vAlign w:val="bottom"/>
            <w:gridSpan w:val="2"/>
            <w:vMerge w:val="continue"/>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8"/>
        </w:trPr>
        <w:tc>
          <w:tcPr>
            <w:tcW w:w="3940" w:type="dxa"/>
            <w:vAlign w:val="bottom"/>
            <w:gridSpan w:val="2"/>
            <w:vMerge w:val="continue"/>
          </w:tcPr>
          <w:p>
            <w:pPr>
              <w:spacing w:after="0"/>
              <w:rPr>
                <w:sz w:val="24"/>
                <w:szCs w:val="24"/>
                <w:color w:val="auto"/>
              </w:rPr>
            </w:pPr>
          </w:p>
        </w:tc>
        <w:tc>
          <w:tcPr>
            <w:tcW w:w="14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39"/>
        </w:trPr>
        <w:tc>
          <w:tcPr>
            <w:tcW w:w="620" w:type="dxa"/>
            <w:vAlign w:val="bottom"/>
          </w:tcPr>
          <w:p>
            <w:pPr>
              <w:spacing w:after="0"/>
              <w:rPr>
                <w:sz w:val="24"/>
                <w:szCs w:val="24"/>
                <w:color w:val="auto"/>
              </w:rPr>
            </w:pPr>
          </w:p>
        </w:tc>
        <w:tc>
          <w:tcPr>
            <w:tcW w:w="33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40" w:type="dxa"/>
            <w:vAlign w:val="bottom"/>
            <w:gridSpan w:val="5"/>
          </w:tcPr>
          <w:p>
            <w:pPr>
              <w:jc w:val="right"/>
              <w:ind w:right="260"/>
              <w:spacing w:after="0"/>
              <w:rPr>
                <w:sz w:val="20"/>
                <w:szCs w:val="20"/>
                <w:color w:val="auto"/>
              </w:rPr>
            </w:pPr>
            <w:r>
              <w:rPr>
                <w:rFonts w:ascii="Arial" w:cs="Arial" w:eastAsia="Arial" w:hAnsi="Arial"/>
                <w:sz w:val="14"/>
                <w:szCs w:val="14"/>
                <w:b w:val="1"/>
                <w:bCs w:val="1"/>
                <w:color w:val="auto"/>
                <w:w w:val="93"/>
              </w:rPr>
              <w:t>Net Book Value</w:t>
            </w:r>
          </w:p>
        </w:tc>
        <w:tc>
          <w:tcPr>
            <w:tcW w:w="1340" w:type="dxa"/>
            <w:vAlign w:val="bottom"/>
            <w:gridSpan w:val="6"/>
          </w:tcPr>
          <w:p>
            <w:pPr>
              <w:ind w:left="80"/>
              <w:spacing w:after="0"/>
              <w:rPr>
                <w:sz w:val="20"/>
                <w:szCs w:val="20"/>
                <w:color w:val="auto"/>
              </w:rPr>
            </w:pPr>
            <w:r>
              <w:rPr>
                <w:rFonts w:ascii="Arial" w:cs="Arial" w:eastAsia="Arial" w:hAnsi="Arial"/>
                <w:sz w:val="14"/>
                <w:szCs w:val="14"/>
                <w:b w:val="1"/>
                <w:bCs w:val="1"/>
                <w:color w:val="auto"/>
              </w:rPr>
              <w:t>Net Book Value</w:t>
            </w:r>
          </w:p>
        </w:tc>
        <w:tc>
          <w:tcPr>
            <w:tcW w:w="0" w:type="dxa"/>
            <w:vAlign w:val="bottom"/>
          </w:tcPr>
          <w:p>
            <w:pPr>
              <w:spacing w:after="0"/>
              <w:rPr>
                <w:sz w:val="1"/>
                <w:szCs w:val="1"/>
                <w:color w:val="auto"/>
              </w:rPr>
            </w:pPr>
          </w:p>
        </w:tc>
      </w:tr>
      <w:tr>
        <w:trPr>
          <w:trHeight w:val="161"/>
        </w:trPr>
        <w:tc>
          <w:tcPr>
            <w:tcW w:w="620" w:type="dxa"/>
            <w:vAlign w:val="bottom"/>
          </w:tcPr>
          <w:p>
            <w:pPr>
              <w:spacing w:after="0"/>
              <w:rPr>
                <w:sz w:val="14"/>
                <w:szCs w:val="14"/>
                <w:color w:val="auto"/>
              </w:rPr>
            </w:pPr>
          </w:p>
        </w:tc>
        <w:tc>
          <w:tcPr>
            <w:tcW w:w="33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38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gridSpan w:val="3"/>
          </w:tcPr>
          <w:p>
            <w:pPr>
              <w:jc w:val="right"/>
              <w:ind w:right="352"/>
              <w:spacing w:after="0"/>
              <w:rPr>
                <w:sz w:val="20"/>
                <w:szCs w:val="20"/>
                <w:color w:val="auto"/>
              </w:rPr>
            </w:pPr>
            <w:r>
              <w:rPr>
                <w:rFonts w:ascii="Arial" w:cs="Arial" w:eastAsia="Arial" w:hAnsi="Arial"/>
                <w:sz w:val="14"/>
                <w:szCs w:val="14"/>
                <w:b w:val="1"/>
                <w:bCs w:val="1"/>
                <w:color w:val="auto"/>
                <w:w w:val="83"/>
              </w:rPr>
              <w:t>2009</w:t>
            </w:r>
          </w:p>
        </w:tc>
        <w:tc>
          <w:tcPr>
            <w:tcW w:w="160" w:type="dxa"/>
            <w:vAlign w:val="bottom"/>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860" w:type="dxa"/>
            <w:vAlign w:val="bottom"/>
            <w:tcBorders>
              <w:bottom w:val="single" w:sz="8" w:color="auto"/>
            </w:tcBorders>
            <w:gridSpan w:val="3"/>
          </w:tcPr>
          <w:p>
            <w:pPr>
              <w:jc w:val="right"/>
              <w:ind w:right="332"/>
              <w:spacing w:after="0"/>
              <w:rPr>
                <w:sz w:val="20"/>
                <w:szCs w:val="20"/>
                <w:color w:val="auto"/>
              </w:rPr>
            </w:pPr>
            <w:r>
              <w:rPr>
                <w:rFonts w:ascii="Arial" w:cs="Arial" w:eastAsia="Arial" w:hAnsi="Arial"/>
                <w:sz w:val="14"/>
                <w:szCs w:val="14"/>
                <w:b w:val="1"/>
                <w:bCs w:val="1"/>
                <w:color w:val="auto"/>
              </w:rPr>
              <w:t>2008</w:t>
            </w:r>
          </w:p>
        </w:tc>
        <w:tc>
          <w:tcPr>
            <w:tcW w:w="1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620" w:type="dxa"/>
            <w:vAlign w:val="bottom"/>
          </w:tcPr>
          <w:p>
            <w:pPr>
              <w:spacing w:after="0"/>
              <w:rPr>
                <w:sz w:val="12"/>
                <w:szCs w:val="12"/>
                <w:color w:val="auto"/>
              </w:rPr>
            </w:pPr>
          </w:p>
        </w:tc>
        <w:tc>
          <w:tcPr>
            <w:tcW w:w="3320" w:type="dxa"/>
            <w:vAlign w:val="bottom"/>
            <w:shd w:val="clear" w:color="auto" w:fill="CCEEFF"/>
          </w:tcPr>
          <w:p>
            <w:pPr>
              <w:ind w:left="200"/>
              <w:spacing w:after="0" w:line="142" w:lineRule="exact"/>
              <w:rPr>
                <w:sz w:val="20"/>
                <w:szCs w:val="20"/>
                <w:color w:val="auto"/>
              </w:rPr>
            </w:pPr>
            <w:r>
              <w:rPr>
                <w:rFonts w:ascii="Arial" w:cs="Arial" w:eastAsia="Arial" w:hAnsi="Arial"/>
                <w:sz w:val="14"/>
                <w:szCs w:val="14"/>
                <w:color w:val="auto"/>
              </w:rPr>
              <w:t>Canada</w:t>
            </w:r>
          </w:p>
        </w:tc>
        <w:tc>
          <w:tcPr>
            <w:tcW w:w="14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20" w:type="dxa"/>
            <w:vAlign w:val="bottom"/>
            <w:gridSpan w:val="2"/>
            <w:shd w:val="clear" w:color="auto" w:fill="CCEEFF"/>
          </w:tcPr>
          <w:p>
            <w:pPr>
              <w:jc w:val="right"/>
              <w:ind w:right="232"/>
              <w:spacing w:after="0" w:line="142" w:lineRule="exact"/>
              <w:rPr>
                <w:sz w:val="20"/>
                <w:szCs w:val="20"/>
                <w:color w:val="auto"/>
              </w:rPr>
            </w:pPr>
            <w:r>
              <w:rPr>
                <w:rFonts w:ascii="Arial" w:cs="Arial" w:eastAsia="Arial" w:hAnsi="Arial"/>
                <w:sz w:val="14"/>
                <w:szCs w:val="14"/>
                <w:color w:val="auto"/>
              </w:rPr>
              <w:t>$</w:t>
            </w:r>
          </w:p>
        </w:tc>
        <w:tc>
          <w:tcPr>
            <w:tcW w:w="700" w:type="dxa"/>
            <w:vAlign w:val="bottom"/>
            <w:gridSpan w:val="3"/>
            <w:shd w:val="clear" w:color="auto" w:fill="CCEEFF"/>
          </w:tcPr>
          <w:p>
            <w:pPr>
              <w:jc w:val="right"/>
              <w:spacing w:after="0" w:line="142" w:lineRule="exact"/>
              <w:rPr>
                <w:sz w:val="20"/>
                <w:szCs w:val="20"/>
                <w:color w:val="auto"/>
              </w:rPr>
            </w:pPr>
            <w:r>
              <w:rPr>
                <w:rFonts w:ascii="Arial" w:cs="Arial" w:eastAsia="Arial" w:hAnsi="Arial"/>
                <w:sz w:val="14"/>
                <w:szCs w:val="14"/>
                <w:color w:val="auto"/>
              </w:rPr>
              <w:t>2,592,704</w:t>
            </w:r>
          </w:p>
        </w:tc>
        <w:tc>
          <w:tcPr>
            <w:tcW w:w="160" w:type="dxa"/>
            <w:vAlign w:val="bottom"/>
            <w:shd w:val="clear" w:color="auto" w:fill="CCEEFF"/>
          </w:tcPr>
          <w:p>
            <w:pPr>
              <w:spacing w:after="0"/>
              <w:rPr>
                <w:sz w:val="12"/>
                <w:szCs w:val="12"/>
                <w:color w:val="auto"/>
              </w:rPr>
            </w:pPr>
          </w:p>
        </w:tc>
        <w:tc>
          <w:tcPr>
            <w:tcW w:w="200" w:type="dxa"/>
            <w:vAlign w:val="bottom"/>
            <w:shd w:val="clear" w:color="auto" w:fill="CCEEFF"/>
          </w:tcPr>
          <w:p>
            <w:pPr>
              <w:jc w:val="right"/>
              <w:ind w:right="52"/>
              <w:spacing w:after="0" w:line="142" w:lineRule="exact"/>
              <w:rPr>
                <w:sz w:val="20"/>
                <w:szCs w:val="20"/>
                <w:color w:val="auto"/>
              </w:rPr>
            </w:pPr>
            <w:r>
              <w:rPr>
                <w:rFonts w:ascii="Arial" w:cs="Arial" w:eastAsia="Arial" w:hAnsi="Arial"/>
                <w:sz w:val="14"/>
                <w:szCs w:val="14"/>
                <w:color w:val="auto"/>
                <w:w w:val="76"/>
              </w:rPr>
              <w:t>$</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89"/>
              </w:rPr>
              <w:t>2,217,634</w:t>
            </w:r>
          </w:p>
        </w:tc>
        <w:tc>
          <w:tcPr>
            <w:tcW w:w="160" w:type="dxa"/>
            <w:vAlign w:val="bottom"/>
            <w:tcBorders>
              <w:right w:val="single" w:sz="8" w:color="CCEEFF"/>
            </w:tcBorders>
            <w:shd w:val="clear" w:color="auto" w:fill="CCEEFF"/>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620" w:type="dxa"/>
            <w:vAlign w:val="bottom"/>
          </w:tcPr>
          <w:p>
            <w:pPr>
              <w:spacing w:after="0"/>
              <w:rPr>
                <w:sz w:val="12"/>
                <w:szCs w:val="12"/>
                <w:color w:val="auto"/>
              </w:rPr>
            </w:pPr>
          </w:p>
        </w:tc>
        <w:tc>
          <w:tcPr>
            <w:tcW w:w="3320" w:type="dxa"/>
            <w:vAlign w:val="bottom"/>
          </w:tcPr>
          <w:p>
            <w:pPr>
              <w:ind w:left="200"/>
              <w:spacing w:after="0" w:line="149" w:lineRule="exact"/>
              <w:rPr>
                <w:sz w:val="20"/>
                <w:szCs w:val="20"/>
                <w:color w:val="auto"/>
              </w:rPr>
            </w:pPr>
            <w:r>
              <w:rPr>
                <w:rFonts w:ascii="Arial" w:cs="Arial" w:eastAsia="Arial" w:hAnsi="Arial"/>
                <w:sz w:val="14"/>
                <w:szCs w:val="14"/>
                <w:color w:val="auto"/>
              </w:rPr>
              <w:t>Europe</w:t>
            </w:r>
          </w:p>
        </w:tc>
        <w:tc>
          <w:tcPr>
            <w:tcW w:w="14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60" w:type="dxa"/>
            <w:vAlign w:val="bottom"/>
          </w:tcPr>
          <w:p>
            <w:pPr>
              <w:jc w:val="right"/>
              <w:spacing w:after="0" w:line="149" w:lineRule="exact"/>
              <w:rPr>
                <w:sz w:val="20"/>
                <w:szCs w:val="20"/>
                <w:color w:val="auto"/>
              </w:rPr>
            </w:pPr>
            <w:r>
              <w:rPr>
                <w:rFonts w:ascii="Arial" w:cs="Arial" w:eastAsia="Arial" w:hAnsi="Arial"/>
                <w:sz w:val="14"/>
                <w:szCs w:val="14"/>
                <w:color w:val="auto"/>
                <w:w w:val="82"/>
              </w:rPr>
              <w:t>568,620</w:t>
            </w:r>
          </w:p>
        </w:tc>
        <w:tc>
          <w:tcPr>
            <w:tcW w:w="1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80" w:type="dxa"/>
            <w:vAlign w:val="bottom"/>
          </w:tcPr>
          <w:p>
            <w:pPr>
              <w:jc w:val="right"/>
              <w:spacing w:after="0" w:line="149" w:lineRule="exact"/>
              <w:rPr>
                <w:sz w:val="20"/>
                <w:szCs w:val="20"/>
                <w:color w:val="auto"/>
              </w:rPr>
            </w:pPr>
            <w:r>
              <w:rPr>
                <w:rFonts w:ascii="Arial" w:cs="Arial" w:eastAsia="Arial" w:hAnsi="Arial"/>
                <w:sz w:val="14"/>
                <w:szCs w:val="14"/>
                <w:color w:val="auto"/>
              </w:rPr>
              <w:t>494,574</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620" w:type="dxa"/>
            <w:vAlign w:val="bottom"/>
          </w:tcPr>
          <w:p>
            <w:pPr>
              <w:spacing w:after="0"/>
              <w:rPr>
                <w:sz w:val="12"/>
                <w:szCs w:val="12"/>
                <w:color w:val="auto"/>
              </w:rPr>
            </w:pPr>
          </w:p>
        </w:tc>
        <w:tc>
          <w:tcPr>
            <w:tcW w:w="332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Latin America</w:t>
            </w:r>
          </w:p>
        </w:tc>
        <w:tc>
          <w:tcPr>
            <w:tcW w:w="14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82"/>
              </w:rPr>
              <w:t>418,214</w:t>
            </w:r>
          </w:p>
        </w:tc>
        <w:tc>
          <w:tcPr>
            <w:tcW w:w="1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283,032</w:t>
            </w:r>
          </w:p>
        </w:tc>
        <w:tc>
          <w:tcPr>
            <w:tcW w:w="160" w:type="dxa"/>
            <w:vAlign w:val="bottom"/>
            <w:tcBorders>
              <w:right w:val="single" w:sz="8" w:color="CCEEFF"/>
            </w:tcBorders>
            <w:shd w:val="clear" w:color="auto" w:fill="CCEEFF"/>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620" w:type="dxa"/>
            <w:vAlign w:val="bottom"/>
          </w:tcPr>
          <w:p>
            <w:pPr>
              <w:spacing w:after="0"/>
              <w:rPr>
                <w:sz w:val="15"/>
                <w:szCs w:val="15"/>
                <w:color w:val="auto"/>
              </w:rPr>
            </w:pPr>
          </w:p>
        </w:tc>
        <w:tc>
          <w:tcPr>
            <w:tcW w:w="3320" w:type="dxa"/>
            <w:vAlign w:val="bottom"/>
          </w:tcPr>
          <w:p>
            <w:pPr>
              <w:ind w:left="200"/>
              <w:spacing w:after="0"/>
              <w:rPr>
                <w:sz w:val="20"/>
                <w:szCs w:val="20"/>
                <w:color w:val="auto"/>
              </w:rPr>
            </w:pPr>
            <w:r>
              <w:rPr>
                <w:rFonts w:ascii="Arial" w:cs="Arial" w:eastAsia="Arial" w:hAnsi="Arial"/>
                <w:sz w:val="14"/>
                <w:szCs w:val="14"/>
                <w:color w:val="auto"/>
              </w:rPr>
              <w:t>U.S.A</w:t>
            </w:r>
          </w:p>
        </w:tc>
        <w:tc>
          <w:tcPr>
            <w:tcW w:w="140" w:type="dxa"/>
            <w:vAlign w:val="bottom"/>
          </w:tcPr>
          <w:p>
            <w:pPr>
              <w:spacing w:after="0"/>
              <w:rPr>
                <w:sz w:val="15"/>
                <w:szCs w:val="15"/>
                <w:color w:val="auto"/>
              </w:rPr>
            </w:pPr>
          </w:p>
        </w:tc>
        <w:tc>
          <w:tcPr>
            <w:tcW w:w="6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6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380" w:type="dxa"/>
            <w:vAlign w:val="bottom"/>
            <w:tcBorders>
              <w:bottom w:val="single" w:sz="8" w:color="auto"/>
            </w:tcBorders>
          </w:tcPr>
          <w:p>
            <w:pPr>
              <w:spacing w:after="0"/>
              <w:rPr>
                <w:sz w:val="15"/>
                <w:szCs w:val="15"/>
                <w:color w:val="auto"/>
              </w:rPr>
            </w:pPr>
          </w:p>
        </w:tc>
        <w:tc>
          <w:tcPr>
            <w:tcW w:w="160" w:type="dxa"/>
            <w:vAlign w:val="bottom"/>
            <w:tcBorders>
              <w:bottom w:val="single" w:sz="8" w:color="auto"/>
            </w:tcBorders>
          </w:tcPr>
          <w:p>
            <w:pPr>
              <w:spacing w:after="0"/>
              <w:rPr>
                <w:sz w:val="15"/>
                <w:szCs w:val="15"/>
                <w:color w:val="auto"/>
              </w:rPr>
            </w:pPr>
          </w:p>
        </w:tc>
        <w:tc>
          <w:tcPr>
            <w:tcW w:w="80" w:type="dxa"/>
            <w:vAlign w:val="bottom"/>
            <w:tcBorders>
              <w:bottom w:val="single" w:sz="8" w:color="auto"/>
            </w:tcBorders>
          </w:tcPr>
          <w:p>
            <w:pPr>
              <w:spacing w:after="0"/>
              <w:rPr>
                <w:sz w:val="15"/>
                <w:szCs w:val="15"/>
                <w:color w:val="auto"/>
              </w:rPr>
            </w:pPr>
          </w:p>
        </w:tc>
        <w:tc>
          <w:tcPr>
            <w:tcW w:w="46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2,260</w:t>
            </w:r>
          </w:p>
        </w:tc>
        <w:tc>
          <w:tcPr>
            <w:tcW w:w="160" w:type="dxa"/>
            <w:vAlign w:val="bottom"/>
          </w:tcPr>
          <w:p>
            <w:pPr>
              <w:spacing w:after="0"/>
              <w:rPr>
                <w:sz w:val="15"/>
                <w:szCs w:val="15"/>
                <w:color w:val="auto"/>
              </w:rPr>
            </w:pPr>
          </w:p>
        </w:tc>
        <w:tc>
          <w:tcPr>
            <w:tcW w:w="200" w:type="dxa"/>
            <w:vAlign w:val="bottom"/>
            <w:tcBorders>
              <w:bottom w:val="single" w:sz="8" w:color="auto"/>
            </w:tcBorders>
          </w:tcPr>
          <w:p>
            <w:pPr>
              <w:spacing w:after="0"/>
              <w:rPr>
                <w:sz w:val="15"/>
                <w:szCs w:val="15"/>
                <w:color w:val="auto"/>
              </w:rPr>
            </w:pPr>
          </w:p>
        </w:tc>
        <w:tc>
          <w:tcPr>
            <w:tcW w:w="160" w:type="dxa"/>
            <w:vAlign w:val="bottom"/>
            <w:tcBorders>
              <w:bottom w:val="single" w:sz="8" w:color="auto"/>
            </w:tcBorders>
          </w:tcPr>
          <w:p>
            <w:pPr>
              <w:spacing w:after="0"/>
              <w:rPr>
                <w:sz w:val="15"/>
                <w:szCs w:val="15"/>
                <w:color w:val="auto"/>
              </w:rPr>
            </w:pPr>
          </w:p>
        </w:tc>
        <w:tc>
          <w:tcPr>
            <w:tcW w:w="120" w:type="dxa"/>
            <w:vAlign w:val="bottom"/>
            <w:tcBorders>
              <w:bottom w:val="single" w:sz="8" w:color="auto"/>
            </w:tcBorders>
          </w:tcPr>
          <w:p>
            <w:pPr>
              <w:spacing w:after="0"/>
              <w:rPr>
                <w:sz w:val="15"/>
                <w:szCs w:val="15"/>
                <w:color w:val="auto"/>
              </w:rPr>
            </w:pPr>
          </w:p>
        </w:tc>
        <w:tc>
          <w:tcPr>
            <w:tcW w:w="58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2,260</w:t>
            </w:r>
          </w:p>
        </w:tc>
        <w:tc>
          <w:tcPr>
            <w:tcW w:w="1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44"/>
        </w:trPr>
        <w:tc>
          <w:tcPr>
            <w:tcW w:w="620" w:type="dxa"/>
            <w:vAlign w:val="bottom"/>
          </w:tcPr>
          <w:p>
            <w:pPr>
              <w:spacing w:after="0"/>
              <w:rPr>
                <w:sz w:val="12"/>
                <w:szCs w:val="12"/>
                <w:color w:val="auto"/>
              </w:rPr>
            </w:pPr>
          </w:p>
        </w:tc>
        <w:tc>
          <w:tcPr>
            <w:tcW w:w="3320" w:type="dxa"/>
            <w:vAlign w:val="bottom"/>
            <w:shd w:val="clear" w:color="auto" w:fill="CCEEFF"/>
          </w:tcPr>
          <w:p>
            <w:pPr>
              <w:ind w:left="200"/>
              <w:spacing w:after="0" w:line="144" w:lineRule="exact"/>
              <w:rPr>
                <w:sz w:val="20"/>
                <w:szCs w:val="20"/>
                <w:color w:val="auto"/>
              </w:rPr>
            </w:pPr>
            <w:r>
              <w:rPr>
                <w:rFonts w:ascii="Arial" w:cs="Arial" w:eastAsia="Arial" w:hAnsi="Arial"/>
                <w:sz w:val="14"/>
                <w:szCs w:val="14"/>
                <w:color w:val="auto"/>
              </w:rPr>
              <w:t>Total</w:t>
            </w:r>
          </w:p>
        </w:tc>
        <w:tc>
          <w:tcPr>
            <w:tcW w:w="14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20" w:type="dxa"/>
            <w:vAlign w:val="bottom"/>
            <w:gridSpan w:val="2"/>
            <w:shd w:val="clear" w:color="auto" w:fill="CCEEFF"/>
          </w:tcPr>
          <w:p>
            <w:pPr>
              <w:jc w:val="right"/>
              <w:ind w:right="232"/>
              <w:spacing w:after="0" w:line="144" w:lineRule="exact"/>
              <w:rPr>
                <w:sz w:val="20"/>
                <w:szCs w:val="20"/>
                <w:color w:val="auto"/>
              </w:rPr>
            </w:pPr>
            <w:r>
              <w:rPr>
                <w:rFonts w:ascii="Arial" w:cs="Arial" w:eastAsia="Arial" w:hAnsi="Arial"/>
                <w:sz w:val="14"/>
                <w:szCs w:val="14"/>
                <w:color w:val="auto"/>
              </w:rPr>
              <w:t>$</w:t>
            </w:r>
          </w:p>
        </w:tc>
        <w:tc>
          <w:tcPr>
            <w:tcW w:w="700" w:type="dxa"/>
            <w:vAlign w:val="bottom"/>
            <w:gridSpan w:val="3"/>
            <w:shd w:val="clear" w:color="auto" w:fill="CCEEFF"/>
          </w:tcPr>
          <w:p>
            <w:pPr>
              <w:jc w:val="right"/>
              <w:spacing w:after="0" w:line="144" w:lineRule="exact"/>
              <w:rPr>
                <w:sz w:val="20"/>
                <w:szCs w:val="20"/>
                <w:color w:val="auto"/>
              </w:rPr>
            </w:pPr>
            <w:r>
              <w:rPr>
                <w:rFonts w:ascii="Arial" w:cs="Arial" w:eastAsia="Arial" w:hAnsi="Arial"/>
                <w:sz w:val="14"/>
                <w:szCs w:val="14"/>
                <w:color w:val="auto"/>
              </w:rPr>
              <w:t>3,581,798</w:t>
            </w:r>
          </w:p>
        </w:tc>
        <w:tc>
          <w:tcPr>
            <w:tcW w:w="160" w:type="dxa"/>
            <w:vAlign w:val="bottom"/>
            <w:shd w:val="clear" w:color="auto" w:fill="CCEEFF"/>
          </w:tcPr>
          <w:p>
            <w:pPr>
              <w:spacing w:after="0"/>
              <w:rPr>
                <w:sz w:val="12"/>
                <w:szCs w:val="12"/>
                <w:color w:val="auto"/>
              </w:rPr>
            </w:pPr>
          </w:p>
        </w:tc>
        <w:tc>
          <w:tcPr>
            <w:tcW w:w="200" w:type="dxa"/>
            <w:vAlign w:val="bottom"/>
            <w:shd w:val="clear" w:color="auto" w:fill="CCEEFF"/>
          </w:tcPr>
          <w:p>
            <w:pPr>
              <w:jc w:val="right"/>
              <w:ind w:right="52"/>
              <w:spacing w:after="0" w:line="144" w:lineRule="exact"/>
              <w:rPr>
                <w:sz w:val="20"/>
                <w:szCs w:val="20"/>
                <w:color w:val="auto"/>
              </w:rPr>
            </w:pPr>
            <w:r>
              <w:rPr>
                <w:rFonts w:ascii="Arial" w:cs="Arial" w:eastAsia="Arial" w:hAnsi="Arial"/>
                <w:sz w:val="14"/>
                <w:szCs w:val="14"/>
                <w:color w:val="auto"/>
                <w:w w:val="76"/>
              </w:rPr>
              <w:t>$</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8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w w:val="89"/>
              </w:rPr>
              <w:t>2,997,500</w:t>
            </w:r>
          </w:p>
        </w:tc>
        <w:tc>
          <w:tcPr>
            <w:tcW w:w="160" w:type="dxa"/>
            <w:vAlign w:val="bottom"/>
            <w:tcBorders>
              <w:right w:val="single" w:sz="8" w:color="CCEEFF"/>
            </w:tcBorders>
            <w:shd w:val="clear" w:color="auto" w:fill="CCEEFF"/>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7"/>
        </w:trPr>
        <w:tc>
          <w:tcPr>
            <w:tcW w:w="620" w:type="dxa"/>
            <w:vAlign w:val="bottom"/>
          </w:tcPr>
          <w:p>
            <w:pPr>
              <w:spacing w:after="0"/>
              <w:rPr>
                <w:sz w:val="2"/>
                <w:szCs w:val="2"/>
                <w:color w:val="auto"/>
              </w:rPr>
            </w:pPr>
          </w:p>
        </w:tc>
        <w:tc>
          <w:tcPr>
            <w:tcW w:w="3320" w:type="dxa"/>
            <w:vAlign w:val="bottom"/>
          </w:tcPr>
          <w:p>
            <w:pPr>
              <w:spacing w:after="0"/>
              <w:rPr>
                <w:sz w:val="2"/>
                <w:szCs w:val="2"/>
                <w:color w:val="auto"/>
              </w:rPr>
            </w:pPr>
          </w:p>
        </w:tc>
        <w:tc>
          <w:tcPr>
            <w:tcW w:w="140" w:type="dxa"/>
            <w:vAlign w:val="bottom"/>
          </w:tcPr>
          <w:p>
            <w:pPr>
              <w:spacing w:after="0"/>
              <w:rPr>
                <w:sz w:val="2"/>
                <w:szCs w:val="2"/>
                <w:color w:val="auto"/>
              </w:rPr>
            </w:pPr>
          </w:p>
        </w:tc>
        <w:tc>
          <w:tcPr>
            <w:tcW w:w="620" w:type="dxa"/>
            <w:vAlign w:val="bottom"/>
          </w:tcPr>
          <w:p>
            <w:pPr>
              <w:spacing w:after="0"/>
              <w:rPr>
                <w:sz w:val="2"/>
                <w:szCs w:val="2"/>
                <w:color w:val="auto"/>
              </w:rPr>
            </w:pPr>
          </w:p>
        </w:tc>
        <w:tc>
          <w:tcPr>
            <w:tcW w:w="160" w:type="dxa"/>
            <w:vAlign w:val="bottom"/>
          </w:tcPr>
          <w:p>
            <w:pPr>
              <w:spacing w:after="0"/>
              <w:rPr>
                <w:sz w:val="2"/>
                <w:szCs w:val="2"/>
                <w:color w:val="auto"/>
              </w:rPr>
            </w:pPr>
          </w:p>
        </w:tc>
        <w:tc>
          <w:tcPr>
            <w:tcW w:w="200" w:type="dxa"/>
            <w:vAlign w:val="bottom"/>
          </w:tcPr>
          <w:p>
            <w:pPr>
              <w:spacing w:after="0"/>
              <w:rPr>
                <w:sz w:val="2"/>
                <w:szCs w:val="2"/>
                <w:color w:val="auto"/>
              </w:rPr>
            </w:pPr>
          </w:p>
        </w:tc>
        <w:tc>
          <w:tcPr>
            <w:tcW w:w="700" w:type="dxa"/>
            <w:vAlign w:val="bottom"/>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Pr>
          <w:p>
            <w:pPr>
              <w:spacing w:after="0"/>
              <w:rPr>
                <w:sz w:val="2"/>
                <w:szCs w:val="2"/>
                <w:color w:val="auto"/>
              </w:rPr>
            </w:pPr>
          </w:p>
        </w:tc>
        <w:tc>
          <w:tcPr>
            <w:tcW w:w="640" w:type="dxa"/>
            <w:vAlign w:val="bottom"/>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Pr>
          <w:p>
            <w:pPr>
              <w:spacing w:after="0"/>
              <w:rPr>
                <w:sz w:val="2"/>
                <w:szCs w:val="2"/>
                <w:color w:val="auto"/>
              </w:rPr>
            </w:pPr>
          </w:p>
        </w:tc>
        <w:tc>
          <w:tcPr>
            <w:tcW w:w="240" w:type="dxa"/>
            <w:vAlign w:val="bottom"/>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620" w:type="dxa"/>
            <w:vAlign w:val="bottom"/>
          </w:tcPr>
          <w:p>
            <w:pPr>
              <w:spacing w:after="0" w:line="20" w:lineRule="exact"/>
              <w:rPr>
                <w:sz w:val="1"/>
                <w:szCs w:val="1"/>
                <w:color w:val="auto"/>
              </w:rPr>
            </w:pPr>
          </w:p>
        </w:tc>
        <w:tc>
          <w:tcPr>
            <w:tcW w:w="33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202" w:name="page203"/>
    <w:bookmarkEnd w:id="202"/>
    <w:p>
      <w:pPr>
        <w:jc w:val="center"/>
        <w:spacing w:after="0"/>
        <w:rPr>
          <w:sz w:val="20"/>
          <w:szCs w:val="20"/>
          <w:color w:val="auto"/>
        </w:rPr>
      </w:pPr>
      <w:r>
        <w:rPr>
          <w:rFonts w:ascii="Arial" w:cs="Arial" w:eastAsia="Arial" w:hAnsi="Arial"/>
          <w:sz w:val="18"/>
          <w:szCs w:val="18"/>
          <w:b w:val="1"/>
          <w:bCs w:val="1"/>
          <w:color w:val="auto"/>
        </w:rPr>
        <w:t>AGNICO-EAGLE MINES LIMITED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 (Continued)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(thousands of United States dollars, except per share amounts, unless otherwise indicated)</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December 31, 2009</w:t>
      </w:r>
    </w:p>
    <w:p>
      <w:pPr>
        <w:spacing w:after="0" w:line="214" w:lineRule="exact"/>
        <w:rPr>
          <w:sz w:val="20"/>
          <w:szCs w:val="20"/>
          <w:color w:val="auto"/>
        </w:rPr>
      </w:pPr>
    </w:p>
    <w:p>
      <w:pPr>
        <w:ind w:left="280" w:hanging="272"/>
        <w:spacing w:after="0"/>
        <w:tabs>
          <w:tab w:leader="none" w:pos="280" w:val="left"/>
        </w:tabs>
        <w:numPr>
          <w:ilvl w:val="0"/>
          <w:numId w:val="86"/>
        </w:numPr>
        <w:rPr>
          <w:rFonts w:ascii="Arial" w:cs="Arial" w:eastAsia="Arial" w:hAnsi="Arial"/>
          <w:sz w:val="14"/>
          <w:szCs w:val="14"/>
          <w:b w:val="1"/>
          <w:bCs w:val="1"/>
          <w:color w:val="auto"/>
        </w:rPr>
      </w:pPr>
      <w:r>
        <w:rPr>
          <w:rFonts w:ascii="Arial" w:cs="Arial" w:eastAsia="Arial" w:hAnsi="Arial"/>
          <w:sz w:val="14"/>
          <w:szCs w:val="14"/>
          <w:b w:val="1"/>
          <w:bCs w:val="1"/>
          <w:color w:val="auto"/>
        </w:rPr>
        <w:t>PROPERTY, PLANT AND MINE DEVELOPMENT (Continued)</w:t>
      </w:r>
    </w:p>
    <w:p>
      <w:pPr>
        <w:spacing w:after="0" w:line="206" w:lineRule="exact"/>
        <w:rPr>
          <w:sz w:val="20"/>
          <w:szCs w:val="20"/>
          <w:color w:val="auto"/>
        </w:rPr>
      </w:pPr>
    </w:p>
    <w:p>
      <w:pPr>
        <w:ind w:left="540"/>
        <w:spacing w:after="0" w:line="239" w:lineRule="auto"/>
        <w:rPr>
          <w:sz w:val="20"/>
          <w:szCs w:val="20"/>
          <w:color w:val="auto"/>
        </w:rPr>
      </w:pPr>
      <w:r>
        <w:rPr>
          <w:rFonts w:ascii="Arial" w:cs="Arial" w:eastAsia="Arial" w:hAnsi="Arial"/>
          <w:sz w:val="14"/>
          <w:szCs w:val="14"/>
          <w:color w:val="auto"/>
        </w:rPr>
        <w:t>In 2009, Agnico-Eagle capitalized $0.4 million of costs (2008 — $0.8 million) and recognized $0.8 million of amortization expense (2008 — $0.6 million) related to computer software. The unamortized capitalized cost for computer software at the end of 2009 was $5.2 million (2008 — $5.6 million).</w:t>
      </w:r>
    </w:p>
    <w:p>
      <w:pPr>
        <w:spacing w:after="0" w:line="193" w:lineRule="exact"/>
        <w:rPr>
          <w:sz w:val="20"/>
          <w:szCs w:val="20"/>
          <w:color w:val="auto"/>
        </w:rPr>
      </w:pPr>
    </w:p>
    <w:p>
      <w:pPr>
        <w:ind w:left="540"/>
        <w:spacing w:after="0" w:line="239" w:lineRule="auto"/>
        <w:rPr>
          <w:sz w:val="20"/>
          <w:szCs w:val="20"/>
          <w:color w:val="auto"/>
        </w:rPr>
      </w:pPr>
      <w:r>
        <w:rPr>
          <w:rFonts w:ascii="Arial" w:cs="Arial" w:eastAsia="Arial" w:hAnsi="Arial"/>
          <w:sz w:val="14"/>
          <w:szCs w:val="14"/>
          <w:color w:val="auto"/>
        </w:rPr>
        <w:t>The unamortized capitalized cost for leasehold improvements at the end of 2009 was $2.5 million (2008 — $2.7 million), which is being amortized straight-line over the life of the lease plus one renewal period.</w:t>
      </w:r>
    </w:p>
    <w:p>
      <w:pPr>
        <w:spacing w:after="0" w:line="193" w:lineRule="exact"/>
        <w:rPr>
          <w:sz w:val="20"/>
          <w:szCs w:val="20"/>
          <w:color w:val="auto"/>
        </w:rPr>
      </w:pPr>
    </w:p>
    <w:p>
      <w:pPr>
        <w:ind w:left="540"/>
        <w:spacing w:after="0"/>
        <w:rPr>
          <w:sz w:val="20"/>
          <w:szCs w:val="20"/>
          <w:color w:val="auto"/>
        </w:rPr>
      </w:pPr>
      <w:r>
        <w:rPr>
          <w:rFonts w:ascii="Arial" w:cs="Arial" w:eastAsia="Arial" w:hAnsi="Arial"/>
          <w:sz w:val="12"/>
          <w:szCs w:val="12"/>
          <w:color w:val="auto"/>
        </w:rPr>
        <w:t>The amortization of assets recorded under capital leases is included in the amortization of property, plant and mine-development component of the consolidated statements of income.</w:t>
      </w:r>
    </w:p>
    <w:p>
      <w:pPr>
        <w:spacing w:after="0" w:line="225" w:lineRule="exact"/>
        <w:rPr>
          <w:sz w:val="20"/>
          <w:szCs w:val="20"/>
          <w:color w:val="auto"/>
        </w:rPr>
      </w:pPr>
    </w:p>
    <w:p>
      <w:pPr>
        <w:ind w:left="280" w:hanging="272"/>
        <w:spacing w:after="0"/>
        <w:tabs>
          <w:tab w:leader="none" w:pos="280" w:val="left"/>
        </w:tabs>
        <w:numPr>
          <w:ilvl w:val="0"/>
          <w:numId w:val="87"/>
        </w:numPr>
        <w:rPr>
          <w:rFonts w:ascii="Arial" w:cs="Arial" w:eastAsia="Arial" w:hAnsi="Arial"/>
          <w:sz w:val="14"/>
          <w:szCs w:val="14"/>
          <w:b w:val="1"/>
          <w:bCs w:val="1"/>
          <w:color w:val="auto"/>
        </w:rPr>
      </w:pPr>
      <w:r>
        <w:rPr>
          <w:rFonts w:ascii="Arial" w:cs="Arial" w:eastAsia="Arial" w:hAnsi="Arial"/>
          <w:sz w:val="14"/>
          <w:szCs w:val="14"/>
          <w:b w:val="1"/>
          <w:bCs w:val="1"/>
          <w:color w:val="auto"/>
        </w:rPr>
        <w:t>BANK DEBT</w:t>
      </w:r>
    </w:p>
    <w:p>
      <w:pPr>
        <w:spacing w:after="0" w:line="206" w:lineRule="exact"/>
        <w:rPr>
          <w:sz w:val="20"/>
          <w:szCs w:val="20"/>
          <w:color w:val="auto"/>
        </w:rPr>
      </w:pPr>
    </w:p>
    <w:p>
      <w:pPr>
        <w:jc w:val="both"/>
        <w:ind w:left="540"/>
        <w:spacing w:after="0" w:line="262" w:lineRule="auto"/>
        <w:rPr>
          <w:sz w:val="20"/>
          <w:szCs w:val="20"/>
          <w:color w:val="auto"/>
        </w:rPr>
      </w:pPr>
      <w:r>
        <w:rPr>
          <w:rFonts w:ascii="Arial" w:cs="Arial" w:eastAsia="Arial" w:hAnsi="Arial"/>
          <w:sz w:val="12"/>
          <w:szCs w:val="12"/>
          <w:color w:val="auto"/>
        </w:rPr>
        <w:t>The Company entered into a credit agreement on January 10, 2008 with a group of financial institutions relating to a new $300 million unsecured revolving credit facility (the "First Credit Facility"); the Company's previous $300 million secured revolving credit facility was terminated. The First Credit Facility matures on January 10, 2013, however, the Company, with the consent of lenders</w:t>
      </w:r>
    </w:p>
    <w:p>
      <w:pPr>
        <w:spacing w:after="0" w:line="1" w:lineRule="exact"/>
        <w:rPr>
          <w:sz w:val="20"/>
          <w:szCs w:val="20"/>
          <w:color w:val="auto"/>
        </w:rPr>
      </w:pPr>
    </w:p>
    <w:p>
      <w:pPr>
        <w:ind w:left="540"/>
        <w:spacing w:after="0"/>
        <w:rPr>
          <w:sz w:val="20"/>
          <w:szCs w:val="20"/>
          <w:color w:val="auto"/>
        </w:rPr>
      </w:pPr>
      <w:r>
        <w:rPr>
          <w:rFonts w:ascii="Arial" w:cs="Arial" w:eastAsia="Arial" w:hAnsi="Arial"/>
          <w:sz w:val="14"/>
          <w:szCs w:val="14"/>
          <w:color w:val="auto"/>
        </w:rPr>
        <w:t>representing 66</w:t>
      </w:r>
      <w:r>
        <w:rPr>
          <w:rFonts w:ascii="Arial" w:cs="Arial" w:eastAsia="Arial" w:hAnsi="Arial"/>
          <w:sz w:val="22"/>
          <w:szCs w:val="22"/>
          <w:color w:val="auto"/>
          <w:vertAlign w:val="superscript"/>
        </w:rPr>
        <w:t>2</w:t>
      </w:r>
      <w:r>
        <w:rPr>
          <w:rFonts w:ascii="Arial" w:cs="Arial" w:eastAsia="Arial" w:hAnsi="Arial"/>
          <w:sz w:val="14"/>
          <w:szCs w:val="14"/>
          <w:color w:val="auto"/>
        </w:rPr>
        <w:t>/</w:t>
      </w:r>
      <w:r>
        <w:rPr>
          <w:rFonts w:ascii="Arial" w:cs="Arial" w:eastAsia="Arial" w:hAnsi="Arial"/>
          <w:sz w:val="11"/>
          <w:szCs w:val="11"/>
          <w:color w:val="auto"/>
        </w:rPr>
        <w:t>3</w:t>
      </w:r>
      <w:r>
        <w:rPr>
          <w:rFonts w:ascii="Arial" w:cs="Arial" w:eastAsia="Arial" w:hAnsi="Arial"/>
          <w:sz w:val="14"/>
          <w:szCs w:val="14"/>
          <w:color w:val="auto"/>
        </w:rPr>
        <w:t>% of the aggregate commitments under the facility, has the option to extend the term of this facility for additional one-year terms.</w:t>
      </w:r>
    </w:p>
    <w:p>
      <w:pPr>
        <w:spacing w:after="0" w:line="134" w:lineRule="exact"/>
        <w:rPr>
          <w:sz w:val="20"/>
          <w:szCs w:val="20"/>
          <w:color w:val="auto"/>
        </w:rPr>
      </w:pPr>
    </w:p>
    <w:p>
      <w:pPr>
        <w:jc w:val="both"/>
        <w:ind w:left="540"/>
        <w:spacing w:after="0" w:line="318" w:lineRule="auto"/>
        <w:rPr>
          <w:sz w:val="20"/>
          <w:szCs w:val="20"/>
          <w:color w:val="auto"/>
        </w:rPr>
      </w:pPr>
      <w:r>
        <w:rPr>
          <w:rFonts w:ascii="Arial" w:cs="Arial" w:eastAsia="Arial" w:hAnsi="Arial"/>
          <w:sz w:val="12"/>
          <w:szCs w:val="12"/>
          <w:color w:val="auto"/>
        </w:rPr>
        <w:t>On September 4, 2008, the Company entered into a further credit agreement with a separate group of financial institutions relating to an additional $300 million unsecured revolving credit facility (the "Second Credit Facility" and together with the First Credit Facility, the "Credit Facilities"). The Second Credit Facility was scheduled to mature on September 4, 2010.</w:t>
      </w:r>
    </w:p>
    <w:p>
      <w:pPr>
        <w:spacing w:after="0" w:line="148" w:lineRule="exact"/>
        <w:rPr>
          <w:sz w:val="20"/>
          <w:szCs w:val="20"/>
          <w:color w:val="auto"/>
        </w:rPr>
      </w:pPr>
    </w:p>
    <w:p>
      <w:pPr>
        <w:jc w:val="both"/>
        <w:ind w:left="540"/>
        <w:spacing w:after="0" w:line="239" w:lineRule="auto"/>
        <w:rPr>
          <w:sz w:val="20"/>
          <w:szCs w:val="20"/>
          <w:color w:val="auto"/>
        </w:rPr>
      </w:pPr>
      <w:r>
        <w:rPr>
          <w:rFonts w:ascii="Arial" w:cs="Arial" w:eastAsia="Arial" w:hAnsi="Arial"/>
          <w:sz w:val="14"/>
          <w:szCs w:val="14"/>
          <w:color w:val="auto"/>
        </w:rPr>
        <w:t>On June 15, 2009, the Company amended and restated the Credit Facilities. The amounts available under the Second Credit Facility was increased by $300 million to $600 million and the maturity date extended to June 2012.</w:t>
      </w:r>
    </w:p>
    <w:p>
      <w:pPr>
        <w:spacing w:after="0" w:line="193" w:lineRule="exact"/>
        <w:rPr>
          <w:sz w:val="20"/>
          <w:szCs w:val="20"/>
          <w:color w:val="auto"/>
        </w:rPr>
      </w:pPr>
    </w:p>
    <w:p>
      <w:pPr>
        <w:jc w:val="both"/>
        <w:ind w:left="540"/>
        <w:spacing w:after="0" w:line="268" w:lineRule="auto"/>
        <w:rPr>
          <w:sz w:val="20"/>
          <w:szCs w:val="20"/>
          <w:color w:val="auto"/>
        </w:rPr>
      </w:pPr>
      <w:r>
        <w:rPr>
          <w:rFonts w:ascii="Arial" w:cs="Arial" w:eastAsia="Arial" w:hAnsi="Arial"/>
          <w:sz w:val="12"/>
          <w:szCs w:val="12"/>
          <w:color w:val="auto"/>
        </w:rPr>
        <w:t xml:space="preserve">Payment and performance of the Company's obligations under each of the Credit Facilities are guaranteed by certain material subsidiaries of the Company. The restrictive covenants and events of default under each of the Credit Facilities are identical. Each of the Credit Facilities contains covenants that restrict, among other things, the ability of the Company to incur additional indebtedness, make distributions in certain circumstances, sell material assets and carry on a business other than one related to the mining business. The Company is also required to maintain certain financial ratios as well as a minimum tangible net worth. In addition, each of the Credit Facilities requires the Company to utilize funds available under the Credit Facilities on a </w:t>
      </w:r>
      <w:r>
        <w:rPr>
          <w:rFonts w:ascii="Arial" w:cs="Arial" w:eastAsia="Arial" w:hAnsi="Arial"/>
          <w:sz w:val="12"/>
          <w:szCs w:val="12"/>
          <w:i w:val="1"/>
          <w:iCs w:val="1"/>
          <w:color w:val="auto"/>
        </w:rPr>
        <w:t>pro rata</w:t>
      </w:r>
      <w:r>
        <w:rPr>
          <w:rFonts w:ascii="Arial" w:cs="Arial" w:eastAsia="Arial" w:hAnsi="Arial"/>
          <w:sz w:val="12"/>
          <w:szCs w:val="12"/>
          <w:color w:val="auto"/>
        </w:rPr>
        <w:t xml:space="preserve"> basis, subject to a permitted utilization differential threshold and exclusion of advances under the First Credit Facility that are letters of credit or swing line advances. At December 31, 2009, the Credit Facilities were drawn down by $715 million (2008 — $200 million). These drawdowns, together with outstanding letters of credit under the First Credit Facility, decrease the amounts available under the Credit Facilities such that $162.5 million was available for future drawdowns at December 31, 2009.</w:t>
      </w:r>
    </w:p>
    <w:p>
      <w:pPr>
        <w:spacing w:after="0" w:line="177" w:lineRule="exact"/>
        <w:rPr>
          <w:sz w:val="20"/>
          <w:szCs w:val="20"/>
          <w:color w:val="auto"/>
        </w:rPr>
      </w:pPr>
    </w:p>
    <w:p>
      <w:pPr>
        <w:jc w:val="both"/>
        <w:ind w:left="540"/>
        <w:spacing w:after="0" w:line="233" w:lineRule="auto"/>
        <w:rPr>
          <w:sz w:val="20"/>
          <w:szCs w:val="20"/>
          <w:color w:val="auto"/>
        </w:rPr>
      </w:pPr>
      <w:r>
        <w:rPr>
          <w:rFonts w:ascii="Arial" w:cs="Arial" w:eastAsia="Arial" w:hAnsi="Arial"/>
          <w:sz w:val="14"/>
          <w:szCs w:val="14"/>
          <w:color w:val="auto"/>
        </w:rPr>
        <w:t>In addition, on June 2, 2009, Agnico-Eagle executed an unsecured C$95 million financial security issuance agreement with Export Development Canada. This agreement matures June 2014 and will be used to provide letters of credit for environmental obligations or in relation to license or permit bonds relating to the Meadowbank Mine. As at December 31, 2009, outstanding letters of credit drawn against this agreement totalled C$60.4 million.</w:t>
      </w:r>
    </w:p>
    <w:p>
      <w:pPr>
        <w:spacing w:after="0" w:line="193" w:lineRule="exact"/>
        <w:rPr>
          <w:sz w:val="20"/>
          <w:szCs w:val="20"/>
          <w:color w:val="auto"/>
        </w:rPr>
      </w:pPr>
    </w:p>
    <w:p>
      <w:pPr>
        <w:jc w:val="both"/>
        <w:ind w:left="540"/>
        <w:spacing w:after="0" w:line="230" w:lineRule="auto"/>
        <w:rPr>
          <w:sz w:val="20"/>
          <w:szCs w:val="20"/>
          <w:color w:val="auto"/>
        </w:rPr>
      </w:pPr>
      <w:r>
        <w:rPr>
          <w:rFonts w:ascii="Arial" w:cs="Arial" w:eastAsia="Arial" w:hAnsi="Arial"/>
          <w:sz w:val="14"/>
          <w:szCs w:val="14"/>
          <w:color w:val="auto"/>
        </w:rPr>
        <w:t>For the year ended December 31, 2009, interest expense was $8.4 million (2008 — $3.0 million; 2007 — $3.3 million) and total cash interest payments were $17.2 million (2008 — $6.3 million; 2007 — $2.4 million). In 2009, cash interest on the Credit Facilities was $14.0 million (2008 — $4.6 million; 2007 — nil) and cash standby fees on the Credit Facilities were $2.4 million (2008 — $1.2 million; 2007 — $2.3 million). In 2009, $15.5 million (2008 — $4.6 million; 2007 — nil) of the interest expense was capitalized to construction in progress. The Company's weighted average interest rate on all of its bank debt as at December 31, 2009 was 3.18% (2008 — 3.77%; 2007 — n/a).</w:t>
      </w:r>
    </w:p>
    <w:p>
      <w:pPr>
        <w:spacing w:after="0" w:line="193" w:lineRule="exact"/>
        <w:rPr>
          <w:sz w:val="20"/>
          <w:szCs w:val="20"/>
          <w:color w:val="auto"/>
        </w:rPr>
      </w:pPr>
    </w:p>
    <w:p>
      <w:pPr>
        <w:jc w:val="both"/>
        <w:ind w:left="540"/>
        <w:spacing w:after="0" w:line="288" w:lineRule="auto"/>
        <w:rPr>
          <w:sz w:val="20"/>
          <w:szCs w:val="20"/>
          <w:color w:val="auto"/>
        </w:rPr>
      </w:pPr>
      <w:r>
        <w:rPr>
          <w:rFonts w:ascii="Arial" w:cs="Arial" w:eastAsia="Arial" w:hAnsi="Arial"/>
          <w:sz w:val="12"/>
          <w:szCs w:val="12"/>
          <w:color w:val="auto"/>
        </w:rPr>
        <w:t>Subsequent to year-end, on March 19, 2010 the Company announced it had received non-binding commitments from institutional investors in the United States and Canada to purchase in a private placement $600 million of guaranteed senior unsecured notes due in 2017, 2020 and 2022 (the "Notes"). The Notes are expected to have a weighted average maturity of 9.84 years and weighted average yield of 6.59%. Proceeds from the offering of Notes will be used to repay amounts under the credit facilities. Closing of the transaction is expected to occur in April 2010.</w:t>
      </w:r>
    </w:p>
    <w:p>
      <w:pPr>
        <w:spacing w:after="0" w:line="1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2" w:right="239" w:bottom="1440" w:gutter="0" w:footer="0" w:header="0"/>
        </w:sectPr>
      </w:pPr>
    </w:p>
    <w:bookmarkStart w:id="203" w:name="page204"/>
    <w:bookmarkEnd w:id="203"/>
    <w:p>
      <w:pPr>
        <w:jc w:val="center"/>
        <w:spacing w:after="0"/>
        <w:rPr>
          <w:sz w:val="20"/>
          <w:szCs w:val="20"/>
          <w:color w:val="auto"/>
        </w:rPr>
      </w:pPr>
      <w:r>
        <w:rPr>
          <w:rFonts w:ascii="Arial" w:cs="Arial" w:eastAsia="Arial" w:hAnsi="Arial"/>
          <w:sz w:val="18"/>
          <w:szCs w:val="18"/>
          <w:b w:val="1"/>
          <w:bCs w:val="1"/>
          <w:color w:val="auto"/>
        </w:rPr>
        <w:t>AGNICO-EAGLE MINES LIMITED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 (Continued)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(thousands of United States dollars, except per share amounts, unless otherwise indicated)</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December 31, 2009</w:t>
      </w:r>
    </w:p>
    <w:p>
      <w:pPr>
        <w:spacing w:after="0" w:line="214" w:lineRule="exact"/>
        <w:rPr>
          <w:sz w:val="20"/>
          <w:szCs w:val="20"/>
          <w:color w:val="auto"/>
        </w:rPr>
      </w:pPr>
    </w:p>
    <w:tbl>
      <w:tblPr>
        <w:tblLayout w:type="fixed"/>
        <w:tblInd w:w="0" w:type="dxa"/>
        <w:tblCellMar>
          <w:top w:w="0" w:type="dxa"/>
          <w:left w:w="0" w:type="dxa"/>
          <w:bottom w:w="0" w:type="dxa"/>
          <w:right w:w="0" w:type="dxa"/>
        </w:tblCellMar>
      </w:tblPr>
      <w:tr>
        <w:trPr>
          <w:trHeight w:val="174"/>
        </w:trPr>
        <w:tc>
          <w:tcPr>
            <w:tcW w:w="8800" w:type="dxa"/>
            <w:vAlign w:val="bottom"/>
            <w:gridSpan w:val="2"/>
          </w:tcPr>
          <w:p>
            <w:pPr>
              <w:spacing w:after="0"/>
              <w:rPr>
                <w:sz w:val="20"/>
                <w:szCs w:val="20"/>
                <w:color w:val="auto"/>
              </w:rPr>
            </w:pPr>
            <w:r>
              <w:rPr>
                <w:rFonts w:ascii="Arial" w:cs="Arial" w:eastAsia="Arial" w:hAnsi="Arial"/>
                <w:sz w:val="14"/>
                <w:szCs w:val="14"/>
                <w:b w:val="1"/>
                <w:bCs w:val="1"/>
                <w:color w:val="auto"/>
              </w:rPr>
              <w:t>5.   RECLAMATION PROVISION AND OTHER LIABILITIES</w:t>
            </w:r>
          </w:p>
        </w:tc>
        <w:tc>
          <w:tcPr>
            <w:tcW w:w="12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160" w:type="dxa"/>
            <w:vAlign w:val="bottom"/>
          </w:tcPr>
          <w:p>
            <w:pPr>
              <w:spacing w:after="0"/>
              <w:rPr>
                <w:sz w:val="15"/>
                <w:szCs w:val="15"/>
                <w:color w:val="auto"/>
              </w:rPr>
            </w:pPr>
          </w:p>
        </w:tc>
      </w:tr>
      <w:tr>
        <w:trPr>
          <w:trHeight w:val="365"/>
        </w:trPr>
        <w:tc>
          <w:tcPr>
            <w:tcW w:w="8800" w:type="dxa"/>
            <w:vAlign w:val="bottom"/>
            <w:gridSpan w:val="2"/>
          </w:tcPr>
          <w:p>
            <w:pPr>
              <w:ind w:left="540"/>
              <w:spacing w:after="0"/>
              <w:rPr>
                <w:sz w:val="20"/>
                <w:szCs w:val="20"/>
                <w:color w:val="auto"/>
              </w:rPr>
            </w:pPr>
            <w:r>
              <w:rPr>
                <w:rFonts w:ascii="Arial" w:cs="Arial" w:eastAsia="Arial" w:hAnsi="Arial"/>
                <w:sz w:val="14"/>
                <w:szCs w:val="14"/>
                <w:color w:val="auto"/>
              </w:rPr>
              <w:t>Reclamation provision and other liabilities consist of the following:</w:t>
            </w:r>
          </w:p>
        </w:tc>
        <w:tc>
          <w:tcPr>
            <w:tcW w:w="1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60" w:type="dxa"/>
            <w:vAlign w:val="bottom"/>
          </w:tcPr>
          <w:p>
            <w:pPr>
              <w:spacing w:after="0"/>
              <w:rPr>
                <w:sz w:val="24"/>
                <w:szCs w:val="24"/>
                <w:color w:val="auto"/>
              </w:rPr>
            </w:pPr>
          </w:p>
        </w:tc>
      </w:tr>
      <w:tr>
        <w:trPr>
          <w:trHeight w:val="352"/>
        </w:trPr>
        <w:tc>
          <w:tcPr>
            <w:tcW w:w="1160" w:type="dxa"/>
            <w:vAlign w:val="bottom"/>
          </w:tcPr>
          <w:p>
            <w:pPr>
              <w:spacing w:after="0"/>
              <w:rPr>
                <w:sz w:val="24"/>
                <w:szCs w:val="24"/>
                <w:color w:val="auto"/>
              </w:rPr>
            </w:pPr>
          </w:p>
        </w:tc>
        <w:tc>
          <w:tcPr>
            <w:tcW w:w="764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jc w:val="right"/>
              <w:ind w:right="92"/>
              <w:spacing w:after="0"/>
              <w:rPr>
                <w:sz w:val="20"/>
                <w:szCs w:val="20"/>
                <w:color w:val="auto"/>
              </w:rPr>
            </w:pPr>
            <w:r>
              <w:rPr>
                <w:rFonts w:ascii="Arial" w:cs="Arial" w:eastAsia="Arial" w:hAnsi="Arial"/>
                <w:sz w:val="14"/>
                <w:szCs w:val="14"/>
                <w:b w:val="1"/>
                <w:bCs w:val="1"/>
                <w:color w:val="auto"/>
                <w:w w:val="89"/>
              </w:rPr>
              <w:t>2009</w:t>
            </w:r>
          </w:p>
        </w:tc>
        <w:tc>
          <w:tcPr>
            <w:tcW w:w="16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jc w:val="right"/>
              <w:ind w:right="92"/>
              <w:spacing w:after="0"/>
              <w:rPr>
                <w:sz w:val="20"/>
                <w:szCs w:val="20"/>
                <w:color w:val="auto"/>
              </w:rPr>
            </w:pPr>
            <w:r>
              <w:rPr>
                <w:rFonts w:ascii="Arial" w:cs="Arial" w:eastAsia="Arial" w:hAnsi="Arial"/>
                <w:sz w:val="14"/>
                <w:szCs w:val="14"/>
                <w:b w:val="1"/>
                <w:bCs w:val="1"/>
                <w:color w:val="auto"/>
                <w:w w:val="89"/>
              </w:rPr>
              <w:t>2008</w:t>
            </w:r>
          </w:p>
        </w:tc>
        <w:tc>
          <w:tcPr>
            <w:tcW w:w="160" w:type="dxa"/>
            <w:vAlign w:val="bottom"/>
          </w:tcPr>
          <w:p>
            <w:pPr>
              <w:spacing w:after="0"/>
              <w:rPr>
                <w:sz w:val="24"/>
                <w:szCs w:val="24"/>
                <w:color w:val="auto"/>
              </w:rPr>
            </w:pPr>
          </w:p>
        </w:tc>
      </w:tr>
      <w:tr>
        <w:trPr>
          <w:trHeight w:val="142"/>
        </w:trPr>
        <w:tc>
          <w:tcPr>
            <w:tcW w:w="1160" w:type="dxa"/>
            <w:vAlign w:val="bottom"/>
          </w:tcPr>
          <w:p>
            <w:pPr>
              <w:spacing w:after="0"/>
              <w:rPr>
                <w:sz w:val="12"/>
                <w:szCs w:val="12"/>
                <w:color w:val="auto"/>
              </w:rPr>
            </w:pPr>
          </w:p>
        </w:tc>
        <w:tc>
          <w:tcPr>
            <w:tcW w:w="7640" w:type="dxa"/>
            <w:vAlign w:val="bottom"/>
            <w:shd w:val="clear" w:color="auto" w:fill="CCEEFF"/>
          </w:tcPr>
          <w:p>
            <w:pPr>
              <w:ind w:left="200"/>
              <w:spacing w:after="0" w:line="142" w:lineRule="exact"/>
              <w:rPr>
                <w:sz w:val="20"/>
                <w:szCs w:val="20"/>
                <w:color w:val="auto"/>
              </w:rPr>
            </w:pPr>
            <w:r>
              <w:rPr>
                <w:rFonts w:ascii="Arial" w:cs="Arial" w:eastAsia="Arial" w:hAnsi="Arial"/>
                <w:sz w:val="14"/>
                <w:szCs w:val="14"/>
                <w:color w:val="auto"/>
              </w:rPr>
              <w:t>Reclamation and closure costs (note 5(a))</w:t>
            </w:r>
          </w:p>
        </w:tc>
        <w:tc>
          <w:tcPr>
            <w:tcW w:w="1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46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62,847</w:t>
            </w:r>
          </w:p>
        </w:tc>
        <w:tc>
          <w:tcPr>
            <w:tcW w:w="280" w:type="dxa"/>
            <w:vAlign w:val="bottom"/>
            <w:gridSpan w:val="2"/>
            <w:shd w:val="clear" w:color="auto" w:fill="CCEEFF"/>
          </w:tcPr>
          <w:p>
            <w:pPr>
              <w:jc w:val="right"/>
              <w:ind w:right="40"/>
              <w:spacing w:after="0" w:line="142" w:lineRule="exact"/>
              <w:rPr>
                <w:sz w:val="20"/>
                <w:szCs w:val="20"/>
                <w:color w:val="auto"/>
              </w:rPr>
            </w:pPr>
            <w:r>
              <w:rPr>
                <w:rFonts w:ascii="Arial" w:cs="Arial" w:eastAsia="Arial" w:hAnsi="Arial"/>
                <w:sz w:val="14"/>
                <w:szCs w:val="14"/>
                <w:color w:val="auto"/>
              </w:rPr>
              <w:t>$</w:t>
            </w:r>
          </w:p>
        </w:tc>
        <w:tc>
          <w:tcPr>
            <w:tcW w:w="46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52,125</w:t>
            </w:r>
          </w:p>
        </w:tc>
        <w:tc>
          <w:tcPr>
            <w:tcW w:w="160" w:type="dxa"/>
            <w:vAlign w:val="bottom"/>
            <w:shd w:val="clear" w:color="auto" w:fill="CCEEFF"/>
          </w:tcPr>
          <w:p>
            <w:pPr>
              <w:spacing w:after="0"/>
              <w:rPr>
                <w:sz w:val="12"/>
                <w:szCs w:val="12"/>
                <w:color w:val="auto"/>
              </w:rPr>
            </w:pPr>
          </w:p>
        </w:tc>
      </w:tr>
      <w:tr>
        <w:trPr>
          <w:trHeight w:val="149"/>
        </w:trPr>
        <w:tc>
          <w:tcPr>
            <w:tcW w:w="1160" w:type="dxa"/>
            <w:vAlign w:val="bottom"/>
          </w:tcPr>
          <w:p>
            <w:pPr>
              <w:spacing w:after="0"/>
              <w:rPr>
                <w:sz w:val="12"/>
                <w:szCs w:val="12"/>
                <w:color w:val="auto"/>
              </w:rPr>
            </w:pPr>
          </w:p>
        </w:tc>
        <w:tc>
          <w:tcPr>
            <w:tcW w:w="7640" w:type="dxa"/>
            <w:vAlign w:val="bottom"/>
          </w:tcPr>
          <w:p>
            <w:pPr>
              <w:ind w:left="200"/>
              <w:spacing w:after="0" w:line="149" w:lineRule="exact"/>
              <w:rPr>
                <w:sz w:val="20"/>
                <w:szCs w:val="20"/>
                <w:color w:val="auto"/>
              </w:rPr>
            </w:pPr>
            <w:r>
              <w:rPr>
                <w:rFonts w:ascii="Arial" w:cs="Arial" w:eastAsia="Arial" w:hAnsi="Arial"/>
                <w:sz w:val="14"/>
                <w:szCs w:val="14"/>
                <w:color w:val="auto"/>
              </w:rPr>
              <w:t>Long-term portion of capital lease obligations (note 13a)</w:t>
            </w:r>
          </w:p>
        </w:tc>
        <w:tc>
          <w:tcPr>
            <w:tcW w:w="120" w:type="dxa"/>
            <w:vAlign w:val="bottom"/>
          </w:tcPr>
          <w:p>
            <w:pPr>
              <w:spacing w:after="0"/>
              <w:rPr>
                <w:sz w:val="12"/>
                <w:szCs w:val="12"/>
                <w:color w:val="auto"/>
              </w:rPr>
            </w:pPr>
          </w:p>
        </w:tc>
        <w:tc>
          <w:tcPr>
            <w:tcW w:w="460" w:type="dxa"/>
            <w:vAlign w:val="bottom"/>
          </w:tcPr>
          <w:p>
            <w:pPr>
              <w:jc w:val="right"/>
              <w:spacing w:after="0" w:line="149" w:lineRule="exact"/>
              <w:rPr>
                <w:sz w:val="20"/>
                <w:szCs w:val="20"/>
                <w:color w:val="auto"/>
              </w:rPr>
            </w:pPr>
            <w:r>
              <w:rPr>
                <w:rFonts w:ascii="Arial" w:cs="Arial" w:eastAsia="Arial" w:hAnsi="Arial"/>
                <w:sz w:val="14"/>
                <w:szCs w:val="14"/>
                <w:color w:val="auto"/>
              </w:rPr>
              <w:t>21,981</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60" w:type="dxa"/>
            <w:vAlign w:val="bottom"/>
          </w:tcPr>
          <w:p>
            <w:pPr>
              <w:jc w:val="right"/>
              <w:spacing w:after="0" w:line="149" w:lineRule="exact"/>
              <w:rPr>
                <w:sz w:val="20"/>
                <w:szCs w:val="20"/>
                <w:color w:val="auto"/>
              </w:rPr>
            </w:pPr>
            <w:r>
              <w:rPr>
                <w:rFonts w:ascii="Arial" w:cs="Arial" w:eastAsia="Arial" w:hAnsi="Arial"/>
                <w:sz w:val="14"/>
                <w:szCs w:val="14"/>
                <w:color w:val="auto"/>
              </w:rPr>
              <w:t>12,079</w:t>
            </w:r>
          </w:p>
        </w:tc>
        <w:tc>
          <w:tcPr>
            <w:tcW w:w="160" w:type="dxa"/>
            <w:vAlign w:val="bottom"/>
          </w:tcPr>
          <w:p>
            <w:pPr>
              <w:spacing w:after="0"/>
              <w:rPr>
                <w:sz w:val="12"/>
                <w:szCs w:val="12"/>
                <w:color w:val="auto"/>
              </w:rPr>
            </w:pPr>
          </w:p>
        </w:tc>
      </w:tr>
      <w:tr>
        <w:trPr>
          <w:trHeight w:val="149"/>
        </w:trPr>
        <w:tc>
          <w:tcPr>
            <w:tcW w:w="1160" w:type="dxa"/>
            <w:vAlign w:val="bottom"/>
          </w:tcPr>
          <w:p>
            <w:pPr>
              <w:spacing w:after="0"/>
              <w:rPr>
                <w:sz w:val="12"/>
                <w:szCs w:val="12"/>
                <w:color w:val="auto"/>
              </w:rPr>
            </w:pPr>
          </w:p>
        </w:tc>
        <w:tc>
          <w:tcPr>
            <w:tcW w:w="764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Pension benefits (note 5(c))</w:t>
            </w:r>
          </w:p>
        </w:tc>
        <w:tc>
          <w:tcPr>
            <w:tcW w:w="12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8,109</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5,153</w:t>
            </w:r>
          </w:p>
        </w:tc>
        <w:tc>
          <w:tcPr>
            <w:tcW w:w="160" w:type="dxa"/>
            <w:vAlign w:val="bottom"/>
            <w:shd w:val="clear" w:color="auto" w:fill="CCEEFF"/>
          </w:tcPr>
          <w:p>
            <w:pPr>
              <w:spacing w:after="0"/>
              <w:rPr>
                <w:sz w:val="12"/>
                <w:szCs w:val="12"/>
                <w:color w:val="auto"/>
              </w:rPr>
            </w:pPr>
          </w:p>
        </w:tc>
      </w:tr>
      <w:tr>
        <w:trPr>
          <w:trHeight w:val="174"/>
        </w:trPr>
        <w:tc>
          <w:tcPr>
            <w:tcW w:w="1160" w:type="dxa"/>
            <w:vAlign w:val="bottom"/>
          </w:tcPr>
          <w:p>
            <w:pPr>
              <w:spacing w:after="0"/>
              <w:rPr>
                <w:sz w:val="15"/>
                <w:szCs w:val="15"/>
                <w:color w:val="auto"/>
              </w:rPr>
            </w:pPr>
          </w:p>
        </w:tc>
        <w:tc>
          <w:tcPr>
            <w:tcW w:w="7640" w:type="dxa"/>
            <w:vAlign w:val="bottom"/>
          </w:tcPr>
          <w:p>
            <w:pPr>
              <w:ind w:left="200"/>
              <w:spacing w:after="0"/>
              <w:rPr>
                <w:sz w:val="20"/>
                <w:szCs w:val="20"/>
                <w:color w:val="auto"/>
              </w:rPr>
            </w:pPr>
            <w:r>
              <w:rPr>
                <w:rFonts w:ascii="Arial" w:cs="Arial" w:eastAsia="Arial" w:hAnsi="Arial"/>
                <w:sz w:val="14"/>
                <w:szCs w:val="14"/>
                <w:color w:val="auto"/>
              </w:rPr>
              <w:t>Goldex Mine government grant and other (note 5(b))</w:t>
            </w:r>
          </w:p>
        </w:tc>
        <w:tc>
          <w:tcPr>
            <w:tcW w:w="120" w:type="dxa"/>
            <w:vAlign w:val="bottom"/>
            <w:tcBorders>
              <w:bottom w:val="single" w:sz="8" w:color="auto"/>
            </w:tcBorders>
          </w:tcPr>
          <w:p>
            <w:pPr>
              <w:spacing w:after="0"/>
              <w:rPr>
                <w:sz w:val="15"/>
                <w:szCs w:val="15"/>
                <w:color w:val="auto"/>
              </w:rPr>
            </w:pPr>
          </w:p>
        </w:tc>
        <w:tc>
          <w:tcPr>
            <w:tcW w:w="46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3,318</w:t>
            </w:r>
          </w:p>
        </w:tc>
        <w:tc>
          <w:tcPr>
            <w:tcW w:w="160" w:type="dxa"/>
            <w:vAlign w:val="bottom"/>
          </w:tcPr>
          <w:p>
            <w:pPr>
              <w:spacing w:after="0"/>
              <w:rPr>
                <w:sz w:val="15"/>
                <w:szCs w:val="15"/>
                <w:color w:val="auto"/>
              </w:rPr>
            </w:pPr>
          </w:p>
        </w:tc>
        <w:tc>
          <w:tcPr>
            <w:tcW w:w="120" w:type="dxa"/>
            <w:vAlign w:val="bottom"/>
            <w:tcBorders>
              <w:bottom w:val="single" w:sz="8" w:color="auto"/>
            </w:tcBorders>
          </w:tcPr>
          <w:p>
            <w:pPr>
              <w:spacing w:after="0"/>
              <w:rPr>
                <w:sz w:val="15"/>
                <w:szCs w:val="15"/>
                <w:color w:val="auto"/>
              </w:rPr>
            </w:pPr>
          </w:p>
        </w:tc>
        <w:tc>
          <w:tcPr>
            <w:tcW w:w="46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2,413</w:t>
            </w:r>
          </w:p>
        </w:tc>
        <w:tc>
          <w:tcPr>
            <w:tcW w:w="160" w:type="dxa"/>
            <w:vAlign w:val="bottom"/>
          </w:tcPr>
          <w:p>
            <w:pPr>
              <w:spacing w:after="0"/>
              <w:rPr>
                <w:sz w:val="15"/>
                <w:szCs w:val="15"/>
                <w:color w:val="auto"/>
              </w:rPr>
            </w:pPr>
          </w:p>
        </w:tc>
      </w:tr>
      <w:tr>
        <w:trPr>
          <w:trHeight w:val="211"/>
        </w:trPr>
        <w:tc>
          <w:tcPr>
            <w:tcW w:w="1160" w:type="dxa"/>
            <w:vAlign w:val="bottom"/>
          </w:tcPr>
          <w:p>
            <w:pPr>
              <w:spacing w:after="0"/>
              <w:rPr>
                <w:sz w:val="18"/>
                <w:szCs w:val="18"/>
                <w:color w:val="auto"/>
              </w:rPr>
            </w:pPr>
          </w:p>
        </w:tc>
        <w:tc>
          <w:tcPr>
            <w:tcW w:w="7640" w:type="dxa"/>
            <w:vAlign w:val="bottom"/>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4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96,255</w:t>
            </w:r>
          </w:p>
        </w:tc>
        <w:tc>
          <w:tcPr>
            <w:tcW w:w="280" w:type="dxa"/>
            <w:vAlign w:val="bottom"/>
            <w:gridSpan w:val="2"/>
            <w:shd w:val="clear" w:color="auto" w:fill="CCEEFF"/>
          </w:tcPr>
          <w:p>
            <w:pPr>
              <w:jc w:val="right"/>
              <w:ind w:right="40"/>
              <w:spacing w:after="0"/>
              <w:rPr>
                <w:sz w:val="20"/>
                <w:szCs w:val="20"/>
                <w:color w:val="auto"/>
              </w:rPr>
            </w:pPr>
            <w:r>
              <w:rPr>
                <w:rFonts w:ascii="Arial" w:cs="Arial" w:eastAsia="Arial" w:hAnsi="Arial"/>
                <w:sz w:val="14"/>
                <w:szCs w:val="14"/>
                <w:color w:val="auto"/>
              </w:rPr>
              <w:t>$</w:t>
            </w:r>
          </w:p>
        </w:tc>
        <w:tc>
          <w:tcPr>
            <w:tcW w:w="4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71,770</w:t>
            </w:r>
          </w:p>
        </w:tc>
        <w:tc>
          <w:tcPr>
            <w:tcW w:w="160" w:type="dxa"/>
            <w:vAlign w:val="bottom"/>
            <w:shd w:val="clear" w:color="auto" w:fill="CCEEFF"/>
          </w:tcPr>
          <w:p>
            <w:pPr>
              <w:spacing w:after="0"/>
              <w:rPr>
                <w:sz w:val="18"/>
                <w:szCs w:val="18"/>
                <w:color w:val="auto"/>
              </w:rPr>
            </w:pPr>
          </w:p>
        </w:tc>
      </w:tr>
      <w:tr>
        <w:trPr>
          <w:trHeight w:val="27"/>
        </w:trPr>
        <w:tc>
          <w:tcPr>
            <w:tcW w:w="1160" w:type="dxa"/>
            <w:vAlign w:val="bottom"/>
          </w:tcPr>
          <w:p>
            <w:pPr>
              <w:spacing w:after="0"/>
              <w:rPr>
                <w:sz w:val="2"/>
                <w:szCs w:val="2"/>
                <w:color w:val="auto"/>
              </w:rPr>
            </w:pPr>
          </w:p>
        </w:tc>
        <w:tc>
          <w:tcPr>
            <w:tcW w:w="764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r>
      <w:tr>
        <w:trPr>
          <w:trHeight w:val="20"/>
        </w:trPr>
        <w:tc>
          <w:tcPr>
            <w:tcW w:w="1160" w:type="dxa"/>
            <w:vAlign w:val="bottom"/>
          </w:tcPr>
          <w:p>
            <w:pPr>
              <w:spacing w:after="0" w:line="20" w:lineRule="exact"/>
              <w:rPr>
                <w:sz w:val="1"/>
                <w:szCs w:val="1"/>
                <w:color w:val="auto"/>
              </w:rPr>
            </w:pPr>
          </w:p>
        </w:tc>
        <w:tc>
          <w:tcPr>
            <w:tcW w:w="764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192" w:lineRule="exact"/>
        <w:rPr>
          <w:sz w:val="20"/>
          <w:szCs w:val="20"/>
          <w:color w:val="auto"/>
        </w:rPr>
      </w:pPr>
    </w:p>
    <w:p>
      <w:pPr>
        <w:ind w:left="1080" w:hanging="532"/>
        <w:spacing w:after="0"/>
        <w:tabs>
          <w:tab w:leader="none" w:pos="1080" w:val="left"/>
        </w:tabs>
        <w:numPr>
          <w:ilvl w:val="0"/>
          <w:numId w:val="88"/>
        </w:numPr>
        <w:rPr>
          <w:rFonts w:ascii="Arial" w:cs="Arial" w:eastAsia="Arial" w:hAnsi="Arial"/>
          <w:sz w:val="14"/>
          <w:szCs w:val="14"/>
          <w:b w:val="1"/>
          <w:bCs w:val="1"/>
          <w:i w:val="1"/>
          <w:iCs w:val="1"/>
          <w:color w:val="auto"/>
        </w:rPr>
      </w:pPr>
      <w:r>
        <w:rPr>
          <w:rFonts w:ascii="Arial" w:cs="Arial" w:eastAsia="Arial" w:hAnsi="Arial"/>
          <w:sz w:val="14"/>
          <w:szCs w:val="14"/>
          <w:b w:val="1"/>
          <w:bCs w:val="1"/>
          <w:i w:val="1"/>
          <w:iCs w:val="1"/>
          <w:color w:val="auto"/>
        </w:rPr>
        <w:t>Reclamation and closure costs</w:t>
      </w:r>
    </w:p>
    <w:p>
      <w:pPr>
        <w:spacing w:after="0" w:line="203" w:lineRule="exact"/>
        <w:rPr>
          <w:rFonts w:ascii="Arial" w:cs="Arial" w:eastAsia="Arial" w:hAnsi="Arial"/>
          <w:sz w:val="14"/>
          <w:szCs w:val="14"/>
          <w:b w:val="1"/>
          <w:bCs w:val="1"/>
          <w:i w:val="1"/>
          <w:iCs w:val="1"/>
          <w:color w:val="auto"/>
        </w:rPr>
      </w:pPr>
    </w:p>
    <w:p>
      <w:pPr>
        <w:ind w:left="1080"/>
        <w:spacing w:after="0" w:line="318" w:lineRule="auto"/>
        <w:rPr>
          <w:rFonts w:ascii="Arial" w:cs="Arial" w:eastAsia="Arial" w:hAnsi="Arial"/>
          <w:sz w:val="14"/>
          <w:szCs w:val="14"/>
          <w:b w:val="1"/>
          <w:bCs w:val="1"/>
          <w:i w:val="1"/>
          <w:iCs w:val="1"/>
          <w:color w:val="auto"/>
        </w:rPr>
      </w:pPr>
      <w:r>
        <w:rPr>
          <w:rFonts w:ascii="Arial" w:cs="Arial" w:eastAsia="Arial" w:hAnsi="Arial"/>
          <w:sz w:val="12"/>
          <w:szCs w:val="12"/>
          <w:color w:val="auto"/>
        </w:rPr>
        <w:t>Reclamation estimates are based on current legislation, third party estimates and feasibility study calculations. All of the accrued reclamation and closure costs are long-term in nature and thus no portion of these costs has been reclassified to current liabilities. The Company does not currently have assets that are restricted for the purposes of settling these obligations.</w:t>
      </w:r>
    </w:p>
    <w:p>
      <w:pPr>
        <w:spacing w:after="0" w:line="147" w:lineRule="exact"/>
        <w:rPr>
          <w:rFonts w:ascii="Arial" w:cs="Arial" w:eastAsia="Arial" w:hAnsi="Arial"/>
          <w:sz w:val="14"/>
          <w:szCs w:val="14"/>
          <w:b w:val="1"/>
          <w:bCs w:val="1"/>
          <w:i w:val="1"/>
          <w:iCs w:val="1"/>
          <w:color w:val="auto"/>
        </w:rPr>
      </w:pPr>
    </w:p>
    <w:p>
      <w:pPr>
        <w:ind w:left="1080"/>
        <w:spacing w:after="0"/>
        <w:rPr>
          <w:rFonts w:ascii="Arial" w:cs="Arial" w:eastAsia="Arial" w:hAnsi="Arial"/>
          <w:sz w:val="14"/>
          <w:szCs w:val="14"/>
          <w:b w:val="1"/>
          <w:bCs w:val="1"/>
          <w:i w:val="1"/>
          <w:iCs w:val="1"/>
          <w:color w:val="auto"/>
        </w:rPr>
      </w:pPr>
      <w:r>
        <w:rPr>
          <w:rFonts w:ascii="Arial" w:cs="Arial" w:eastAsia="Arial" w:hAnsi="Arial"/>
          <w:sz w:val="14"/>
          <w:szCs w:val="14"/>
          <w:color w:val="auto"/>
        </w:rPr>
        <w:t>The following table reconciles the beginning and ending carrying amounts of the asset retirement obligations.</w:t>
      </w:r>
    </w:p>
    <w:p>
      <w:pPr>
        <w:spacing w:after="0" w:line="202" w:lineRule="exact"/>
        <w:rPr>
          <w:sz w:val="20"/>
          <w:szCs w:val="20"/>
          <w:color w:val="auto"/>
        </w:rPr>
      </w:pPr>
    </w:p>
    <w:tbl>
      <w:tblPr>
        <w:tblLayout w:type="fixed"/>
        <w:tblInd w:w="1160" w:type="dxa"/>
        <w:tblCellMar>
          <w:top w:w="0" w:type="dxa"/>
          <w:left w:w="0" w:type="dxa"/>
          <w:bottom w:w="0" w:type="dxa"/>
          <w:right w:w="0" w:type="dxa"/>
        </w:tblCellMar>
      </w:tblPr>
      <w:tr>
        <w:trPr>
          <w:trHeight w:val="161"/>
        </w:trPr>
        <w:tc>
          <w:tcPr>
            <w:tcW w:w="764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460" w:type="dxa"/>
            <w:vAlign w:val="bottom"/>
            <w:tcBorders>
              <w:bottom w:val="single" w:sz="8" w:color="auto"/>
            </w:tcBorders>
          </w:tcPr>
          <w:p>
            <w:pPr>
              <w:jc w:val="right"/>
              <w:ind w:right="92"/>
              <w:spacing w:after="0"/>
              <w:rPr>
                <w:sz w:val="20"/>
                <w:szCs w:val="20"/>
                <w:color w:val="auto"/>
              </w:rPr>
            </w:pPr>
            <w:r>
              <w:rPr>
                <w:rFonts w:ascii="Arial" w:cs="Arial" w:eastAsia="Arial" w:hAnsi="Arial"/>
                <w:sz w:val="14"/>
                <w:szCs w:val="14"/>
                <w:b w:val="1"/>
                <w:bCs w:val="1"/>
                <w:color w:val="auto"/>
                <w:w w:val="89"/>
              </w:rPr>
              <w:t>2009</w:t>
            </w:r>
          </w:p>
        </w:tc>
        <w:tc>
          <w:tcPr>
            <w:tcW w:w="16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460" w:type="dxa"/>
            <w:vAlign w:val="bottom"/>
            <w:tcBorders>
              <w:bottom w:val="single" w:sz="8" w:color="auto"/>
            </w:tcBorders>
          </w:tcPr>
          <w:p>
            <w:pPr>
              <w:jc w:val="right"/>
              <w:ind w:right="92"/>
              <w:spacing w:after="0"/>
              <w:rPr>
                <w:sz w:val="20"/>
                <w:szCs w:val="20"/>
                <w:color w:val="auto"/>
              </w:rPr>
            </w:pPr>
            <w:r>
              <w:rPr>
                <w:rFonts w:ascii="Arial" w:cs="Arial" w:eastAsia="Arial" w:hAnsi="Arial"/>
                <w:sz w:val="14"/>
                <w:szCs w:val="14"/>
                <w:b w:val="1"/>
                <w:bCs w:val="1"/>
                <w:color w:val="auto"/>
                <w:w w:val="89"/>
              </w:rPr>
              <w:t>2008</w:t>
            </w:r>
          </w:p>
        </w:tc>
        <w:tc>
          <w:tcPr>
            <w:tcW w:w="160" w:type="dxa"/>
            <w:vAlign w:val="bottom"/>
          </w:tcPr>
          <w:p>
            <w:pPr>
              <w:spacing w:after="0"/>
              <w:rPr>
                <w:sz w:val="14"/>
                <w:szCs w:val="14"/>
                <w:color w:val="auto"/>
              </w:rPr>
            </w:pPr>
          </w:p>
        </w:tc>
      </w:tr>
      <w:tr>
        <w:trPr>
          <w:trHeight w:val="142"/>
        </w:trPr>
        <w:tc>
          <w:tcPr>
            <w:tcW w:w="7640" w:type="dxa"/>
            <w:vAlign w:val="bottom"/>
            <w:shd w:val="clear" w:color="auto" w:fill="CCEEFF"/>
          </w:tcPr>
          <w:p>
            <w:pPr>
              <w:ind w:left="420"/>
              <w:spacing w:after="0" w:line="142" w:lineRule="exact"/>
              <w:rPr>
                <w:sz w:val="20"/>
                <w:szCs w:val="20"/>
                <w:color w:val="auto"/>
              </w:rPr>
            </w:pPr>
            <w:r>
              <w:rPr>
                <w:rFonts w:ascii="Arial" w:cs="Arial" w:eastAsia="Arial" w:hAnsi="Arial"/>
                <w:sz w:val="14"/>
                <w:szCs w:val="14"/>
                <w:color w:val="auto"/>
              </w:rPr>
              <w:t>Asset retirement obligations, beginning of year</w:t>
            </w:r>
          </w:p>
        </w:tc>
        <w:tc>
          <w:tcPr>
            <w:tcW w:w="1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46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52,125</w:t>
            </w:r>
          </w:p>
        </w:tc>
        <w:tc>
          <w:tcPr>
            <w:tcW w:w="28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46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44,690</w:t>
            </w:r>
          </w:p>
        </w:tc>
        <w:tc>
          <w:tcPr>
            <w:tcW w:w="160" w:type="dxa"/>
            <w:vAlign w:val="bottom"/>
            <w:shd w:val="clear" w:color="auto" w:fill="CCEEFF"/>
          </w:tcPr>
          <w:p>
            <w:pPr>
              <w:spacing w:after="0"/>
              <w:rPr>
                <w:sz w:val="12"/>
                <w:szCs w:val="12"/>
                <w:color w:val="auto"/>
              </w:rPr>
            </w:pPr>
          </w:p>
        </w:tc>
      </w:tr>
      <w:tr>
        <w:trPr>
          <w:trHeight w:val="149"/>
        </w:trPr>
        <w:tc>
          <w:tcPr>
            <w:tcW w:w="7640" w:type="dxa"/>
            <w:vAlign w:val="bottom"/>
          </w:tcPr>
          <w:p>
            <w:pPr>
              <w:ind w:left="420"/>
              <w:spacing w:after="0" w:line="149" w:lineRule="exact"/>
              <w:rPr>
                <w:sz w:val="20"/>
                <w:szCs w:val="20"/>
                <w:color w:val="auto"/>
              </w:rPr>
            </w:pPr>
            <w:r>
              <w:rPr>
                <w:rFonts w:ascii="Arial" w:cs="Arial" w:eastAsia="Arial" w:hAnsi="Arial"/>
                <w:sz w:val="14"/>
                <w:szCs w:val="14"/>
                <w:color w:val="auto"/>
              </w:rPr>
              <w:t>Current year additions and changes in estimate</w:t>
            </w:r>
          </w:p>
        </w:tc>
        <w:tc>
          <w:tcPr>
            <w:tcW w:w="120" w:type="dxa"/>
            <w:vAlign w:val="bottom"/>
          </w:tcPr>
          <w:p>
            <w:pPr>
              <w:spacing w:after="0"/>
              <w:rPr>
                <w:sz w:val="12"/>
                <w:szCs w:val="12"/>
                <w:color w:val="auto"/>
              </w:rPr>
            </w:pPr>
          </w:p>
        </w:tc>
        <w:tc>
          <w:tcPr>
            <w:tcW w:w="46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60" w:type="dxa"/>
            <w:vAlign w:val="bottom"/>
          </w:tcPr>
          <w:p>
            <w:pPr>
              <w:jc w:val="right"/>
              <w:spacing w:after="0" w:line="149" w:lineRule="exact"/>
              <w:rPr>
                <w:sz w:val="20"/>
                <w:szCs w:val="20"/>
                <w:color w:val="auto"/>
              </w:rPr>
            </w:pPr>
            <w:r>
              <w:rPr>
                <w:rFonts w:ascii="Arial" w:cs="Arial" w:eastAsia="Arial" w:hAnsi="Arial"/>
                <w:sz w:val="14"/>
                <w:szCs w:val="14"/>
                <w:color w:val="auto"/>
              </w:rPr>
              <w:t>13,698</w:t>
            </w:r>
          </w:p>
        </w:tc>
        <w:tc>
          <w:tcPr>
            <w:tcW w:w="160" w:type="dxa"/>
            <w:vAlign w:val="bottom"/>
          </w:tcPr>
          <w:p>
            <w:pPr>
              <w:spacing w:after="0"/>
              <w:rPr>
                <w:sz w:val="12"/>
                <w:szCs w:val="12"/>
                <w:color w:val="auto"/>
              </w:rPr>
            </w:pPr>
          </w:p>
        </w:tc>
      </w:tr>
      <w:tr>
        <w:trPr>
          <w:trHeight w:val="149"/>
        </w:trPr>
        <w:tc>
          <w:tcPr>
            <w:tcW w:w="764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Current year accretion</w:t>
            </w:r>
          </w:p>
        </w:tc>
        <w:tc>
          <w:tcPr>
            <w:tcW w:w="12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2,916</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1,363</w:t>
            </w:r>
          </w:p>
        </w:tc>
        <w:tc>
          <w:tcPr>
            <w:tcW w:w="160" w:type="dxa"/>
            <w:vAlign w:val="bottom"/>
            <w:shd w:val="clear" w:color="auto" w:fill="CCEEFF"/>
          </w:tcPr>
          <w:p>
            <w:pPr>
              <w:spacing w:after="0"/>
              <w:rPr>
                <w:sz w:val="12"/>
                <w:szCs w:val="12"/>
                <w:color w:val="auto"/>
              </w:rPr>
            </w:pPr>
          </w:p>
        </w:tc>
      </w:tr>
      <w:tr>
        <w:trPr>
          <w:trHeight w:val="174"/>
        </w:trPr>
        <w:tc>
          <w:tcPr>
            <w:tcW w:w="7640" w:type="dxa"/>
            <w:vAlign w:val="bottom"/>
          </w:tcPr>
          <w:p>
            <w:pPr>
              <w:ind w:left="420"/>
              <w:spacing w:after="0"/>
              <w:rPr>
                <w:sz w:val="20"/>
                <w:szCs w:val="20"/>
                <w:color w:val="auto"/>
              </w:rPr>
            </w:pPr>
            <w:r>
              <w:rPr>
                <w:rFonts w:ascii="Arial" w:cs="Arial" w:eastAsia="Arial" w:hAnsi="Arial"/>
                <w:sz w:val="14"/>
                <w:szCs w:val="14"/>
                <w:color w:val="auto"/>
              </w:rPr>
              <w:t>Foreign exchange revaluation</w:t>
            </w:r>
          </w:p>
        </w:tc>
        <w:tc>
          <w:tcPr>
            <w:tcW w:w="120" w:type="dxa"/>
            <w:vAlign w:val="bottom"/>
          </w:tcPr>
          <w:p>
            <w:pPr>
              <w:spacing w:after="0"/>
              <w:rPr>
                <w:sz w:val="15"/>
                <w:szCs w:val="15"/>
                <w:color w:val="auto"/>
              </w:rPr>
            </w:pPr>
          </w:p>
        </w:tc>
        <w:tc>
          <w:tcPr>
            <w:tcW w:w="460" w:type="dxa"/>
            <w:vAlign w:val="bottom"/>
          </w:tcPr>
          <w:p>
            <w:pPr>
              <w:jc w:val="right"/>
              <w:spacing w:after="0"/>
              <w:rPr>
                <w:sz w:val="20"/>
                <w:szCs w:val="20"/>
                <w:color w:val="auto"/>
              </w:rPr>
            </w:pPr>
            <w:r>
              <w:rPr>
                <w:rFonts w:ascii="Arial" w:cs="Arial" w:eastAsia="Arial" w:hAnsi="Arial"/>
                <w:sz w:val="14"/>
                <w:szCs w:val="14"/>
                <w:color w:val="auto"/>
              </w:rPr>
              <w:t>7,806</w:t>
            </w:r>
          </w:p>
        </w:tc>
        <w:tc>
          <w:tcPr>
            <w:tcW w:w="1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20" w:type="dxa"/>
            <w:vAlign w:val="bottom"/>
            <w:gridSpan w:val="2"/>
          </w:tcPr>
          <w:p>
            <w:pPr>
              <w:jc w:val="right"/>
              <w:ind w:right="120"/>
              <w:spacing w:after="0"/>
              <w:rPr>
                <w:sz w:val="20"/>
                <w:szCs w:val="20"/>
                <w:color w:val="auto"/>
              </w:rPr>
            </w:pPr>
            <w:r>
              <w:rPr>
                <w:rFonts w:ascii="Arial" w:cs="Arial" w:eastAsia="Arial" w:hAnsi="Arial"/>
                <w:sz w:val="14"/>
                <w:szCs w:val="14"/>
                <w:color w:val="auto"/>
              </w:rPr>
              <w:t>(7,626)</w:t>
            </w:r>
          </w:p>
        </w:tc>
      </w:tr>
      <w:tr>
        <w:trPr>
          <w:trHeight w:val="144"/>
        </w:trPr>
        <w:tc>
          <w:tcPr>
            <w:tcW w:w="7640" w:type="dxa"/>
            <w:vAlign w:val="bottom"/>
            <w:shd w:val="clear" w:color="auto" w:fill="CCEEFF"/>
          </w:tcPr>
          <w:p>
            <w:pPr>
              <w:ind w:left="420"/>
              <w:spacing w:after="0" w:line="144" w:lineRule="exact"/>
              <w:rPr>
                <w:sz w:val="20"/>
                <w:szCs w:val="20"/>
                <w:color w:val="auto"/>
              </w:rPr>
            </w:pPr>
            <w:r>
              <w:rPr>
                <w:rFonts w:ascii="Arial" w:cs="Arial" w:eastAsia="Arial" w:hAnsi="Arial"/>
                <w:sz w:val="14"/>
                <w:szCs w:val="14"/>
                <w:color w:val="auto"/>
              </w:rPr>
              <w:t>Asset retirement obligations, end of year</w:t>
            </w:r>
          </w:p>
        </w:tc>
        <w:tc>
          <w:tcPr>
            <w:tcW w:w="120" w:type="dxa"/>
            <w:vAlign w:val="bottom"/>
            <w:tcBorders>
              <w:top w:val="single" w:sz="8" w:color="auto"/>
            </w:tcBorders>
            <w:shd w:val="clear" w:color="auto" w:fill="CCEEFF"/>
          </w:tcPr>
          <w:p>
            <w:pPr>
              <w:jc w:val="right"/>
              <w:spacing w:after="0" w:line="144" w:lineRule="exact"/>
              <w:rPr>
                <w:sz w:val="20"/>
                <w:szCs w:val="20"/>
                <w:color w:val="auto"/>
              </w:rPr>
            </w:pPr>
            <w:r>
              <w:rPr>
                <w:rFonts w:ascii="Arial" w:cs="Arial" w:eastAsia="Arial" w:hAnsi="Arial"/>
                <w:sz w:val="14"/>
                <w:szCs w:val="14"/>
                <w:color w:val="auto"/>
                <w:w w:val="76"/>
              </w:rPr>
              <w:t>$</w:t>
            </w:r>
          </w:p>
        </w:tc>
        <w:tc>
          <w:tcPr>
            <w:tcW w:w="460" w:type="dxa"/>
            <w:vAlign w:val="bottom"/>
            <w:tcBorders>
              <w:top w:val="single" w:sz="8" w:color="auto"/>
            </w:tcBorders>
            <w:shd w:val="clear" w:color="auto" w:fill="CCEEFF"/>
          </w:tcPr>
          <w:p>
            <w:pPr>
              <w:jc w:val="right"/>
              <w:spacing w:after="0" w:line="144" w:lineRule="exact"/>
              <w:rPr>
                <w:sz w:val="20"/>
                <w:szCs w:val="20"/>
                <w:color w:val="auto"/>
              </w:rPr>
            </w:pPr>
            <w:r>
              <w:rPr>
                <w:rFonts w:ascii="Arial" w:cs="Arial" w:eastAsia="Arial" w:hAnsi="Arial"/>
                <w:sz w:val="14"/>
                <w:szCs w:val="14"/>
                <w:color w:val="auto"/>
              </w:rPr>
              <w:t>62,847</w:t>
            </w:r>
          </w:p>
        </w:tc>
        <w:tc>
          <w:tcPr>
            <w:tcW w:w="160" w:type="dxa"/>
            <w:vAlign w:val="bottom"/>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jc w:val="right"/>
              <w:spacing w:after="0" w:line="144" w:lineRule="exact"/>
              <w:rPr>
                <w:sz w:val="20"/>
                <w:szCs w:val="20"/>
                <w:color w:val="auto"/>
              </w:rPr>
            </w:pPr>
            <w:r>
              <w:rPr>
                <w:rFonts w:ascii="Arial" w:cs="Arial" w:eastAsia="Arial" w:hAnsi="Arial"/>
                <w:sz w:val="14"/>
                <w:szCs w:val="14"/>
                <w:color w:val="auto"/>
                <w:w w:val="76"/>
              </w:rPr>
              <w:t>$</w:t>
            </w:r>
          </w:p>
        </w:tc>
        <w:tc>
          <w:tcPr>
            <w:tcW w:w="460" w:type="dxa"/>
            <w:vAlign w:val="bottom"/>
            <w:tcBorders>
              <w:top w:val="single" w:sz="8" w:color="auto"/>
            </w:tcBorders>
            <w:shd w:val="clear" w:color="auto" w:fill="CCEEFF"/>
          </w:tcPr>
          <w:p>
            <w:pPr>
              <w:jc w:val="right"/>
              <w:spacing w:after="0" w:line="144" w:lineRule="exact"/>
              <w:rPr>
                <w:sz w:val="20"/>
                <w:szCs w:val="20"/>
                <w:color w:val="auto"/>
              </w:rPr>
            </w:pPr>
            <w:r>
              <w:rPr>
                <w:rFonts w:ascii="Arial" w:cs="Arial" w:eastAsia="Arial" w:hAnsi="Arial"/>
                <w:sz w:val="14"/>
                <w:szCs w:val="14"/>
                <w:color w:val="auto"/>
              </w:rPr>
              <w:t>52,125</w:t>
            </w:r>
          </w:p>
        </w:tc>
        <w:tc>
          <w:tcPr>
            <w:tcW w:w="160" w:type="dxa"/>
            <w:vAlign w:val="bottom"/>
            <w:shd w:val="clear" w:color="auto" w:fill="CCEEFF"/>
          </w:tcPr>
          <w:p>
            <w:pPr>
              <w:spacing w:after="0"/>
              <w:rPr>
                <w:sz w:val="12"/>
                <w:szCs w:val="12"/>
                <w:color w:val="auto"/>
              </w:rPr>
            </w:pPr>
          </w:p>
        </w:tc>
      </w:tr>
      <w:tr>
        <w:trPr>
          <w:trHeight w:val="27"/>
        </w:trPr>
        <w:tc>
          <w:tcPr>
            <w:tcW w:w="764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r>
      <w:tr>
        <w:trPr>
          <w:trHeight w:val="20"/>
        </w:trPr>
        <w:tc>
          <w:tcPr>
            <w:tcW w:w="764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192" w:lineRule="exact"/>
        <w:rPr>
          <w:sz w:val="20"/>
          <w:szCs w:val="20"/>
          <w:color w:val="auto"/>
        </w:rPr>
      </w:pPr>
    </w:p>
    <w:p>
      <w:pPr>
        <w:ind w:left="1080" w:hanging="532"/>
        <w:spacing w:after="0"/>
        <w:tabs>
          <w:tab w:leader="none" w:pos="1080" w:val="left"/>
        </w:tabs>
        <w:numPr>
          <w:ilvl w:val="0"/>
          <w:numId w:val="89"/>
        </w:numPr>
        <w:rPr>
          <w:rFonts w:ascii="Arial" w:cs="Arial" w:eastAsia="Arial" w:hAnsi="Arial"/>
          <w:sz w:val="14"/>
          <w:szCs w:val="14"/>
          <w:b w:val="1"/>
          <w:bCs w:val="1"/>
          <w:i w:val="1"/>
          <w:iCs w:val="1"/>
          <w:color w:val="auto"/>
        </w:rPr>
      </w:pPr>
      <w:r>
        <w:rPr>
          <w:rFonts w:ascii="Arial" w:cs="Arial" w:eastAsia="Arial" w:hAnsi="Arial"/>
          <w:sz w:val="14"/>
          <w:szCs w:val="14"/>
          <w:b w:val="1"/>
          <w:bCs w:val="1"/>
          <w:i w:val="1"/>
          <w:iCs w:val="1"/>
          <w:color w:val="auto"/>
        </w:rPr>
        <w:t>Goldex Mine grant</w:t>
      </w:r>
    </w:p>
    <w:p>
      <w:pPr>
        <w:spacing w:after="0" w:line="203" w:lineRule="exact"/>
        <w:rPr>
          <w:rFonts w:ascii="Arial" w:cs="Arial" w:eastAsia="Arial" w:hAnsi="Arial"/>
          <w:sz w:val="14"/>
          <w:szCs w:val="14"/>
          <w:b w:val="1"/>
          <w:bCs w:val="1"/>
          <w:i w:val="1"/>
          <w:iCs w:val="1"/>
          <w:color w:val="auto"/>
        </w:rPr>
      </w:pPr>
    </w:p>
    <w:p>
      <w:pPr>
        <w:jc w:val="both"/>
        <w:ind w:left="1080"/>
        <w:spacing w:after="0" w:line="273" w:lineRule="auto"/>
        <w:rPr>
          <w:rFonts w:ascii="Arial" w:cs="Arial" w:eastAsia="Arial" w:hAnsi="Arial"/>
          <w:sz w:val="14"/>
          <w:szCs w:val="14"/>
          <w:b w:val="1"/>
          <w:bCs w:val="1"/>
          <w:i w:val="1"/>
          <w:iCs w:val="1"/>
          <w:color w:val="auto"/>
        </w:rPr>
      </w:pPr>
      <w:r>
        <w:rPr>
          <w:rFonts w:ascii="Arial" w:cs="Arial" w:eastAsia="Arial" w:hAnsi="Arial"/>
          <w:sz w:val="12"/>
          <w:szCs w:val="12"/>
          <w:color w:val="auto"/>
        </w:rPr>
        <w:t>The Company has received funds (the "Grant") from the Quebec government in respect of the construction of the Goldex Mine. The Company has agreed to repay a portion of the Grant to the Quebec government, to a maximum amount of 50% of the Grant. The repayment amount is calculated and paid annually for fiscal years 2010, 2011 and 2012 if the agreed criteria are met. For each of these three years, if the yearly average gold price is higher than $620 per ounce, 50% of one third of the grant must be repaid. The Company believes the gold price will be higher than $620 per ounce during the years 2010, 2011 and 2012 and that the criteria for recognition of a loss contingency accrual in accordance with FASB ASC 450 — Contingencies (Prior authoritative literature: FASB Statement No. 5, "Accounting for Contingencies") have been met.</w:t>
      </w:r>
    </w:p>
    <w:p>
      <w:pPr>
        <w:spacing w:after="0" w:line="160" w:lineRule="exact"/>
        <w:rPr>
          <w:rFonts w:ascii="Arial" w:cs="Arial" w:eastAsia="Arial" w:hAnsi="Arial"/>
          <w:sz w:val="14"/>
          <w:szCs w:val="14"/>
          <w:b w:val="1"/>
          <w:bCs w:val="1"/>
          <w:i w:val="1"/>
          <w:iCs w:val="1"/>
          <w:color w:val="auto"/>
        </w:rPr>
      </w:pPr>
    </w:p>
    <w:p>
      <w:pPr>
        <w:ind w:left="1080" w:hanging="532"/>
        <w:spacing w:after="0"/>
        <w:tabs>
          <w:tab w:leader="none" w:pos="1080" w:val="left"/>
        </w:tabs>
        <w:numPr>
          <w:ilvl w:val="0"/>
          <w:numId w:val="89"/>
        </w:numPr>
        <w:rPr>
          <w:rFonts w:ascii="Arial" w:cs="Arial" w:eastAsia="Arial" w:hAnsi="Arial"/>
          <w:sz w:val="14"/>
          <w:szCs w:val="14"/>
          <w:b w:val="1"/>
          <w:bCs w:val="1"/>
          <w:i w:val="1"/>
          <w:iCs w:val="1"/>
          <w:color w:val="auto"/>
        </w:rPr>
      </w:pPr>
      <w:r>
        <w:rPr>
          <w:rFonts w:ascii="Arial" w:cs="Arial" w:eastAsia="Arial" w:hAnsi="Arial"/>
          <w:sz w:val="14"/>
          <w:szCs w:val="14"/>
          <w:b w:val="1"/>
          <w:bCs w:val="1"/>
          <w:i w:val="1"/>
          <w:iCs w:val="1"/>
          <w:color w:val="auto"/>
        </w:rPr>
        <w:t>Pension benefits</w:t>
      </w:r>
    </w:p>
    <w:p>
      <w:pPr>
        <w:spacing w:after="0" w:line="203" w:lineRule="exact"/>
        <w:rPr>
          <w:rFonts w:ascii="Arial" w:cs="Arial" w:eastAsia="Arial" w:hAnsi="Arial"/>
          <w:sz w:val="14"/>
          <w:szCs w:val="14"/>
          <w:b w:val="1"/>
          <w:bCs w:val="1"/>
          <w:i w:val="1"/>
          <w:iCs w:val="1"/>
          <w:color w:val="auto"/>
        </w:rPr>
      </w:pPr>
    </w:p>
    <w:p>
      <w:pPr>
        <w:jc w:val="both"/>
        <w:ind w:left="1080"/>
        <w:spacing w:after="0" w:line="273" w:lineRule="auto"/>
        <w:rPr>
          <w:rFonts w:ascii="Arial" w:cs="Arial" w:eastAsia="Arial" w:hAnsi="Arial"/>
          <w:sz w:val="14"/>
          <w:szCs w:val="14"/>
          <w:b w:val="1"/>
          <w:bCs w:val="1"/>
          <w:i w:val="1"/>
          <w:iCs w:val="1"/>
          <w:color w:val="auto"/>
        </w:rPr>
      </w:pPr>
      <w:r>
        <w:rPr>
          <w:rFonts w:ascii="Arial" w:cs="Arial" w:eastAsia="Arial" w:hAnsi="Arial"/>
          <w:sz w:val="12"/>
          <w:szCs w:val="12"/>
          <w:color w:val="auto"/>
        </w:rPr>
        <w:t>Effective July 1, 1997, Agnico-Eagle's defined benefit pension plan for active employees (the "Employees Plan") was converted to a defined contribution plan. Employees who retired prior to that date remained in the Employees Plan. In addition, Agnico-Eagle provides a non-registered executive supplementary defined benefit plan for certain senior officers (the "Executives Plan"). The funded status of the Executives Plan is based on actuarial valuations as of July 1, 2008 and projected to December 31, 2009. The funded status of the Employees Plan in 2007 was based on an actuarial valuation as of January 1, 2006 and projected to December 31, 2007. During 2008 however, the Employees Plan was closed as a result of annuities having been purchased for all remaining members. Recognition of the settlement has been reflected in the 2008 net periodic pensions cost.</w:t>
      </w:r>
    </w:p>
    <w:p>
      <w:pPr>
        <w:spacing w:after="0" w:line="17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204" w:name="page205"/>
    <w:bookmarkEnd w:id="204"/>
    <w:p>
      <w:pPr>
        <w:jc w:val="center"/>
        <w:ind w:right="-19"/>
        <w:spacing w:after="0"/>
        <w:rPr>
          <w:sz w:val="20"/>
          <w:szCs w:val="20"/>
          <w:color w:val="auto"/>
        </w:rPr>
      </w:pPr>
      <w:r>
        <w:rPr>
          <w:rFonts w:ascii="Arial" w:cs="Arial" w:eastAsia="Arial" w:hAnsi="Arial"/>
          <w:sz w:val="18"/>
          <w:szCs w:val="18"/>
          <w:b w:val="1"/>
          <w:bCs w:val="1"/>
          <w:color w:val="auto"/>
        </w:rPr>
        <w:t>AGNICO-EAGLE MINES LIMITED</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 (Continued)</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(thousands of United States dollars, except per share amounts, unless otherwise indicated)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December 31, 2009</w:t>
      </w:r>
    </w:p>
    <w:p>
      <w:pPr>
        <w:spacing w:after="0" w:line="214" w:lineRule="exact"/>
        <w:rPr>
          <w:sz w:val="20"/>
          <w:szCs w:val="20"/>
          <w:color w:val="auto"/>
        </w:rPr>
      </w:pPr>
    </w:p>
    <w:tbl>
      <w:tblPr>
        <w:tblLayout w:type="fixed"/>
        <w:tblInd w:w="0" w:type="dxa"/>
        <w:tblCellMar>
          <w:top w:w="0" w:type="dxa"/>
          <w:left w:w="0" w:type="dxa"/>
          <w:bottom w:w="0" w:type="dxa"/>
          <w:right w:w="0" w:type="dxa"/>
        </w:tblCellMar>
      </w:tblPr>
      <w:tr>
        <w:trPr>
          <w:trHeight w:val="174"/>
        </w:trPr>
        <w:tc>
          <w:tcPr>
            <w:tcW w:w="8360" w:type="dxa"/>
            <w:vAlign w:val="bottom"/>
            <w:gridSpan w:val="2"/>
          </w:tcPr>
          <w:p>
            <w:pPr>
              <w:spacing w:after="0"/>
              <w:rPr>
                <w:sz w:val="20"/>
                <w:szCs w:val="20"/>
                <w:color w:val="auto"/>
              </w:rPr>
            </w:pPr>
            <w:r>
              <w:rPr>
                <w:rFonts w:ascii="Arial" w:cs="Arial" w:eastAsia="Arial" w:hAnsi="Arial"/>
                <w:sz w:val="14"/>
                <w:szCs w:val="14"/>
                <w:b w:val="1"/>
                <w:bCs w:val="1"/>
                <w:color w:val="auto"/>
              </w:rPr>
              <w:t>5.   RECLAMATION PROVISION AND OTHER LIABILITIES (Continued)</w:t>
            </w:r>
          </w:p>
        </w:tc>
        <w:tc>
          <w:tcPr>
            <w:tcW w:w="8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365"/>
        </w:trPr>
        <w:tc>
          <w:tcPr>
            <w:tcW w:w="8360" w:type="dxa"/>
            <w:vAlign w:val="bottom"/>
            <w:gridSpan w:val="2"/>
          </w:tcPr>
          <w:p>
            <w:pPr>
              <w:ind w:left="1080"/>
              <w:spacing w:after="0"/>
              <w:rPr>
                <w:sz w:val="20"/>
                <w:szCs w:val="20"/>
                <w:color w:val="auto"/>
              </w:rPr>
            </w:pPr>
            <w:r>
              <w:rPr>
                <w:rFonts w:ascii="Arial" w:cs="Arial" w:eastAsia="Arial" w:hAnsi="Arial"/>
                <w:sz w:val="14"/>
                <w:szCs w:val="14"/>
                <w:color w:val="auto"/>
              </w:rPr>
              <w:t>The components of Agnico-Eagle's net pension plan expense are as follows:</w:t>
            </w:r>
          </w:p>
        </w:tc>
        <w:tc>
          <w:tcPr>
            <w:tcW w:w="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52"/>
        </w:trPr>
        <w:tc>
          <w:tcPr>
            <w:tcW w:w="1160" w:type="dxa"/>
            <w:vAlign w:val="bottom"/>
          </w:tcPr>
          <w:p>
            <w:pPr>
              <w:spacing w:after="0"/>
              <w:rPr>
                <w:sz w:val="24"/>
                <w:szCs w:val="24"/>
                <w:color w:val="auto"/>
              </w:rPr>
            </w:pPr>
          </w:p>
        </w:tc>
        <w:tc>
          <w:tcPr>
            <w:tcW w:w="7200" w:type="dxa"/>
            <w:vAlign w:val="bottom"/>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380" w:type="dxa"/>
            <w:vAlign w:val="bottom"/>
            <w:tcBorders>
              <w:bottom w:val="single" w:sz="8" w:color="auto"/>
            </w:tcBorders>
          </w:tcPr>
          <w:p>
            <w:pPr>
              <w:jc w:val="right"/>
              <w:ind w:right="32"/>
              <w:spacing w:after="0"/>
              <w:rPr>
                <w:sz w:val="20"/>
                <w:szCs w:val="20"/>
                <w:color w:val="auto"/>
              </w:rPr>
            </w:pPr>
            <w:r>
              <w:rPr>
                <w:rFonts w:ascii="Arial" w:cs="Arial" w:eastAsia="Arial" w:hAnsi="Arial"/>
                <w:sz w:val="14"/>
                <w:szCs w:val="14"/>
                <w:b w:val="1"/>
                <w:bCs w:val="1"/>
                <w:color w:val="auto"/>
                <w:w w:val="83"/>
              </w:rPr>
              <w:t>2009</w:t>
            </w:r>
          </w:p>
        </w:tc>
        <w:tc>
          <w:tcPr>
            <w:tcW w:w="160" w:type="dxa"/>
            <w:vAlign w:val="bottom"/>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420" w:type="dxa"/>
            <w:vAlign w:val="bottom"/>
            <w:tcBorders>
              <w:bottom w:val="single" w:sz="8" w:color="auto"/>
            </w:tcBorders>
          </w:tcPr>
          <w:p>
            <w:pPr>
              <w:jc w:val="right"/>
              <w:ind w:right="52"/>
              <w:spacing w:after="0"/>
              <w:rPr>
                <w:sz w:val="20"/>
                <w:szCs w:val="20"/>
                <w:color w:val="auto"/>
              </w:rPr>
            </w:pPr>
            <w:r>
              <w:rPr>
                <w:rFonts w:ascii="Arial" w:cs="Arial" w:eastAsia="Arial" w:hAnsi="Arial"/>
                <w:sz w:val="14"/>
                <w:szCs w:val="14"/>
                <w:b w:val="1"/>
                <w:bCs w:val="1"/>
                <w:color w:val="auto"/>
                <w:w w:val="89"/>
              </w:rPr>
              <w:t>2008</w:t>
            </w:r>
          </w:p>
        </w:tc>
        <w:tc>
          <w:tcPr>
            <w:tcW w:w="160" w:type="dxa"/>
            <w:vAlign w:val="bottom"/>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380" w:type="dxa"/>
            <w:vAlign w:val="bottom"/>
            <w:tcBorders>
              <w:bottom w:val="single" w:sz="8" w:color="auto"/>
            </w:tcBorders>
          </w:tcPr>
          <w:p>
            <w:pPr>
              <w:jc w:val="right"/>
              <w:ind w:right="32"/>
              <w:spacing w:after="0"/>
              <w:rPr>
                <w:sz w:val="20"/>
                <w:szCs w:val="20"/>
                <w:color w:val="auto"/>
              </w:rPr>
            </w:pPr>
            <w:r>
              <w:rPr>
                <w:rFonts w:ascii="Arial" w:cs="Arial" w:eastAsia="Arial" w:hAnsi="Arial"/>
                <w:sz w:val="14"/>
                <w:szCs w:val="14"/>
                <w:b w:val="1"/>
                <w:bCs w:val="1"/>
                <w:color w:val="auto"/>
                <w:w w:val="83"/>
              </w:rPr>
              <w:t>2007</w:t>
            </w: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2"/>
        </w:trPr>
        <w:tc>
          <w:tcPr>
            <w:tcW w:w="1160" w:type="dxa"/>
            <w:vAlign w:val="bottom"/>
          </w:tcPr>
          <w:p>
            <w:pPr>
              <w:spacing w:after="0"/>
              <w:rPr>
                <w:sz w:val="12"/>
                <w:szCs w:val="12"/>
                <w:color w:val="auto"/>
              </w:rPr>
            </w:pPr>
          </w:p>
        </w:tc>
        <w:tc>
          <w:tcPr>
            <w:tcW w:w="7200" w:type="dxa"/>
            <w:vAlign w:val="bottom"/>
            <w:shd w:val="clear" w:color="auto" w:fill="CCEEFF"/>
          </w:tcPr>
          <w:p>
            <w:pPr>
              <w:ind w:left="420"/>
              <w:spacing w:after="0" w:line="142" w:lineRule="exact"/>
              <w:rPr>
                <w:sz w:val="20"/>
                <w:szCs w:val="20"/>
                <w:color w:val="auto"/>
              </w:rPr>
            </w:pPr>
            <w:r>
              <w:rPr>
                <w:rFonts w:ascii="Arial" w:cs="Arial" w:eastAsia="Arial" w:hAnsi="Arial"/>
                <w:sz w:val="14"/>
                <w:szCs w:val="14"/>
                <w:color w:val="auto"/>
              </w:rPr>
              <w:t>Service cost — benefits earned during the year</w:t>
            </w:r>
          </w:p>
        </w:tc>
        <w:tc>
          <w:tcPr>
            <w:tcW w:w="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3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509</w:t>
            </w: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4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452</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3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429</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7200" w:type="dxa"/>
            <w:vAlign w:val="bottom"/>
          </w:tcPr>
          <w:p>
            <w:pPr>
              <w:ind w:left="420"/>
              <w:spacing w:after="0" w:line="149" w:lineRule="exact"/>
              <w:rPr>
                <w:sz w:val="20"/>
                <w:szCs w:val="20"/>
                <w:color w:val="auto"/>
              </w:rPr>
            </w:pPr>
            <w:r>
              <w:rPr>
                <w:rFonts w:ascii="Arial" w:cs="Arial" w:eastAsia="Arial" w:hAnsi="Arial"/>
                <w:sz w:val="14"/>
                <w:szCs w:val="14"/>
                <w:color w:val="auto"/>
              </w:rPr>
              <w:t>Interest cost on projected benefit obligation</w:t>
            </w:r>
          </w:p>
        </w:tc>
        <w:tc>
          <w:tcPr>
            <w:tcW w:w="80" w:type="dxa"/>
            <w:vAlign w:val="bottom"/>
          </w:tcPr>
          <w:p>
            <w:pPr>
              <w:spacing w:after="0"/>
              <w:rPr>
                <w:sz w:val="12"/>
                <w:szCs w:val="12"/>
                <w:color w:val="auto"/>
              </w:rPr>
            </w:pPr>
          </w:p>
        </w:tc>
        <w:tc>
          <w:tcPr>
            <w:tcW w:w="380" w:type="dxa"/>
            <w:vAlign w:val="bottom"/>
          </w:tcPr>
          <w:p>
            <w:pPr>
              <w:jc w:val="right"/>
              <w:spacing w:after="0" w:line="149" w:lineRule="exact"/>
              <w:rPr>
                <w:sz w:val="20"/>
                <w:szCs w:val="20"/>
                <w:color w:val="auto"/>
              </w:rPr>
            </w:pPr>
            <w:r>
              <w:rPr>
                <w:rFonts w:ascii="Arial" w:cs="Arial" w:eastAsia="Arial" w:hAnsi="Arial"/>
                <w:sz w:val="14"/>
                <w:szCs w:val="14"/>
                <w:color w:val="auto"/>
              </w:rPr>
              <w:t>448</w:t>
            </w: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20" w:type="dxa"/>
            <w:vAlign w:val="bottom"/>
          </w:tcPr>
          <w:p>
            <w:pPr>
              <w:jc w:val="right"/>
              <w:spacing w:after="0" w:line="149" w:lineRule="exact"/>
              <w:rPr>
                <w:sz w:val="20"/>
                <w:szCs w:val="20"/>
                <w:color w:val="auto"/>
              </w:rPr>
            </w:pPr>
            <w:r>
              <w:rPr>
                <w:rFonts w:ascii="Arial" w:cs="Arial" w:eastAsia="Arial" w:hAnsi="Arial"/>
                <w:sz w:val="14"/>
                <w:szCs w:val="14"/>
                <w:color w:val="auto"/>
              </w:rPr>
              <w:t>550</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80" w:type="dxa"/>
            <w:vAlign w:val="bottom"/>
          </w:tcPr>
          <w:p>
            <w:pPr>
              <w:jc w:val="right"/>
              <w:spacing w:after="0" w:line="149" w:lineRule="exact"/>
              <w:rPr>
                <w:sz w:val="20"/>
                <w:szCs w:val="20"/>
                <w:color w:val="auto"/>
              </w:rPr>
            </w:pPr>
            <w:r>
              <w:rPr>
                <w:rFonts w:ascii="Arial" w:cs="Arial" w:eastAsia="Arial" w:hAnsi="Arial"/>
                <w:sz w:val="14"/>
                <w:szCs w:val="14"/>
                <w:color w:val="auto"/>
              </w:rPr>
              <w:t>466</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720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Amortization of net transition asset, past service liability and net experience gains</w:t>
            </w:r>
          </w:p>
        </w:tc>
        <w:tc>
          <w:tcPr>
            <w:tcW w:w="8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148</w:t>
            </w: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(11)</w:t>
            </w:r>
          </w:p>
        </w:tc>
        <w:tc>
          <w:tcPr>
            <w:tcW w:w="8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(25)</w:t>
            </w: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7200" w:type="dxa"/>
            <w:vAlign w:val="bottom"/>
          </w:tcPr>
          <w:p>
            <w:pPr>
              <w:ind w:left="420"/>
              <w:spacing w:after="0" w:line="149" w:lineRule="exact"/>
              <w:rPr>
                <w:sz w:val="20"/>
                <w:szCs w:val="20"/>
                <w:color w:val="auto"/>
              </w:rPr>
            </w:pPr>
            <w:r>
              <w:rPr>
                <w:rFonts w:ascii="Arial" w:cs="Arial" w:eastAsia="Arial" w:hAnsi="Arial"/>
                <w:sz w:val="14"/>
                <w:szCs w:val="14"/>
                <w:color w:val="auto"/>
              </w:rPr>
              <w:t>Prior service cost</w:t>
            </w:r>
          </w:p>
        </w:tc>
        <w:tc>
          <w:tcPr>
            <w:tcW w:w="80" w:type="dxa"/>
            <w:vAlign w:val="bottom"/>
          </w:tcPr>
          <w:p>
            <w:pPr>
              <w:spacing w:after="0"/>
              <w:rPr>
                <w:sz w:val="12"/>
                <w:szCs w:val="12"/>
                <w:color w:val="auto"/>
              </w:rPr>
            </w:pPr>
          </w:p>
        </w:tc>
        <w:tc>
          <w:tcPr>
            <w:tcW w:w="380" w:type="dxa"/>
            <w:vAlign w:val="bottom"/>
          </w:tcPr>
          <w:p>
            <w:pPr>
              <w:jc w:val="right"/>
              <w:spacing w:after="0" w:line="149" w:lineRule="exact"/>
              <w:rPr>
                <w:sz w:val="20"/>
                <w:szCs w:val="20"/>
                <w:color w:val="auto"/>
              </w:rPr>
            </w:pPr>
            <w:r>
              <w:rPr>
                <w:rFonts w:ascii="Arial" w:cs="Arial" w:eastAsia="Arial" w:hAnsi="Arial"/>
                <w:sz w:val="14"/>
                <w:szCs w:val="14"/>
                <w:color w:val="auto"/>
              </w:rPr>
              <w:t>23</w:t>
            </w: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20" w:type="dxa"/>
            <w:vAlign w:val="bottom"/>
          </w:tcPr>
          <w:p>
            <w:pPr>
              <w:jc w:val="right"/>
              <w:spacing w:after="0" w:line="149" w:lineRule="exact"/>
              <w:rPr>
                <w:sz w:val="20"/>
                <w:szCs w:val="20"/>
                <w:color w:val="auto"/>
              </w:rPr>
            </w:pPr>
            <w:r>
              <w:rPr>
                <w:rFonts w:ascii="Arial" w:cs="Arial" w:eastAsia="Arial" w:hAnsi="Arial"/>
                <w:sz w:val="14"/>
                <w:szCs w:val="14"/>
                <w:color w:val="auto"/>
              </w:rPr>
              <w:t>24</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80" w:type="dxa"/>
            <w:vAlign w:val="bottom"/>
          </w:tcPr>
          <w:p>
            <w:pPr>
              <w:jc w:val="right"/>
              <w:spacing w:after="0" w:line="149" w:lineRule="exact"/>
              <w:rPr>
                <w:sz w:val="20"/>
                <w:szCs w:val="20"/>
                <w:color w:val="auto"/>
              </w:rPr>
            </w:pPr>
            <w:r>
              <w:rPr>
                <w:rFonts w:ascii="Arial" w:cs="Arial" w:eastAsia="Arial" w:hAnsi="Arial"/>
                <w:sz w:val="14"/>
                <w:szCs w:val="14"/>
                <w:color w:val="auto"/>
              </w:rPr>
              <w:t>24</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720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Recognized net actuarial loss</w:t>
            </w:r>
          </w:p>
        </w:tc>
        <w:tc>
          <w:tcPr>
            <w:tcW w:w="8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(142)</w:t>
            </w:r>
          </w:p>
        </w:tc>
        <w:tc>
          <w:tcPr>
            <w:tcW w:w="10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7200" w:type="dxa"/>
            <w:vAlign w:val="bottom"/>
          </w:tcPr>
          <w:p>
            <w:pPr>
              <w:ind w:left="420"/>
              <w:spacing w:after="0" w:line="149" w:lineRule="exact"/>
              <w:rPr>
                <w:sz w:val="20"/>
                <w:szCs w:val="20"/>
                <w:color w:val="auto"/>
              </w:rPr>
            </w:pPr>
            <w:r>
              <w:rPr>
                <w:rFonts w:ascii="Arial" w:cs="Arial" w:eastAsia="Arial" w:hAnsi="Arial"/>
                <w:sz w:val="14"/>
                <w:szCs w:val="14"/>
                <w:color w:val="auto"/>
              </w:rPr>
              <w:t>Gain due to settlement</w:t>
            </w:r>
          </w:p>
        </w:tc>
        <w:tc>
          <w:tcPr>
            <w:tcW w:w="80" w:type="dxa"/>
            <w:vAlign w:val="bottom"/>
          </w:tcPr>
          <w:p>
            <w:pPr>
              <w:spacing w:after="0"/>
              <w:rPr>
                <w:sz w:val="12"/>
                <w:szCs w:val="12"/>
                <w:color w:val="auto"/>
              </w:rPr>
            </w:pPr>
          </w:p>
        </w:tc>
        <w:tc>
          <w:tcPr>
            <w:tcW w:w="54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420" w:type="dxa"/>
            <w:vAlign w:val="bottom"/>
          </w:tcPr>
          <w:p>
            <w:pPr>
              <w:jc w:val="right"/>
              <w:spacing w:after="0" w:line="149" w:lineRule="exact"/>
              <w:rPr>
                <w:sz w:val="20"/>
                <w:szCs w:val="20"/>
                <w:color w:val="auto"/>
              </w:rPr>
            </w:pPr>
            <w:r>
              <w:rPr>
                <w:rFonts w:ascii="Arial" w:cs="Arial" w:eastAsia="Arial" w:hAnsi="Arial"/>
                <w:sz w:val="14"/>
                <w:szCs w:val="14"/>
                <w:color w:val="auto"/>
              </w:rPr>
              <w:t>760</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720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Return on plan assets</w:t>
            </w:r>
          </w:p>
        </w:tc>
        <w:tc>
          <w:tcPr>
            <w:tcW w:w="8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(156)</w:t>
            </w:r>
          </w:p>
        </w:tc>
        <w:tc>
          <w:tcPr>
            <w:tcW w:w="8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(171)</w:t>
            </w:r>
          </w:p>
        </w:tc>
        <w:tc>
          <w:tcPr>
            <w:tcW w:w="0" w:type="dxa"/>
            <w:vAlign w:val="bottom"/>
          </w:tcPr>
          <w:p>
            <w:pPr>
              <w:spacing w:after="0"/>
              <w:rPr>
                <w:sz w:val="1"/>
                <w:szCs w:val="1"/>
                <w:color w:val="auto"/>
              </w:rPr>
            </w:pPr>
          </w:p>
        </w:tc>
      </w:tr>
      <w:tr>
        <w:trPr>
          <w:trHeight w:val="27"/>
        </w:trPr>
        <w:tc>
          <w:tcPr>
            <w:tcW w:w="1160" w:type="dxa"/>
            <w:vAlign w:val="bottom"/>
          </w:tcPr>
          <w:p>
            <w:pPr>
              <w:spacing w:after="0"/>
              <w:rPr>
                <w:sz w:val="2"/>
                <w:szCs w:val="2"/>
                <w:color w:val="auto"/>
              </w:rPr>
            </w:pPr>
          </w:p>
        </w:tc>
        <w:tc>
          <w:tcPr>
            <w:tcW w:w="7200" w:type="dxa"/>
            <w:vAlign w:val="bottom"/>
            <w:vMerge w:val="restart"/>
          </w:tcPr>
          <w:p>
            <w:pPr>
              <w:ind w:left="420"/>
              <w:spacing w:after="0"/>
              <w:rPr>
                <w:sz w:val="20"/>
                <w:szCs w:val="20"/>
                <w:color w:val="auto"/>
              </w:rPr>
            </w:pPr>
            <w:r>
              <w:rPr>
                <w:rFonts w:ascii="Arial" w:cs="Arial" w:eastAsia="Arial" w:hAnsi="Arial"/>
                <w:sz w:val="14"/>
                <w:szCs w:val="14"/>
                <w:color w:val="auto"/>
              </w:rPr>
              <w:t>Net pension plan expense</w:t>
            </w:r>
          </w:p>
        </w:tc>
        <w:tc>
          <w:tcPr>
            <w:tcW w:w="80" w:type="dxa"/>
            <w:vAlign w:val="bottom"/>
            <w:tcBorders>
              <w:bottom w:val="single" w:sz="8" w:color="auto"/>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67"/>
        </w:trPr>
        <w:tc>
          <w:tcPr>
            <w:tcW w:w="1160" w:type="dxa"/>
            <w:vAlign w:val="bottom"/>
          </w:tcPr>
          <w:p>
            <w:pPr>
              <w:spacing w:after="0"/>
              <w:rPr>
                <w:sz w:val="14"/>
                <w:szCs w:val="14"/>
                <w:color w:val="auto"/>
              </w:rPr>
            </w:pPr>
          </w:p>
        </w:tc>
        <w:tc>
          <w:tcPr>
            <w:tcW w:w="7200" w:type="dxa"/>
            <w:vAlign w:val="bottom"/>
            <w:vMerge w:val="continue"/>
          </w:tcPr>
          <w:p>
            <w:pPr>
              <w:spacing w:after="0"/>
              <w:rPr>
                <w:sz w:val="14"/>
                <w:szCs w:val="14"/>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w w:val="76"/>
              </w:rPr>
              <w:t>$</w:t>
            </w:r>
          </w:p>
        </w:tc>
        <w:tc>
          <w:tcPr>
            <w:tcW w:w="38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986</w:t>
            </w:r>
          </w:p>
        </w:tc>
        <w:tc>
          <w:tcPr>
            <w:tcW w:w="160" w:type="dxa"/>
            <w:vAlign w:val="bottom"/>
          </w:tcPr>
          <w:p>
            <w:pPr>
              <w:spacing w:after="0"/>
              <w:rPr>
                <w:sz w:val="14"/>
                <w:szCs w:val="14"/>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w w:val="76"/>
              </w:rPr>
              <w:t>$</w:t>
            </w:r>
          </w:p>
        </w:tc>
        <w:tc>
          <w:tcPr>
            <w:tcW w:w="42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1,619</w:t>
            </w:r>
          </w:p>
        </w:tc>
        <w:tc>
          <w:tcPr>
            <w:tcW w:w="160" w:type="dxa"/>
            <w:vAlign w:val="bottom"/>
          </w:tcPr>
          <w:p>
            <w:pPr>
              <w:spacing w:after="0"/>
              <w:rPr>
                <w:sz w:val="14"/>
                <w:szCs w:val="14"/>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w w:val="76"/>
              </w:rPr>
              <w:t>$</w:t>
            </w:r>
          </w:p>
        </w:tc>
        <w:tc>
          <w:tcPr>
            <w:tcW w:w="38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723</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1160" w:type="dxa"/>
            <w:vAlign w:val="bottom"/>
          </w:tcPr>
          <w:p>
            <w:pPr>
              <w:spacing w:after="0" w:line="20" w:lineRule="exact"/>
              <w:rPr>
                <w:sz w:val="1"/>
                <w:szCs w:val="1"/>
                <w:color w:val="auto"/>
              </w:rPr>
            </w:pPr>
          </w:p>
        </w:tc>
        <w:tc>
          <w:tcPr>
            <w:tcW w:w="72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5" w:lineRule="exact"/>
        <w:rPr>
          <w:sz w:val="20"/>
          <w:szCs w:val="20"/>
          <w:color w:val="auto"/>
        </w:rPr>
      </w:pPr>
    </w:p>
    <w:p>
      <w:pPr>
        <w:jc w:val="both"/>
        <w:ind w:left="1080"/>
        <w:spacing w:after="0" w:line="288" w:lineRule="auto"/>
        <w:rPr>
          <w:sz w:val="20"/>
          <w:szCs w:val="20"/>
          <w:color w:val="auto"/>
        </w:rPr>
      </w:pPr>
      <w:r>
        <w:rPr>
          <w:rFonts w:ascii="Arial" w:cs="Arial" w:eastAsia="Arial" w:hAnsi="Arial"/>
          <w:sz w:val="12"/>
          <w:szCs w:val="12"/>
          <w:color w:val="auto"/>
        </w:rPr>
        <w:t>Assets for the Executives Plan consist of deposits on hand with regulatory authorities which are refundable when benefit payments are made or on the ultimate wind-up of the plan. The accumulated benefit obligation for this plan at December 31, 2009 was $6.4 million (2008 — $4.5 million). At the end of 2009, the remaining unamortized net transition obligation was $0.8 million (2008 — $0.8 million) for the Executives Plan and the net transition asset was nil (2008 — $0.1 million) for the Employees Plan.</w:t>
      </w:r>
    </w:p>
    <w:p>
      <w:pPr>
        <w:spacing w:after="0" w:line="165" w:lineRule="exact"/>
        <w:rPr>
          <w:sz w:val="20"/>
          <w:szCs w:val="20"/>
          <w:color w:val="auto"/>
        </w:rPr>
      </w:pPr>
    </w:p>
    <w:p>
      <w:pPr>
        <w:ind w:left="1080"/>
        <w:spacing w:after="0"/>
        <w:rPr>
          <w:sz w:val="20"/>
          <w:szCs w:val="20"/>
          <w:color w:val="auto"/>
        </w:rPr>
      </w:pPr>
      <w:r>
        <w:rPr>
          <w:rFonts w:ascii="Arial" w:cs="Arial" w:eastAsia="Arial" w:hAnsi="Arial"/>
          <w:sz w:val="14"/>
          <w:szCs w:val="14"/>
          <w:color w:val="auto"/>
        </w:rPr>
        <w:t>The following table provides the net amounts recognized in the consolidated balance sheets as at December 31:</w:t>
      </w:r>
    </w:p>
    <w:p>
      <w:pPr>
        <w:spacing w:after="0" w:line="202" w:lineRule="exact"/>
        <w:rPr>
          <w:sz w:val="20"/>
          <w:szCs w:val="20"/>
          <w:color w:val="auto"/>
        </w:rPr>
      </w:pPr>
    </w:p>
    <w:tbl>
      <w:tblPr>
        <w:tblLayout w:type="fixed"/>
        <w:tblInd w:w="1160" w:type="dxa"/>
        <w:tblCellMar>
          <w:top w:w="0" w:type="dxa"/>
          <w:left w:w="0" w:type="dxa"/>
          <w:bottom w:w="0" w:type="dxa"/>
          <w:right w:w="0" w:type="dxa"/>
        </w:tblCellMar>
      </w:tblPr>
      <w:tr>
        <w:trPr>
          <w:trHeight w:val="161"/>
        </w:trPr>
        <w:tc>
          <w:tcPr>
            <w:tcW w:w="420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1240" w:type="dxa"/>
            <w:vAlign w:val="bottom"/>
            <w:tcBorders>
              <w:bottom w:val="single" w:sz="8" w:color="auto"/>
            </w:tcBorders>
            <w:gridSpan w:val="3"/>
          </w:tcPr>
          <w:p>
            <w:pPr>
              <w:ind w:left="940"/>
              <w:spacing w:after="0"/>
              <w:rPr>
                <w:sz w:val="20"/>
                <w:szCs w:val="20"/>
                <w:color w:val="auto"/>
              </w:rPr>
            </w:pPr>
            <w:r>
              <w:rPr>
                <w:rFonts w:ascii="Arial" w:cs="Arial" w:eastAsia="Arial" w:hAnsi="Arial"/>
                <w:sz w:val="14"/>
                <w:szCs w:val="14"/>
                <w:b w:val="1"/>
                <w:bCs w:val="1"/>
                <w:color w:val="auto"/>
                <w:w w:val="89"/>
              </w:rPr>
              <w:t>2009</w:t>
            </w:r>
          </w:p>
        </w:tc>
        <w:tc>
          <w:tcPr>
            <w:tcW w:w="100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1240" w:type="dxa"/>
            <w:vAlign w:val="bottom"/>
            <w:tcBorders>
              <w:bottom w:val="single" w:sz="8" w:color="auto"/>
            </w:tcBorders>
            <w:gridSpan w:val="3"/>
          </w:tcPr>
          <w:p>
            <w:pPr>
              <w:jc w:val="right"/>
              <w:spacing w:after="0"/>
              <w:rPr>
                <w:sz w:val="20"/>
                <w:szCs w:val="20"/>
                <w:color w:val="auto"/>
              </w:rPr>
            </w:pPr>
            <w:r>
              <w:rPr>
                <w:rFonts w:ascii="Arial" w:cs="Arial" w:eastAsia="Arial" w:hAnsi="Arial"/>
                <w:sz w:val="14"/>
                <w:szCs w:val="14"/>
                <w:b w:val="1"/>
                <w:bCs w:val="1"/>
                <w:color w:val="auto"/>
              </w:rPr>
              <w:t>2008</w:t>
            </w:r>
          </w:p>
        </w:tc>
        <w:tc>
          <w:tcPr>
            <w:tcW w:w="100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r>
      <w:tr>
        <w:trPr>
          <w:trHeight w:val="142"/>
        </w:trPr>
        <w:tc>
          <w:tcPr>
            <w:tcW w:w="4200" w:type="dxa"/>
            <w:vAlign w:val="bottom"/>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1000" w:type="dxa"/>
            <w:vAlign w:val="bottom"/>
            <w:tcBorders>
              <w:bottom w:val="single" w:sz="8" w:color="auto"/>
            </w:tcBorders>
          </w:tcPr>
          <w:p>
            <w:pPr>
              <w:spacing w:after="0" w:line="142" w:lineRule="exact"/>
              <w:rPr>
                <w:sz w:val="20"/>
                <w:szCs w:val="20"/>
                <w:color w:val="auto"/>
              </w:rPr>
            </w:pPr>
            <w:r>
              <w:rPr>
                <w:rFonts w:ascii="Arial" w:cs="Arial" w:eastAsia="Arial" w:hAnsi="Arial"/>
                <w:sz w:val="14"/>
                <w:szCs w:val="14"/>
                <w:b w:val="1"/>
                <w:bCs w:val="1"/>
                <w:color w:val="auto"/>
                <w:w w:val="91"/>
              </w:rPr>
              <w:t>Employees Plan</w:t>
            </w:r>
          </w:p>
        </w:tc>
        <w:tc>
          <w:tcPr>
            <w:tcW w:w="160" w:type="dxa"/>
            <w:vAlign w:val="bottom"/>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1000" w:type="dxa"/>
            <w:vAlign w:val="bottom"/>
            <w:tcBorders>
              <w:bottom w:val="single" w:sz="8" w:color="auto"/>
            </w:tcBorders>
          </w:tcPr>
          <w:p>
            <w:pPr>
              <w:jc w:val="right"/>
              <w:ind w:right="32"/>
              <w:spacing w:after="0" w:line="142" w:lineRule="exact"/>
              <w:rPr>
                <w:sz w:val="20"/>
                <w:szCs w:val="20"/>
                <w:color w:val="auto"/>
              </w:rPr>
            </w:pPr>
            <w:r>
              <w:rPr>
                <w:rFonts w:ascii="Arial" w:cs="Arial" w:eastAsia="Arial" w:hAnsi="Arial"/>
                <w:sz w:val="14"/>
                <w:szCs w:val="14"/>
                <w:b w:val="1"/>
                <w:bCs w:val="1"/>
                <w:color w:val="auto"/>
                <w:w w:val="82"/>
              </w:rPr>
              <w:t>Executives Plan</w:t>
            </w:r>
          </w:p>
        </w:tc>
        <w:tc>
          <w:tcPr>
            <w:tcW w:w="160" w:type="dxa"/>
            <w:vAlign w:val="bottom"/>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1000" w:type="dxa"/>
            <w:vAlign w:val="bottom"/>
            <w:tcBorders>
              <w:bottom w:val="single" w:sz="8" w:color="auto"/>
            </w:tcBorders>
          </w:tcPr>
          <w:p>
            <w:pPr>
              <w:jc w:val="right"/>
              <w:ind w:right="12"/>
              <w:spacing w:after="0" w:line="142" w:lineRule="exact"/>
              <w:rPr>
                <w:sz w:val="20"/>
                <w:szCs w:val="20"/>
                <w:color w:val="auto"/>
              </w:rPr>
            </w:pPr>
            <w:r>
              <w:rPr>
                <w:rFonts w:ascii="Arial" w:cs="Arial" w:eastAsia="Arial" w:hAnsi="Arial"/>
                <w:sz w:val="14"/>
                <w:szCs w:val="14"/>
                <w:b w:val="1"/>
                <w:bCs w:val="1"/>
                <w:color w:val="auto"/>
                <w:w w:val="83"/>
              </w:rPr>
              <w:t>Employees Plan</w:t>
            </w:r>
          </w:p>
        </w:tc>
        <w:tc>
          <w:tcPr>
            <w:tcW w:w="160" w:type="dxa"/>
            <w:vAlign w:val="bottom"/>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1000" w:type="dxa"/>
            <w:vAlign w:val="bottom"/>
            <w:tcBorders>
              <w:bottom w:val="single" w:sz="8" w:color="auto"/>
            </w:tcBorders>
          </w:tcPr>
          <w:p>
            <w:pPr>
              <w:jc w:val="right"/>
              <w:ind w:right="12"/>
              <w:spacing w:after="0" w:line="142" w:lineRule="exact"/>
              <w:rPr>
                <w:sz w:val="20"/>
                <w:szCs w:val="20"/>
                <w:color w:val="auto"/>
              </w:rPr>
            </w:pPr>
            <w:r>
              <w:rPr>
                <w:rFonts w:ascii="Arial" w:cs="Arial" w:eastAsia="Arial" w:hAnsi="Arial"/>
                <w:sz w:val="14"/>
                <w:szCs w:val="14"/>
                <w:b w:val="1"/>
                <w:bCs w:val="1"/>
                <w:color w:val="auto"/>
                <w:w w:val="84"/>
              </w:rPr>
              <w:t>Executives Plan</w:t>
            </w:r>
          </w:p>
        </w:tc>
        <w:tc>
          <w:tcPr>
            <w:tcW w:w="160" w:type="dxa"/>
            <w:vAlign w:val="bottom"/>
          </w:tcPr>
          <w:p>
            <w:pPr>
              <w:spacing w:after="0"/>
              <w:rPr>
                <w:sz w:val="12"/>
                <w:szCs w:val="12"/>
                <w:color w:val="auto"/>
              </w:rPr>
            </w:pPr>
          </w:p>
        </w:tc>
      </w:tr>
      <w:tr>
        <w:trPr>
          <w:trHeight w:val="142"/>
        </w:trPr>
        <w:tc>
          <w:tcPr>
            <w:tcW w:w="4200" w:type="dxa"/>
            <w:vAlign w:val="bottom"/>
            <w:shd w:val="clear" w:color="auto" w:fill="CCEEFF"/>
          </w:tcPr>
          <w:p>
            <w:pPr>
              <w:ind w:left="100"/>
              <w:spacing w:after="0" w:line="142" w:lineRule="exact"/>
              <w:rPr>
                <w:sz w:val="20"/>
                <w:szCs w:val="20"/>
                <w:color w:val="auto"/>
              </w:rPr>
            </w:pPr>
            <w:r>
              <w:rPr>
                <w:rFonts w:ascii="Arial" w:cs="Arial" w:eastAsia="Arial" w:hAnsi="Arial"/>
                <w:sz w:val="14"/>
                <w:szCs w:val="14"/>
                <w:color w:val="auto"/>
              </w:rPr>
              <w:t>Liability (asset)</w:t>
            </w:r>
          </w:p>
        </w:tc>
        <w:tc>
          <w:tcPr>
            <w:tcW w:w="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1000" w:type="dxa"/>
            <w:vAlign w:val="bottom"/>
            <w:shd w:val="clear" w:color="auto" w:fill="CCEEFF"/>
          </w:tcPr>
          <w:p>
            <w:pPr>
              <w:ind w:left="860"/>
              <w:spacing w:after="0" w:line="142" w:lineRule="exact"/>
              <w:rPr>
                <w:sz w:val="20"/>
                <w:szCs w:val="20"/>
                <w:color w:val="auto"/>
              </w:rPr>
            </w:pPr>
            <w:r>
              <w:rPr>
                <w:rFonts w:ascii="Arial" w:cs="Arial" w:eastAsia="Arial" w:hAnsi="Arial"/>
                <w:sz w:val="14"/>
                <w:szCs w:val="14"/>
                <w:color w:val="auto"/>
                <w:w w:val="85"/>
              </w:rPr>
              <w:t>—</w:t>
            </w:r>
          </w:p>
        </w:tc>
        <w:tc>
          <w:tcPr>
            <w:tcW w:w="24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1160" w:type="dxa"/>
            <w:vAlign w:val="bottom"/>
            <w:gridSpan w:val="2"/>
            <w:shd w:val="clear" w:color="auto" w:fill="CCEEFF"/>
          </w:tcPr>
          <w:p>
            <w:pPr>
              <w:jc w:val="right"/>
              <w:ind w:right="160"/>
              <w:spacing w:after="0" w:line="142"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1160" w:type="dxa"/>
            <w:vAlign w:val="bottom"/>
            <w:gridSpan w:val="2"/>
            <w:shd w:val="clear" w:color="auto" w:fill="CCEEFF"/>
          </w:tcPr>
          <w:p>
            <w:pPr>
              <w:jc w:val="right"/>
              <w:ind w:right="120"/>
              <w:spacing w:after="0" w:line="142" w:lineRule="exact"/>
              <w:rPr>
                <w:sz w:val="20"/>
                <w:szCs w:val="20"/>
                <w:color w:val="auto"/>
              </w:rPr>
            </w:pPr>
            <w:r>
              <w:rPr>
                <w:rFonts w:ascii="Arial" w:cs="Arial" w:eastAsia="Arial" w:hAnsi="Arial"/>
                <w:sz w:val="14"/>
                <w:szCs w:val="14"/>
                <w:color w:val="auto"/>
              </w:rPr>
              <w:t>(110)</w:t>
            </w:r>
          </w:p>
        </w:tc>
        <w:tc>
          <w:tcPr>
            <w:tcW w:w="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1160" w:type="dxa"/>
            <w:vAlign w:val="bottom"/>
            <w:gridSpan w:val="2"/>
            <w:shd w:val="clear" w:color="auto" w:fill="CCEEFF"/>
          </w:tcPr>
          <w:p>
            <w:pPr>
              <w:jc w:val="right"/>
              <w:ind w:right="160"/>
              <w:spacing w:after="0" w:line="142" w:lineRule="exact"/>
              <w:rPr>
                <w:sz w:val="20"/>
                <w:szCs w:val="20"/>
                <w:color w:val="auto"/>
              </w:rPr>
            </w:pPr>
            <w:r>
              <w:rPr>
                <w:rFonts w:ascii="Arial" w:cs="Arial" w:eastAsia="Arial" w:hAnsi="Arial"/>
                <w:sz w:val="14"/>
                <w:szCs w:val="14"/>
                <w:color w:val="auto"/>
              </w:rPr>
              <w:t>—</w:t>
            </w:r>
          </w:p>
        </w:tc>
      </w:tr>
      <w:tr>
        <w:trPr>
          <w:trHeight w:val="149"/>
        </w:trPr>
        <w:tc>
          <w:tcPr>
            <w:tcW w:w="4200" w:type="dxa"/>
            <w:vAlign w:val="bottom"/>
          </w:tcPr>
          <w:p>
            <w:pPr>
              <w:ind w:left="100"/>
              <w:spacing w:after="0" w:line="149" w:lineRule="exact"/>
              <w:rPr>
                <w:sz w:val="20"/>
                <w:szCs w:val="20"/>
                <w:color w:val="auto"/>
              </w:rPr>
            </w:pPr>
            <w:r>
              <w:rPr>
                <w:rFonts w:ascii="Arial" w:cs="Arial" w:eastAsia="Arial" w:hAnsi="Arial"/>
                <w:sz w:val="14"/>
                <w:szCs w:val="14"/>
                <w:color w:val="auto"/>
              </w:rPr>
              <w:t>Accrued employee benefit liability</w:t>
            </w:r>
          </w:p>
        </w:tc>
        <w:tc>
          <w:tcPr>
            <w:tcW w:w="80" w:type="dxa"/>
            <w:vAlign w:val="bottom"/>
          </w:tcPr>
          <w:p>
            <w:pPr>
              <w:spacing w:after="0"/>
              <w:rPr>
                <w:sz w:val="12"/>
                <w:szCs w:val="12"/>
                <w:color w:val="auto"/>
              </w:rPr>
            </w:pPr>
          </w:p>
        </w:tc>
        <w:tc>
          <w:tcPr>
            <w:tcW w:w="1000" w:type="dxa"/>
            <w:vAlign w:val="bottom"/>
          </w:tcPr>
          <w:p>
            <w:pPr>
              <w:ind w:left="860"/>
              <w:spacing w:after="0" w:line="149" w:lineRule="exact"/>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0" w:type="dxa"/>
            <w:vAlign w:val="bottom"/>
          </w:tcPr>
          <w:p>
            <w:pPr>
              <w:jc w:val="right"/>
              <w:spacing w:after="0" w:line="149" w:lineRule="exact"/>
              <w:rPr>
                <w:sz w:val="20"/>
                <w:szCs w:val="20"/>
                <w:color w:val="auto"/>
              </w:rPr>
            </w:pPr>
            <w:r>
              <w:rPr>
                <w:rFonts w:ascii="Arial" w:cs="Arial" w:eastAsia="Arial" w:hAnsi="Arial"/>
                <w:sz w:val="14"/>
                <w:szCs w:val="14"/>
                <w:color w:val="auto"/>
              </w:rPr>
              <w:t>6,036</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1000" w:type="dxa"/>
            <w:vAlign w:val="bottom"/>
          </w:tcPr>
          <w:p>
            <w:pPr>
              <w:jc w:val="right"/>
              <w:spacing w:after="0" w:line="149" w:lineRule="exact"/>
              <w:rPr>
                <w:sz w:val="20"/>
                <w:szCs w:val="20"/>
                <w:color w:val="auto"/>
              </w:rPr>
            </w:pPr>
            <w:r>
              <w:rPr>
                <w:rFonts w:ascii="Arial" w:cs="Arial" w:eastAsia="Arial" w:hAnsi="Arial"/>
                <w:sz w:val="14"/>
                <w:szCs w:val="14"/>
                <w:color w:val="auto"/>
              </w:rPr>
              <w:t>4,895</w:t>
            </w:r>
          </w:p>
        </w:tc>
        <w:tc>
          <w:tcPr>
            <w:tcW w:w="160" w:type="dxa"/>
            <w:vAlign w:val="bottom"/>
          </w:tcPr>
          <w:p>
            <w:pPr>
              <w:spacing w:after="0"/>
              <w:rPr>
                <w:sz w:val="12"/>
                <w:szCs w:val="12"/>
                <w:color w:val="auto"/>
              </w:rPr>
            </w:pPr>
          </w:p>
        </w:tc>
      </w:tr>
      <w:tr>
        <w:trPr>
          <w:trHeight w:val="149"/>
        </w:trPr>
        <w:tc>
          <w:tcPr>
            <w:tcW w:w="4200" w:type="dxa"/>
            <w:vAlign w:val="bottom"/>
            <w:shd w:val="clear" w:color="auto" w:fill="CCEEFF"/>
          </w:tcPr>
          <w:p>
            <w:pPr>
              <w:ind w:left="100"/>
              <w:spacing w:after="0" w:line="149" w:lineRule="exact"/>
              <w:rPr>
                <w:sz w:val="20"/>
                <w:szCs w:val="20"/>
                <w:color w:val="auto"/>
              </w:rPr>
            </w:pPr>
            <w:r>
              <w:rPr>
                <w:rFonts w:ascii="Arial" w:cs="Arial" w:eastAsia="Arial" w:hAnsi="Arial"/>
                <w:sz w:val="14"/>
                <w:szCs w:val="14"/>
                <w:color w:val="auto"/>
              </w:rPr>
              <w:t>Accumulated other comprehensive income (loss):</w:t>
            </w:r>
          </w:p>
        </w:tc>
        <w:tc>
          <w:tcPr>
            <w:tcW w:w="80" w:type="dxa"/>
            <w:vAlign w:val="bottom"/>
            <w:shd w:val="clear" w:color="auto" w:fill="CCEEFF"/>
          </w:tcPr>
          <w:p>
            <w:pPr>
              <w:spacing w:after="0"/>
              <w:rPr>
                <w:sz w:val="12"/>
                <w:szCs w:val="12"/>
                <w:color w:val="auto"/>
              </w:rPr>
            </w:pPr>
          </w:p>
        </w:tc>
        <w:tc>
          <w:tcPr>
            <w:tcW w:w="10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r>
      <w:tr>
        <w:trPr>
          <w:trHeight w:val="149"/>
        </w:trPr>
        <w:tc>
          <w:tcPr>
            <w:tcW w:w="4200" w:type="dxa"/>
            <w:vAlign w:val="bottom"/>
          </w:tcPr>
          <w:p>
            <w:pPr>
              <w:ind w:left="520"/>
              <w:spacing w:after="0" w:line="149" w:lineRule="exact"/>
              <w:rPr>
                <w:sz w:val="20"/>
                <w:szCs w:val="20"/>
                <w:color w:val="auto"/>
              </w:rPr>
            </w:pPr>
            <w:r>
              <w:rPr>
                <w:rFonts w:ascii="Arial" w:cs="Arial" w:eastAsia="Arial" w:hAnsi="Arial"/>
                <w:sz w:val="14"/>
                <w:szCs w:val="14"/>
                <w:color w:val="auto"/>
              </w:rPr>
              <w:t>Initial transition obligation</w:t>
            </w:r>
          </w:p>
        </w:tc>
        <w:tc>
          <w:tcPr>
            <w:tcW w:w="80" w:type="dxa"/>
            <w:vAlign w:val="bottom"/>
          </w:tcPr>
          <w:p>
            <w:pPr>
              <w:spacing w:after="0"/>
              <w:rPr>
                <w:sz w:val="12"/>
                <w:szCs w:val="12"/>
                <w:color w:val="auto"/>
              </w:rPr>
            </w:pPr>
          </w:p>
        </w:tc>
        <w:tc>
          <w:tcPr>
            <w:tcW w:w="1000" w:type="dxa"/>
            <w:vAlign w:val="bottom"/>
          </w:tcPr>
          <w:p>
            <w:pPr>
              <w:ind w:left="860"/>
              <w:spacing w:after="0" w:line="149" w:lineRule="exact"/>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0" w:type="dxa"/>
            <w:vAlign w:val="bottom"/>
          </w:tcPr>
          <w:p>
            <w:pPr>
              <w:jc w:val="right"/>
              <w:spacing w:after="0" w:line="149" w:lineRule="exact"/>
              <w:rPr>
                <w:sz w:val="20"/>
                <w:szCs w:val="20"/>
                <w:color w:val="auto"/>
              </w:rPr>
            </w:pPr>
            <w:r>
              <w:rPr>
                <w:rFonts w:ascii="Arial" w:cs="Arial" w:eastAsia="Arial" w:hAnsi="Arial"/>
                <w:sz w:val="14"/>
                <w:szCs w:val="14"/>
                <w:color w:val="auto"/>
              </w:rPr>
              <w:t>809</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1000" w:type="dxa"/>
            <w:vAlign w:val="bottom"/>
          </w:tcPr>
          <w:p>
            <w:pPr>
              <w:jc w:val="right"/>
              <w:spacing w:after="0" w:line="149" w:lineRule="exact"/>
              <w:rPr>
                <w:sz w:val="20"/>
                <w:szCs w:val="20"/>
                <w:color w:val="auto"/>
              </w:rPr>
            </w:pPr>
            <w:r>
              <w:rPr>
                <w:rFonts w:ascii="Arial" w:cs="Arial" w:eastAsia="Arial" w:hAnsi="Arial"/>
                <w:sz w:val="14"/>
                <w:szCs w:val="14"/>
                <w:color w:val="auto"/>
              </w:rPr>
              <w:t>830</w:t>
            </w:r>
          </w:p>
        </w:tc>
        <w:tc>
          <w:tcPr>
            <w:tcW w:w="160" w:type="dxa"/>
            <w:vAlign w:val="bottom"/>
          </w:tcPr>
          <w:p>
            <w:pPr>
              <w:spacing w:after="0"/>
              <w:rPr>
                <w:sz w:val="12"/>
                <w:szCs w:val="12"/>
                <w:color w:val="auto"/>
              </w:rPr>
            </w:pPr>
          </w:p>
        </w:tc>
      </w:tr>
      <w:tr>
        <w:trPr>
          <w:trHeight w:val="149"/>
        </w:trPr>
        <w:tc>
          <w:tcPr>
            <w:tcW w:w="4200" w:type="dxa"/>
            <w:vAlign w:val="bottom"/>
            <w:shd w:val="clear" w:color="auto" w:fill="CCEEFF"/>
          </w:tcPr>
          <w:p>
            <w:pPr>
              <w:ind w:left="520"/>
              <w:spacing w:after="0" w:line="149" w:lineRule="exact"/>
              <w:rPr>
                <w:sz w:val="20"/>
                <w:szCs w:val="20"/>
                <w:color w:val="auto"/>
              </w:rPr>
            </w:pPr>
            <w:r>
              <w:rPr>
                <w:rFonts w:ascii="Arial" w:cs="Arial" w:eastAsia="Arial" w:hAnsi="Arial"/>
                <w:sz w:val="14"/>
                <w:szCs w:val="14"/>
                <w:color w:val="auto"/>
              </w:rPr>
              <w:t>Past service liability</w:t>
            </w:r>
          </w:p>
        </w:tc>
        <w:tc>
          <w:tcPr>
            <w:tcW w:w="80" w:type="dxa"/>
            <w:vAlign w:val="bottom"/>
            <w:shd w:val="clear" w:color="auto" w:fill="CCEEFF"/>
          </w:tcPr>
          <w:p>
            <w:pPr>
              <w:spacing w:after="0"/>
              <w:rPr>
                <w:sz w:val="12"/>
                <w:szCs w:val="12"/>
                <w:color w:val="auto"/>
              </w:rPr>
            </w:pPr>
          </w:p>
        </w:tc>
        <w:tc>
          <w:tcPr>
            <w:tcW w:w="1000" w:type="dxa"/>
            <w:vAlign w:val="bottom"/>
            <w:shd w:val="clear" w:color="auto" w:fill="CCEEFF"/>
          </w:tcPr>
          <w:p>
            <w:pPr>
              <w:ind w:left="860"/>
              <w:spacing w:after="0" w:line="149" w:lineRule="exact"/>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122</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10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126</w:t>
            </w:r>
          </w:p>
        </w:tc>
        <w:tc>
          <w:tcPr>
            <w:tcW w:w="160" w:type="dxa"/>
            <w:vAlign w:val="bottom"/>
            <w:shd w:val="clear" w:color="auto" w:fill="CCEEFF"/>
          </w:tcPr>
          <w:p>
            <w:pPr>
              <w:spacing w:after="0"/>
              <w:rPr>
                <w:sz w:val="12"/>
                <w:szCs w:val="12"/>
                <w:color w:val="auto"/>
              </w:rPr>
            </w:pPr>
          </w:p>
        </w:tc>
      </w:tr>
      <w:tr>
        <w:trPr>
          <w:trHeight w:val="174"/>
        </w:trPr>
        <w:tc>
          <w:tcPr>
            <w:tcW w:w="4200" w:type="dxa"/>
            <w:vAlign w:val="bottom"/>
          </w:tcPr>
          <w:p>
            <w:pPr>
              <w:ind w:left="520"/>
              <w:spacing w:after="0"/>
              <w:rPr>
                <w:sz w:val="20"/>
                <w:szCs w:val="20"/>
                <w:color w:val="auto"/>
              </w:rPr>
            </w:pPr>
            <w:r>
              <w:rPr>
                <w:rFonts w:ascii="Arial" w:cs="Arial" w:eastAsia="Arial" w:hAnsi="Arial"/>
                <w:sz w:val="14"/>
                <w:szCs w:val="14"/>
                <w:color w:val="auto"/>
              </w:rPr>
              <w:t>Net experience (gains) losses</w:t>
            </w:r>
          </w:p>
        </w:tc>
        <w:tc>
          <w:tcPr>
            <w:tcW w:w="80" w:type="dxa"/>
            <w:vAlign w:val="bottom"/>
          </w:tcPr>
          <w:p>
            <w:pPr>
              <w:spacing w:after="0"/>
              <w:rPr>
                <w:sz w:val="15"/>
                <w:szCs w:val="15"/>
                <w:color w:val="auto"/>
              </w:rPr>
            </w:pPr>
          </w:p>
        </w:tc>
        <w:tc>
          <w:tcPr>
            <w:tcW w:w="1000" w:type="dxa"/>
            <w:vAlign w:val="bottom"/>
          </w:tcPr>
          <w:p>
            <w:pPr>
              <w:ind w:left="860"/>
              <w:spacing w:after="0"/>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160" w:type="dxa"/>
            <w:vAlign w:val="bottom"/>
            <w:gridSpan w:val="2"/>
          </w:tcPr>
          <w:p>
            <w:pPr>
              <w:jc w:val="right"/>
              <w:ind w:right="120"/>
              <w:spacing w:after="0"/>
              <w:rPr>
                <w:sz w:val="20"/>
                <w:szCs w:val="20"/>
                <w:color w:val="auto"/>
              </w:rPr>
            </w:pPr>
            <w:r>
              <w:rPr>
                <w:rFonts w:ascii="Arial" w:cs="Arial" w:eastAsia="Arial" w:hAnsi="Arial"/>
                <w:sz w:val="14"/>
                <w:szCs w:val="14"/>
                <w:color w:val="auto"/>
              </w:rPr>
              <w:t>(604)</w:t>
            </w:r>
          </w:p>
        </w:tc>
        <w:tc>
          <w:tcPr>
            <w:tcW w:w="80" w:type="dxa"/>
            <w:vAlign w:val="bottom"/>
          </w:tcPr>
          <w:p>
            <w:pPr>
              <w:spacing w:after="0"/>
              <w:rPr>
                <w:sz w:val="15"/>
                <w:szCs w:val="15"/>
                <w:color w:val="auto"/>
              </w:rPr>
            </w:pPr>
          </w:p>
        </w:tc>
        <w:tc>
          <w:tcPr>
            <w:tcW w:w="1160" w:type="dxa"/>
            <w:vAlign w:val="bottom"/>
            <w:gridSpan w:val="2"/>
          </w:tcPr>
          <w:p>
            <w:pPr>
              <w:jc w:val="right"/>
              <w:ind w:right="16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15"/>
                <w:szCs w:val="15"/>
                <w:color w:val="auto"/>
              </w:rPr>
            </w:pPr>
          </w:p>
        </w:tc>
        <w:tc>
          <w:tcPr>
            <w:tcW w:w="1160" w:type="dxa"/>
            <w:vAlign w:val="bottom"/>
            <w:gridSpan w:val="2"/>
          </w:tcPr>
          <w:p>
            <w:pPr>
              <w:jc w:val="right"/>
              <w:ind w:right="120"/>
              <w:spacing w:after="0"/>
              <w:rPr>
                <w:sz w:val="20"/>
                <w:szCs w:val="20"/>
                <w:color w:val="auto"/>
              </w:rPr>
            </w:pPr>
            <w:r>
              <w:rPr>
                <w:rFonts w:ascii="Arial" w:cs="Arial" w:eastAsia="Arial" w:hAnsi="Arial"/>
                <w:sz w:val="14"/>
                <w:szCs w:val="14"/>
                <w:color w:val="auto"/>
              </w:rPr>
              <w:t>(1,356)</w:t>
            </w:r>
          </w:p>
        </w:tc>
      </w:tr>
      <w:tr>
        <w:trPr>
          <w:trHeight w:val="20"/>
        </w:trPr>
        <w:tc>
          <w:tcPr>
            <w:tcW w:w="42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144"/>
        </w:trPr>
        <w:tc>
          <w:tcPr>
            <w:tcW w:w="4200" w:type="dxa"/>
            <w:vAlign w:val="bottom"/>
            <w:shd w:val="clear" w:color="auto" w:fill="CCEEFF"/>
          </w:tcPr>
          <w:p>
            <w:pPr>
              <w:ind w:left="100"/>
              <w:spacing w:after="0" w:line="144" w:lineRule="exact"/>
              <w:rPr>
                <w:sz w:val="20"/>
                <w:szCs w:val="20"/>
                <w:color w:val="auto"/>
              </w:rPr>
            </w:pPr>
            <w:r>
              <w:rPr>
                <w:rFonts w:ascii="Arial" w:cs="Arial" w:eastAsia="Arial" w:hAnsi="Arial"/>
                <w:sz w:val="14"/>
                <w:szCs w:val="14"/>
                <w:color w:val="auto"/>
              </w:rPr>
              <w:t>Net liability (asset)</w:t>
            </w:r>
          </w:p>
        </w:tc>
        <w:tc>
          <w:tcPr>
            <w:tcW w:w="8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w w:val="76"/>
              </w:rPr>
              <w:t>$</w:t>
            </w:r>
          </w:p>
        </w:tc>
        <w:tc>
          <w:tcPr>
            <w:tcW w:w="1000" w:type="dxa"/>
            <w:vAlign w:val="bottom"/>
            <w:shd w:val="clear" w:color="auto" w:fill="CCEEFF"/>
          </w:tcPr>
          <w:p>
            <w:pPr>
              <w:ind w:left="860"/>
              <w:spacing w:after="0" w:line="144" w:lineRule="exact"/>
              <w:rPr>
                <w:sz w:val="20"/>
                <w:szCs w:val="20"/>
                <w:color w:val="auto"/>
              </w:rPr>
            </w:pPr>
            <w:r>
              <w:rPr>
                <w:rFonts w:ascii="Arial" w:cs="Arial" w:eastAsia="Arial" w:hAnsi="Arial"/>
                <w:sz w:val="14"/>
                <w:szCs w:val="14"/>
                <w:color w:val="auto"/>
                <w:w w:val="85"/>
              </w:rPr>
              <w:t>—</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w w:val="76"/>
              </w:rPr>
              <w:t>$</w:t>
            </w:r>
          </w:p>
        </w:tc>
        <w:tc>
          <w:tcPr>
            <w:tcW w:w="100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6,363</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w w:val="76"/>
              </w:rPr>
              <w:t>$</w:t>
            </w:r>
          </w:p>
        </w:tc>
        <w:tc>
          <w:tcPr>
            <w:tcW w:w="1160" w:type="dxa"/>
            <w:vAlign w:val="bottom"/>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(110)</w:t>
            </w:r>
          </w:p>
        </w:tc>
        <w:tc>
          <w:tcPr>
            <w:tcW w:w="8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w w:val="76"/>
              </w:rPr>
              <w:t>$</w:t>
            </w:r>
          </w:p>
        </w:tc>
        <w:tc>
          <w:tcPr>
            <w:tcW w:w="100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4,495</w:t>
            </w:r>
          </w:p>
        </w:tc>
        <w:tc>
          <w:tcPr>
            <w:tcW w:w="160" w:type="dxa"/>
            <w:vAlign w:val="bottom"/>
            <w:shd w:val="clear" w:color="auto" w:fill="CCEEFF"/>
          </w:tcPr>
          <w:p>
            <w:pPr>
              <w:spacing w:after="0"/>
              <w:rPr>
                <w:sz w:val="12"/>
                <w:szCs w:val="12"/>
                <w:color w:val="auto"/>
              </w:rPr>
            </w:pPr>
          </w:p>
        </w:tc>
      </w:tr>
      <w:tr>
        <w:trPr>
          <w:trHeight w:val="27"/>
        </w:trPr>
        <w:tc>
          <w:tcPr>
            <w:tcW w:w="420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r>
      <w:tr>
        <w:trPr>
          <w:trHeight w:val="20"/>
        </w:trPr>
        <w:tc>
          <w:tcPr>
            <w:tcW w:w="42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5" w:lineRule="exact"/>
        <w:rPr>
          <w:sz w:val="20"/>
          <w:szCs w:val="20"/>
          <w:color w:val="auto"/>
        </w:rPr>
      </w:pPr>
    </w:p>
    <w:p>
      <w:pPr>
        <w:ind w:left="1080"/>
        <w:spacing w:after="0"/>
        <w:rPr>
          <w:sz w:val="20"/>
          <w:szCs w:val="20"/>
          <w:color w:val="auto"/>
        </w:rPr>
      </w:pPr>
      <w:r>
        <w:rPr>
          <w:rFonts w:ascii="Arial" w:cs="Arial" w:eastAsia="Arial" w:hAnsi="Arial"/>
          <w:sz w:val="14"/>
          <w:szCs w:val="14"/>
          <w:color w:val="auto"/>
        </w:rPr>
        <w:t>The following table provides the components of the expected recognition in 2010 of amounts in accumulated other comprehensive income (loss):</w:t>
      </w:r>
    </w:p>
    <w:p>
      <w:pPr>
        <w:spacing w:after="0" w:line="202" w:lineRule="exact"/>
        <w:rPr>
          <w:sz w:val="20"/>
          <w:szCs w:val="20"/>
          <w:color w:val="auto"/>
        </w:rPr>
      </w:pPr>
    </w:p>
    <w:tbl>
      <w:tblPr>
        <w:tblLayout w:type="fixed"/>
        <w:tblInd w:w="1160" w:type="dxa"/>
        <w:tblCellMar>
          <w:top w:w="0" w:type="dxa"/>
          <w:left w:w="0" w:type="dxa"/>
          <w:bottom w:w="0" w:type="dxa"/>
          <w:right w:w="0" w:type="dxa"/>
        </w:tblCellMar>
      </w:tblPr>
      <w:tr>
        <w:trPr>
          <w:trHeight w:val="161"/>
        </w:trPr>
        <w:tc>
          <w:tcPr>
            <w:tcW w:w="78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60" w:type="dxa"/>
            <w:vAlign w:val="bottom"/>
            <w:gridSpan w:val="2"/>
          </w:tcPr>
          <w:p>
            <w:pPr>
              <w:spacing w:after="0"/>
              <w:rPr>
                <w:sz w:val="20"/>
                <w:szCs w:val="20"/>
                <w:color w:val="auto"/>
              </w:rPr>
            </w:pPr>
            <w:r>
              <w:rPr>
                <w:rFonts w:ascii="Arial" w:cs="Arial" w:eastAsia="Arial" w:hAnsi="Arial"/>
                <w:sz w:val="14"/>
                <w:szCs w:val="14"/>
                <w:b w:val="1"/>
                <w:bCs w:val="1"/>
                <w:color w:val="auto"/>
              </w:rPr>
              <w:t>Executives Plan</w:t>
            </w:r>
          </w:p>
        </w:tc>
      </w:tr>
      <w:tr>
        <w:trPr>
          <w:trHeight w:val="142"/>
        </w:trPr>
        <w:tc>
          <w:tcPr>
            <w:tcW w:w="7880" w:type="dxa"/>
            <w:vAlign w:val="bottom"/>
            <w:shd w:val="clear" w:color="auto" w:fill="CCEEFF"/>
          </w:tcPr>
          <w:p>
            <w:pPr>
              <w:ind w:left="420"/>
              <w:spacing w:after="0" w:line="142" w:lineRule="exact"/>
              <w:rPr>
                <w:sz w:val="20"/>
                <w:szCs w:val="20"/>
                <w:color w:val="auto"/>
              </w:rPr>
            </w:pPr>
            <w:r>
              <w:rPr>
                <w:rFonts w:ascii="Arial" w:cs="Arial" w:eastAsia="Arial" w:hAnsi="Arial"/>
                <w:sz w:val="14"/>
                <w:szCs w:val="14"/>
                <w:color w:val="auto"/>
              </w:rPr>
              <w:t>Transition obligation</w:t>
            </w:r>
          </w:p>
        </w:tc>
        <w:tc>
          <w:tcPr>
            <w:tcW w:w="8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100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161</w:t>
            </w:r>
          </w:p>
        </w:tc>
        <w:tc>
          <w:tcPr>
            <w:tcW w:w="160" w:type="dxa"/>
            <w:vAlign w:val="bottom"/>
            <w:shd w:val="clear" w:color="auto" w:fill="CCEEFF"/>
          </w:tcPr>
          <w:p>
            <w:pPr>
              <w:spacing w:after="0"/>
              <w:rPr>
                <w:sz w:val="12"/>
                <w:szCs w:val="12"/>
                <w:color w:val="auto"/>
              </w:rPr>
            </w:pPr>
          </w:p>
        </w:tc>
      </w:tr>
      <w:tr>
        <w:trPr>
          <w:trHeight w:val="174"/>
        </w:trPr>
        <w:tc>
          <w:tcPr>
            <w:tcW w:w="7880" w:type="dxa"/>
            <w:vAlign w:val="bottom"/>
          </w:tcPr>
          <w:p>
            <w:pPr>
              <w:ind w:left="420"/>
              <w:spacing w:after="0"/>
              <w:rPr>
                <w:sz w:val="20"/>
                <w:szCs w:val="20"/>
                <w:color w:val="auto"/>
              </w:rPr>
            </w:pPr>
            <w:r>
              <w:rPr>
                <w:rFonts w:ascii="Arial" w:cs="Arial" w:eastAsia="Arial" w:hAnsi="Arial"/>
                <w:sz w:val="14"/>
                <w:szCs w:val="14"/>
                <w:color w:val="auto"/>
              </w:rPr>
              <w:t>Past service cost or credit</w:t>
            </w:r>
          </w:p>
        </w:tc>
        <w:tc>
          <w:tcPr>
            <w:tcW w:w="80" w:type="dxa"/>
            <w:vAlign w:val="bottom"/>
            <w:tcBorders>
              <w:bottom w:val="single" w:sz="8" w:color="auto"/>
            </w:tcBorders>
          </w:tcPr>
          <w:p>
            <w:pPr>
              <w:spacing w:after="0"/>
              <w:rPr>
                <w:sz w:val="15"/>
                <w:szCs w:val="15"/>
                <w:color w:val="auto"/>
              </w:rPr>
            </w:pPr>
          </w:p>
        </w:tc>
        <w:tc>
          <w:tcPr>
            <w:tcW w:w="100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25</w:t>
            </w:r>
          </w:p>
        </w:tc>
        <w:tc>
          <w:tcPr>
            <w:tcW w:w="160" w:type="dxa"/>
            <w:vAlign w:val="bottom"/>
          </w:tcPr>
          <w:p>
            <w:pPr>
              <w:spacing w:after="0"/>
              <w:rPr>
                <w:sz w:val="15"/>
                <w:szCs w:val="15"/>
                <w:color w:val="auto"/>
              </w:rPr>
            </w:pPr>
          </w:p>
        </w:tc>
      </w:tr>
      <w:tr>
        <w:trPr>
          <w:trHeight w:val="211"/>
        </w:trPr>
        <w:tc>
          <w:tcPr>
            <w:tcW w:w="7880" w:type="dxa"/>
            <w:vAlign w:val="bottom"/>
            <w:shd w:val="clear" w:color="auto" w:fill="CCEEFF"/>
          </w:tcPr>
          <w:p>
            <w:pPr>
              <w:spacing w:after="0"/>
              <w:rPr>
                <w:sz w:val="18"/>
                <w:szCs w:val="18"/>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10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186</w:t>
            </w:r>
          </w:p>
        </w:tc>
        <w:tc>
          <w:tcPr>
            <w:tcW w:w="160" w:type="dxa"/>
            <w:vAlign w:val="bottom"/>
            <w:shd w:val="clear" w:color="auto" w:fill="CCEEFF"/>
          </w:tcPr>
          <w:p>
            <w:pPr>
              <w:spacing w:after="0"/>
              <w:rPr>
                <w:sz w:val="18"/>
                <w:szCs w:val="18"/>
                <w:color w:val="auto"/>
              </w:rPr>
            </w:pPr>
          </w:p>
        </w:tc>
      </w:tr>
      <w:tr>
        <w:trPr>
          <w:trHeight w:val="27"/>
        </w:trPr>
        <w:tc>
          <w:tcPr>
            <w:tcW w:w="788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r>
      <w:tr>
        <w:trPr>
          <w:trHeight w:val="20"/>
        </w:trPr>
        <w:tc>
          <w:tcPr>
            <w:tcW w:w="788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205" w:name="page206"/>
    <w:bookmarkEnd w:id="205"/>
    <w:p>
      <w:pPr>
        <w:jc w:val="center"/>
        <w:ind w:right="-19"/>
        <w:spacing w:after="0"/>
        <w:rPr>
          <w:sz w:val="20"/>
          <w:szCs w:val="20"/>
          <w:color w:val="auto"/>
        </w:rPr>
      </w:pPr>
      <w:r>
        <w:rPr>
          <w:rFonts w:ascii="Arial" w:cs="Arial" w:eastAsia="Arial" w:hAnsi="Arial"/>
          <w:sz w:val="18"/>
          <w:szCs w:val="18"/>
          <w:b w:val="1"/>
          <w:bCs w:val="1"/>
          <w:color w:val="auto"/>
        </w:rPr>
        <w:t>AGNICO-EAGLE MINES LIMITED</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 (Continued)</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(thousands of United States dollars, except per share amounts, unless otherwise indicated)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December 31, 2009</w:t>
      </w:r>
    </w:p>
    <w:p>
      <w:pPr>
        <w:spacing w:after="0" w:line="214" w:lineRule="exact"/>
        <w:rPr>
          <w:sz w:val="20"/>
          <w:szCs w:val="20"/>
          <w:color w:val="auto"/>
        </w:rPr>
      </w:pPr>
    </w:p>
    <w:tbl>
      <w:tblPr>
        <w:tblLayout w:type="fixed"/>
        <w:tblInd w:w="0" w:type="dxa"/>
        <w:tblCellMar>
          <w:top w:w="0" w:type="dxa"/>
          <w:left w:w="0" w:type="dxa"/>
          <w:bottom w:w="0" w:type="dxa"/>
          <w:right w:w="0" w:type="dxa"/>
        </w:tblCellMar>
      </w:tblPr>
      <w:tr>
        <w:trPr>
          <w:trHeight w:val="174"/>
        </w:trPr>
        <w:tc>
          <w:tcPr>
            <w:tcW w:w="6620" w:type="dxa"/>
            <w:vAlign w:val="bottom"/>
            <w:gridSpan w:val="2"/>
          </w:tcPr>
          <w:p>
            <w:pPr>
              <w:spacing w:after="0"/>
              <w:rPr>
                <w:sz w:val="20"/>
                <w:szCs w:val="20"/>
                <w:color w:val="auto"/>
              </w:rPr>
            </w:pPr>
            <w:r>
              <w:rPr>
                <w:rFonts w:ascii="Arial" w:cs="Arial" w:eastAsia="Arial" w:hAnsi="Arial"/>
                <w:sz w:val="14"/>
                <w:szCs w:val="14"/>
                <w:b w:val="1"/>
                <w:bCs w:val="1"/>
                <w:color w:val="auto"/>
              </w:rPr>
              <w:t>5.   RECLAMATION PROVISION AND OTHER LIABILITIES (Continued)</w:t>
            </w:r>
          </w:p>
        </w:tc>
        <w:tc>
          <w:tcPr>
            <w:tcW w:w="28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5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5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5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365"/>
        </w:trPr>
        <w:tc>
          <w:tcPr>
            <w:tcW w:w="6620" w:type="dxa"/>
            <w:vAlign w:val="bottom"/>
            <w:gridSpan w:val="2"/>
          </w:tcPr>
          <w:p>
            <w:pPr>
              <w:ind w:left="1080"/>
              <w:spacing w:after="0"/>
              <w:rPr>
                <w:sz w:val="20"/>
                <w:szCs w:val="20"/>
                <w:color w:val="auto"/>
              </w:rPr>
            </w:pPr>
            <w:r>
              <w:rPr>
                <w:rFonts w:ascii="Arial" w:cs="Arial" w:eastAsia="Arial" w:hAnsi="Arial"/>
                <w:sz w:val="14"/>
                <w:szCs w:val="14"/>
                <w:color w:val="auto"/>
                <w:w w:val="90"/>
              </w:rPr>
              <w:t>The funded status of the Employees Plan and the Executives Plan for 2009 and 2008 is as follows:</w:t>
            </w:r>
          </w:p>
        </w:tc>
        <w:tc>
          <w:tcPr>
            <w:tcW w:w="28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52"/>
        </w:trPr>
        <w:tc>
          <w:tcPr>
            <w:tcW w:w="1160" w:type="dxa"/>
            <w:vAlign w:val="bottom"/>
          </w:tcPr>
          <w:p>
            <w:pPr>
              <w:spacing w:after="0"/>
              <w:rPr>
                <w:sz w:val="24"/>
                <w:szCs w:val="24"/>
                <w:color w:val="auto"/>
              </w:rPr>
            </w:pPr>
          </w:p>
        </w:tc>
        <w:tc>
          <w:tcPr>
            <w:tcW w:w="5460" w:type="dxa"/>
            <w:vAlign w:val="bottom"/>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860" w:type="dxa"/>
            <w:vAlign w:val="bottom"/>
            <w:tcBorders>
              <w:bottom w:val="single" w:sz="8" w:color="auto"/>
            </w:tcBorders>
            <w:gridSpan w:val="3"/>
          </w:tcPr>
          <w:p>
            <w:pPr>
              <w:jc w:val="right"/>
              <w:ind w:right="127"/>
              <w:spacing w:after="0"/>
              <w:rPr>
                <w:sz w:val="20"/>
                <w:szCs w:val="20"/>
                <w:color w:val="auto"/>
              </w:rPr>
            </w:pPr>
            <w:r>
              <w:rPr>
                <w:rFonts w:ascii="Arial" w:cs="Arial" w:eastAsia="Arial" w:hAnsi="Arial"/>
                <w:sz w:val="14"/>
                <w:szCs w:val="14"/>
                <w:b w:val="1"/>
                <w:bCs w:val="1"/>
                <w:color w:val="auto"/>
              </w:rPr>
              <w:t>2009</w:t>
            </w:r>
          </w:p>
        </w:tc>
        <w:tc>
          <w:tcPr>
            <w:tcW w:w="520" w:type="dxa"/>
            <w:vAlign w:val="bottom"/>
            <w:tcBorders>
              <w:bottom w:val="single" w:sz="8" w:color="auto"/>
            </w:tcBorders>
          </w:tcPr>
          <w:p>
            <w:pPr>
              <w:spacing w:after="0"/>
              <w:rPr>
                <w:sz w:val="24"/>
                <w:szCs w:val="24"/>
                <w:color w:val="auto"/>
              </w:rPr>
            </w:pPr>
          </w:p>
        </w:tc>
        <w:tc>
          <w:tcPr>
            <w:tcW w:w="160" w:type="dxa"/>
            <w:vAlign w:val="bottom"/>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920" w:type="dxa"/>
            <w:vAlign w:val="bottom"/>
            <w:tcBorders>
              <w:bottom w:val="single" w:sz="8" w:color="auto"/>
            </w:tcBorders>
            <w:gridSpan w:val="3"/>
          </w:tcPr>
          <w:p>
            <w:pPr>
              <w:jc w:val="right"/>
              <w:ind w:right="112"/>
              <w:spacing w:after="0"/>
              <w:rPr>
                <w:sz w:val="20"/>
                <w:szCs w:val="20"/>
                <w:color w:val="auto"/>
              </w:rPr>
            </w:pPr>
            <w:r>
              <w:rPr>
                <w:rFonts w:ascii="Arial" w:cs="Arial" w:eastAsia="Arial" w:hAnsi="Arial"/>
                <w:sz w:val="14"/>
                <w:szCs w:val="14"/>
                <w:b w:val="1"/>
                <w:bCs w:val="1"/>
                <w:color w:val="auto"/>
              </w:rPr>
              <w:t>2008</w:t>
            </w:r>
          </w:p>
        </w:tc>
        <w:tc>
          <w:tcPr>
            <w:tcW w:w="520" w:type="dxa"/>
            <w:vAlign w:val="bottom"/>
            <w:tcBorders>
              <w:bottom w:val="single" w:sz="8" w:color="auto"/>
            </w:tcBorders>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2"/>
        </w:trPr>
        <w:tc>
          <w:tcPr>
            <w:tcW w:w="1160" w:type="dxa"/>
            <w:vAlign w:val="bottom"/>
          </w:tcPr>
          <w:p>
            <w:pPr>
              <w:spacing w:after="0"/>
              <w:rPr>
                <w:sz w:val="12"/>
                <w:szCs w:val="12"/>
                <w:color w:val="auto"/>
              </w:rPr>
            </w:pPr>
          </w:p>
        </w:tc>
        <w:tc>
          <w:tcPr>
            <w:tcW w:w="5460" w:type="dxa"/>
            <w:vAlign w:val="bottom"/>
          </w:tcPr>
          <w:p>
            <w:pPr>
              <w:spacing w:after="0"/>
              <w:rPr>
                <w:sz w:val="12"/>
                <w:szCs w:val="12"/>
                <w:color w:val="auto"/>
              </w:rPr>
            </w:pPr>
          </w:p>
        </w:tc>
        <w:tc>
          <w:tcPr>
            <w:tcW w:w="920" w:type="dxa"/>
            <w:vAlign w:val="bottom"/>
            <w:gridSpan w:val="3"/>
          </w:tcPr>
          <w:p>
            <w:pPr>
              <w:jc w:val="right"/>
              <w:ind w:right="240"/>
              <w:spacing w:after="0" w:line="142" w:lineRule="exact"/>
              <w:rPr>
                <w:sz w:val="20"/>
                <w:szCs w:val="20"/>
                <w:color w:val="auto"/>
              </w:rPr>
            </w:pPr>
            <w:r>
              <w:rPr>
                <w:rFonts w:ascii="Arial" w:cs="Arial" w:eastAsia="Arial" w:hAnsi="Arial"/>
                <w:sz w:val="14"/>
                <w:szCs w:val="14"/>
                <w:b w:val="1"/>
                <w:bCs w:val="1"/>
                <w:color w:val="auto"/>
                <w:w w:val="89"/>
              </w:rPr>
              <w:t>Employees</w:t>
            </w:r>
          </w:p>
        </w:tc>
        <w:tc>
          <w:tcPr>
            <w:tcW w:w="740" w:type="dxa"/>
            <w:vAlign w:val="bottom"/>
            <w:gridSpan w:val="2"/>
          </w:tcPr>
          <w:p>
            <w:pPr>
              <w:jc w:val="right"/>
              <w:ind w:right="12"/>
              <w:spacing w:after="0" w:line="142" w:lineRule="exact"/>
              <w:rPr>
                <w:sz w:val="20"/>
                <w:szCs w:val="20"/>
                <w:color w:val="auto"/>
              </w:rPr>
            </w:pPr>
            <w:r>
              <w:rPr>
                <w:rFonts w:ascii="Arial" w:cs="Arial" w:eastAsia="Arial" w:hAnsi="Arial"/>
                <w:sz w:val="14"/>
                <w:szCs w:val="14"/>
                <w:b w:val="1"/>
                <w:bCs w:val="1"/>
                <w:color w:val="auto"/>
                <w:w w:val="87"/>
              </w:rPr>
              <w:t>Executives</w:t>
            </w:r>
          </w:p>
        </w:tc>
        <w:tc>
          <w:tcPr>
            <w:tcW w:w="160" w:type="dxa"/>
            <w:vAlign w:val="bottom"/>
          </w:tcPr>
          <w:p>
            <w:pPr>
              <w:spacing w:after="0"/>
              <w:rPr>
                <w:sz w:val="12"/>
                <w:szCs w:val="12"/>
                <w:color w:val="auto"/>
              </w:rPr>
            </w:pPr>
          </w:p>
        </w:tc>
        <w:tc>
          <w:tcPr>
            <w:tcW w:w="920" w:type="dxa"/>
            <w:vAlign w:val="bottom"/>
            <w:gridSpan w:val="3"/>
          </w:tcPr>
          <w:p>
            <w:pPr>
              <w:jc w:val="right"/>
              <w:ind w:right="220"/>
              <w:spacing w:after="0" w:line="142" w:lineRule="exact"/>
              <w:rPr>
                <w:sz w:val="20"/>
                <w:szCs w:val="20"/>
                <w:color w:val="auto"/>
              </w:rPr>
            </w:pPr>
            <w:r>
              <w:rPr>
                <w:rFonts w:ascii="Arial" w:cs="Arial" w:eastAsia="Arial" w:hAnsi="Arial"/>
                <w:sz w:val="14"/>
                <w:szCs w:val="14"/>
                <w:b w:val="1"/>
                <w:bCs w:val="1"/>
                <w:color w:val="auto"/>
                <w:w w:val="91"/>
              </w:rPr>
              <w:t>Employees</w:t>
            </w:r>
          </w:p>
        </w:tc>
        <w:tc>
          <w:tcPr>
            <w:tcW w:w="760" w:type="dxa"/>
            <w:vAlign w:val="bottom"/>
            <w:gridSpan w:val="2"/>
          </w:tcPr>
          <w:p>
            <w:pPr>
              <w:jc w:val="right"/>
              <w:ind w:right="12"/>
              <w:spacing w:after="0" w:line="142" w:lineRule="exact"/>
              <w:rPr>
                <w:sz w:val="20"/>
                <w:szCs w:val="20"/>
                <w:color w:val="auto"/>
              </w:rPr>
            </w:pPr>
            <w:r>
              <w:rPr>
                <w:rFonts w:ascii="Arial" w:cs="Arial" w:eastAsia="Arial" w:hAnsi="Arial"/>
                <w:sz w:val="14"/>
                <w:szCs w:val="14"/>
                <w:b w:val="1"/>
                <w:bCs w:val="1"/>
                <w:color w:val="auto"/>
                <w:w w:val="90"/>
              </w:rPr>
              <w:t>Executives</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1160" w:type="dxa"/>
            <w:vAlign w:val="bottom"/>
          </w:tcPr>
          <w:p>
            <w:pPr>
              <w:spacing w:after="0"/>
              <w:rPr>
                <w:sz w:val="12"/>
                <w:szCs w:val="12"/>
                <w:color w:val="auto"/>
              </w:rPr>
            </w:pPr>
          </w:p>
        </w:tc>
        <w:tc>
          <w:tcPr>
            <w:tcW w:w="5460" w:type="dxa"/>
            <w:vAlign w:val="bottom"/>
            <w:shd w:val="clear" w:color="auto" w:fill="CCEEFF"/>
          </w:tcPr>
          <w:p>
            <w:pPr>
              <w:ind w:left="420"/>
              <w:spacing w:after="0" w:line="142" w:lineRule="exact"/>
              <w:rPr>
                <w:sz w:val="20"/>
                <w:szCs w:val="20"/>
                <w:color w:val="auto"/>
              </w:rPr>
            </w:pPr>
            <w:r>
              <w:rPr>
                <w:rFonts w:ascii="Arial" w:cs="Arial" w:eastAsia="Arial" w:hAnsi="Arial"/>
                <w:sz w:val="14"/>
                <w:szCs w:val="14"/>
                <w:b w:val="1"/>
                <w:bCs w:val="1"/>
                <w:color w:val="auto"/>
              </w:rPr>
              <w:t>Reconciliation of the market value of plan assets</w:t>
            </w:r>
          </w:p>
        </w:tc>
        <w:tc>
          <w:tcPr>
            <w:tcW w:w="280" w:type="dxa"/>
            <w:vAlign w:val="bottom"/>
            <w:tcBorders>
              <w:top w:val="single" w:sz="8" w:color="auto"/>
            </w:tcBorders>
            <w:shd w:val="clear" w:color="auto" w:fill="CCEEFF"/>
          </w:tcPr>
          <w:p>
            <w:pPr>
              <w:spacing w:after="0"/>
              <w:rPr>
                <w:sz w:val="12"/>
                <w:szCs w:val="12"/>
                <w:color w:val="auto"/>
              </w:rPr>
            </w:pPr>
          </w:p>
        </w:tc>
        <w:tc>
          <w:tcPr>
            <w:tcW w:w="460" w:type="dxa"/>
            <w:vAlign w:val="bottom"/>
            <w:tcBorders>
              <w:top w:val="single" w:sz="8" w:color="auto"/>
            </w:tcBorders>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220" w:type="dxa"/>
            <w:vAlign w:val="bottom"/>
            <w:tcBorders>
              <w:top w:val="single" w:sz="8" w:color="auto"/>
            </w:tcBorders>
            <w:shd w:val="clear" w:color="auto" w:fill="CCEEFF"/>
          </w:tcPr>
          <w:p>
            <w:pPr>
              <w:spacing w:after="0"/>
              <w:rPr>
                <w:sz w:val="12"/>
                <w:szCs w:val="12"/>
                <w:color w:val="auto"/>
              </w:rPr>
            </w:pPr>
          </w:p>
        </w:tc>
        <w:tc>
          <w:tcPr>
            <w:tcW w:w="520" w:type="dxa"/>
            <w:vAlign w:val="bottom"/>
            <w:tcBorders>
              <w:top w:val="single" w:sz="8" w:color="auto"/>
            </w:tcBorders>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40" w:type="dxa"/>
            <w:vAlign w:val="bottom"/>
            <w:tcBorders>
              <w:top w:val="single" w:sz="8" w:color="auto"/>
            </w:tcBorders>
            <w:shd w:val="clear" w:color="auto" w:fill="CCEEFF"/>
          </w:tcPr>
          <w:p>
            <w:pPr>
              <w:spacing w:after="0"/>
              <w:rPr>
                <w:sz w:val="12"/>
                <w:szCs w:val="12"/>
                <w:color w:val="auto"/>
              </w:rPr>
            </w:pPr>
          </w:p>
        </w:tc>
        <w:tc>
          <w:tcPr>
            <w:tcW w:w="520" w:type="dxa"/>
            <w:vAlign w:val="bottom"/>
            <w:tcBorders>
              <w:top w:val="single" w:sz="8" w:color="auto"/>
            </w:tcBorders>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40" w:type="dxa"/>
            <w:vAlign w:val="bottom"/>
            <w:tcBorders>
              <w:top w:val="single" w:sz="8" w:color="auto"/>
            </w:tcBorders>
            <w:shd w:val="clear" w:color="auto" w:fill="CCEEFF"/>
          </w:tcPr>
          <w:p>
            <w:pPr>
              <w:spacing w:after="0"/>
              <w:rPr>
                <w:sz w:val="12"/>
                <w:szCs w:val="12"/>
                <w:color w:val="auto"/>
              </w:rPr>
            </w:pPr>
          </w:p>
        </w:tc>
        <w:tc>
          <w:tcPr>
            <w:tcW w:w="520" w:type="dxa"/>
            <w:vAlign w:val="bottom"/>
            <w:tcBorders>
              <w:top w:val="single" w:sz="8" w:color="auto"/>
            </w:tcBorders>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5460" w:type="dxa"/>
            <w:vAlign w:val="bottom"/>
          </w:tcPr>
          <w:p>
            <w:pPr>
              <w:ind w:left="420"/>
              <w:spacing w:after="0" w:line="149" w:lineRule="exact"/>
              <w:rPr>
                <w:sz w:val="20"/>
                <w:szCs w:val="20"/>
                <w:color w:val="auto"/>
              </w:rPr>
            </w:pPr>
            <w:r>
              <w:rPr>
                <w:rFonts w:ascii="Arial" w:cs="Arial" w:eastAsia="Arial" w:hAnsi="Arial"/>
                <w:sz w:val="14"/>
                <w:szCs w:val="14"/>
                <w:color w:val="auto"/>
              </w:rPr>
              <w:t>Fair value of plan assets, beginning of year</w:t>
            </w:r>
          </w:p>
        </w:tc>
        <w:tc>
          <w:tcPr>
            <w:tcW w:w="280" w:type="dxa"/>
            <w:vAlign w:val="bottom"/>
          </w:tcPr>
          <w:p>
            <w:pPr>
              <w:jc w:val="right"/>
              <w:ind w:right="167"/>
              <w:spacing w:after="0"/>
              <w:rPr>
                <w:sz w:val="20"/>
                <w:szCs w:val="20"/>
                <w:color w:val="auto"/>
              </w:rPr>
            </w:pPr>
            <w:r>
              <w:rPr>
                <w:rFonts w:ascii="Arial" w:cs="Arial" w:eastAsia="Arial" w:hAnsi="Arial"/>
                <w:sz w:val="10"/>
                <w:szCs w:val="10"/>
                <w:color w:val="auto"/>
                <w:w w:val="71"/>
              </w:rPr>
              <w:t>$</w:t>
            </w:r>
          </w:p>
        </w:tc>
        <w:tc>
          <w:tcPr>
            <w:tcW w:w="460" w:type="dxa"/>
            <w:vAlign w:val="bottom"/>
          </w:tcPr>
          <w:p>
            <w:pPr>
              <w:jc w:val="right"/>
              <w:spacing w:after="0" w:line="149" w:lineRule="exact"/>
              <w:rPr>
                <w:sz w:val="20"/>
                <w:szCs w:val="20"/>
                <w:color w:val="auto"/>
              </w:rPr>
            </w:pPr>
            <w:r>
              <w:rPr>
                <w:rFonts w:ascii="Arial" w:cs="Arial" w:eastAsia="Arial" w:hAnsi="Arial"/>
                <w:sz w:val="14"/>
                <w:szCs w:val="14"/>
                <w:color w:val="auto"/>
              </w:rPr>
              <w:t>110</w:t>
            </w:r>
          </w:p>
        </w:tc>
        <w:tc>
          <w:tcPr>
            <w:tcW w:w="180" w:type="dxa"/>
            <w:vAlign w:val="bottom"/>
          </w:tcPr>
          <w:p>
            <w:pPr>
              <w:spacing w:after="0"/>
              <w:rPr>
                <w:sz w:val="12"/>
                <w:szCs w:val="12"/>
                <w:color w:val="auto"/>
              </w:rPr>
            </w:pPr>
          </w:p>
        </w:tc>
        <w:tc>
          <w:tcPr>
            <w:tcW w:w="220" w:type="dxa"/>
            <w:vAlign w:val="bottom"/>
          </w:tcPr>
          <w:p>
            <w:pPr>
              <w:jc w:val="right"/>
              <w:ind w:right="107"/>
              <w:spacing w:after="0"/>
              <w:rPr>
                <w:sz w:val="20"/>
                <w:szCs w:val="20"/>
                <w:color w:val="auto"/>
              </w:rPr>
            </w:pPr>
            <w:r>
              <w:rPr>
                <w:rFonts w:ascii="Arial" w:cs="Arial" w:eastAsia="Arial" w:hAnsi="Arial"/>
                <w:sz w:val="10"/>
                <w:szCs w:val="10"/>
                <w:color w:val="auto"/>
                <w:w w:val="71"/>
              </w:rPr>
              <w:t>$</w:t>
            </w:r>
          </w:p>
        </w:tc>
        <w:tc>
          <w:tcPr>
            <w:tcW w:w="520" w:type="dxa"/>
            <w:vAlign w:val="bottom"/>
          </w:tcPr>
          <w:p>
            <w:pPr>
              <w:jc w:val="right"/>
              <w:spacing w:after="0" w:line="149" w:lineRule="exact"/>
              <w:rPr>
                <w:sz w:val="20"/>
                <w:szCs w:val="20"/>
                <w:color w:val="auto"/>
              </w:rPr>
            </w:pPr>
            <w:r>
              <w:rPr>
                <w:rFonts w:ascii="Arial" w:cs="Arial" w:eastAsia="Arial" w:hAnsi="Arial"/>
                <w:sz w:val="14"/>
                <w:szCs w:val="14"/>
                <w:color w:val="auto"/>
              </w:rPr>
              <w:t>1,142</w:t>
            </w:r>
          </w:p>
        </w:tc>
        <w:tc>
          <w:tcPr>
            <w:tcW w:w="160" w:type="dxa"/>
            <w:vAlign w:val="bottom"/>
          </w:tcPr>
          <w:p>
            <w:pPr>
              <w:spacing w:after="0"/>
              <w:rPr>
                <w:sz w:val="12"/>
                <w:szCs w:val="12"/>
                <w:color w:val="auto"/>
              </w:rPr>
            </w:pPr>
          </w:p>
        </w:tc>
        <w:tc>
          <w:tcPr>
            <w:tcW w:w="240" w:type="dxa"/>
            <w:vAlign w:val="bottom"/>
          </w:tcPr>
          <w:p>
            <w:pPr>
              <w:jc w:val="right"/>
              <w:ind w:right="92"/>
              <w:spacing w:after="0" w:line="149" w:lineRule="exact"/>
              <w:rPr>
                <w:sz w:val="20"/>
                <w:szCs w:val="20"/>
                <w:color w:val="auto"/>
              </w:rPr>
            </w:pPr>
            <w:r>
              <w:rPr>
                <w:rFonts w:ascii="Arial" w:cs="Arial" w:eastAsia="Arial" w:hAnsi="Arial"/>
                <w:sz w:val="14"/>
                <w:szCs w:val="14"/>
                <w:color w:val="auto"/>
                <w:w w:val="76"/>
              </w:rPr>
              <w:t>$</w:t>
            </w:r>
          </w:p>
        </w:tc>
        <w:tc>
          <w:tcPr>
            <w:tcW w:w="520" w:type="dxa"/>
            <w:vAlign w:val="bottom"/>
          </w:tcPr>
          <w:p>
            <w:pPr>
              <w:jc w:val="right"/>
              <w:spacing w:after="0" w:line="149" w:lineRule="exact"/>
              <w:rPr>
                <w:sz w:val="20"/>
                <w:szCs w:val="20"/>
                <w:color w:val="auto"/>
              </w:rPr>
            </w:pPr>
            <w:r>
              <w:rPr>
                <w:rFonts w:ascii="Arial" w:cs="Arial" w:eastAsia="Arial" w:hAnsi="Arial"/>
                <w:sz w:val="14"/>
                <w:szCs w:val="14"/>
                <w:color w:val="auto"/>
              </w:rPr>
              <w:t>2,487</w:t>
            </w:r>
          </w:p>
        </w:tc>
        <w:tc>
          <w:tcPr>
            <w:tcW w:w="160" w:type="dxa"/>
            <w:vAlign w:val="bottom"/>
          </w:tcPr>
          <w:p>
            <w:pPr>
              <w:spacing w:after="0"/>
              <w:rPr>
                <w:sz w:val="12"/>
                <w:szCs w:val="12"/>
                <w:color w:val="auto"/>
              </w:rPr>
            </w:pPr>
          </w:p>
        </w:tc>
        <w:tc>
          <w:tcPr>
            <w:tcW w:w="240" w:type="dxa"/>
            <w:vAlign w:val="bottom"/>
          </w:tcPr>
          <w:p>
            <w:pPr>
              <w:jc w:val="right"/>
              <w:ind w:right="92"/>
              <w:spacing w:after="0" w:line="149" w:lineRule="exact"/>
              <w:rPr>
                <w:sz w:val="20"/>
                <w:szCs w:val="20"/>
                <w:color w:val="auto"/>
              </w:rPr>
            </w:pPr>
            <w:r>
              <w:rPr>
                <w:rFonts w:ascii="Arial" w:cs="Arial" w:eastAsia="Arial" w:hAnsi="Arial"/>
                <w:sz w:val="14"/>
                <w:szCs w:val="14"/>
                <w:color w:val="auto"/>
                <w:w w:val="76"/>
              </w:rPr>
              <w:t>$</w:t>
            </w:r>
          </w:p>
        </w:tc>
        <w:tc>
          <w:tcPr>
            <w:tcW w:w="520" w:type="dxa"/>
            <w:vAlign w:val="bottom"/>
          </w:tcPr>
          <w:p>
            <w:pPr>
              <w:jc w:val="right"/>
              <w:spacing w:after="0" w:line="149" w:lineRule="exact"/>
              <w:rPr>
                <w:sz w:val="20"/>
                <w:szCs w:val="20"/>
                <w:color w:val="auto"/>
              </w:rPr>
            </w:pPr>
            <w:r>
              <w:rPr>
                <w:rFonts w:ascii="Arial" w:cs="Arial" w:eastAsia="Arial" w:hAnsi="Arial"/>
                <w:sz w:val="14"/>
                <w:szCs w:val="14"/>
                <w:color w:val="auto"/>
              </w:rPr>
              <w:t>1,226</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546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Agnico-Eagle's contribution</w:t>
            </w:r>
          </w:p>
        </w:tc>
        <w:tc>
          <w:tcPr>
            <w:tcW w:w="280" w:type="dxa"/>
            <w:vAlign w:val="bottom"/>
            <w:shd w:val="clear" w:color="auto" w:fill="CCEEFF"/>
          </w:tcPr>
          <w:p>
            <w:pPr>
              <w:spacing w:after="0"/>
              <w:rPr>
                <w:sz w:val="12"/>
                <w:szCs w:val="12"/>
                <w:color w:val="auto"/>
              </w:rPr>
            </w:pPr>
          </w:p>
        </w:tc>
        <w:tc>
          <w:tcPr>
            <w:tcW w:w="6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598</w:t>
            </w:r>
          </w:p>
        </w:tc>
        <w:tc>
          <w:tcPr>
            <w:tcW w:w="16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24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349</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5460" w:type="dxa"/>
            <w:vAlign w:val="bottom"/>
          </w:tcPr>
          <w:p>
            <w:pPr>
              <w:ind w:left="420"/>
              <w:spacing w:after="0" w:line="149" w:lineRule="exact"/>
              <w:rPr>
                <w:sz w:val="20"/>
                <w:szCs w:val="20"/>
                <w:color w:val="auto"/>
              </w:rPr>
            </w:pPr>
            <w:r>
              <w:rPr>
                <w:rFonts w:ascii="Arial" w:cs="Arial" w:eastAsia="Arial" w:hAnsi="Arial"/>
                <w:sz w:val="14"/>
                <w:szCs w:val="14"/>
                <w:color w:val="auto"/>
              </w:rPr>
              <w:t>Actual return on plan assets</w:t>
            </w:r>
          </w:p>
        </w:tc>
        <w:tc>
          <w:tcPr>
            <w:tcW w:w="280" w:type="dxa"/>
            <w:vAlign w:val="bottom"/>
          </w:tcPr>
          <w:p>
            <w:pPr>
              <w:spacing w:after="0"/>
              <w:rPr>
                <w:sz w:val="12"/>
                <w:szCs w:val="12"/>
                <w:color w:val="auto"/>
              </w:rPr>
            </w:pPr>
          </w:p>
        </w:tc>
        <w:tc>
          <w:tcPr>
            <w:tcW w:w="6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220" w:type="dxa"/>
            <w:vAlign w:val="bottom"/>
          </w:tcPr>
          <w:p>
            <w:pPr>
              <w:spacing w:after="0"/>
              <w:rPr>
                <w:sz w:val="12"/>
                <w:szCs w:val="12"/>
                <w:color w:val="auto"/>
              </w:rPr>
            </w:pPr>
          </w:p>
        </w:tc>
        <w:tc>
          <w:tcPr>
            <w:tcW w:w="6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240" w:type="dxa"/>
            <w:vAlign w:val="bottom"/>
          </w:tcPr>
          <w:p>
            <w:pPr>
              <w:spacing w:after="0"/>
              <w:rPr>
                <w:sz w:val="12"/>
                <w:szCs w:val="12"/>
                <w:color w:val="auto"/>
              </w:rPr>
            </w:pPr>
          </w:p>
        </w:tc>
        <w:tc>
          <w:tcPr>
            <w:tcW w:w="520" w:type="dxa"/>
            <w:vAlign w:val="bottom"/>
          </w:tcPr>
          <w:p>
            <w:pPr>
              <w:jc w:val="right"/>
              <w:spacing w:after="0" w:line="149" w:lineRule="exact"/>
              <w:rPr>
                <w:sz w:val="20"/>
                <w:szCs w:val="20"/>
                <w:color w:val="auto"/>
              </w:rPr>
            </w:pPr>
            <w:r>
              <w:rPr>
                <w:rFonts w:ascii="Arial" w:cs="Arial" w:eastAsia="Arial" w:hAnsi="Arial"/>
                <w:sz w:val="14"/>
                <w:szCs w:val="14"/>
                <w:color w:val="auto"/>
              </w:rPr>
              <w:t>96</w:t>
            </w:r>
          </w:p>
        </w:tc>
        <w:tc>
          <w:tcPr>
            <w:tcW w:w="1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546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Benefit payments</w:t>
            </w:r>
          </w:p>
        </w:tc>
        <w:tc>
          <w:tcPr>
            <w:tcW w:w="280" w:type="dxa"/>
            <w:vAlign w:val="bottom"/>
            <w:shd w:val="clear" w:color="auto" w:fill="CCEEFF"/>
          </w:tcPr>
          <w:p>
            <w:pPr>
              <w:spacing w:after="0"/>
              <w:rPr>
                <w:sz w:val="12"/>
                <w:szCs w:val="12"/>
                <w:color w:val="auto"/>
              </w:rPr>
            </w:pPr>
          </w:p>
        </w:tc>
        <w:tc>
          <w:tcPr>
            <w:tcW w:w="6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(299)</w:t>
            </w:r>
          </w:p>
        </w:tc>
        <w:tc>
          <w:tcPr>
            <w:tcW w:w="24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(178)</w:t>
            </w:r>
          </w:p>
        </w:tc>
        <w:tc>
          <w:tcPr>
            <w:tcW w:w="24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(174)</w:t>
            </w: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5460" w:type="dxa"/>
            <w:vAlign w:val="bottom"/>
          </w:tcPr>
          <w:p>
            <w:pPr>
              <w:ind w:left="420"/>
              <w:spacing w:after="0" w:line="149" w:lineRule="exact"/>
              <w:rPr>
                <w:sz w:val="20"/>
                <w:szCs w:val="20"/>
                <w:color w:val="auto"/>
              </w:rPr>
            </w:pPr>
            <w:r>
              <w:rPr>
                <w:rFonts w:ascii="Arial" w:cs="Arial" w:eastAsia="Arial" w:hAnsi="Arial"/>
                <w:sz w:val="14"/>
                <w:szCs w:val="14"/>
                <w:color w:val="auto"/>
              </w:rPr>
              <w:t>Other</w:t>
            </w:r>
          </w:p>
        </w:tc>
        <w:tc>
          <w:tcPr>
            <w:tcW w:w="280" w:type="dxa"/>
            <w:vAlign w:val="bottom"/>
          </w:tcPr>
          <w:p>
            <w:pPr>
              <w:spacing w:after="0"/>
              <w:rPr>
                <w:sz w:val="12"/>
                <w:szCs w:val="12"/>
                <w:color w:val="auto"/>
              </w:rPr>
            </w:pPr>
          </w:p>
        </w:tc>
        <w:tc>
          <w:tcPr>
            <w:tcW w:w="64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(117)</w:t>
            </w:r>
          </w:p>
        </w:tc>
        <w:tc>
          <w:tcPr>
            <w:tcW w:w="220" w:type="dxa"/>
            <w:vAlign w:val="bottom"/>
          </w:tcPr>
          <w:p>
            <w:pPr>
              <w:spacing w:after="0"/>
              <w:rPr>
                <w:sz w:val="12"/>
                <w:szCs w:val="12"/>
                <w:color w:val="auto"/>
              </w:rPr>
            </w:pPr>
          </w:p>
        </w:tc>
        <w:tc>
          <w:tcPr>
            <w:tcW w:w="6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240" w:type="dxa"/>
            <w:vAlign w:val="bottom"/>
          </w:tcPr>
          <w:p>
            <w:pPr>
              <w:spacing w:after="0"/>
              <w:rPr>
                <w:sz w:val="12"/>
                <w:szCs w:val="12"/>
                <w:color w:val="auto"/>
              </w:rPr>
            </w:pPr>
          </w:p>
        </w:tc>
        <w:tc>
          <w:tcPr>
            <w:tcW w:w="6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240" w:type="dxa"/>
            <w:vAlign w:val="bottom"/>
          </w:tcPr>
          <w:p>
            <w:pPr>
              <w:spacing w:after="0"/>
              <w:rPr>
                <w:sz w:val="12"/>
                <w:szCs w:val="12"/>
                <w:color w:val="auto"/>
              </w:rPr>
            </w:pPr>
          </w:p>
        </w:tc>
        <w:tc>
          <w:tcPr>
            <w:tcW w:w="6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546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Divestitures</w:t>
            </w:r>
          </w:p>
        </w:tc>
        <w:tc>
          <w:tcPr>
            <w:tcW w:w="280" w:type="dxa"/>
            <w:vAlign w:val="bottom"/>
            <w:shd w:val="clear" w:color="auto" w:fill="CCEEFF"/>
          </w:tcPr>
          <w:p>
            <w:pPr>
              <w:spacing w:after="0"/>
              <w:rPr>
                <w:sz w:val="12"/>
                <w:szCs w:val="12"/>
                <w:color w:val="auto"/>
              </w:rPr>
            </w:pPr>
          </w:p>
        </w:tc>
        <w:tc>
          <w:tcPr>
            <w:tcW w:w="6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24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(2,096)</w:t>
            </w:r>
          </w:p>
        </w:tc>
        <w:tc>
          <w:tcPr>
            <w:tcW w:w="24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74"/>
        </w:trPr>
        <w:tc>
          <w:tcPr>
            <w:tcW w:w="1160" w:type="dxa"/>
            <w:vAlign w:val="bottom"/>
          </w:tcPr>
          <w:p>
            <w:pPr>
              <w:spacing w:after="0"/>
              <w:rPr>
                <w:sz w:val="15"/>
                <w:szCs w:val="15"/>
                <w:color w:val="auto"/>
              </w:rPr>
            </w:pPr>
          </w:p>
        </w:tc>
        <w:tc>
          <w:tcPr>
            <w:tcW w:w="5460" w:type="dxa"/>
            <w:vAlign w:val="bottom"/>
          </w:tcPr>
          <w:p>
            <w:pPr>
              <w:ind w:left="420"/>
              <w:spacing w:after="0"/>
              <w:rPr>
                <w:sz w:val="20"/>
                <w:szCs w:val="20"/>
                <w:color w:val="auto"/>
              </w:rPr>
            </w:pPr>
            <w:r>
              <w:rPr>
                <w:rFonts w:ascii="Arial" w:cs="Arial" w:eastAsia="Arial" w:hAnsi="Arial"/>
                <w:sz w:val="14"/>
                <w:szCs w:val="14"/>
                <w:color w:val="auto"/>
              </w:rPr>
              <w:t>Effect of exchange rate changes</w:t>
            </w:r>
          </w:p>
        </w:tc>
        <w:tc>
          <w:tcPr>
            <w:tcW w:w="280" w:type="dxa"/>
            <w:vAlign w:val="bottom"/>
          </w:tcPr>
          <w:p>
            <w:pPr>
              <w:spacing w:after="0"/>
              <w:rPr>
                <w:sz w:val="15"/>
                <w:szCs w:val="15"/>
                <w:color w:val="auto"/>
              </w:rPr>
            </w:pPr>
          </w:p>
        </w:tc>
        <w:tc>
          <w:tcPr>
            <w:tcW w:w="460" w:type="dxa"/>
            <w:vAlign w:val="bottom"/>
          </w:tcPr>
          <w:p>
            <w:pPr>
              <w:jc w:val="right"/>
              <w:spacing w:after="0"/>
              <w:rPr>
                <w:sz w:val="20"/>
                <w:szCs w:val="20"/>
                <w:color w:val="auto"/>
              </w:rPr>
            </w:pPr>
            <w:r>
              <w:rPr>
                <w:rFonts w:ascii="Arial" w:cs="Arial" w:eastAsia="Arial" w:hAnsi="Arial"/>
                <w:sz w:val="14"/>
                <w:szCs w:val="14"/>
                <w:color w:val="auto"/>
              </w:rPr>
              <w:t>7</w:t>
            </w:r>
          </w:p>
        </w:tc>
        <w:tc>
          <w:tcPr>
            <w:tcW w:w="1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520" w:type="dxa"/>
            <w:vAlign w:val="bottom"/>
          </w:tcPr>
          <w:p>
            <w:pPr>
              <w:jc w:val="right"/>
              <w:spacing w:after="0"/>
              <w:rPr>
                <w:sz w:val="20"/>
                <w:szCs w:val="20"/>
                <w:color w:val="auto"/>
              </w:rPr>
            </w:pPr>
            <w:r>
              <w:rPr>
                <w:rFonts w:ascii="Arial" w:cs="Arial" w:eastAsia="Arial" w:hAnsi="Arial"/>
                <w:sz w:val="14"/>
                <w:szCs w:val="14"/>
                <w:color w:val="auto"/>
              </w:rPr>
              <w:t>194</w:t>
            </w:r>
          </w:p>
        </w:tc>
        <w:tc>
          <w:tcPr>
            <w:tcW w:w="16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4"/>
                <w:szCs w:val="14"/>
                <w:color w:val="auto"/>
              </w:rPr>
              <w:t>(199)</w:t>
            </w:r>
          </w:p>
        </w:tc>
        <w:tc>
          <w:tcPr>
            <w:tcW w:w="240" w:type="dxa"/>
            <w:vAlign w:val="bottom"/>
          </w:tcPr>
          <w:p>
            <w:pPr>
              <w:spacing w:after="0"/>
              <w:rPr>
                <w:sz w:val="15"/>
                <w:szCs w:val="15"/>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4"/>
                <w:szCs w:val="14"/>
                <w:color w:val="auto"/>
              </w:rPr>
              <w:t>(259)</w:t>
            </w:r>
          </w:p>
        </w:tc>
        <w:tc>
          <w:tcPr>
            <w:tcW w:w="0" w:type="dxa"/>
            <w:vAlign w:val="bottom"/>
          </w:tcPr>
          <w:p>
            <w:pPr>
              <w:spacing w:after="0"/>
              <w:rPr>
                <w:sz w:val="1"/>
                <w:szCs w:val="1"/>
                <w:color w:val="auto"/>
              </w:rPr>
            </w:pPr>
          </w:p>
        </w:tc>
      </w:tr>
      <w:tr>
        <w:trPr>
          <w:trHeight w:val="20"/>
        </w:trPr>
        <w:tc>
          <w:tcPr>
            <w:tcW w:w="1160" w:type="dxa"/>
            <w:vAlign w:val="bottom"/>
          </w:tcPr>
          <w:p>
            <w:pPr>
              <w:spacing w:after="0" w:line="20" w:lineRule="exact"/>
              <w:rPr>
                <w:sz w:val="1"/>
                <w:szCs w:val="1"/>
                <w:color w:val="auto"/>
              </w:rPr>
            </w:pPr>
          </w:p>
        </w:tc>
        <w:tc>
          <w:tcPr>
            <w:tcW w:w="5460" w:type="dxa"/>
            <w:vAlign w:val="bottom"/>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4"/>
        </w:trPr>
        <w:tc>
          <w:tcPr>
            <w:tcW w:w="1160" w:type="dxa"/>
            <w:vAlign w:val="bottom"/>
          </w:tcPr>
          <w:p>
            <w:pPr>
              <w:spacing w:after="0"/>
              <w:rPr>
                <w:sz w:val="12"/>
                <w:szCs w:val="12"/>
                <w:color w:val="auto"/>
              </w:rPr>
            </w:pPr>
          </w:p>
        </w:tc>
        <w:tc>
          <w:tcPr>
            <w:tcW w:w="5460" w:type="dxa"/>
            <w:vAlign w:val="bottom"/>
            <w:shd w:val="clear" w:color="auto" w:fill="CCEEFF"/>
          </w:tcPr>
          <w:p>
            <w:pPr>
              <w:ind w:left="420"/>
              <w:spacing w:after="0" w:line="144" w:lineRule="exact"/>
              <w:rPr>
                <w:sz w:val="20"/>
                <w:szCs w:val="20"/>
                <w:color w:val="auto"/>
              </w:rPr>
            </w:pPr>
            <w:r>
              <w:rPr>
                <w:rFonts w:ascii="Arial" w:cs="Arial" w:eastAsia="Arial" w:hAnsi="Arial"/>
                <w:sz w:val="14"/>
                <w:szCs w:val="14"/>
                <w:color w:val="auto"/>
              </w:rPr>
              <w:t>Fair value of plan assets, end of year</w:t>
            </w:r>
          </w:p>
        </w:tc>
        <w:tc>
          <w:tcPr>
            <w:tcW w:w="280" w:type="dxa"/>
            <w:vAlign w:val="bottom"/>
            <w:shd w:val="clear" w:color="auto" w:fill="CCEEFF"/>
          </w:tcPr>
          <w:p>
            <w:pPr>
              <w:jc w:val="right"/>
              <w:ind w:right="167"/>
              <w:spacing w:after="0"/>
              <w:rPr>
                <w:sz w:val="20"/>
                <w:szCs w:val="20"/>
                <w:color w:val="auto"/>
              </w:rPr>
            </w:pPr>
            <w:r>
              <w:rPr>
                <w:rFonts w:ascii="Arial" w:cs="Arial" w:eastAsia="Arial" w:hAnsi="Arial"/>
                <w:sz w:val="10"/>
                <w:szCs w:val="10"/>
                <w:color w:val="auto"/>
                <w:w w:val="71"/>
              </w:rPr>
              <w:t>$</w:t>
            </w:r>
          </w:p>
        </w:tc>
        <w:tc>
          <w:tcPr>
            <w:tcW w:w="640" w:type="dxa"/>
            <w:vAlign w:val="bottom"/>
            <w:gridSpan w:val="2"/>
            <w:shd w:val="clear" w:color="auto" w:fill="CCEEFF"/>
          </w:tcPr>
          <w:p>
            <w:pPr>
              <w:jc w:val="right"/>
              <w:ind w:right="180"/>
              <w:spacing w:after="0" w:line="144"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jc w:val="right"/>
              <w:ind w:right="107"/>
              <w:spacing w:after="0"/>
              <w:rPr>
                <w:sz w:val="20"/>
                <w:szCs w:val="20"/>
                <w:color w:val="auto"/>
              </w:rPr>
            </w:pPr>
            <w:r>
              <w:rPr>
                <w:rFonts w:ascii="Arial" w:cs="Arial" w:eastAsia="Arial" w:hAnsi="Arial"/>
                <w:sz w:val="10"/>
                <w:szCs w:val="10"/>
                <w:color w:val="auto"/>
                <w:w w:val="71"/>
              </w:rPr>
              <w:t>$</w:t>
            </w:r>
          </w:p>
        </w:tc>
        <w:tc>
          <w:tcPr>
            <w:tcW w:w="5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1,635</w:t>
            </w:r>
          </w:p>
        </w:tc>
        <w:tc>
          <w:tcPr>
            <w:tcW w:w="160" w:type="dxa"/>
            <w:vAlign w:val="bottom"/>
            <w:shd w:val="clear" w:color="auto" w:fill="CCEEFF"/>
          </w:tcPr>
          <w:p>
            <w:pPr>
              <w:spacing w:after="0"/>
              <w:rPr>
                <w:sz w:val="12"/>
                <w:szCs w:val="12"/>
                <w:color w:val="auto"/>
              </w:rPr>
            </w:pPr>
          </w:p>
        </w:tc>
        <w:tc>
          <w:tcPr>
            <w:tcW w:w="240" w:type="dxa"/>
            <w:vAlign w:val="bottom"/>
            <w:shd w:val="clear" w:color="auto" w:fill="CCEEFF"/>
          </w:tcPr>
          <w:p>
            <w:pPr>
              <w:jc w:val="right"/>
              <w:ind w:right="92"/>
              <w:spacing w:after="0" w:line="144" w:lineRule="exact"/>
              <w:rPr>
                <w:sz w:val="20"/>
                <w:szCs w:val="20"/>
                <w:color w:val="auto"/>
              </w:rPr>
            </w:pPr>
            <w:r>
              <w:rPr>
                <w:rFonts w:ascii="Arial" w:cs="Arial" w:eastAsia="Arial" w:hAnsi="Arial"/>
                <w:sz w:val="14"/>
                <w:szCs w:val="14"/>
                <w:color w:val="auto"/>
                <w:w w:val="76"/>
              </w:rPr>
              <w:t>$</w:t>
            </w:r>
          </w:p>
        </w:tc>
        <w:tc>
          <w:tcPr>
            <w:tcW w:w="5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110</w:t>
            </w:r>
          </w:p>
        </w:tc>
        <w:tc>
          <w:tcPr>
            <w:tcW w:w="160" w:type="dxa"/>
            <w:vAlign w:val="bottom"/>
            <w:shd w:val="clear" w:color="auto" w:fill="CCEEFF"/>
          </w:tcPr>
          <w:p>
            <w:pPr>
              <w:spacing w:after="0"/>
              <w:rPr>
                <w:sz w:val="12"/>
                <w:szCs w:val="12"/>
                <w:color w:val="auto"/>
              </w:rPr>
            </w:pPr>
          </w:p>
        </w:tc>
        <w:tc>
          <w:tcPr>
            <w:tcW w:w="240" w:type="dxa"/>
            <w:vAlign w:val="bottom"/>
            <w:shd w:val="clear" w:color="auto" w:fill="CCEEFF"/>
          </w:tcPr>
          <w:p>
            <w:pPr>
              <w:jc w:val="right"/>
              <w:ind w:right="92"/>
              <w:spacing w:after="0" w:line="144" w:lineRule="exact"/>
              <w:rPr>
                <w:sz w:val="20"/>
                <w:szCs w:val="20"/>
                <w:color w:val="auto"/>
              </w:rPr>
            </w:pPr>
            <w:r>
              <w:rPr>
                <w:rFonts w:ascii="Arial" w:cs="Arial" w:eastAsia="Arial" w:hAnsi="Arial"/>
                <w:sz w:val="14"/>
                <w:szCs w:val="14"/>
                <w:color w:val="auto"/>
                <w:w w:val="76"/>
              </w:rPr>
              <w:t>$</w:t>
            </w:r>
          </w:p>
        </w:tc>
        <w:tc>
          <w:tcPr>
            <w:tcW w:w="5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1,142</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7"/>
        </w:trPr>
        <w:tc>
          <w:tcPr>
            <w:tcW w:w="1160" w:type="dxa"/>
            <w:vAlign w:val="bottom"/>
          </w:tcPr>
          <w:p>
            <w:pPr>
              <w:spacing w:after="0"/>
              <w:rPr>
                <w:sz w:val="2"/>
                <w:szCs w:val="2"/>
                <w:color w:val="auto"/>
              </w:rPr>
            </w:pPr>
          </w:p>
        </w:tc>
        <w:tc>
          <w:tcPr>
            <w:tcW w:w="5460" w:type="dxa"/>
            <w:vAlign w:val="bottom"/>
            <w:vMerge w:val="restart"/>
          </w:tcPr>
          <w:p>
            <w:pPr>
              <w:ind w:left="420"/>
              <w:spacing w:after="0"/>
              <w:rPr>
                <w:sz w:val="20"/>
                <w:szCs w:val="20"/>
                <w:color w:val="auto"/>
              </w:rPr>
            </w:pPr>
            <w:r>
              <w:rPr>
                <w:rFonts w:ascii="Arial" w:cs="Arial" w:eastAsia="Arial" w:hAnsi="Arial"/>
                <w:sz w:val="14"/>
                <w:szCs w:val="14"/>
                <w:b w:val="1"/>
                <w:bCs w:val="1"/>
                <w:color w:val="auto"/>
              </w:rPr>
              <w:t>Reconciliation of projected benefit obligation</w:t>
            </w:r>
          </w:p>
        </w:tc>
        <w:tc>
          <w:tcPr>
            <w:tcW w:w="28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318"/>
        </w:trPr>
        <w:tc>
          <w:tcPr>
            <w:tcW w:w="1160" w:type="dxa"/>
            <w:vAlign w:val="bottom"/>
          </w:tcPr>
          <w:p>
            <w:pPr>
              <w:spacing w:after="0"/>
              <w:rPr>
                <w:sz w:val="24"/>
                <w:szCs w:val="24"/>
                <w:color w:val="auto"/>
              </w:rPr>
            </w:pPr>
          </w:p>
        </w:tc>
        <w:tc>
          <w:tcPr>
            <w:tcW w:w="5460" w:type="dxa"/>
            <w:vAlign w:val="bottom"/>
            <w:vMerge w:val="continue"/>
          </w:tcPr>
          <w:p>
            <w:pPr>
              <w:spacing w:after="0"/>
              <w:rPr>
                <w:sz w:val="24"/>
                <w:szCs w:val="24"/>
                <w:color w:val="auto"/>
              </w:rPr>
            </w:pPr>
          </w:p>
        </w:tc>
        <w:tc>
          <w:tcPr>
            <w:tcW w:w="28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546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Projected benefit obligation, beginning of year</w:t>
            </w:r>
          </w:p>
        </w:tc>
        <w:tc>
          <w:tcPr>
            <w:tcW w:w="280" w:type="dxa"/>
            <w:vAlign w:val="bottom"/>
            <w:shd w:val="clear" w:color="auto" w:fill="CCEEFF"/>
          </w:tcPr>
          <w:p>
            <w:pPr>
              <w:jc w:val="right"/>
              <w:ind w:right="167"/>
              <w:spacing w:after="0"/>
              <w:rPr>
                <w:sz w:val="20"/>
                <w:szCs w:val="20"/>
                <w:color w:val="auto"/>
              </w:rPr>
            </w:pPr>
            <w:r>
              <w:rPr>
                <w:rFonts w:ascii="Arial" w:cs="Arial" w:eastAsia="Arial" w:hAnsi="Arial"/>
                <w:sz w:val="10"/>
                <w:szCs w:val="10"/>
                <w:color w:val="auto"/>
                <w:w w:val="71"/>
              </w:rPr>
              <w:t>$</w:t>
            </w:r>
          </w:p>
        </w:tc>
        <w:tc>
          <w:tcPr>
            <w:tcW w:w="6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jc w:val="right"/>
              <w:ind w:right="107"/>
              <w:spacing w:after="0"/>
              <w:rPr>
                <w:sz w:val="20"/>
                <w:szCs w:val="20"/>
                <w:color w:val="auto"/>
              </w:rPr>
            </w:pPr>
            <w:r>
              <w:rPr>
                <w:rFonts w:ascii="Arial" w:cs="Arial" w:eastAsia="Arial" w:hAnsi="Arial"/>
                <w:sz w:val="10"/>
                <w:szCs w:val="10"/>
                <w:color w:val="auto"/>
                <w:w w:val="71"/>
              </w:rPr>
              <w:t>$</w:t>
            </w: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5,637</w:t>
            </w:r>
          </w:p>
        </w:tc>
        <w:tc>
          <w:tcPr>
            <w:tcW w:w="160" w:type="dxa"/>
            <w:vAlign w:val="bottom"/>
            <w:shd w:val="clear" w:color="auto" w:fill="CCEEFF"/>
          </w:tcPr>
          <w:p>
            <w:pPr>
              <w:spacing w:after="0"/>
              <w:rPr>
                <w:sz w:val="12"/>
                <w:szCs w:val="12"/>
                <w:color w:val="auto"/>
              </w:rPr>
            </w:pPr>
          </w:p>
        </w:tc>
        <w:tc>
          <w:tcPr>
            <w:tcW w:w="240" w:type="dxa"/>
            <w:vAlign w:val="bottom"/>
            <w:shd w:val="clear" w:color="auto" w:fill="CCEEFF"/>
          </w:tcPr>
          <w:p>
            <w:pPr>
              <w:jc w:val="right"/>
              <w:ind w:right="92"/>
              <w:spacing w:after="0" w:line="149" w:lineRule="exact"/>
              <w:rPr>
                <w:sz w:val="20"/>
                <w:szCs w:val="20"/>
                <w:color w:val="auto"/>
              </w:rPr>
            </w:pPr>
            <w:r>
              <w:rPr>
                <w:rFonts w:ascii="Arial" w:cs="Arial" w:eastAsia="Arial" w:hAnsi="Arial"/>
                <w:sz w:val="14"/>
                <w:szCs w:val="14"/>
                <w:color w:val="auto"/>
                <w:w w:val="76"/>
              </w:rPr>
              <w:t>$</w:t>
            </w: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2,252</w:t>
            </w:r>
          </w:p>
        </w:tc>
        <w:tc>
          <w:tcPr>
            <w:tcW w:w="160" w:type="dxa"/>
            <w:vAlign w:val="bottom"/>
            <w:shd w:val="clear" w:color="auto" w:fill="CCEEFF"/>
          </w:tcPr>
          <w:p>
            <w:pPr>
              <w:spacing w:after="0"/>
              <w:rPr>
                <w:sz w:val="12"/>
                <w:szCs w:val="12"/>
                <w:color w:val="auto"/>
              </w:rPr>
            </w:pPr>
          </w:p>
        </w:tc>
        <w:tc>
          <w:tcPr>
            <w:tcW w:w="240" w:type="dxa"/>
            <w:vAlign w:val="bottom"/>
            <w:shd w:val="clear" w:color="auto" w:fill="CCEEFF"/>
          </w:tcPr>
          <w:p>
            <w:pPr>
              <w:jc w:val="right"/>
              <w:ind w:right="92"/>
              <w:spacing w:after="0" w:line="149" w:lineRule="exact"/>
              <w:rPr>
                <w:sz w:val="20"/>
                <w:szCs w:val="20"/>
                <w:color w:val="auto"/>
              </w:rPr>
            </w:pPr>
            <w:r>
              <w:rPr>
                <w:rFonts w:ascii="Arial" w:cs="Arial" w:eastAsia="Arial" w:hAnsi="Arial"/>
                <w:sz w:val="14"/>
                <w:szCs w:val="14"/>
                <w:color w:val="auto"/>
                <w:w w:val="76"/>
              </w:rPr>
              <w:t>$</w:t>
            </w: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8,012</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5460" w:type="dxa"/>
            <w:vAlign w:val="bottom"/>
          </w:tcPr>
          <w:p>
            <w:pPr>
              <w:ind w:left="420"/>
              <w:spacing w:after="0" w:line="149" w:lineRule="exact"/>
              <w:rPr>
                <w:sz w:val="20"/>
                <w:szCs w:val="20"/>
                <w:color w:val="auto"/>
              </w:rPr>
            </w:pPr>
            <w:r>
              <w:rPr>
                <w:rFonts w:ascii="Arial" w:cs="Arial" w:eastAsia="Arial" w:hAnsi="Arial"/>
                <w:sz w:val="14"/>
                <w:szCs w:val="14"/>
                <w:color w:val="auto"/>
              </w:rPr>
              <w:t>Service costs</w:t>
            </w:r>
          </w:p>
        </w:tc>
        <w:tc>
          <w:tcPr>
            <w:tcW w:w="280" w:type="dxa"/>
            <w:vAlign w:val="bottom"/>
          </w:tcPr>
          <w:p>
            <w:pPr>
              <w:spacing w:after="0"/>
              <w:rPr>
                <w:sz w:val="12"/>
                <w:szCs w:val="12"/>
                <w:color w:val="auto"/>
              </w:rPr>
            </w:pPr>
          </w:p>
        </w:tc>
        <w:tc>
          <w:tcPr>
            <w:tcW w:w="6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220" w:type="dxa"/>
            <w:vAlign w:val="bottom"/>
          </w:tcPr>
          <w:p>
            <w:pPr>
              <w:spacing w:after="0"/>
              <w:rPr>
                <w:sz w:val="12"/>
                <w:szCs w:val="12"/>
                <w:color w:val="auto"/>
              </w:rPr>
            </w:pPr>
          </w:p>
        </w:tc>
        <w:tc>
          <w:tcPr>
            <w:tcW w:w="520" w:type="dxa"/>
            <w:vAlign w:val="bottom"/>
          </w:tcPr>
          <w:p>
            <w:pPr>
              <w:jc w:val="right"/>
              <w:spacing w:after="0" w:line="149" w:lineRule="exact"/>
              <w:rPr>
                <w:sz w:val="20"/>
                <w:szCs w:val="20"/>
                <w:color w:val="auto"/>
              </w:rPr>
            </w:pPr>
            <w:r>
              <w:rPr>
                <w:rFonts w:ascii="Arial" w:cs="Arial" w:eastAsia="Arial" w:hAnsi="Arial"/>
                <w:sz w:val="14"/>
                <w:szCs w:val="14"/>
                <w:color w:val="auto"/>
              </w:rPr>
              <w:t>509</w:t>
            </w:r>
          </w:p>
        </w:tc>
        <w:tc>
          <w:tcPr>
            <w:tcW w:w="1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240" w:type="dxa"/>
            <w:vAlign w:val="bottom"/>
          </w:tcPr>
          <w:p>
            <w:pPr>
              <w:spacing w:after="0"/>
              <w:rPr>
                <w:sz w:val="12"/>
                <w:szCs w:val="12"/>
                <w:color w:val="auto"/>
              </w:rPr>
            </w:pPr>
          </w:p>
        </w:tc>
        <w:tc>
          <w:tcPr>
            <w:tcW w:w="520" w:type="dxa"/>
            <w:vAlign w:val="bottom"/>
          </w:tcPr>
          <w:p>
            <w:pPr>
              <w:jc w:val="right"/>
              <w:spacing w:after="0" w:line="149" w:lineRule="exact"/>
              <w:rPr>
                <w:sz w:val="20"/>
                <w:szCs w:val="20"/>
                <w:color w:val="auto"/>
              </w:rPr>
            </w:pPr>
            <w:r>
              <w:rPr>
                <w:rFonts w:ascii="Arial" w:cs="Arial" w:eastAsia="Arial" w:hAnsi="Arial"/>
                <w:sz w:val="14"/>
                <w:szCs w:val="14"/>
                <w:color w:val="auto"/>
              </w:rPr>
              <w:t>452</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546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Interest costs</w:t>
            </w:r>
          </w:p>
        </w:tc>
        <w:tc>
          <w:tcPr>
            <w:tcW w:w="280" w:type="dxa"/>
            <w:vAlign w:val="bottom"/>
            <w:shd w:val="clear" w:color="auto" w:fill="CCEEFF"/>
          </w:tcPr>
          <w:p>
            <w:pPr>
              <w:spacing w:after="0"/>
              <w:rPr>
                <w:sz w:val="12"/>
                <w:szCs w:val="12"/>
                <w:color w:val="auto"/>
              </w:rPr>
            </w:pPr>
          </w:p>
        </w:tc>
        <w:tc>
          <w:tcPr>
            <w:tcW w:w="6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448</w:t>
            </w:r>
          </w:p>
        </w:tc>
        <w:tc>
          <w:tcPr>
            <w:tcW w:w="16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110</w:t>
            </w:r>
          </w:p>
        </w:tc>
        <w:tc>
          <w:tcPr>
            <w:tcW w:w="16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440</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5460" w:type="dxa"/>
            <w:vAlign w:val="bottom"/>
          </w:tcPr>
          <w:p>
            <w:pPr>
              <w:ind w:left="420"/>
              <w:spacing w:after="0" w:line="149" w:lineRule="exact"/>
              <w:rPr>
                <w:sz w:val="20"/>
                <w:szCs w:val="20"/>
                <w:color w:val="auto"/>
              </w:rPr>
            </w:pPr>
            <w:r>
              <w:rPr>
                <w:rFonts w:ascii="Arial" w:cs="Arial" w:eastAsia="Arial" w:hAnsi="Arial"/>
                <w:sz w:val="14"/>
                <w:szCs w:val="14"/>
                <w:color w:val="auto"/>
              </w:rPr>
              <w:t>Actuarial losses (gains)</w:t>
            </w:r>
          </w:p>
        </w:tc>
        <w:tc>
          <w:tcPr>
            <w:tcW w:w="280" w:type="dxa"/>
            <w:vAlign w:val="bottom"/>
          </w:tcPr>
          <w:p>
            <w:pPr>
              <w:spacing w:after="0"/>
              <w:rPr>
                <w:sz w:val="12"/>
                <w:szCs w:val="12"/>
                <w:color w:val="auto"/>
              </w:rPr>
            </w:pPr>
          </w:p>
        </w:tc>
        <w:tc>
          <w:tcPr>
            <w:tcW w:w="6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220" w:type="dxa"/>
            <w:vAlign w:val="bottom"/>
          </w:tcPr>
          <w:p>
            <w:pPr>
              <w:spacing w:after="0"/>
              <w:rPr>
                <w:sz w:val="12"/>
                <w:szCs w:val="12"/>
                <w:color w:val="auto"/>
              </w:rPr>
            </w:pPr>
          </w:p>
        </w:tc>
        <w:tc>
          <w:tcPr>
            <w:tcW w:w="520" w:type="dxa"/>
            <w:vAlign w:val="bottom"/>
          </w:tcPr>
          <w:p>
            <w:pPr>
              <w:jc w:val="right"/>
              <w:spacing w:after="0" w:line="149" w:lineRule="exact"/>
              <w:rPr>
                <w:sz w:val="20"/>
                <w:szCs w:val="20"/>
                <w:color w:val="auto"/>
              </w:rPr>
            </w:pPr>
            <w:r>
              <w:rPr>
                <w:rFonts w:ascii="Arial" w:cs="Arial" w:eastAsia="Arial" w:hAnsi="Arial"/>
                <w:sz w:val="14"/>
                <w:szCs w:val="14"/>
                <w:color w:val="auto"/>
              </w:rPr>
              <w:t>734</w:t>
            </w:r>
          </w:p>
        </w:tc>
        <w:tc>
          <w:tcPr>
            <w:tcW w:w="1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520" w:type="dxa"/>
            <w:vAlign w:val="bottom"/>
          </w:tcPr>
          <w:p>
            <w:pPr>
              <w:jc w:val="right"/>
              <w:spacing w:after="0" w:line="149" w:lineRule="exact"/>
              <w:rPr>
                <w:sz w:val="20"/>
                <w:szCs w:val="20"/>
                <w:color w:val="auto"/>
              </w:rPr>
            </w:pPr>
            <w:r>
              <w:rPr>
                <w:rFonts w:ascii="Arial" w:cs="Arial" w:eastAsia="Arial" w:hAnsi="Arial"/>
                <w:sz w:val="14"/>
                <w:szCs w:val="14"/>
                <w:color w:val="auto"/>
              </w:rPr>
              <w:t>78</w:t>
            </w:r>
          </w:p>
        </w:tc>
        <w:tc>
          <w:tcPr>
            <w:tcW w:w="1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(1,561)</w:t>
            </w: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546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Benefit payments</w:t>
            </w:r>
          </w:p>
        </w:tc>
        <w:tc>
          <w:tcPr>
            <w:tcW w:w="280" w:type="dxa"/>
            <w:vAlign w:val="bottom"/>
            <w:shd w:val="clear" w:color="auto" w:fill="CCEEFF"/>
          </w:tcPr>
          <w:p>
            <w:pPr>
              <w:spacing w:after="0"/>
              <w:rPr>
                <w:sz w:val="12"/>
                <w:szCs w:val="12"/>
                <w:color w:val="auto"/>
              </w:rPr>
            </w:pPr>
          </w:p>
        </w:tc>
        <w:tc>
          <w:tcPr>
            <w:tcW w:w="6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(401)</w:t>
            </w:r>
          </w:p>
        </w:tc>
        <w:tc>
          <w:tcPr>
            <w:tcW w:w="24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(178)</w:t>
            </w:r>
          </w:p>
        </w:tc>
        <w:tc>
          <w:tcPr>
            <w:tcW w:w="24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(284)</w:t>
            </w: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5460" w:type="dxa"/>
            <w:vAlign w:val="bottom"/>
          </w:tcPr>
          <w:p>
            <w:pPr>
              <w:ind w:left="420"/>
              <w:spacing w:after="0" w:line="149" w:lineRule="exact"/>
              <w:rPr>
                <w:sz w:val="20"/>
                <w:szCs w:val="20"/>
                <w:color w:val="auto"/>
              </w:rPr>
            </w:pPr>
            <w:r>
              <w:rPr>
                <w:rFonts w:ascii="Arial" w:cs="Arial" w:eastAsia="Arial" w:hAnsi="Arial"/>
                <w:sz w:val="14"/>
                <w:szCs w:val="14"/>
                <w:color w:val="auto"/>
              </w:rPr>
              <w:t>Settlements</w:t>
            </w:r>
          </w:p>
        </w:tc>
        <w:tc>
          <w:tcPr>
            <w:tcW w:w="280" w:type="dxa"/>
            <w:vAlign w:val="bottom"/>
          </w:tcPr>
          <w:p>
            <w:pPr>
              <w:spacing w:after="0"/>
              <w:rPr>
                <w:sz w:val="12"/>
                <w:szCs w:val="12"/>
                <w:color w:val="auto"/>
              </w:rPr>
            </w:pPr>
          </w:p>
        </w:tc>
        <w:tc>
          <w:tcPr>
            <w:tcW w:w="6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220" w:type="dxa"/>
            <w:vAlign w:val="bottom"/>
          </w:tcPr>
          <w:p>
            <w:pPr>
              <w:spacing w:after="0"/>
              <w:rPr>
                <w:sz w:val="12"/>
                <w:szCs w:val="12"/>
                <w:color w:val="auto"/>
              </w:rPr>
            </w:pPr>
          </w:p>
        </w:tc>
        <w:tc>
          <w:tcPr>
            <w:tcW w:w="6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240" w:type="dxa"/>
            <w:vAlign w:val="bottom"/>
          </w:tcPr>
          <w:p>
            <w:pPr>
              <w:spacing w:after="0"/>
              <w:rPr>
                <w:sz w:val="12"/>
                <w:szCs w:val="12"/>
                <w:color w:val="auto"/>
              </w:rPr>
            </w:pPr>
          </w:p>
        </w:tc>
        <w:tc>
          <w:tcPr>
            <w:tcW w:w="6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(2,096)</w:t>
            </w:r>
          </w:p>
        </w:tc>
        <w:tc>
          <w:tcPr>
            <w:tcW w:w="240" w:type="dxa"/>
            <w:vAlign w:val="bottom"/>
          </w:tcPr>
          <w:p>
            <w:pPr>
              <w:spacing w:after="0"/>
              <w:rPr>
                <w:sz w:val="12"/>
                <w:szCs w:val="12"/>
                <w:color w:val="auto"/>
              </w:rPr>
            </w:pPr>
          </w:p>
        </w:tc>
        <w:tc>
          <w:tcPr>
            <w:tcW w:w="6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546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Effect of exchange rate changes</w:t>
            </w:r>
          </w:p>
        </w:tc>
        <w:tc>
          <w:tcPr>
            <w:tcW w:w="280" w:type="dxa"/>
            <w:vAlign w:val="bottom"/>
            <w:shd w:val="clear" w:color="auto" w:fill="CCEEFF"/>
          </w:tcPr>
          <w:p>
            <w:pPr>
              <w:spacing w:after="0"/>
              <w:rPr>
                <w:sz w:val="12"/>
                <w:szCs w:val="12"/>
                <w:color w:val="auto"/>
              </w:rPr>
            </w:pPr>
          </w:p>
        </w:tc>
        <w:tc>
          <w:tcPr>
            <w:tcW w:w="6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1,071</w:t>
            </w:r>
          </w:p>
        </w:tc>
        <w:tc>
          <w:tcPr>
            <w:tcW w:w="16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(166)</w:t>
            </w:r>
          </w:p>
        </w:tc>
        <w:tc>
          <w:tcPr>
            <w:tcW w:w="24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(1,422)</w:t>
            </w:r>
          </w:p>
        </w:tc>
        <w:tc>
          <w:tcPr>
            <w:tcW w:w="0" w:type="dxa"/>
            <w:vAlign w:val="bottom"/>
          </w:tcPr>
          <w:p>
            <w:pPr>
              <w:spacing w:after="0"/>
              <w:rPr>
                <w:sz w:val="1"/>
                <w:szCs w:val="1"/>
                <w:color w:val="auto"/>
              </w:rPr>
            </w:pPr>
          </w:p>
        </w:tc>
      </w:tr>
      <w:tr>
        <w:trPr>
          <w:trHeight w:val="27"/>
        </w:trPr>
        <w:tc>
          <w:tcPr>
            <w:tcW w:w="1160" w:type="dxa"/>
            <w:vAlign w:val="bottom"/>
          </w:tcPr>
          <w:p>
            <w:pPr>
              <w:spacing w:after="0"/>
              <w:rPr>
                <w:sz w:val="2"/>
                <w:szCs w:val="2"/>
                <w:color w:val="auto"/>
              </w:rPr>
            </w:pPr>
          </w:p>
        </w:tc>
        <w:tc>
          <w:tcPr>
            <w:tcW w:w="5460" w:type="dxa"/>
            <w:vAlign w:val="bottom"/>
            <w:vMerge w:val="restart"/>
          </w:tcPr>
          <w:p>
            <w:pPr>
              <w:ind w:left="420"/>
              <w:spacing w:after="0"/>
              <w:rPr>
                <w:sz w:val="20"/>
                <w:szCs w:val="20"/>
                <w:color w:val="auto"/>
              </w:rPr>
            </w:pPr>
            <w:r>
              <w:rPr>
                <w:rFonts w:ascii="Arial" w:cs="Arial" w:eastAsia="Arial" w:hAnsi="Arial"/>
                <w:sz w:val="14"/>
                <w:szCs w:val="14"/>
                <w:color w:val="auto"/>
              </w:rPr>
              <w:t>Projected benefit obligation, end of year</w:t>
            </w:r>
          </w:p>
        </w:tc>
        <w:tc>
          <w:tcPr>
            <w:tcW w:w="280" w:type="dxa"/>
            <w:vAlign w:val="bottom"/>
          </w:tcPr>
          <w:p>
            <w:pPr>
              <w:spacing w:after="0"/>
              <w:rPr>
                <w:sz w:val="2"/>
                <w:szCs w:val="2"/>
                <w:color w:val="auto"/>
              </w:rPr>
            </w:pPr>
          </w:p>
        </w:tc>
        <w:tc>
          <w:tcPr>
            <w:tcW w:w="640" w:type="dxa"/>
            <w:vAlign w:val="bottom"/>
            <w:gridSpan w:val="2"/>
          </w:tcPr>
          <w:p>
            <w:pPr>
              <w:spacing w:after="0"/>
              <w:rPr>
                <w:sz w:val="2"/>
                <w:szCs w:val="2"/>
                <w:color w:val="auto"/>
              </w:rPr>
            </w:pPr>
          </w:p>
        </w:tc>
        <w:tc>
          <w:tcPr>
            <w:tcW w:w="220" w:type="dxa"/>
            <w:vAlign w:val="bottom"/>
          </w:tcPr>
          <w:p>
            <w:pPr>
              <w:spacing w:after="0"/>
              <w:rPr>
                <w:sz w:val="2"/>
                <w:szCs w:val="2"/>
                <w:color w:val="auto"/>
              </w:rPr>
            </w:pPr>
          </w:p>
        </w:tc>
        <w:tc>
          <w:tcPr>
            <w:tcW w:w="520" w:type="dxa"/>
            <w:vAlign w:val="bottom"/>
          </w:tcPr>
          <w:p>
            <w:pPr>
              <w:spacing w:after="0"/>
              <w:rPr>
                <w:sz w:val="2"/>
                <w:szCs w:val="2"/>
                <w:color w:val="auto"/>
              </w:rPr>
            </w:pPr>
          </w:p>
        </w:tc>
        <w:tc>
          <w:tcPr>
            <w:tcW w:w="160" w:type="dxa"/>
            <w:vAlign w:val="bottom"/>
          </w:tcPr>
          <w:p>
            <w:pPr>
              <w:spacing w:after="0"/>
              <w:rPr>
                <w:sz w:val="2"/>
                <w:szCs w:val="2"/>
                <w:color w:val="auto"/>
              </w:rPr>
            </w:pPr>
          </w:p>
        </w:tc>
        <w:tc>
          <w:tcPr>
            <w:tcW w:w="240" w:type="dxa"/>
            <w:vAlign w:val="bottom"/>
          </w:tcPr>
          <w:p>
            <w:pPr>
              <w:spacing w:after="0"/>
              <w:rPr>
                <w:sz w:val="2"/>
                <w:szCs w:val="2"/>
                <w:color w:val="auto"/>
              </w:rPr>
            </w:pPr>
          </w:p>
        </w:tc>
        <w:tc>
          <w:tcPr>
            <w:tcW w:w="680" w:type="dxa"/>
            <w:vAlign w:val="bottom"/>
            <w:gridSpan w:val="2"/>
          </w:tcPr>
          <w:p>
            <w:pPr>
              <w:spacing w:after="0"/>
              <w:rPr>
                <w:sz w:val="2"/>
                <w:szCs w:val="2"/>
                <w:color w:val="auto"/>
              </w:rPr>
            </w:pPr>
          </w:p>
        </w:tc>
        <w:tc>
          <w:tcPr>
            <w:tcW w:w="240" w:type="dxa"/>
            <w:vAlign w:val="bottom"/>
          </w:tcPr>
          <w:p>
            <w:pPr>
              <w:spacing w:after="0"/>
              <w:rPr>
                <w:sz w:val="2"/>
                <w:szCs w:val="2"/>
                <w:color w:val="auto"/>
              </w:rPr>
            </w:pPr>
          </w:p>
        </w:tc>
        <w:tc>
          <w:tcPr>
            <w:tcW w:w="520" w:type="dxa"/>
            <w:vAlign w:val="bottom"/>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67"/>
        </w:trPr>
        <w:tc>
          <w:tcPr>
            <w:tcW w:w="1160" w:type="dxa"/>
            <w:vAlign w:val="bottom"/>
          </w:tcPr>
          <w:p>
            <w:pPr>
              <w:spacing w:after="0"/>
              <w:rPr>
                <w:sz w:val="14"/>
                <w:szCs w:val="14"/>
                <w:color w:val="auto"/>
              </w:rPr>
            </w:pPr>
          </w:p>
        </w:tc>
        <w:tc>
          <w:tcPr>
            <w:tcW w:w="5460" w:type="dxa"/>
            <w:vAlign w:val="bottom"/>
            <w:vMerge w:val="continue"/>
          </w:tcPr>
          <w:p>
            <w:pPr>
              <w:spacing w:after="0"/>
              <w:rPr>
                <w:sz w:val="14"/>
                <w:szCs w:val="14"/>
                <w:color w:val="auto"/>
              </w:rPr>
            </w:pPr>
          </w:p>
        </w:tc>
        <w:tc>
          <w:tcPr>
            <w:tcW w:w="280" w:type="dxa"/>
            <w:vAlign w:val="bottom"/>
            <w:tcBorders>
              <w:top w:val="single" w:sz="8" w:color="auto"/>
              <w:bottom w:val="single" w:sz="8" w:color="auto"/>
            </w:tcBorders>
          </w:tcPr>
          <w:p>
            <w:pPr>
              <w:jc w:val="right"/>
              <w:ind w:right="167"/>
              <w:spacing w:after="0"/>
              <w:rPr>
                <w:sz w:val="20"/>
                <w:szCs w:val="20"/>
                <w:color w:val="auto"/>
              </w:rPr>
            </w:pPr>
            <w:r>
              <w:rPr>
                <w:rFonts w:ascii="Arial" w:cs="Arial" w:eastAsia="Arial" w:hAnsi="Arial"/>
                <w:sz w:val="10"/>
                <w:szCs w:val="10"/>
                <w:color w:val="auto"/>
                <w:w w:val="71"/>
              </w:rPr>
              <w:t>$</w:t>
            </w:r>
          </w:p>
        </w:tc>
        <w:tc>
          <w:tcPr>
            <w:tcW w:w="4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w:t>
            </w:r>
          </w:p>
        </w:tc>
        <w:tc>
          <w:tcPr>
            <w:tcW w:w="180" w:type="dxa"/>
            <w:vAlign w:val="bottom"/>
          </w:tcPr>
          <w:p>
            <w:pPr>
              <w:spacing w:after="0"/>
              <w:rPr>
                <w:sz w:val="14"/>
                <w:szCs w:val="14"/>
                <w:color w:val="auto"/>
              </w:rPr>
            </w:pPr>
          </w:p>
        </w:tc>
        <w:tc>
          <w:tcPr>
            <w:tcW w:w="220" w:type="dxa"/>
            <w:vAlign w:val="bottom"/>
            <w:tcBorders>
              <w:top w:val="single" w:sz="8" w:color="auto"/>
              <w:bottom w:val="single" w:sz="8" w:color="auto"/>
            </w:tcBorders>
          </w:tcPr>
          <w:p>
            <w:pPr>
              <w:jc w:val="right"/>
              <w:ind w:right="107"/>
              <w:spacing w:after="0"/>
              <w:rPr>
                <w:sz w:val="20"/>
                <w:szCs w:val="20"/>
                <w:color w:val="auto"/>
              </w:rPr>
            </w:pPr>
            <w:r>
              <w:rPr>
                <w:rFonts w:ascii="Arial" w:cs="Arial" w:eastAsia="Arial" w:hAnsi="Arial"/>
                <w:sz w:val="10"/>
                <w:szCs w:val="10"/>
                <w:color w:val="auto"/>
                <w:w w:val="71"/>
              </w:rPr>
              <w:t>$</w:t>
            </w: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7,998</w:t>
            </w:r>
          </w:p>
        </w:tc>
        <w:tc>
          <w:tcPr>
            <w:tcW w:w="160" w:type="dxa"/>
            <w:vAlign w:val="bottom"/>
          </w:tcPr>
          <w:p>
            <w:pPr>
              <w:spacing w:after="0"/>
              <w:rPr>
                <w:sz w:val="14"/>
                <w:szCs w:val="14"/>
                <w:color w:val="auto"/>
              </w:rPr>
            </w:pPr>
          </w:p>
        </w:tc>
        <w:tc>
          <w:tcPr>
            <w:tcW w:w="240" w:type="dxa"/>
            <w:vAlign w:val="bottom"/>
            <w:tcBorders>
              <w:top w:val="single" w:sz="8" w:color="auto"/>
              <w:bottom w:val="single" w:sz="8" w:color="auto"/>
            </w:tcBorders>
          </w:tcPr>
          <w:p>
            <w:pPr>
              <w:jc w:val="right"/>
              <w:ind w:right="92"/>
              <w:spacing w:after="0"/>
              <w:rPr>
                <w:sz w:val="20"/>
                <w:szCs w:val="20"/>
                <w:color w:val="auto"/>
              </w:rPr>
            </w:pPr>
            <w:r>
              <w:rPr>
                <w:rFonts w:ascii="Arial" w:cs="Arial" w:eastAsia="Arial" w:hAnsi="Arial"/>
                <w:sz w:val="14"/>
                <w:szCs w:val="14"/>
                <w:color w:val="auto"/>
                <w:w w:val="76"/>
              </w:rPr>
              <w:t>$</w:t>
            </w: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4"/>
                <w:szCs w:val="14"/>
                <w:color w:val="auto"/>
              </w:rPr>
            </w:pPr>
          </w:p>
        </w:tc>
        <w:tc>
          <w:tcPr>
            <w:tcW w:w="240" w:type="dxa"/>
            <w:vAlign w:val="bottom"/>
            <w:tcBorders>
              <w:top w:val="single" w:sz="8" w:color="auto"/>
              <w:bottom w:val="single" w:sz="8" w:color="auto"/>
            </w:tcBorders>
          </w:tcPr>
          <w:p>
            <w:pPr>
              <w:jc w:val="right"/>
              <w:ind w:right="92"/>
              <w:spacing w:after="0"/>
              <w:rPr>
                <w:sz w:val="20"/>
                <w:szCs w:val="20"/>
                <w:color w:val="auto"/>
              </w:rPr>
            </w:pPr>
            <w:r>
              <w:rPr>
                <w:rFonts w:ascii="Arial" w:cs="Arial" w:eastAsia="Arial" w:hAnsi="Arial"/>
                <w:sz w:val="14"/>
                <w:szCs w:val="14"/>
                <w:color w:val="auto"/>
                <w:w w:val="76"/>
              </w:rPr>
              <w:t>$</w:t>
            </w: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5,637</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4"/>
        </w:trPr>
        <w:tc>
          <w:tcPr>
            <w:tcW w:w="1160" w:type="dxa"/>
            <w:vAlign w:val="bottom"/>
          </w:tcPr>
          <w:p>
            <w:pPr>
              <w:spacing w:after="0"/>
              <w:rPr>
                <w:sz w:val="12"/>
                <w:szCs w:val="12"/>
                <w:color w:val="auto"/>
              </w:rPr>
            </w:pPr>
          </w:p>
        </w:tc>
        <w:tc>
          <w:tcPr>
            <w:tcW w:w="5460" w:type="dxa"/>
            <w:vAlign w:val="bottom"/>
            <w:shd w:val="clear" w:color="auto" w:fill="CCEEFF"/>
          </w:tcPr>
          <w:p>
            <w:pPr>
              <w:ind w:left="420"/>
              <w:spacing w:after="0" w:line="144" w:lineRule="exact"/>
              <w:rPr>
                <w:sz w:val="20"/>
                <w:szCs w:val="20"/>
                <w:color w:val="auto"/>
              </w:rPr>
            </w:pPr>
            <w:r>
              <w:rPr>
                <w:rFonts w:ascii="Arial" w:cs="Arial" w:eastAsia="Arial" w:hAnsi="Arial"/>
                <w:sz w:val="14"/>
                <w:szCs w:val="14"/>
                <w:color w:val="auto"/>
              </w:rPr>
              <w:t>Excess (deficiency) of plan assets over projected benefit obligation</w:t>
            </w:r>
          </w:p>
        </w:tc>
        <w:tc>
          <w:tcPr>
            <w:tcW w:w="280" w:type="dxa"/>
            <w:vAlign w:val="bottom"/>
            <w:shd w:val="clear" w:color="auto" w:fill="CCEEFF"/>
          </w:tcPr>
          <w:p>
            <w:pPr>
              <w:jc w:val="right"/>
              <w:ind w:right="167"/>
              <w:spacing w:after="0"/>
              <w:rPr>
                <w:sz w:val="20"/>
                <w:szCs w:val="20"/>
                <w:color w:val="auto"/>
              </w:rPr>
            </w:pPr>
            <w:r>
              <w:rPr>
                <w:rFonts w:ascii="Arial" w:cs="Arial" w:eastAsia="Arial" w:hAnsi="Arial"/>
                <w:sz w:val="10"/>
                <w:szCs w:val="10"/>
                <w:color w:val="auto"/>
                <w:w w:val="71"/>
              </w:rPr>
              <w:t>$</w:t>
            </w:r>
          </w:p>
        </w:tc>
        <w:tc>
          <w:tcPr>
            <w:tcW w:w="640" w:type="dxa"/>
            <w:vAlign w:val="bottom"/>
            <w:gridSpan w:val="2"/>
            <w:shd w:val="clear" w:color="auto" w:fill="CCEEFF"/>
          </w:tcPr>
          <w:p>
            <w:pPr>
              <w:jc w:val="right"/>
              <w:ind w:right="180"/>
              <w:spacing w:after="0" w:line="144"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jc w:val="right"/>
              <w:ind w:right="107"/>
              <w:spacing w:after="0"/>
              <w:rPr>
                <w:sz w:val="20"/>
                <w:szCs w:val="20"/>
                <w:color w:val="auto"/>
              </w:rPr>
            </w:pPr>
            <w:r>
              <w:rPr>
                <w:rFonts w:ascii="Arial" w:cs="Arial" w:eastAsia="Arial" w:hAnsi="Arial"/>
                <w:sz w:val="10"/>
                <w:szCs w:val="10"/>
                <w:color w:val="auto"/>
                <w:w w:val="71"/>
              </w:rPr>
              <w:t>$</w:t>
            </w:r>
          </w:p>
        </w:tc>
        <w:tc>
          <w:tcPr>
            <w:tcW w:w="680" w:type="dxa"/>
            <w:vAlign w:val="bottom"/>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(6,363)</w:t>
            </w:r>
          </w:p>
        </w:tc>
        <w:tc>
          <w:tcPr>
            <w:tcW w:w="240" w:type="dxa"/>
            <w:vAlign w:val="bottom"/>
            <w:shd w:val="clear" w:color="auto" w:fill="CCEEFF"/>
          </w:tcPr>
          <w:p>
            <w:pPr>
              <w:jc w:val="right"/>
              <w:ind w:right="92"/>
              <w:spacing w:after="0" w:line="144" w:lineRule="exact"/>
              <w:rPr>
                <w:sz w:val="20"/>
                <w:szCs w:val="20"/>
                <w:color w:val="auto"/>
              </w:rPr>
            </w:pPr>
            <w:r>
              <w:rPr>
                <w:rFonts w:ascii="Arial" w:cs="Arial" w:eastAsia="Arial" w:hAnsi="Arial"/>
                <w:sz w:val="14"/>
                <w:szCs w:val="14"/>
                <w:color w:val="auto"/>
                <w:w w:val="76"/>
              </w:rPr>
              <w:t>$</w:t>
            </w:r>
          </w:p>
        </w:tc>
        <w:tc>
          <w:tcPr>
            <w:tcW w:w="5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110</w:t>
            </w:r>
          </w:p>
        </w:tc>
        <w:tc>
          <w:tcPr>
            <w:tcW w:w="160" w:type="dxa"/>
            <w:vAlign w:val="bottom"/>
            <w:shd w:val="clear" w:color="auto" w:fill="CCEEFF"/>
          </w:tcPr>
          <w:p>
            <w:pPr>
              <w:spacing w:after="0"/>
              <w:rPr>
                <w:sz w:val="12"/>
                <w:szCs w:val="12"/>
                <w:color w:val="auto"/>
              </w:rPr>
            </w:pPr>
          </w:p>
        </w:tc>
        <w:tc>
          <w:tcPr>
            <w:tcW w:w="240" w:type="dxa"/>
            <w:vAlign w:val="bottom"/>
            <w:shd w:val="clear" w:color="auto" w:fill="CCEEFF"/>
          </w:tcPr>
          <w:p>
            <w:pPr>
              <w:jc w:val="right"/>
              <w:ind w:right="92"/>
              <w:spacing w:after="0" w:line="144" w:lineRule="exact"/>
              <w:rPr>
                <w:sz w:val="20"/>
                <w:szCs w:val="20"/>
                <w:color w:val="auto"/>
              </w:rPr>
            </w:pPr>
            <w:r>
              <w:rPr>
                <w:rFonts w:ascii="Arial" w:cs="Arial" w:eastAsia="Arial" w:hAnsi="Arial"/>
                <w:sz w:val="14"/>
                <w:szCs w:val="14"/>
                <w:color w:val="auto"/>
                <w:w w:val="76"/>
              </w:rPr>
              <w:t>$</w:t>
            </w:r>
          </w:p>
        </w:tc>
        <w:tc>
          <w:tcPr>
            <w:tcW w:w="680" w:type="dxa"/>
            <w:vAlign w:val="bottom"/>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(4,495)</w:t>
            </w:r>
          </w:p>
        </w:tc>
        <w:tc>
          <w:tcPr>
            <w:tcW w:w="0" w:type="dxa"/>
            <w:vAlign w:val="bottom"/>
          </w:tcPr>
          <w:p>
            <w:pPr>
              <w:spacing w:after="0"/>
              <w:rPr>
                <w:sz w:val="1"/>
                <w:szCs w:val="1"/>
                <w:color w:val="auto"/>
              </w:rPr>
            </w:pPr>
          </w:p>
        </w:tc>
      </w:tr>
      <w:tr>
        <w:trPr>
          <w:trHeight w:val="27"/>
        </w:trPr>
        <w:tc>
          <w:tcPr>
            <w:tcW w:w="1160" w:type="dxa"/>
            <w:vAlign w:val="bottom"/>
          </w:tcPr>
          <w:p>
            <w:pPr>
              <w:spacing w:after="0"/>
              <w:rPr>
                <w:sz w:val="2"/>
                <w:szCs w:val="2"/>
                <w:color w:val="auto"/>
              </w:rPr>
            </w:pPr>
          </w:p>
        </w:tc>
        <w:tc>
          <w:tcPr>
            <w:tcW w:w="5460" w:type="dxa"/>
            <w:vAlign w:val="bottom"/>
            <w:vMerge w:val="restart"/>
          </w:tcPr>
          <w:p>
            <w:pPr>
              <w:ind w:left="420"/>
              <w:spacing w:after="0"/>
              <w:rPr>
                <w:sz w:val="20"/>
                <w:szCs w:val="20"/>
                <w:color w:val="auto"/>
              </w:rPr>
            </w:pPr>
            <w:r>
              <w:rPr>
                <w:rFonts w:ascii="Arial" w:cs="Arial" w:eastAsia="Arial" w:hAnsi="Arial"/>
                <w:sz w:val="14"/>
                <w:szCs w:val="14"/>
                <w:color w:val="auto"/>
              </w:rPr>
              <w:t>Comprised of:</w:t>
            </w:r>
          </w:p>
        </w:tc>
        <w:tc>
          <w:tcPr>
            <w:tcW w:w="28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1160" w:type="dxa"/>
            <w:vAlign w:val="bottom"/>
          </w:tcPr>
          <w:p>
            <w:pPr>
              <w:spacing w:after="0" w:line="20" w:lineRule="exact"/>
              <w:rPr>
                <w:sz w:val="1"/>
                <w:szCs w:val="1"/>
                <w:color w:val="auto"/>
              </w:rPr>
            </w:pPr>
          </w:p>
        </w:tc>
        <w:tc>
          <w:tcPr>
            <w:tcW w:w="5460" w:type="dxa"/>
            <w:vAlign w:val="bottom"/>
            <w:vMerge w:val="continue"/>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9"/>
        </w:trPr>
        <w:tc>
          <w:tcPr>
            <w:tcW w:w="1160" w:type="dxa"/>
            <w:vAlign w:val="bottom"/>
          </w:tcPr>
          <w:p>
            <w:pPr>
              <w:spacing w:after="0"/>
              <w:rPr>
                <w:sz w:val="11"/>
                <w:szCs w:val="11"/>
                <w:color w:val="auto"/>
              </w:rPr>
            </w:pPr>
          </w:p>
        </w:tc>
        <w:tc>
          <w:tcPr>
            <w:tcW w:w="5460" w:type="dxa"/>
            <w:vAlign w:val="bottom"/>
            <w:vMerge w:val="continue"/>
          </w:tcPr>
          <w:p>
            <w:pPr>
              <w:spacing w:after="0"/>
              <w:rPr>
                <w:sz w:val="11"/>
                <w:szCs w:val="11"/>
                <w:color w:val="auto"/>
              </w:rPr>
            </w:pPr>
          </w:p>
        </w:tc>
        <w:tc>
          <w:tcPr>
            <w:tcW w:w="28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546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Unamortized transition asset (liability)</w:t>
            </w:r>
          </w:p>
        </w:tc>
        <w:tc>
          <w:tcPr>
            <w:tcW w:w="280" w:type="dxa"/>
            <w:vAlign w:val="bottom"/>
            <w:shd w:val="clear" w:color="auto" w:fill="CCEEFF"/>
          </w:tcPr>
          <w:p>
            <w:pPr>
              <w:jc w:val="right"/>
              <w:ind w:right="167"/>
              <w:spacing w:after="0"/>
              <w:rPr>
                <w:sz w:val="20"/>
                <w:szCs w:val="20"/>
                <w:color w:val="auto"/>
              </w:rPr>
            </w:pPr>
            <w:r>
              <w:rPr>
                <w:rFonts w:ascii="Arial" w:cs="Arial" w:eastAsia="Arial" w:hAnsi="Arial"/>
                <w:sz w:val="10"/>
                <w:szCs w:val="10"/>
                <w:color w:val="auto"/>
                <w:w w:val="71"/>
              </w:rPr>
              <w:t>$</w:t>
            </w:r>
          </w:p>
        </w:tc>
        <w:tc>
          <w:tcPr>
            <w:tcW w:w="6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jc w:val="right"/>
              <w:ind w:right="107"/>
              <w:spacing w:after="0"/>
              <w:rPr>
                <w:sz w:val="20"/>
                <w:szCs w:val="20"/>
                <w:color w:val="auto"/>
              </w:rPr>
            </w:pPr>
            <w:r>
              <w:rPr>
                <w:rFonts w:ascii="Arial" w:cs="Arial" w:eastAsia="Arial" w:hAnsi="Arial"/>
                <w:sz w:val="10"/>
                <w:szCs w:val="10"/>
                <w:color w:val="auto"/>
                <w:w w:val="71"/>
              </w:rPr>
              <w:t>$</w:t>
            </w: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(809)</w:t>
            </w:r>
          </w:p>
        </w:tc>
        <w:tc>
          <w:tcPr>
            <w:tcW w:w="240" w:type="dxa"/>
            <w:vAlign w:val="bottom"/>
            <w:shd w:val="clear" w:color="auto" w:fill="CCEEFF"/>
          </w:tcPr>
          <w:p>
            <w:pPr>
              <w:jc w:val="right"/>
              <w:ind w:right="92"/>
              <w:spacing w:after="0" w:line="149" w:lineRule="exact"/>
              <w:rPr>
                <w:sz w:val="20"/>
                <w:szCs w:val="20"/>
                <w:color w:val="auto"/>
              </w:rPr>
            </w:pPr>
            <w:r>
              <w:rPr>
                <w:rFonts w:ascii="Arial" w:cs="Arial" w:eastAsia="Arial" w:hAnsi="Arial"/>
                <w:sz w:val="14"/>
                <w:szCs w:val="14"/>
                <w:color w:val="auto"/>
                <w:w w:val="76"/>
              </w:rPr>
              <w:t>$</w:t>
            </w:r>
          </w:p>
        </w:tc>
        <w:tc>
          <w:tcPr>
            <w:tcW w:w="6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240" w:type="dxa"/>
            <w:vAlign w:val="bottom"/>
            <w:shd w:val="clear" w:color="auto" w:fill="CCEEFF"/>
          </w:tcPr>
          <w:p>
            <w:pPr>
              <w:jc w:val="right"/>
              <w:ind w:right="92"/>
              <w:spacing w:after="0" w:line="149" w:lineRule="exact"/>
              <w:rPr>
                <w:sz w:val="20"/>
                <w:szCs w:val="20"/>
                <w:color w:val="auto"/>
              </w:rPr>
            </w:pPr>
            <w:r>
              <w:rPr>
                <w:rFonts w:ascii="Arial" w:cs="Arial" w:eastAsia="Arial" w:hAnsi="Arial"/>
                <w:sz w:val="14"/>
                <w:szCs w:val="14"/>
                <w:color w:val="auto"/>
                <w:w w:val="76"/>
              </w:rPr>
              <w:t>$</w:t>
            </w: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(830)</w:t>
            </w: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5460" w:type="dxa"/>
            <w:vAlign w:val="bottom"/>
          </w:tcPr>
          <w:p>
            <w:pPr>
              <w:ind w:left="420"/>
              <w:spacing w:after="0" w:line="149" w:lineRule="exact"/>
              <w:rPr>
                <w:sz w:val="20"/>
                <w:szCs w:val="20"/>
                <w:color w:val="auto"/>
              </w:rPr>
            </w:pPr>
            <w:r>
              <w:rPr>
                <w:rFonts w:ascii="Arial" w:cs="Arial" w:eastAsia="Arial" w:hAnsi="Arial"/>
                <w:sz w:val="14"/>
                <w:szCs w:val="14"/>
                <w:color w:val="auto"/>
              </w:rPr>
              <w:t>Unamortized net experience gain (loss)</w:t>
            </w:r>
          </w:p>
        </w:tc>
        <w:tc>
          <w:tcPr>
            <w:tcW w:w="280" w:type="dxa"/>
            <w:vAlign w:val="bottom"/>
          </w:tcPr>
          <w:p>
            <w:pPr>
              <w:spacing w:after="0"/>
              <w:rPr>
                <w:sz w:val="12"/>
                <w:szCs w:val="12"/>
                <w:color w:val="auto"/>
              </w:rPr>
            </w:pPr>
          </w:p>
        </w:tc>
        <w:tc>
          <w:tcPr>
            <w:tcW w:w="6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220" w:type="dxa"/>
            <w:vAlign w:val="bottom"/>
          </w:tcPr>
          <w:p>
            <w:pPr>
              <w:spacing w:after="0"/>
              <w:rPr>
                <w:sz w:val="12"/>
                <w:szCs w:val="12"/>
                <w:color w:val="auto"/>
              </w:rPr>
            </w:pPr>
          </w:p>
        </w:tc>
        <w:tc>
          <w:tcPr>
            <w:tcW w:w="520" w:type="dxa"/>
            <w:vAlign w:val="bottom"/>
          </w:tcPr>
          <w:p>
            <w:pPr>
              <w:jc w:val="right"/>
              <w:spacing w:after="0" w:line="149" w:lineRule="exact"/>
              <w:rPr>
                <w:sz w:val="20"/>
                <w:szCs w:val="20"/>
                <w:color w:val="auto"/>
              </w:rPr>
            </w:pPr>
            <w:r>
              <w:rPr>
                <w:rFonts w:ascii="Arial" w:cs="Arial" w:eastAsia="Arial" w:hAnsi="Arial"/>
                <w:sz w:val="14"/>
                <w:szCs w:val="14"/>
                <w:color w:val="auto"/>
              </w:rPr>
              <w:t>482</w:t>
            </w:r>
          </w:p>
        </w:tc>
        <w:tc>
          <w:tcPr>
            <w:tcW w:w="1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240" w:type="dxa"/>
            <w:vAlign w:val="bottom"/>
          </w:tcPr>
          <w:p>
            <w:pPr>
              <w:spacing w:after="0"/>
              <w:rPr>
                <w:sz w:val="12"/>
                <w:szCs w:val="12"/>
                <w:color w:val="auto"/>
              </w:rPr>
            </w:pPr>
          </w:p>
        </w:tc>
        <w:tc>
          <w:tcPr>
            <w:tcW w:w="520" w:type="dxa"/>
            <w:vAlign w:val="bottom"/>
          </w:tcPr>
          <w:p>
            <w:pPr>
              <w:jc w:val="right"/>
              <w:spacing w:after="0" w:line="149" w:lineRule="exact"/>
              <w:rPr>
                <w:sz w:val="20"/>
                <w:szCs w:val="20"/>
                <w:color w:val="auto"/>
              </w:rPr>
            </w:pPr>
            <w:r>
              <w:rPr>
                <w:rFonts w:ascii="Arial" w:cs="Arial" w:eastAsia="Arial" w:hAnsi="Arial"/>
                <w:sz w:val="14"/>
                <w:szCs w:val="14"/>
                <w:color w:val="auto"/>
              </w:rPr>
              <w:t>1,230</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546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Accrued assets (liabilities)</w:t>
            </w:r>
          </w:p>
        </w:tc>
        <w:tc>
          <w:tcPr>
            <w:tcW w:w="280" w:type="dxa"/>
            <w:vAlign w:val="bottom"/>
            <w:shd w:val="clear" w:color="auto" w:fill="CCEEFF"/>
          </w:tcPr>
          <w:p>
            <w:pPr>
              <w:spacing w:after="0"/>
              <w:rPr>
                <w:sz w:val="12"/>
                <w:szCs w:val="12"/>
                <w:color w:val="auto"/>
              </w:rPr>
            </w:pPr>
          </w:p>
        </w:tc>
        <w:tc>
          <w:tcPr>
            <w:tcW w:w="6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(6,036)</w:t>
            </w:r>
          </w:p>
        </w:tc>
        <w:tc>
          <w:tcPr>
            <w:tcW w:w="24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110</w:t>
            </w:r>
          </w:p>
        </w:tc>
        <w:tc>
          <w:tcPr>
            <w:tcW w:w="16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(4,895)</w:t>
            </w:r>
          </w:p>
        </w:tc>
        <w:tc>
          <w:tcPr>
            <w:tcW w:w="0" w:type="dxa"/>
            <w:vAlign w:val="bottom"/>
          </w:tcPr>
          <w:p>
            <w:pPr>
              <w:spacing w:after="0"/>
              <w:rPr>
                <w:sz w:val="1"/>
                <w:szCs w:val="1"/>
                <w:color w:val="auto"/>
              </w:rPr>
            </w:pPr>
          </w:p>
        </w:tc>
      </w:tr>
      <w:tr>
        <w:trPr>
          <w:trHeight w:val="27"/>
        </w:trPr>
        <w:tc>
          <w:tcPr>
            <w:tcW w:w="1160" w:type="dxa"/>
            <w:vAlign w:val="bottom"/>
          </w:tcPr>
          <w:p>
            <w:pPr>
              <w:spacing w:after="0"/>
              <w:rPr>
                <w:sz w:val="2"/>
                <w:szCs w:val="2"/>
                <w:color w:val="auto"/>
              </w:rPr>
            </w:pPr>
          </w:p>
        </w:tc>
        <w:tc>
          <w:tcPr>
            <w:tcW w:w="5460" w:type="dxa"/>
            <w:vAlign w:val="bottom"/>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30"/>
        </w:trPr>
        <w:tc>
          <w:tcPr>
            <w:tcW w:w="1160" w:type="dxa"/>
            <w:vAlign w:val="bottom"/>
          </w:tcPr>
          <w:p>
            <w:pPr>
              <w:spacing w:after="0"/>
              <w:rPr>
                <w:sz w:val="20"/>
                <w:szCs w:val="20"/>
                <w:color w:val="auto"/>
              </w:rPr>
            </w:pPr>
          </w:p>
        </w:tc>
        <w:tc>
          <w:tcPr>
            <w:tcW w:w="5460" w:type="dxa"/>
            <w:vAlign w:val="bottom"/>
          </w:tcPr>
          <w:p>
            <w:pPr>
              <w:spacing w:after="0"/>
              <w:rPr>
                <w:sz w:val="20"/>
                <w:szCs w:val="20"/>
                <w:color w:val="auto"/>
              </w:rPr>
            </w:pPr>
          </w:p>
        </w:tc>
        <w:tc>
          <w:tcPr>
            <w:tcW w:w="280" w:type="dxa"/>
            <w:vAlign w:val="bottom"/>
          </w:tcPr>
          <w:p>
            <w:pPr>
              <w:jc w:val="right"/>
              <w:ind w:right="167"/>
              <w:spacing w:after="0"/>
              <w:rPr>
                <w:sz w:val="20"/>
                <w:szCs w:val="20"/>
                <w:color w:val="auto"/>
              </w:rPr>
            </w:pPr>
            <w:r>
              <w:rPr>
                <w:rFonts w:ascii="Arial" w:cs="Arial" w:eastAsia="Arial" w:hAnsi="Arial"/>
                <w:sz w:val="10"/>
                <w:szCs w:val="10"/>
                <w:color w:val="auto"/>
                <w:w w:val="71"/>
              </w:rPr>
              <w:t>$</w:t>
            </w:r>
          </w:p>
        </w:tc>
        <w:tc>
          <w:tcPr>
            <w:tcW w:w="64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220" w:type="dxa"/>
            <w:vAlign w:val="bottom"/>
          </w:tcPr>
          <w:p>
            <w:pPr>
              <w:jc w:val="right"/>
              <w:ind w:right="107"/>
              <w:spacing w:after="0"/>
              <w:rPr>
                <w:sz w:val="20"/>
                <w:szCs w:val="20"/>
                <w:color w:val="auto"/>
              </w:rPr>
            </w:pPr>
            <w:r>
              <w:rPr>
                <w:rFonts w:ascii="Arial" w:cs="Arial" w:eastAsia="Arial" w:hAnsi="Arial"/>
                <w:sz w:val="10"/>
                <w:szCs w:val="10"/>
                <w:color w:val="auto"/>
                <w:w w:val="71"/>
              </w:rPr>
              <w:t>$</w:t>
            </w:r>
          </w:p>
        </w:tc>
        <w:tc>
          <w:tcPr>
            <w:tcW w:w="680" w:type="dxa"/>
            <w:vAlign w:val="bottom"/>
            <w:gridSpan w:val="2"/>
          </w:tcPr>
          <w:p>
            <w:pPr>
              <w:jc w:val="right"/>
              <w:ind w:right="120"/>
              <w:spacing w:after="0"/>
              <w:rPr>
                <w:sz w:val="20"/>
                <w:szCs w:val="20"/>
                <w:color w:val="auto"/>
              </w:rPr>
            </w:pPr>
            <w:r>
              <w:rPr>
                <w:rFonts w:ascii="Arial" w:cs="Arial" w:eastAsia="Arial" w:hAnsi="Arial"/>
                <w:sz w:val="14"/>
                <w:szCs w:val="14"/>
                <w:color w:val="auto"/>
              </w:rPr>
              <w:t>(6,363)</w:t>
            </w:r>
          </w:p>
        </w:tc>
        <w:tc>
          <w:tcPr>
            <w:tcW w:w="240" w:type="dxa"/>
            <w:vAlign w:val="bottom"/>
          </w:tcPr>
          <w:p>
            <w:pPr>
              <w:jc w:val="right"/>
              <w:ind w:right="92"/>
              <w:spacing w:after="0"/>
              <w:rPr>
                <w:sz w:val="20"/>
                <w:szCs w:val="20"/>
                <w:color w:val="auto"/>
              </w:rPr>
            </w:pPr>
            <w:r>
              <w:rPr>
                <w:rFonts w:ascii="Arial" w:cs="Arial" w:eastAsia="Arial" w:hAnsi="Arial"/>
                <w:sz w:val="14"/>
                <w:szCs w:val="14"/>
                <w:color w:val="auto"/>
                <w:w w:val="76"/>
              </w:rPr>
              <w:t>$</w:t>
            </w:r>
          </w:p>
        </w:tc>
        <w:tc>
          <w:tcPr>
            <w:tcW w:w="520" w:type="dxa"/>
            <w:vAlign w:val="bottom"/>
          </w:tcPr>
          <w:p>
            <w:pPr>
              <w:jc w:val="right"/>
              <w:spacing w:after="0"/>
              <w:rPr>
                <w:sz w:val="20"/>
                <w:szCs w:val="20"/>
                <w:color w:val="auto"/>
              </w:rPr>
            </w:pPr>
            <w:r>
              <w:rPr>
                <w:rFonts w:ascii="Arial" w:cs="Arial" w:eastAsia="Arial" w:hAnsi="Arial"/>
                <w:sz w:val="14"/>
                <w:szCs w:val="14"/>
                <w:color w:val="auto"/>
              </w:rPr>
              <w:t>110</w:t>
            </w:r>
          </w:p>
        </w:tc>
        <w:tc>
          <w:tcPr>
            <w:tcW w:w="160" w:type="dxa"/>
            <w:vAlign w:val="bottom"/>
          </w:tcPr>
          <w:p>
            <w:pPr>
              <w:spacing w:after="0"/>
              <w:rPr>
                <w:sz w:val="20"/>
                <w:szCs w:val="20"/>
                <w:color w:val="auto"/>
              </w:rPr>
            </w:pPr>
          </w:p>
        </w:tc>
        <w:tc>
          <w:tcPr>
            <w:tcW w:w="240" w:type="dxa"/>
            <w:vAlign w:val="bottom"/>
          </w:tcPr>
          <w:p>
            <w:pPr>
              <w:jc w:val="right"/>
              <w:ind w:right="92"/>
              <w:spacing w:after="0"/>
              <w:rPr>
                <w:sz w:val="20"/>
                <w:szCs w:val="20"/>
                <w:color w:val="auto"/>
              </w:rPr>
            </w:pPr>
            <w:r>
              <w:rPr>
                <w:rFonts w:ascii="Arial" w:cs="Arial" w:eastAsia="Arial" w:hAnsi="Arial"/>
                <w:sz w:val="14"/>
                <w:szCs w:val="14"/>
                <w:color w:val="auto"/>
                <w:w w:val="76"/>
              </w:rPr>
              <w:t>$</w:t>
            </w:r>
          </w:p>
        </w:tc>
        <w:tc>
          <w:tcPr>
            <w:tcW w:w="680" w:type="dxa"/>
            <w:vAlign w:val="bottom"/>
            <w:gridSpan w:val="2"/>
          </w:tcPr>
          <w:p>
            <w:pPr>
              <w:jc w:val="right"/>
              <w:ind w:right="120"/>
              <w:spacing w:after="0"/>
              <w:rPr>
                <w:sz w:val="20"/>
                <w:szCs w:val="20"/>
                <w:color w:val="auto"/>
              </w:rPr>
            </w:pPr>
            <w:r>
              <w:rPr>
                <w:rFonts w:ascii="Arial" w:cs="Arial" w:eastAsia="Arial" w:hAnsi="Arial"/>
                <w:sz w:val="14"/>
                <w:szCs w:val="14"/>
                <w:color w:val="auto"/>
              </w:rPr>
              <w:t>(4,495)</w:t>
            </w:r>
          </w:p>
        </w:tc>
        <w:tc>
          <w:tcPr>
            <w:tcW w:w="0" w:type="dxa"/>
            <w:vAlign w:val="bottom"/>
          </w:tcPr>
          <w:p>
            <w:pPr>
              <w:spacing w:after="0"/>
              <w:rPr>
                <w:sz w:val="1"/>
                <w:szCs w:val="1"/>
                <w:color w:val="auto"/>
              </w:rPr>
            </w:pPr>
          </w:p>
        </w:tc>
      </w:tr>
      <w:tr>
        <w:trPr>
          <w:trHeight w:val="20"/>
        </w:trPr>
        <w:tc>
          <w:tcPr>
            <w:tcW w:w="1160" w:type="dxa"/>
            <w:vAlign w:val="bottom"/>
          </w:tcPr>
          <w:p>
            <w:pPr>
              <w:spacing w:after="0" w:line="20" w:lineRule="exact"/>
              <w:rPr>
                <w:sz w:val="1"/>
                <w:szCs w:val="1"/>
                <w:color w:val="auto"/>
              </w:rPr>
            </w:pPr>
          </w:p>
        </w:tc>
        <w:tc>
          <w:tcPr>
            <w:tcW w:w="546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6"/>
        </w:trPr>
        <w:tc>
          <w:tcPr>
            <w:tcW w:w="1160" w:type="dxa"/>
            <w:vAlign w:val="bottom"/>
          </w:tcPr>
          <w:p>
            <w:pPr>
              <w:spacing w:after="0"/>
              <w:rPr>
                <w:sz w:val="11"/>
                <w:szCs w:val="11"/>
                <w:color w:val="auto"/>
              </w:rPr>
            </w:pPr>
          </w:p>
        </w:tc>
        <w:tc>
          <w:tcPr>
            <w:tcW w:w="5460" w:type="dxa"/>
            <w:vAlign w:val="bottom"/>
            <w:shd w:val="clear" w:color="auto" w:fill="CCEEFF"/>
          </w:tcPr>
          <w:p>
            <w:pPr>
              <w:ind w:left="420"/>
              <w:spacing w:after="0" w:line="136" w:lineRule="exact"/>
              <w:rPr>
                <w:sz w:val="20"/>
                <w:szCs w:val="20"/>
                <w:color w:val="auto"/>
              </w:rPr>
            </w:pPr>
            <w:r>
              <w:rPr>
                <w:rFonts w:ascii="Arial" w:cs="Arial" w:eastAsia="Arial" w:hAnsi="Arial"/>
                <w:sz w:val="14"/>
                <w:szCs w:val="14"/>
                <w:color w:val="auto"/>
              </w:rPr>
              <w:t>Weighted average discount rate</w:t>
            </w:r>
          </w:p>
        </w:tc>
        <w:tc>
          <w:tcPr>
            <w:tcW w:w="280" w:type="dxa"/>
            <w:vAlign w:val="bottom"/>
            <w:shd w:val="clear" w:color="auto" w:fill="CCEEFF"/>
          </w:tcPr>
          <w:p>
            <w:pPr>
              <w:spacing w:after="0"/>
              <w:rPr>
                <w:sz w:val="11"/>
                <w:szCs w:val="11"/>
                <w:color w:val="auto"/>
              </w:rPr>
            </w:pPr>
          </w:p>
        </w:tc>
        <w:tc>
          <w:tcPr>
            <w:tcW w:w="640" w:type="dxa"/>
            <w:vAlign w:val="bottom"/>
            <w:gridSpan w:val="2"/>
            <w:shd w:val="clear" w:color="auto" w:fill="CCEEFF"/>
          </w:tcPr>
          <w:p>
            <w:pPr>
              <w:jc w:val="right"/>
              <w:ind w:right="180"/>
              <w:spacing w:after="0" w:line="136" w:lineRule="exact"/>
              <w:rPr>
                <w:sz w:val="20"/>
                <w:szCs w:val="20"/>
                <w:color w:val="auto"/>
              </w:rPr>
            </w:pPr>
            <w:r>
              <w:rPr>
                <w:rFonts w:ascii="Arial" w:cs="Arial" w:eastAsia="Arial" w:hAnsi="Arial"/>
                <w:sz w:val="14"/>
                <w:szCs w:val="14"/>
                <w:color w:val="auto"/>
              </w:rPr>
              <w:t>n.a.</w:t>
            </w:r>
          </w:p>
        </w:tc>
        <w:tc>
          <w:tcPr>
            <w:tcW w:w="220" w:type="dxa"/>
            <w:vAlign w:val="bottom"/>
            <w:shd w:val="clear" w:color="auto" w:fill="CCEEFF"/>
          </w:tcPr>
          <w:p>
            <w:pPr>
              <w:spacing w:after="0"/>
              <w:rPr>
                <w:sz w:val="11"/>
                <w:szCs w:val="11"/>
                <w:color w:val="auto"/>
              </w:rPr>
            </w:pPr>
          </w:p>
        </w:tc>
        <w:tc>
          <w:tcPr>
            <w:tcW w:w="680" w:type="dxa"/>
            <w:vAlign w:val="bottom"/>
            <w:gridSpan w:val="2"/>
            <w:shd w:val="clear" w:color="auto" w:fill="CCEEFF"/>
          </w:tcPr>
          <w:p>
            <w:pPr>
              <w:jc w:val="right"/>
              <w:ind w:right="40"/>
              <w:spacing w:after="0" w:line="136" w:lineRule="exact"/>
              <w:rPr>
                <w:sz w:val="20"/>
                <w:szCs w:val="20"/>
                <w:color w:val="auto"/>
              </w:rPr>
            </w:pPr>
            <w:r>
              <w:rPr>
                <w:rFonts w:ascii="Arial" w:cs="Arial" w:eastAsia="Arial" w:hAnsi="Arial"/>
                <w:sz w:val="14"/>
                <w:szCs w:val="14"/>
                <w:color w:val="auto"/>
              </w:rPr>
              <w:t>7.00%</w:t>
            </w:r>
          </w:p>
        </w:tc>
        <w:tc>
          <w:tcPr>
            <w:tcW w:w="240" w:type="dxa"/>
            <w:vAlign w:val="bottom"/>
            <w:shd w:val="clear" w:color="auto" w:fill="CCEEFF"/>
          </w:tcPr>
          <w:p>
            <w:pPr>
              <w:spacing w:after="0"/>
              <w:rPr>
                <w:sz w:val="11"/>
                <w:szCs w:val="11"/>
                <w:color w:val="auto"/>
              </w:rPr>
            </w:pPr>
          </w:p>
        </w:tc>
        <w:tc>
          <w:tcPr>
            <w:tcW w:w="680" w:type="dxa"/>
            <w:vAlign w:val="bottom"/>
            <w:gridSpan w:val="2"/>
            <w:shd w:val="clear" w:color="auto" w:fill="CCEEFF"/>
          </w:tcPr>
          <w:p>
            <w:pPr>
              <w:jc w:val="right"/>
              <w:ind w:right="160"/>
              <w:spacing w:after="0" w:line="136" w:lineRule="exact"/>
              <w:rPr>
                <w:sz w:val="20"/>
                <w:szCs w:val="20"/>
                <w:color w:val="auto"/>
              </w:rPr>
            </w:pPr>
            <w:r>
              <w:rPr>
                <w:rFonts w:ascii="Arial" w:cs="Arial" w:eastAsia="Arial" w:hAnsi="Arial"/>
                <w:sz w:val="14"/>
                <w:szCs w:val="14"/>
                <w:color w:val="auto"/>
              </w:rPr>
              <w:t>n.a.</w:t>
            </w:r>
          </w:p>
        </w:tc>
        <w:tc>
          <w:tcPr>
            <w:tcW w:w="240" w:type="dxa"/>
            <w:vAlign w:val="bottom"/>
            <w:shd w:val="clear" w:color="auto" w:fill="CCEEFF"/>
          </w:tcPr>
          <w:p>
            <w:pPr>
              <w:spacing w:after="0"/>
              <w:rPr>
                <w:sz w:val="11"/>
                <w:szCs w:val="11"/>
                <w:color w:val="auto"/>
              </w:rPr>
            </w:pPr>
          </w:p>
        </w:tc>
        <w:tc>
          <w:tcPr>
            <w:tcW w:w="680" w:type="dxa"/>
            <w:vAlign w:val="bottom"/>
            <w:gridSpan w:val="2"/>
            <w:shd w:val="clear" w:color="auto" w:fill="CCEEFF"/>
          </w:tcPr>
          <w:p>
            <w:pPr>
              <w:jc w:val="right"/>
              <w:ind w:right="60"/>
              <w:spacing w:after="0" w:line="136" w:lineRule="exact"/>
              <w:rPr>
                <w:sz w:val="20"/>
                <w:szCs w:val="20"/>
                <w:color w:val="auto"/>
              </w:rPr>
            </w:pPr>
            <w:r>
              <w:rPr>
                <w:rFonts w:ascii="Arial" w:cs="Arial" w:eastAsia="Arial" w:hAnsi="Arial"/>
                <w:sz w:val="14"/>
                <w:szCs w:val="14"/>
                <w:color w:val="auto"/>
              </w:rPr>
              <w:t>7.00%</w:t>
            </w: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5460" w:type="dxa"/>
            <w:vAlign w:val="bottom"/>
          </w:tcPr>
          <w:p>
            <w:pPr>
              <w:ind w:left="420"/>
              <w:spacing w:after="0" w:line="149" w:lineRule="exact"/>
              <w:rPr>
                <w:sz w:val="20"/>
                <w:szCs w:val="20"/>
                <w:color w:val="auto"/>
              </w:rPr>
            </w:pPr>
            <w:r>
              <w:rPr>
                <w:rFonts w:ascii="Arial" w:cs="Arial" w:eastAsia="Arial" w:hAnsi="Arial"/>
                <w:sz w:val="14"/>
                <w:szCs w:val="14"/>
                <w:color w:val="auto"/>
              </w:rPr>
              <w:t>Weighted average expected long-term rate of return</w:t>
            </w:r>
          </w:p>
        </w:tc>
        <w:tc>
          <w:tcPr>
            <w:tcW w:w="280" w:type="dxa"/>
            <w:vAlign w:val="bottom"/>
          </w:tcPr>
          <w:p>
            <w:pPr>
              <w:spacing w:after="0"/>
              <w:rPr>
                <w:sz w:val="12"/>
                <w:szCs w:val="12"/>
                <w:color w:val="auto"/>
              </w:rPr>
            </w:pPr>
          </w:p>
        </w:tc>
        <w:tc>
          <w:tcPr>
            <w:tcW w:w="6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n.a.</w:t>
            </w:r>
          </w:p>
        </w:tc>
        <w:tc>
          <w:tcPr>
            <w:tcW w:w="220" w:type="dxa"/>
            <w:vAlign w:val="bottom"/>
          </w:tcPr>
          <w:p>
            <w:pPr>
              <w:spacing w:after="0"/>
              <w:rPr>
                <w:sz w:val="12"/>
                <w:szCs w:val="12"/>
                <w:color w:val="auto"/>
              </w:rPr>
            </w:pPr>
          </w:p>
        </w:tc>
        <w:tc>
          <w:tcPr>
            <w:tcW w:w="6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n.a.</w:t>
            </w:r>
          </w:p>
        </w:tc>
        <w:tc>
          <w:tcPr>
            <w:tcW w:w="240" w:type="dxa"/>
            <w:vAlign w:val="bottom"/>
          </w:tcPr>
          <w:p>
            <w:pPr>
              <w:spacing w:after="0"/>
              <w:rPr>
                <w:sz w:val="12"/>
                <w:szCs w:val="12"/>
                <w:color w:val="auto"/>
              </w:rPr>
            </w:pPr>
          </w:p>
        </w:tc>
        <w:tc>
          <w:tcPr>
            <w:tcW w:w="6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n.a.</w:t>
            </w:r>
          </w:p>
        </w:tc>
        <w:tc>
          <w:tcPr>
            <w:tcW w:w="240" w:type="dxa"/>
            <w:vAlign w:val="bottom"/>
          </w:tcPr>
          <w:p>
            <w:pPr>
              <w:spacing w:after="0"/>
              <w:rPr>
                <w:sz w:val="12"/>
                <w:szCs w:val="12"/>
                <w:color w:val="auto"/>
              </w:rPr>
            </w:pPr>
          </w:p>
        </w:tc>
        <w:tc>
          <w:tcPr>
            <w:tcW w:w="6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546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Weighted average rate of compensation increase</w:t>
            </w:r>
          </w:p>
        </w:tc>
        <w:tc>
          <w:tcPr>
            <w:tcW w:w="280" w:type="dxa"/>
            <w:vAlign w:val="bottom"/>
            <w:shd w:val="clear" w:color="auto" w:fill="CCEEFF"/>
          </w:tcPr>
          <w:p>
            <w:pPr>
              <w:spacing w:after="0"/>
              <w:rPr>
                <w:sz w:val="12"/>
                <w:szCs w:val="12"/>
                <w:color w:val="auto"/>
              </w:rPr>
            </w:pPr>
          </w:p>
        </w:tc>
        <w:tc>
          <w:tcPr>
            <w:tcW w:w="6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n.a.</w:t>
            </w:r>
          </w:p>
        </w:tc>
        <w:tc>
          <w:tcPr>
            <w:tcW w:w="22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3.00%</w:t>
            </w:r>
          </w:p>
        </w:tc>
        <w:tc>
          <w:tcPr>
            <w:tcW w:w="24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n.a.</w:t>
            </w:r>
          </w:p>
        </w:tc>
        <w:tc>
          <w:tcPr>
            <w:tcW w:w="24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3.00%</w:t>
            </w:r>
          </w:p>
        </w:tc>
        <w:tc>
          <w:tcPr>
            <w:tcW w:w="0" w:type="dxa"/>
            <w:vAlign w:val="bottom"/>
          </w:tcPr>
          <w:p>
            <w:pPr>
              <w:spacing w:after="0"/>
              <w:rPr>
                <w:sz w:val="1"/>
                <w:szCs w:val="1"/>
                <w:color w:val="auto"/>
              </w:rPr>
            </w:pPr>
          </w:p>
        </w:tc>
      </w:tr>
      <w:tr>
        <w:trPr>
          <w:trHeight w:val="293"/>
        </w:trPr>
        <w:tc>
          <w:tcPr>
            <w:tcW w:w="1160" w:type="dxa"/>
            <w:vAlign w:val="bottom"/>
          </w:tcPr>
          <w:p>
            <w:pPr>
              <w:spacing w:after="0"/>
              <w:rPr>
                <w:sz w:val="24"/>
                <w:szCs w:val="24"/>
                <w:color w:val="auto"/>
              </w:rPr>
            </w:pPr>
          </w:p>
        </w:tc>
        <w:tc>
          <w:tcPr>
            <w:tcW w:w="5460" w:type="dxa"/>
            <w:vAlign w:val="bottom"/>
          </w:tcPr>
          <w:p>
            <w:pPr>
              <w:ind w:left="420"/>
              <w:spacing w:after="0"/>
              <w:rPr>
                <w:sz w:val="20"/>
                <w:szCs w:val="20"/>
                <w:color w:val="auto"/>
              </w:rPr>
            </w:pPr>
            <w:r>
              <w:rPr>
                <w:rFonts w:ascii="Arial" w:cs="Arial" w:eastAsia="Arial" w:hAnsi="Arial"/>
                <w:sz w:val="14"/>
                <w:szCs w:val="14"/>
                <w:color w:val="auto"/>
              </w:rPr>
              <w:t>Estimated average remaining service life for the plan (in years)</w:t>
            </w:r>
          </w:p>
        </w:tc>
        <w:tc>
          <w:tcPr>
            <w:tcW w:w="280" w:type="dxa"/>
            <w:vAlign w:val="bottom"/>
          </w:tcPr>
          <w:p>
            <w:pPr>
              <w:spacing w:after="0"/>
              <w:rPr>
                <w:sz w:val="24"/>
                <w:szCs w:val="24"/>
                <w:color w:val="auto"/>
              </w:rPr>
            </w:pPr>
          </w:p>
        </w:tc>
        <w:tc>
          <w:tcPr>
            <w:tcW w:w="640" w:type="dxa"/>
            <w:vAlign w:val="bottom"/>
            <w:gridSpan w:val="2"/>
          </w:tcPr>
          <w:p>
            <w:pPr>
              <w:jc w:val="right"/>
              <w:ind w:right="180"/>
              <w:spacing w:after="0"/>
              <w:rPr>
                <w:sz w:val="20"/>
                <w:szCs w:val="20"/>
                <w:color w:val="auto"/>
              </w:rPr>
            </w:pPr>
            <w:r>
              <w:rPr>
                <w:rFonts w:ascii="Arial" w:cs="Arial" w:eastAsia="Arial" w:hAnsi="Arial"/>
                <w:sz w:val="14"/>
                <w:szCs w:val="14"/>
                <w:color w:val="auto"/>
              </w:rPr>
              <w:t>n.a.</w:t>
            </w:r>
          </w:p>
        </w:tc>
        <w:tc>
          <w:tcPr>
            <w:tcW w:w="220" w:type="dxa"/>
            <w:vAlign w:val="bottom"/>
          </w:tcPr>
          <w:p>
            <w:pPr>
              <w:spacing w:after="0"/>
              <w:rPr>
                <w:sz w:val="24"/>
                <w:szCs w:val="24"/>
                <w:color w:val="auto"/>
              </w:rPr>
            </w:pPr>
          </w:p>
        </w:tc>
        <w:tc>
          <w:tcPr>
            <w:tcW w:w="680" w:type="dxa"/>
            <w:vAlign w:val="bottom"/>
            <w:gridSpan w:val="2"/>
          </w:tcPr>
          <w:p>
            <w:pPr>
              <w:jc w:val="right"/>
              <w:ind w:right="60"/>
              <w:spacing w:after="0"/>
              <w:rPr>
                <w:sz w:val="20"/>
                <w:szCs w:val="20"/>
                <w:color w:val="auto"/>
              </w:rPr>
            </w:pPr>
            <w:r>
              <w:rPr>
                <w:rFonts w:ascii="Arial" w:cs="Arial" w:eastAsia="Arial" w:hAnsi="Arial"/>
                <w:sz w:val="14"/>
                <w:szCs w:val="14"/>
                <w:color w:val="auto"/>
              </w:rPr>
              <w:t>5.0</w:t>
            </w:r>
            <w:r>
              <w:rPr>
                <w:rFonts w:ascii="Arial" w:cs="Arial" w:eastAsia="Arial" w:hAnsi="Arial"/>
                <w:sz w:val="22"/>
                <w:szCs w:val="22"/>
                <w:color w:val="auto"/>
                <w:vertAlign w:val="superscript"/>
              </w:rPr>
              <w:t>(i)</w:t>
            </w:r>
          </w:p>
        </w:tc>
        <w:tc>
          <w:tcPr>
            <w:tcW w:w="240" w:type="dxa"/>
            <w:vAlign w:val="bottom"/>
          </w:tcPr>
          <w:p>
            <w:pPr>
              <w:spacing w:after="0"/>
              <w:rPr>
                <w:sz w:val="24"/>
                <w:szCs w:val="24"/>
                <w:color w:val="auto"/>
              </w:rPr>
            </w:pPr>
          </w:p>
        </w:tc>
        <w:tc>
          <w:tcPr>
            <w:tcW w:w="680" w:type="dxa"/>
            <w:vAlign w:val="bottom"/>
            <w:gridSpan w:val="2"/>
          </w:tcPr>
          <w:p>
            <w:pPr>
              <w:jc w:val="right"/>
              <w:ind w:right="160"/>
              <w:spacing w:after="0"/>
              <w:rPr>
                <w:sz w:val="20"/>
                <w:szCs w:val="20"/>
                <w:color w:val="auto"/>
              </w:rPr>
            </w:pPr>
            <w:r>
              <w:rPr>
                <w:rFonts w:ascii="Arial" w:cs="Arial" w:eastAsia="Arial" w:hAnsi="Arial"/>
                <w:sz w:val="14"/>
                <w:szCs w:val="14"/>
                <w:color w:val="auto"/>
              </w:rPr>
              <w:t>n.a.</w:t>
            </w:r>
          </w:p>
        </w:tc>
        <w:tc>
          <w:tcPr>
            <w:tcW w:w="240" w:type="dxa"/>
            <w:vAlign w:val="bottom"/>
          </w:tcPr>
          <w:p>
            <w:pPr>
              <w:spacing w:after="0"/>
              <w:rPr>
                <w:sz w:val="24"/>
                <w:szCs w:val="24"/>
                <w:color w:val="auto"/>
              </w:rPr>
            </w:pPr>
          </w:p>
        </w:tc>
        <w:tc>
          <w:tcPr>
            <w:tcW w:w="680" w:type="dxa"/>
            <w:vAlign w:val="bottom"/>
            <w:gridSpan w:val="2"/>
          </w:tcPr>
          <w:p>
            <w:pPr>
              <w:jc w:val="right"/>
              <w:ind w:right="60"/>
              <w:spacing w:after="0"/>
              <w:rPr>
                <w:sz w:val="20"/>
                <w:szCs w:val="20"/>
                <w:color w:val="auto"/>
              </w:rPr>
            </w:pPr>
            <w:r>
              <w:rPr>
                <w:rFonts w:ascii="Arial" w:cs="Arial" w:eastAsia="Arial" w:hAnsi="Arial"/>
                <w:sz w:val="14"/>
                <w:szCs w:val="14"/>
                <w:color w:val="auto"/>
              </w:rPr>
              <w:t>6.0</w:t>
            </w:r>
            <w:r>
              <w:rPr>
                <w:rFonts w:ascii="Arial" w:cs="Arial" w:eastAsia="Arial" w:hAnsi="Arial"/>
                <w:sz w:val="22"/>
                <w:szCs w:val="22"/>
                <w:color w:val="auto"/>
                <w:vertAlign w:val="superscript"/>
              </w:rPr>
              <w:t>(i)</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1076960</wp:posOffset>
            </wp:positionH>
            <wp:positionV relativeFrom="paragraph">
              <wp:posOffset>45720</wp:posOffset>
            </wp:positionV>
            <wp:extent cx="754380" cy="889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extLst>
                        <a:ext uri="{28A0092B-C50C-407E-A947-70E740481C1C}"/>
                      </a:extLst>
                    </a:blip>
                    <a:srcRect/>
                    <a:stretch>
                      <a:fillRect/>
                    </a:stretch>
                  </pic:blipFill>
                  <pic:spPr bwMode="auto">
                    <a:xfrm>
                      <a:off x="0" y="0"/>
                      <a:ext cx="754380" cy="8890"/>
                    </a:xfrm>
                    <a:prstGeom prst="rect">
                      <a:avLst/>
                    </a:prstGeom>
                    <a:noFill/>
                  </pic:spPr>
                </pic:pic>
              </a:graphicData>
            </a:graphic>
          </wp:anchor>
        </w:drawing>
      </w:r>
    </w:p>
    <w:p>
      <w:pPr>
        <w:spacing w:after="0" w:line="271" w:lineRule="exact"/>
        <w:rPr>
          <w:sz w:val="20"/>
          <w:szCs w:val="20"/>
          <w:color w:val="auto"/>
        </w:rPr>
      </w:pPr>
    </w:p>
    <w:p>
      <w:pPr>
        <w:ind w:left="2220"/>
        <w:spacing w:after="0"/>
        <w:rPr>
          <w:sz w:val="20"/>
          <w:szCs w:val="20"/>
          <w:color w:val="auto"/>
        </w:rPr>
      </w:pPr>
      <w:r>
        <w:rPr>
          <w:rFonts w:ascii="Arial" w:cs="Arial" w:eastAsia="Arial" w:hAnsi="Arial"/>
          <w:sz w:val="14"/>
          <w:szCs w:val="14"/>
          <w:color w:val="auto"/>
        </w:rPr>
        <w:t>Notes:</w:t>
      </w:r>
    </w:p>
    <w:p>
      <w:pPr>
        <w:spacing w:after="0" w:line="190" w:lineRule="exact"/>
        <w:rPr>
          <w:sz w:val="20"/>
          <w:szCs w:val="20"/>
          <w:color w:val="auto"/>
        </w:rPr>
      </w:pPr>
    </w:p>
    <w:p>
      <w:pPr>
        <w:ind w:left="2760" w:hanging="530"/>
        <w:spacing w:after="0"/>
        <w:tabs>
          <w:tab w:leader="none" w:pos="2760" w:val="left"/>
        </w:tabs>
        <w:numPr>
          <w:ilvl w:val="0"/>
          <w:numId w:val="90"/>
        </w:numPr>
        <w:rPr>
          <w:rFonts w:ascii="Arial" w:cs="Arial" w:eastAsia="Arial" w:hAnsi="Arial"/>
          <w:sz w:val="14"/>
          <w:szCs w:val="14"/>
          <w:color w:val="auto"/>
        </w:rPr>
      </w:pPr>
      <w:r>
        <w:rPr>
          <w:rFonts w:ascii="Arial" w:cs="Arial" w:eastAsia="Arial" w:hAnsi="Arial"/>
          <w:sz w:val="14"/>
          <w:szCs w:val="14"/>
          <w:color w:val="auto"/>
        </w:rPr>
        <w:t>Estimated average remaining service life for the Executives Plan was developed for individual senior officers.</w:t>
      </w:r>
    </w:p>
    <w:p>
      <w:pPr>
        <w:spacing w:after="0" w:line="204" w:lineRule="exact"/>
        <w:rPr>
          <w:sz w:val="20"/>
          <w:szCs w:val="20"/>
          <w:color w:val="auto"/>
        </w:rPr>
      </w:pPr>
    </w:p>
    <w:p>
      <w:pPr>
        <w:ind w:left="1080"/>
        <w:spacing w:after="0"/>
        <w:rPr>
          <w:sz w:val="20"/>
          <w:szCs w:val="20"/>
          <w:color w:val="auto"/>
        </w:rPr>
      </w:pPr>
      <w:r>
        <w:rPr>
          <w:rFonts w:ascii="Arial" w:cs="Arial" w:eastAsia="Arial" w:hAnsi="Arial"/>
          <w:sz w:val="14"/>
          <w:szCs w:val="14"/>
          <w:color w:val="auto"/>
        </w:rPr>
        <w:t>The estimated benefits to be paid from each plan in the next ten years are presented below. As the Employees Plan was settled in 2008, no benefits are payable:</w:t>
      </w:r>
    </w:p>
    <w:p>
      <w:pPr>
        <w:spacing w:after="0" w:line="202" w:lineRule="exact"/>
        <w:rPr>
          <w:sz w:val="20"/>
          <w:szCs w:val="20"/>
          <w:color w:val="auto"/>
        </w:rPr>
      </w:pPr>
    </w:p>
    <w:tbl>
      <w:tblPr>
        <w:tblLayout w:type="fixed"/>
        <w:tblInd w:w="1160" w:type="dxa"/>
        <w:tblCellMar>
          <w:top w:w="0" w:type="dxa"/>
          <w:left w:w="0" w:type="dxa"/>
          <w:bottom w:w="0" w:type="dxa"/>
          <w:right w:w="0" w:type="dxa"/>
        </w:tblCellMar>
      </w:tblPr>
      <w:tr>
        <w:trPr>
          <w:trHeight w:val="161"/>
        </w:trPr>
        <w:tc>
          <w:tcPr>
            <w:tcW w:w="8200" w:type="dxa"/>
            <w:vAlign w:val="bottom"/>
          </w:tcPr>
          <w:p>
            <w:pPr>
              <w:spacing w:after="0"/>
              <w:rPr>
                <w:sz w:val="14"/>
                <w:szCs w:val="14"/>
                <w:color w:val="auto"/>
              </w:rPr>
            </w:pPr>
          </w:p>
        </w:tc>
        <w:tc>
          <w:tcPr>
            <w:tcW w:w="920" w:type="dxa"/>
            <w:vAlign w:val="bottom"/>
            <w:gridSpan w:val="3"/>
          </w:tcPr>
          <w:p>
            <w:pPr>
              <w:ind w:left="80"/>
              <w:spacing w:after="0"/>
              <w:rPr>
                <w:sz w:val="20"/>
                <w:szCs w:val="20"/>
                <w:color w:val="auto"/>
              </w:rPr>
            </w:pPr>
            <w:r>
              <w:rPr>
                <w:rFonts w:ascii="Arial" w:cs="Arial" w:eastAsia="Arial" w:hAnsi="Arial"/>
                <w:sz w:val="14"/>
                <w:szCs w:val="14"/>
                <w:b w:val="1"/>
                <w:bCs w:val="1"/>
                <w:color w:val="auto"/>
              </w:rPr>
              <w:t>Executives</w:t>
            </w:r>
          </w:p>
        </w:tc>
      </w:tr>
      <w:tr>
        <w:trPr>
          <w:trHeight w:val="142"/>
        </w:trPr>
        <w:tc>
          <w:tcPr>
            <w:tcW w:w="8200" w:type="dxa"/>
            <w:vAlign w:val="bottom"/>
            <w:shd w:val="clear" w:color="auto" w:fill="CCEEFF"/>
          </w:tcPr>
          <w:p>
            <w:pPr>
              <w:ind w:left="420"/>
              <w:spacing w:after="0" w:line="142" w:lineRule="exact"/>
              <w:rPr>
                <w:sz w:val="20"/>
                <w:szCs w:val="20"/>
                <w:color w:val="auto"/>
              </w:rPr>
            </w:pPr>
            <w:r>
              <w:rPr>
                <w:rFonts w:ascii="Arial" w:cs="Arial" w:eastAsia="Arial" w:hAnsi="Arial"/>
                <w:sz w:val="14"/>
                <w:szCs w:val="14"/>
                <w:color w:val="auto"/>
              </w:rPr>
              <w:t>2010</w:t>
            </w:r>
          </w:p>
        </w:tc>
        <w:tc>
          <w:tcPr>
            <w:tcW w:w="260" w:type="dxa"/>
            <w:vAlign w:val="bottom"/>
            <w:tcBorders>
              <w:top w:val="single" w:sz="8" w:color="auto"/>
            </w:tcBorders>
            <w:shd w:val="clear" w:color="auto" w:fill="CCEEFF"/>
          </w:tcPr>
          <w:p>
            <w:pPr>
              <w:jc w:val="right"/>
              <w:ind w:right="112"/>
              <w:spacing w:after="0" w:line="142" w:lineRule="exact"/>
              <w:rPr>
                <w:sz w:val="20"/>
                <w:szCs w:val="20"/>
                <w:color w:val="auto"/>
              </w:rPr>
            </w:pPr>
            <w:r>
              <w:rPr>
                <w:rFonts w:ascii="Arial" w:cs="Arial" w:eastAsia="Arial" w:hAnsi="Arial"/>
                <w:sz w:val="14"/>
                <w:szCs w:val="14"/>
                <w:color w:val="auto"/>
                <w:w w:val="76"/>
              </w:rPr>
              <w:t>$</w:t>
            </w:r>
          </w:p>
        </w:tc>
        <w:tc>
          <w:tcPr>
            <w:tcW w:w="50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112</w:t>
            </w:r>
          </w:p>
        </w:tc>
        <w:tc>
          <w:tcPr>
            <w:tcW w:w="160" w:type="dxa"/>
            <w:vAlign w:val="bottom"/>
            <w:shd w:val="clear" w:color="auto" w:fill="CCEEFF"/>
          </w:tcPr>
          <w:p>
            <w:pPr>
              <w:spacing w:after="0"/>
              <w:rPr>
                <w:sz w:val="12"/>
                <w:szCs w:val="12"/>
                <w:color w:val="auto"/>
              </w:rPr>
            </w:pPr>
          </w:p>
        </w:tc>
      </w:tr>
      <w:tr>
        <w:trPr>
          <w:trHeight w:val="149"/>
        </w:trPr>
        <w:tc>
          <w:tcPr>
            <w:tcW w:w="8200" w:type="dxa"/>
            <w:vAlign w:val="bottom"/>
          </w:tcPr>
          <w:p>
            <w:pPr>
              <w:ind w:left="420"/>
              <w:spacing w:after="0" w:line="149" w:lineRule="exact"/>
              <w:rPr>
                <w:sz w:val="20"/>
                <w:szCs w:val="20"/>
                <w:color w:val="auto"/>
              </w:rPr>
            </w:pPr>
            <w:r>
              <w:rPr>
                <w:rFonts w:ascii="Arial" w:cs="Arial" w:eastAsia="Arial" w:hAnsi="Arial"/>
                <w:sz w:val="14"/>
                <w:szCs w:val="14"/>
                <w:color w:val="auto"/>
              </w:rPr>
              <w:t>2011</w:t>
            </w:r>
          </w:p>
        </w:tc>
        <w:tc>
          <w:tcPr>
            <w:tcW w:w="260" w:type="dxa"/>
            <w:vAlign w:val="bottom"/>
          </w:tcPr>
          <w:p>
            <w:pPr>
              <w:jc w:val="right"/>
              <w:ind w:right="112"/>
              <w:spacing w:after="0" w:line="149" w:lineRule="exact"/>
              <w:rPr>
                <w:sz w:val="20"/>
                <w:szCs w:val="20"/>
                <w:color w:val="auto"/>
              </w:rPr>
            </w:pPr>
            <w:r>
              <w:rPr>
                <w:rFonts w:ascii="Arial" w:cs="Arial" w:eastAsia="Arial" w:hAnsi="Arial"/>
                <w:sz w:val="14"/>
                <w:szCs w:val="14"/>
                <w:color w:val="auto"/>
                <w:w w:val="76"/>
              </w:rPr>
              <w:t>$</w:t>
            </w:r>
          </w:p>
        </w:tc>
        <w:tc>
          <w:tcPr>
            <w:tcW w:w="500" w:type="dxa"/>
            <w:vAlign w:val="bottom"/>
          </w:tcPr>
          <w:p>
            <w:pPr>
              <w:jc w:val="right"/>
              <w:spacing w:after="0" w:line="149" w:lineRule="exact"/>
              <w:rPr>
                <w:sz w:val="20"/>
                <w:szCs w:val="20"/>
                <w:color w:val="auto"/>
              </w:rPr>
            </w:pPr>
            <w:r>
              <w:rPr>
                <w:rFonts w:ascii="Arial" w:cs="Arial" w:eastAsia="Arial" w:hAnsi="Arial"/>
                <w:sz w:val="14"/>
                <w:szCs w:val="14"/>
                <w:color w:val="auto"/>
              </w:rPr>
              <w:t>112</w:t>
            </w:r>
          </w:p>
        </w:tc>
        <w:tc>
          <w:tcPr>
            <w:tcW w:w="160" w:type="dxa"/>
            <w:vAlign w:val="bottom"/>
          </w:tcPr>
          <w:p>
            <w:pPr>
              <w:spacing w:after="0"/>
              <w:rPr>
                <w:sz w:val="12"/>
                <w:szCs w:val="12"/>
                <w:color w:val="auto"/>
              </w:rPr>
            </w:pPr>
          </w:p>
        </w:tc>
      </w:tr>
      <w:tr>
        <w:trPr>
          <w:trHeight w:val="149"/>
        </w:trPr>
        <w:tc>
          <w:tcPr>
            <w:tcW w:w="820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2012</w:t>
            </w:r>
          </w:p>
        </w:tc>
        <w:tc>
          <w:tcPr>
            <w:tcW w:w="260" w:type="dxa"/>
            <w:vAlign w:val="bottom"/>
            <w:shd w:val="clear" w:color="auto" w:fill="CCEEFF"/>
          </w:tcPr>
          <w:p>
            <w:pPr>
              <w:jc w:val="right"/>
              <w:ind w:right="112"/>
              <w:spacing w:after="0" w:line="149" w:lineRule="exact"/>
              <w:rPr>
                <w:sz w:val="20"/>
                <w:szCs w:val="20"/>
                <w:color w:val="auto"/>
              </w:rPr>
            </w:pPr>
            <w:r>
              <w:rPr>
                <w:rFonts w:ascii="Arial" w:cs="Arial" w:eastAsia="Arial" w:hAnsi="Arial"/>
                <w:sz w:val="14"/>
                <w:szCs w:val="14"/>
                <w:color w:val="auto"/>
                <w:w w:val="76"/>
              </w:rPr>
              <w:t>$</w:t>
            </w:r>
          </w:p>
        </w:tc>
        <w:tc>
          <w:tcPr>
            <w:tcW w:w="5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371</w:t>
            </w:r>
          </w:p>
        </w:tc>
        <w:tc>
          <w:tcPr>
            <w:tcW w:w="160" w:type="dxa"/>
            <w:vAlign w:val="bottom"/>
            <w:shd w:val="clear" w:color="auto" w:fill="CCEEFF"/>
          </w:tcPr>
          <w:p>
            <w:pPr>
              <w:spacing w:after="0"/>
              <w:rPr>
                <w:sz w:val="12"/>
                <w:szCs w:val="12"/>
                <w:color w:val="auto"/>
              </w:rPr>
            </w:pPr>
          </w:p>
        </w:tc>
      </w:tr>
      <w:tr>
        <w:trPr>
          <w:trHeight w:val="149"/>
        </w:trPr>
        <w:tc>
          <w:tcPr>
            <w:tcW w:w="8200" w:type="dxa"/>
            <w:vAlign w:val="bottom"/>
          </w:tcPr>
          <w:p>
            <w:pPr>
              <w:ind w:left="420"/>
              <w:spacing w:after="0" w:line="149" w:lineRule="exact"/>
              <w:rPr>
                <w:sz w:val="20"/>
                <w:szCs w:val="20"/>
                <w:color w:val="auto"/>
              </w:rPr>
            </w:pPr>
            <w:r>
              <w:rPr>
                <w:rFonts w:ascii="Arial" w:cs="Arial" w:eastAsia="Arial" w:hAnsi="Arial"/>
                <w:sz w:val="14"/>
                <w:szCs w:val="14"/>
                <w:color w:val="auto"/>
              </w:rPr>
              <w:t>2013</w:t>
            </w:r>
          </w:p>
        </w:tc>
        <w:tc>
          <w:tcPr>
            <w:tcW w:w="260" w:type="dxa"/>
            <w:vAlign w:val="bottom"/>
          </w:tcPr>
          <w:p>
            <w:pPr>
              <w:jc w:val="right"/>
              <w:ind w:right="112"/>
              <w:spacing w:after="0" w:line="149" w:lineRule="exact"/>
              <w:rPr>
                <w:sz w:val="20"/>
                <w:szCs w:val="20"/>
                <w:color w:val="auto"/>
              </w:rPr>
            </w:pPr>
            <w:r>
              <w:rPr>
                <w:rFonts w:ascii="Arial" w:cs="Arial" w:eastAsia="Arial" w:hAnsi="Arial"/>
                <w:sz w:val="14"/>
                <w:szCs w:val="14"/>
                <w:color w:val="auto"/>
                <w:w w:val="76"/>
              </w:rPr>
              <w:t>$</w:t>
            </w:r>
          </w:p>
        </w:tc>
        <w:tc>
          <w:tcPr>
            <w:tcW w:w="500" w:type="dxa"/>
            <w:vAlign w:val="bottom"/>
          </w:tcPr>
          <w:p>
            <w:pPr>
              <w:jc w:val="right"/>
              <w:spacing w:after="0" w:line="149" w:lineRule="exact"/>
              <w:rPr>
                <w:sz w:val="20"/>
                <w:szCs w:val="20"/>
                <w:color w:val="auto"/>
              </w:rPr>
            </w:pPr>
            <w:r>
              <w:rPr>
                <w:rFonts w:ascii="Arial" w:cs="Arial" w:eastAsia="Arial" w:hAnsi="Arial"/>
                <w:sz w:val="14"/>
                <w:szCs w:val="14"/>
                <w:color w:val="auto"/>
              </w:rPr>
              <w:t>422</w:t>
            </w:r>
          </w:p>
        </w:tc>
        <w:tc>
          <w:tcPr>
            <w:tcW w:w="160" w:type="dxa"/>
            <w:vAlign w:val="bottom"/>
          </w:tcPr>
          <w:p>
            <w:pPr>
              <w:spacing w:after="0"/>
              <w:rPr>
                <w:sz w:val="12"/>
                <w:szCs w:val="12"/>
                <w:color w:val="auto"/>
              </w:rPr>
            </w:pPr>
          </w:p>
        </w:tc>
      </w:tr>
      <w:tr>
        <w:trPr>
          <w:trHeight w:val="149"/>
        </w:trPr>
        <w:tc>
          <w:tcPr>
            <w:tcW w:w="820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2014</w:t>
            </w:r>
          </w:p>
        </w:tc>
        <w:tc>
          <w:tcPr>
            <w:tcW w:w="260" w:type="dxa"/>
            <w:vAlign w:val="bottom"/>
            <w:shd w:val="clear" w:color="auto" w:fill="CCEEFF"/>
          </w:tcPr>
          <w:p>
            <w:pPr>
              <w:jc w:val="right"/>
              <w:ind w:right="112"/>
              <w:spacing w:after="0" w:line="149" w:lineRule="exact"/>
              <w:rPr>
                <w:sz w:val="20"/>
                <w:szCs w:val="20"/>
                <w:color w:val="auto"/>
              </w:rPr>
            </w:pPr>
            <w:r>
              <w:rPr>
                <w:rFonts w:ascii="Arial" w:cs="Arial" w:eastAsia="Arial" w:hAnsi="Arial"/>
                <w:sz w:val="14"/>
                <w:szCs w:val="14"/>
                <w:color w:val="auto"/>
                <w:w w:val="76"/>
              </w:rPr>
              <w:t>$</w:t>
            </w:r>
          </w:p>
        </w:tc>
        <w:tc>
          <w:tcPr>
            <w:tcW w:w="5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422</w:t>
            </w:r>
          </w:p>
        </w:tc>
        <w:tc>
          <w:tcPr>
            <w:tcW w:w="160" w:type="dxa"/>
            <w:vAlign w:val="bottom"/>
            <w:shd w:val="clear" w:color="auto" w:fill="CCEEFF"/>
          </w:tcPr>
          <w:p>
            <w:pPr>
              <w:spacing w:after="0"/>
              <w:rPr>
                <w:sz w:val="12"/>
                <w:szCs w:val="12"/>
                <w:color w:val="auto"/>
              </w:rPr>
            </w:pPr>
          </w:p>
        </w:tc>
      </w:tr>
      <w:tr>
        <w:trPr>
          <w:trHeight w:val="172"/>
        </w:trPr>
        <w:tc>
          <w:tcPr>
            <w:tcW w:w="8200" w:type="dxa"/>
            <w:vAlign w:val="bottom"/>
          </w:tcPr>
          <w:p>
            <w:pPr>
              <w:ind w:left="420"/>
              <w:spacing w:after="0"/>
              <w:rPr>
                <w:sz w:val="20"/>
                <w:szCs w:val="20"/>
                <w:color w:val="auto"/>
              </w:rPr>
            </w:pPr>
            <w:r>
              <w:rPr>
                <w:rFonts w:ascii="Arial" w:cs="Arial" w:eastAsia="Arial" w:hAnsi="Arial"/>
                <w:sz w:val="14"/>
                <w:szCs w:val="14"/>
                <w:color w:val="auto"/>
              </w:rPr>
              <w:t>2015 - 2019</w:t>
            </w:r>
          </w:p>
        </w:tc>
        <w:tc>
          <w:tcPr>
            <w:tcW w:w="260" w:type="dxa"/>
            <w:vAlign w:val="bottom"/>
          </w:tcPr>
          <w:p>
            <w:pPr>
              <w:jc w:val="right"/>
              <w:ind w:right="112"/>
              <w:spacing w:after="0"/>
              <w:rPr>
                <w:sz w:val="20"/>
                <w:szCs w:val="20"/>
                <w:color w:val="auto"/>
              </w:rPr>
            </w:pPr>
            <w:r>
              <w:rPr>
                <w:rFonts w:ascii="Arial" w:cs="Arial" w:eastAsia="Arial" w:hAnsi="Arial"/>
                <w:sz w:val="14"/>
                <w:szCs w:val="14"/>
                <w:color w:val="auto"/>
                <w:w w:val="76"/>
              </w:rPr>
              <w:t>$</w:t>
            </w:r>
          </w:p>
        </w:tc>
        <w:tc>
          <w:tcPr>
            <w:tcW w:w="500" w:type="dxa"/>
            <w:vAlign w:val="bottom"/>
          </w:tcPr>
          <w:p>
            <w:pPr>
              <w:jc w:val="right"/>
              <w:spacing w:after="0"/>
              <w:rPr>
                <w:sz w:val="20"/>
                <w:szCs w:val="20"/>
                <w:color w:val="auto"/>
              </w:rPr>
            </w:pPr>
            <w:r>
              <w:rPr>
                <w:rFonts w:ascii="Arial" w:cs="Arial" w:eastAsia="Arial" w:hAnsi="Arial"/>
                <w:sz w:val="14"/>
                <w:szCs w:val="14"/>
                <w:color w:val="auto"/>
              </w:rPr>
              <w:t>2,746</w:t>
            </w:r>
          </w:p>
        </w:tc>
        <w:tc>
          <w:tcPr>
            <w:tcW w:w="160" w:type="dxa"/>
            <w:vAlign w:val="bottom"/>
          </w:tcPr>
          <w:p>
            <w:pPr>
              <w:spacing w:after="0"/>
              <w:rPr>
                <w:sz w:val="14"/>
                <w:szCs w:val="14"/>
                <w:color w:val="auto"/>
              </w:rPr>
            </w:pPr>
          </w:p>
        </w:tc>
      </w:tr>
    </w:tbl>
    <w:p>
      <w:pPr>
        <w:spacing w:after="0" w:line="182" w:lineRule="exact"/>
        <w:rPr>
          <w:sz w:val="20"/>
          <w:szCs w:val="20"/>
          <w:color w:val="auto"/>
        </w:rPr>
      </w:pPr>
    </w:p>
    <w:p>
      <w:pPr>
        <w:ind w:left="1080"/>
        <w:spacing w:after="0" w:line="239" w:lineRule="auto"/>
        <w:rPr>
          <w:sz w:val="20"/>
          <w:szCs w:val="20"/>
          <w:color w:val="auto"/>
        </w:rPr>
      </w:pPr>
      <w:r>
        <w:rPr>
          <w:rFonts w:ascii="Arial" w:cs="Arial" w:eastAsia="Arial" w:hAnsi="Arial"/>
          <w:sz w:val="14"/>
          <w:szCs w:val="14"/>
          <w:color w:val="auto"/>
        </w:rPr>
        <w:t>In addition to the Employees Plan and the Executives Plan, the Company has two defined contribution pension plans. Under the basic plan (the "Basic Plan"), Agnico-Eagle contributes 5% of each employee's base employment compensation to a defined</w:t>
      </w:r>
    </w:p>
    <w:p>
      <w:pPr>
        <w:spacing w:after="0" w:line="19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206" w:name="page207"/>
    <w:bookmarkEnd w:id="206"/>
    <w:p>
      <w:pPr>
        <w:jc w:val="center"/>
        <w:spacing w:after="0"/>
        <w:rPr>
          <w:sz w:val="20"/>
          <w:szCs w:val="20"/>
          <w:color w:val="auto"/>
        </w:rPr>
      </w:pPr>
      <w:r>
        <w:rPr>
          <w:rFonts w:ascii="Arial" w:cs="Arial" w:eastAsia="Arial" w:hAnsi="Arial"/>
          <w:sz w:val="18"/>
          <w:szCs w:val="18"/>
          <w:b w:val="1"/>
          <w:bCs w:val="1"/>
          <w:color w:val="auto"/>
        </w:rPr>
        <w:t>AGNICO-EAGLE MINES LIMITED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 (Continued)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(thousands of United States dollars, except per share amounts, unless otherwise indicated)</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December 31, 2009</w:t>
      </w:r>
    </w:p>
    <w:p>
      <w:pPr>
        <w:spacing w:after="0" w:line="214" w:lineRule="exact"/>
        <w:rPr>
          <w:sz w:val="20"/>
          <w:szCs w:val="20"/>
          <w:color w:val="auto"/>
        </w:rPr>
      </w:pPr>
    </w:p>
    <w:p>
      <w:pPr>
        <w:ind w:left="280" w:hanging="272"/>
        <w:spacing w:after="0"/>
        <w:tabs>
          <w:tab w:leader="none" w:pos="280" w:val="left"/>
        </w:tabs>
        <w:numPr>
          <w:ilvl w:val="0"/>
          <w:numId w:val="91"/>
        </w:numPr>
        <w:rPr>
          <w:rFonts w:ascii="Arial" w:cs="Arial" w:eastAsia="Arial" w:hAnsi="Arial"/>
          <w:sz w:val="14"/>
          <w:szCs w:val="14"/>
          <w:b w:val="1"/>
          <w:bCs w:val="1"/>
          <w:color w:val="auto"/>
        </w:rPr>
      </w:pPr>
      <w:r>
        <w:rPr>
          <w:rFonts w:ascii="Arial" w:cs="Arial" w:eastAsia="Arial" w:hAnsi="Arial"/>
          <w:sz w:val="14"/>
          <w:szCs w:val="14"/>
          <w:b w:val="1"/>
          <w:bCs w:val="1"/>
          <w:color w:val="auto"/>
        </w:rPr>
        <w:t>RECLAMATION PROVISION AND OTHER LIABILITIES (Continued)</w:t>
      </w:r>
    </w:p>
    <w:p>
      <w:pPr>
        <w:spacing w:after="0" w:line="206" w:lineRule="exact"/>
        <w:rPr>
          <w:sz w:val="20"/>
          <w:szCs w:val="20"/>
          <w:color w:val="auto"/>
        </w:rPr>
      </w:pPr>
    </w:p>
    <w:p>
      <w:pPr>
        <w:jc w:val="both"/>
        <w:ind w:left="1080"/>
        <w:spacing w:after="0" w:line="288" w:lineRule="auto"/>
        <w:rPr>
          <w:sz w:val="20"/>
          <w:szCs w:val="20"/>
          <w:color w:val="auto"/>
        </w:rPr>
      </w:pPr>
      <w:r>
        <w:rPr>
          <w:rFonts w:ascii="Arial" w:cs="Arial" w:eastAsia="Arial" w:hAnsi="Arial"/>
          <w:sz w:val="12"/>
          <w:szCs w:val="12"/>
          <w:color w:val="auto"/>
        </w:rPr>
        <w:t>contribution plan. The expense in 2009 was $6.5 million (2008 — $5.3 million; 2007 — $4.3 million). In addition to the Basic Plan, effective January 1, 2008 the Company adopted the supplemental plan for designated executives at the level of Vice-President or above. Under this plan, an additional 10% of the designated executives' earnings for the year (including salary and short-term bonus) are contributed by the Company. In 2009, $0.9 million (2008 — $0.7 million) was contributed to the supplemental plan.</w:t>
      </w:r>
    </w:p>
    <w:p>
      <w:pPr>
        <w:spacing w:after="0" w:line="163" w:lineRule="exact"/>
        <w:rPr>
          <w:sz w:val="20"/>
          <w:szCs w:val="20"/>
          <w:color w:val="auto"/>
        </w:rPr>
      </w:pPr>
    </w:p>
    <w:p>
      <w:pPr>
        <w:ind w:left="280" w:hanging="272"/>
        <w:spacing w:after="0"/>
        <w:tabs>
          <w:tab w:leader="none" w:pos="280" w:val="left"/>
        </w:tabs>
        <w:numPr>
          <w:ilvl w:val="0"/>
          <w:numId w:val="92"/>
        </w:numPr>
        <w:rPr>
          <w:rFonts w:ascii="Arial" w:cs="Arial" w:eastAsia="Arial" w:hAnsi="Arial"/>
          <w:sz w:val="14"/>
          <w:szCs w:val="14"/>
          <w:b w:val="1"/>
          <w:bCs w:val="1"/>
          <w:color w:val="auto"/>
        </w:rPr>
      </w:pPr>
      <w:r>
        <w:rPr>
          <w:rFonts w:ascii="Arial" w:cs="Arial" w:eastAsia="Arial" w:hAnsi="Arial"/>
          <w:sz w:val="14"/>
          <w:szCs w:val="14"/>
          <w:b w:val="1"/>
          <w:bCs w:val="1"/>
          <w:color w:val="auto"/>
        </w:rPr>
        <w:t>SHAREHOLDERS' EQUITY</w:t>
      </w:r>
    </w:p>
    <w:p>
      <w:pPr>
        <w:spacing w:after="0" w:line="192" w:lineRule="exact"/>
        <w:rPr>
          <w:rFonts w:ascii="Arial" w:cs="Arial" w:eastAsia="Arial" w:hAnsi="Arial"/>
          <w:sz w:val="14"/>
          <w:szCs w:val="14"/>
          <w:b w:val="1"/>
          <w:bCs w:val="1"/>
          <w:color w:val="auto"/>
        </w:rPr>
      </w:pPr>
    </w:p>
    <w:p>
      <w:pPr>
        <w:ind w:left="1080" w:hanging="532"/>
        <w:spacing w:after="0"/>
        <w:tabs>
          <w:tab w:leader="none" w:pos="1080" w:val="left"/>
        </w:tabs>
        <w:numPr>
          <w:ilvl w:val="1"/>
          <w:numId w:val="92"/>
        </w:numPr>
        <w:rPr>
          <w:rFonts w:ascii="Arial" w:cs="Arial" w:eastAsia="Arial" w:hAnsi="Arial"/>
          <w:sz w:val="14"/>
          <w:szCs w:val="14"/>
          <w:b w:val="1"/>
          <w:bCs w:val="1"/>
          <w:i w:val="1"/>
          <w:iCs w:val="1"/>
          <w:color w:val="auto"/>
        </w:rPr>
      </w:pPr>
      <w:r>
        <w:rPr>
          <w:rFonts w:ascii="Arial" w:cs="Arial" w:eastAsia="Arial" w:hAnsi="Arial"/>
          <w:sz w:val="14"/>
          <w:szCs w:val="14"/>
          <w:b w:val="1"/>
          <w:bCs w:val="1"/>
          <w:i w:val="1"/>
          <w:iCs w:val="1"/>
          <w:color w:val="auto"/>
        </w:rPr>
        <w:t>Common shares</w:t>
      </w:r>
    </w:p>
    <w:p>
      <w:pPr>
        <w:spacing w:after="0" w:line="203" w:lineRule="exact"/>
        <w:rPr>
          <w:rFonts w:ascii="Arial" w:cs="Arial" w:eastAsia="Arial" w:hAnsi="Arial"/>
          <w:sz w:val="14"/>
          <w:szCs w:val="14"/>
          <w:b w:val="1"/>
          <w:bCs w:val="1"/>
          <w:i w:val="1"/>
          <w:iCs w:val="1"/>
          <w:color w:val="auto"/>
        </w:rPr>
      </w:pPr>
    </w:p>
    <w:p>
      <w:pPr>
        <w:ind w:left="1080"/>
        <w:spacing w:after="0" w:line="239" w:lineRule="auto"/>
        <w:rPr>
          <w:rFonts w:ascii="Arial" w:cs="Arial" w:eastAsia="Arial" w:hAnsi="Arial"/>
          <w:sz w:val="14"/>
          <w:szCs w:val="14"/>
          <w:b w:val="1"/>
          <w:bCs w:val="1"/>
          <w:i w:val="1"/>
          <w:iCs w:val="1"/>
          <w:color w:val="auto"/>
        </w:rPr>
      </w:pPr>
      <w:r>
        <w:rPr>
          <w:rFonts w:ascii="Arial" w:cs="Arial" w:eastAsia="Arial" w:hAnsi="Arial"/>
          <w:sz w:val="14"/>
          <w:szCs w:val="14"/>
          <w:color w:val="auto"/>
        </w:rPr>
        <w:t>The Company's authorized capital stock includes an unlimited number of common shares with issued common shares of 156,655,056 (2008 — 154,808,918), less 29,882 treasury shares related to the restricted share unit plan (2008 — nil).</w:t>
      </w:r>
    </w:p>
    <w:p>
      <w:pPr>
        <w:spacing w:after="0" w:line="192" w:lineRule="exact"/>
        <w:rPr>
          <w:rFonts w:ascii="Arial" w:cs="Arial" w:eastAsia="Arial" w:hAnsi="Arial"/>
          <w:sz w:val="14"/>
          <w:szCs w:val="14"/>
          <w:b w:val="1"/>
          <w:bCs w:val="1"/>
          <w:i w:val="1"/>
          <w:iCs w:val="1"/>
          <w:color w:val="auto"/>
        </w:rPr>
      </w:pPr>
    </w:p>
    <w:p>
      <w:pPr>
        <w:ind w:left="1080"/>
        <w:spacing w:after="0"/>
        <w:rPr>
          <w:rFonts w:ascii="Arial" w:cs="Arial" w:eastAsia="Arial" w:hAnsi="Arial"/>
          <w:sz w:val="14"/>
          <w:szCs w:val="14"/>
          <w:b w:val="1"/>
          <w:bCs w:val="1"/>
          <w:i w:val="1"/>
          <w:iCs w:val="1"/>
          <w:color w:val="auto"/>
        </w:rPr>
      </w:pPr>
      <w:r>
        <w:rPr>
          <w:rFonts w:ascii="Arial" w:cs="Arial" w:eastAsia="Arial" w:hAnsi="Arial"/>
          <w:sz w:val="14"/>
          <w:szCs w:val="14"/>
          <w:color w:val="auto"/>
        </w:rPr>
        <w:t>In 2009, the Company declared dividends on its common shares of $0.18 per share (2008 — $0.18 per share; 2007 — $0.18 per share).</w:t>
      </w:r>
    </w:p>
    <w:p>
      <w:pPr>
        <w:spacing w:after="0" w:line="190" w:lineRule="exact"/>
        <w:rPr>
          <w:rFonts w:ascii="Arial" w:cs="Arial" w:eastAsia="Arial" w:hAnsi="Arial"/>
          <w:sz w:val="14"/>
          <w:szCs w:val="14"/>
          <w:b w:val="1"/>
          <w:bCs w:val="1"/>
          <w:i w:val="1"/>
          <w:iCs w:val="1"/>
          <w:color w:val="auto"/>
        </w:rPr>
      </w:pPr>
    </w:p>
    <w:p>
      <w:pPr>
        <w:ind w:left="1080" w:hanging="532"/>
        <w:spacing w:after="0"/>
        <w:tabs>
          <w:tab w:leader="none" w:pos="1080" w:val="left"/>
        </w:tabs>
        <w:numPr>
          <w:ilvl w:val="1"/>
          <w:numId w:val="92"/>
        </w:numPr>
        <w:rPr>
          <w:rFonts w:ascii="Arial" w:cs="Arial" w:eastAsia="Arial" w:hAnsi="Arial"/>
          <w:sz w:val="14"/>
          <w:szCs w:val="14"/>
          <w:b w:val="1"/>
          <w:bCs w:val="1"/>
          <w:i w:val="1"/>
          <w:iCs w:val="1"/>
          <w:color w:val="auto"/>
        </w:rPr>
      </w:pPr>
      <w:r>
        <w:rPr>
          <w:rFonts w:ascii="Arial" w:cs="Arial" w:eastAsia="Arial" w:hAnsi="Arial"/>
          <w:sz w:val="14"/>
          <w:szCs w:val="14"/>
          <w:b w:val="1"/>
          <w:bCs w:val="1"/>
          <w:i w:val="1"/>
          <w:iCs w:val="1"/>
          <w:color w:val="auto"/>
        </w:rPr>
        <w:t>Flow-through common share private placements</w:t>
      </w:r>
    </w:p>
    <w:p>
      <w:pPr>
        <w:spacing w:after="0" w:line="203" w:lineRule="exact"/>
        <w:rPr>
          <w:rFonts w:ascii="Arial" w:cs="Arial" w:eastAsia="Arial" w:hAnsi="Arial"/>
          <w:sz w:val="14"/>
          <w:szCs w:val="14"/>
          <w:b w:val="1"/>
          <w:bCs w:val="1"/>
          <w:i w:val="1"/>
          <w:iCs w:val="1"/>
          <w:color w:val="auto"/>
        </w:rPr>
      </w:pPr>
    </w:p>
    <w:p>
      <w:pPr>
        <w:jc w:val="both"/>
        <w:ind w:left="1080"/>
        <w:spacing w:after="0" w:line="230" w:lineRule="auto"/>
        <w:rPr>
          <w:rFonts w:ascii="Arial" w:cs="Arial" w:eastAsia="Arial" w:hAnsi="Arial"/>
          <w:sz w:val="14"/>
          <w:szCs w:val="14"/>
          <w:b w:val="1"/>
          <w:bCs w:val="1"/>
          <w:i w:val="1"/>
          <w:iCs w:val="1"/>
          <w:color w:val="auto"/>
        </w:rPr>
      </w:pPr>
      <w:r>
        <w:rPr>
          <w:rFonts w:ascii="Arial" w:cs="Arial" w:eastAsia="Arial" w:hAnsi="Arial"/>
          <w:sz w:val="14"/>
          <w:szCs w:val="14"/>
          <w:color w:val="auto"/>
        </w:rPr>
        <w:t>In 2009, Agnico-Eagle issued 358,900 (2008 — 779,250; 2007 — nil) common shares under flow-through share private placements that increased share capital by $19.2 million (2008 — $43.5 million; 2007 — nil), net of share issue costs. Effective December 31, 2009, the Company renounced to its investors C$30.6 million (2008 — C$54.5 million; 2007 — C$10.1 million) of such expenses for income tax purposes. The Company does not have an obligation to incur any exploration expenditures related to the expenditures previously renounced.</w:t>
      </w:r>
    </w:p>
    <w:p>
      <w:pPr>
        <w:spacing w:after="0" w:line="193" w:lineRule="exact"/>
        <w:rPr>
          <w:rFonts w:ascii="Arial" w:cs="Arial" w:eastAsia="Arial" w:hAnsi="Arial"/>
          <w:sz w:val="14"/>
          <w:szCs w:val="14"/>
          <w:b w:val="1"/>
          <w:bCs w:val="1"/>
          <w:i w:val="1"/>
          <w:iCs w:val="1"/>
          <w:color w:val="auto"/>
        </w:rPr>
      </w:pPr>
    </w:p>
    <w:p>
      <w:pPr>
        <w:jc w:val="both"/>
        <w:ind w:left="1080"/>
        <w:spacing w:after="0" w:line="288" w:lineRule="auto"/>
        <w:rPr>
          <w:rFonts w:ascii="Arial" w:cs="Arial" w:eastAsia="Arial" w:hAnsi="Arial"/>
          <w:sz w:val="14"/>
          <w:szCs w:val="14"/>
          <w:b w:val="1"/>
          <w:bCs w:val="1"/>
          <w:i w:val="1"/>
          <w:iCs w:val="1"/>
          <w:color w:val="auto"/>
        </w:rPr>
      </w:pPr>
      <w:r>
        <w:rPr>
          <w:rFonts w:ascii="Arial" w:cs="Arial" w:eastAsia="Arial" w:hAnsi="Arial"/>
          <w:sz w:val="12"/>
          <w:szCs w:val="12"/>
          <w:color w:val="auto"/>
        </w:rPr>
        <w:t>The difference between the flow-through share issuance price and the market price of Agnico-Eagle's shares at the time of purchase is recorded as a liability at the time the flow-through shares are issued. This liability terminates when the exploration expenditures are renounced to investors. The difference between the flow-through share issuance price and market price reduces the future tax expense charged to income as this difference represents proceeds received by the Company for the sale of future tax deductions to investors in the flow-through shares.</w:t>
      </w:r>
    </w:p>
    <w:p>
      <w:pPr>
        <w:spacing w:after="0" w:line="151" w:lineRule="exact"/>
        <w:rPr>
          <w:rFonts w:ascii="Arial" w:cs="Arial" w:eastAsia="Arial" w:hAnsi="Arial"/>
          <w:sz w:val="14"/>
          <w:szCs w:val="14"/>
          <w:b w:val="1"/>
          <w:bCs w:val="1"/>
          <w:i w:val="1"/>
          <w:iCs w:val="1"/>
          <w:color w:val="auto"/>
        </w:rPr>
      </w:pPr>
    </w:p>
    <w:p>
      <w:pPr>
        <w:ind w:left="1080" w:hanging="532"/>
        <w:spacing w:after="0"/>
        <w:tabs>
          <w:tab w:leader="none" w:pos="1080" w:val="left"/>
        </w:tabs>
        <w:numPr>
          <w:ilvl w:val="1"/>
          <w:numId w:val="92"/>
        </w:numPr>
        <w:rPr>
          <w:rFonts w:ascii="Arial" w:cs="Arial" w:eastAsia="Arial" w:hAnsi="Arial"/>
          <w:sz w:val="14"/>
          <w:szCs w:val="14"/>
          <w:b w:val="1"/>
          <w:bCs w:val="1"/>
          <w:i w:val="1"/>
          <w:iCs w:val="1"/>
          <w:color w:val="auto"/>
        </w:rPr>
      </w:pPr>
      <w:r>
        <w:rPr>
          <w:rFonts w:ascii="Arial" w:cs="Arial" w:eastAsia="Arial" w:hAnsi="Arial"/>
          <w:sz w:val="14"/>
          <w:szCs w:val="14"/>
          <w:b w:val="1"/>
          <w:bCs w:val="1"/>
          <w:i w:val="1"/>
          <w:iCs w:val="1"/>
          <w:color w:val="auto"/>
        </w:rPr>
        <w:t>Private placements</w:t>
      </w:r>
    </w:p>
    <w:p>
      <w:pPr>
        <w:spacing w:after="0" w:line="203" w:lineRule="exact"/>
        <w:rPr>
          <w:rFonts w:ascii="Arial" w:cs="Arial" w:eastAsia="Arial" w:hAnsi="Arial"/>
          <w:sz w:val="14"/>
          <w:szCs w:val="14"/>
          <w:b w:val="1"/>
          <w:bCs w:val="1"/>
          <w:i w:val="1"/>
          <w:iCs w:val="1"/>
          <w:color w:val="auto"/>
        </w:rPr>
      </w:pPr>
    </w:p>
    <w:p>
      <w:pPr>
        <w:jc w:val="both"/>
        <w:ind w:left="1080"/>
        <w:spacing w:after="0" w:line="278" w:lineRule="auto"/>
        <w:rPr>
          <w:rFonts w:ascii="Arial" w:cs="Arial" w:eastAsia="Arial" w:hAnsi="Arial"/>
          <w:sz w:val="14"/>
          <w:szCs w:val="14"/>
          <w:b w:val="1"/>
          <w:bCs w:val="1"/>
          <w:i w:val="1"/>
          <w:iCs w:val="1"/>
          <w:color w:val="auto"/>
        </w:rPr>
      </w:pPr>
      <w:r>
        <w:rPr>
          <w:rFonts w:ascii="Arial" w:cs="Arial" w:eastAsia="Arial" w:hAnsi="Arial"/>
          <w:sz w:val="12"/>
          <w:szCs w:val="12"/>
          <w:color w:val="auto"/>
        </w:rPr>
        <w:t>On December 3, 2008, the Company closed a private placement of 9.2 million units. Each unit consisted of one common share and one-half of one common share purchase warrant. Each whole warrant entitles the holder to purchase one common share of the Company at a price of $47.25 per share at any time during the five-year term of the warrant. As consideration for the lead purchaser's commitment, the Company issued to the lead purchaser an additional 4 million warrants. The net proceeds of the private placement were approximately $281 million, after deducting share issue costs of $8.8 million. If all outstanding warrants are exercised, the Company would issue an additional 8.6 million common shares.</w:t>
      </w:r>
    </w:p>
    <w:p>
      <w:pPr>
        <w:spacing w:after="0" w:line="170" w:lineRule="exact"/>
        <w:rPr>
          <w:rFonts w:ascii="Arial" w:cs="Arial" w:eastAsia="Arial" w:hAnsi="Arial"/>
          <w:sz w:val="14"/>
          <w:szCs w:val="14"/>
          <w:b w:val="1"/>
          <w:bCs w:val="1"/>
          <w:i w:val="1"/>
          <w:iCs w:val="1"/>
          <w:color w:val="auto"/>
        </w:rPr>
      </w:pPr>
    </w:p>
    <w:p>
      <w:pPr>
        <w:ind w:left="1080"/>
        <w:spacing w:after="0" w:line="239" w:lineRule="auto"/>
        <w:rPr>
          <w:rFonts w:ascii="Arial" w:cs="Arial" w:eastAsia="Arial" w:hAnsi="Arial"/>
          <w:sz w:val="14"/>
          <w:szCs w:val="14"/>
          <w:b w:val="1"/>
          <w:bCs w:val="1"/>
          <w:i w:val="1"/>
          <w:iCs w:val="1"/>
          <w:color w:val="auto"/>
        </w:rPr>
      </w:pPr>
      <w:r>
        <w:rPr>
          <w:rFonts w:ascii="Arial" w:cs="Arial" w:eastAsia="Arial" w:hAnsi="Arial"/>
          <w:sz w:val="14"/>
          <w:szCs w:val="14"/>
          <w:color w:val="auto"/>
        </w:rPr>
        <w:t>On May 26, 2009, the Company issued 15,825 shares with a market value of $0.9 million in connection with the acquisition of a 100% participating interest in 52 mining claims, located in the Abitibi region of Quebec.</w:t>
      </w:r>
    </w:p>
    <w:p>
      <w:pPr>
        <w:spacing w:after="0" w:line="192" w:lineRule="exact"/>
        <w:rPr>
          <w:rFonts w:ascii="Arial" w:cs="Arial" w:eastAsia="Arial" w:hAnsi="Arial"/>
          <w:sz w:val="14"/>
          <w:szCs w:val="14"/>
          <w:b w:val="1"/>
          <w:bCs w:val="1"/>
          <w:i w:val="1"/>
          <w:iCs w:val="1"/>
          <w:color w:val="auto"/>
        </w:rPr>
      </w:pPr>
    </w:p>
    <w:p>
      <w:pPr>
        <w:ind w:left="1080" w:right="20"/>
        <w:spacing w:after="0" w:line="239" w:lineRule="auto"/>
        <w:rPr>
          <w:rFonts w:ascii="Arial" w:cs="Arial" w:eastAsia="Arial" w:hAnsi="Arial"/>
          <w:sz w:val="14"/>
          <w:szCs w:val="14"/>
          <w:b w:val="1"/>
          <w:bCs w:val="1"/>
          <w:i w:val="1"/>
          <w:iCs w:val="1"/>
          <w:color w:val="auto"/>
        </w:rPr>
      </w:pPr>
      <w:r>
        <w:rPr>
          <w:rFonts w:ascii="Arial" w:cs="Arial" w:eastAsia="Arial" w:hAnsi="Arial"/>
          <w:sz w:val="14"/>
          <w:szCs w:val="14"/>
          <w:color w:val="auto"/>
        </w:rPr>
        <w:t>On July 24, 2009, the Company issued 18,000 shares for consideration of $500 in connection with the exercise of an option granted by a predecessor to the Company relating to the acquisition of certain properties relating to the Goldex Mine.</w:t>
      </w:r>
    </w:p>
    <w:p>
      <w:pPr>
        <w:spacing w:after="0" w:line="179" w:lineRule="exact"/>
        <w:rPr>
          <w:rFonts w:ascii="Arial" w:cs="Arial" w:eastAsia="Arial" w:hAnsi="Arial"/>
          <w:sz w:val="14"/>
          <w:szCs w:val="14"/>
          <w:b w:val="1"/>
          <w:bCs w:val="1"/>
          <w:i w:val="1"/>
          <w:iCs w:val="1"/>
          <w:color w:val="auto"/>
        </w:rPr>
      </w:pPr>
    </w:p>
    <w:p>
      <w:pPr>
        <w:ind w:left="1080" w:hanging="532"/>
        <w:spacing w:after="0"/>
        <w:tabs>
          <w:tab w:leader="none" w:pos="1080" w:val="left"/>
        </w:tabs>
        <w:numPr>
          <w:ilvl w:val="1"/>
          <w:numId w:val="92"/>
        </w:numPr>
        <w:rPr>
          <w:rFonts w:ascii="Arial" w:cs="Arial" w:eastAsia="Arial" w:hAnsi="Arial"/>
          <w:sz w:val="14"/>
          <w:szCs w:val="14"/>
          <w:b w:val="1"/>
          <w:bCs w:val="1"/>
          <w:i w:val="1"/>
          <w:iCs w:val="1"/>
          <w:color w:val="auto"/>
        </w:rPr>
      </w:pPr>
      <w:r>
        <w:rPr>
          <w:rFonts w:ascii="Arial" w:cs="Arial" w:eastAsia="Arial" w:hAnsi="Arial"/>
          <w:sz w:val="14"/>
          <w:szCs w:val="14"/>
          <w:b w:val="1"/>
          <w:bCs w:val="1"/>
          <w:i w:val="1"/>
          <w:iCs w:val="1"/>
          <w:color w:val="auto"/>
        </w:rPr>
        <w:t>Public offering of common shares</w:t>
      </w:r>
    </w:p>
    <w:p>
      <w:pPr>
        <w:spacing w:after="0" w:line="203" w:lineRule="exact"/>
        <w:rPr>
          <w:rFonts w:ascii="Arial" w:cs="Arial" w:eastAsia="Arial" w:hAnsi="Arial"/>
          <w:sz w:val="14"/>
          <w:szCs w:val="14"/>
          <w:b w:val="1"/>
          <w:bCs w:val="1"/>
          <w:i w:val="1"/>
          <w:iCs w:val="1"/>
          <w:color w:val="auto"/>
        </w:rPr>
      </w:pPr>
    </w:p>
    <w:p>
      <w:pPr>
        <w:ind w:left="1080"/>
        <w:spacing w:after="0" w:line="318" w:lineRule="auto"/>
        <w:rPr>
          <w:rFonts w:ascii="Arial" w:cs="Arial" w:eastAsia="Arial" w:hAnsi="Arial"/>
          <w:sz w:val="14"/>
          <w:szCs w:val="14"/>
          <w:b w:val="1"/>
          <w:bCs w:val="1"/>
          <w:i w:val="1"/>
          <w:iCs w:val="1"/>
          <w:color w:val="auto"/>
        </w:rPr>
      </w:pPr>
      <w:r>
        <w:rPr>
          <w:rFonts w:ascii="Arial" w:cs="Arial" w:eastAsia="Arial" w:hAnsi="Arial"/>
          <w:sz w:val="12"/>
          <w:szCs w:val="12"/>
          <w:color w:val="auto"/>
        </w:rPr>
        <w:t>In December 2008, the Company issued 900,000 shares at a price of $38 per share under a prospectus supplement to its base shelf prospectus to fund a purchase of surface rights and advance royalty payments in connection with the development of the Pinos Altos property. The net proceeds of the issuance were approximately $34.2 million.</w:t>
      </w:r>
    </w:p>
    <w:p>
      <w:pPr>
        <w:spacing w:after="0" w:line="147" w:lineRule="exact"/>
        <w:rPr>
          <w:rFonts w:ascii="Arial" w:cs="Arial" w:eastAsia="Arial" w:hAnsi="Arial"/>
          <w:sz w:val="14"/>
          <w:szCs w:val="14"/>
          <w:b w:val="1"/>
          <w:bCs w:val="1"/>
          <w:i w:val="1"/>
          <w:iCs w:val="1"/>
          <w:color w:val="auto"/>
        </w:rPr>
      </w:pPr>
    </w:p>
    <w:p>
      <w:pPr>
        <w:ind w:left="1080"/>
        <w:spacing w:after="0"/>
        <w:rPr>
          <w:rFonts w:ascii="Arial" w:cs="Arial" w:eastAsia="Arial" w:hAnsi="Arial"/>
          <w:sz w:val="14"/>
          <w:szCs w:val="14"/>
          <w:b w:val="1"/>
          <w:bCs w:val="1"/>
          <w:i w:val="1"/>
          <w:iCs w:val="1"/>
          <w:color w:val="auto"/>
        </w:rPr>
      </w:pPr>
      <w:r>
        <w:rPr>
          <w:rFonts w:ascii="Arial" w:cs="Arial" w:eastAsia="Arial" w:hAnsi="Arial"/>
          <w:sz w:val="14"/>
          <w:szCs w:val="14"/>
          <w:color w:val="auto"/>
        </w:rPr>
        <w:t>There were no public offerings of common shares in 2009.</w:t>
      </w:r>
    </w:p>
    <w:p>
      <w:pPr>
        <w:spacing w:after="0" w:line="190" w:lineRule="exact"/>
        <w:rPr>
          <w:rFonts w:ascii="Arial" w:cs="Arial" w:eastAsia="Arial" w:hAnsi="Arial"/>
          <w:sz w:val="14"/>
          <w:szCs w:val="14"/>
          <w:b w:val="1"/>
          <w:bCs w:val="1"/>
          <w:i w:val="1"/>
          <w:iCs w:val="1"/>
          <w:color w:val="auto"/>
        </w:rPr>
      </w:pPr>
    </w:p>
    <w:p>
      <w:pPr>
        <w:ind w:left="1080" w:hanging="532"/>
        <w:spacing w:after="0"/>
        <w:tabs>
          <w:tab w:leader="none" w:pos="1080" w:val="left"/>
        </w:tabs>
        <w:numPr>
          <w:ilvl w:val="1"/>
          <w:numId w:val="92"/>
        </w:numPr>
        <w:rPr>
          <w:rFonts w:ascii="Arial" w:cs="Arial" w:eastAsia="Arial" w:hAnsi="Arial"/>
          <w:sz w:val="14"/>
          <w:szCs w:val="14"/>
          <w:b w:val="1"/>
          <w:bCs w:val="1"/>
          <w:i w:val="1"/>
          <w:iCs w:val="1"/>
          <w:color w:val="auto"/>
        </w:rPr>
      </w:pPr>
      <w:r>
        <w:rPr>
          <w:rFonts w:ascii="Arial" w:cs="Arial" w:eastAsia="Arial" w:hAnsi="Arial"/>
          <w:sz w:val="14"/>
          <w:szCs w:val="14"/>
          <w:b w:val="1"/>
          <w:bCs w:val="1"/>
          <w:i w:val="1"/>
          <w:iCs w:val="1"/>
          <w:color w:val="auto"/>
        </w:rPr>
        <w:t>Accumulated other comprehensive income (loss)</w:t>
      </w:r>
    </w:p>
    <w:p>
      <w:pPr>
        <w:spacing w:after="0" w:line="203" w:lineRule="exact"/>
        <w:rPr>
          <w:rFonts w:ascii="Arial" w:cs="Arial" w:eastAsia="Arial" w:hAnsi="Arial"/>
          <w:sz w:val="14"/>
          <w:szCs w:val="14"/>
          <w:b w:val="1"/>
          <w:bCs w:val="1"/>
          <w:i w:val="1"/>
          <w:iCs w:val="1"/>
          <w:color w:val="auto"/>
        </w:rPr>
      </w:pPr>
    </w:p>
    <w:p>
      <w:pPr>
        <w:jc w:val="both"/>
        <w:ind w:left="1080"/>
        <w:spacing w:after="0" w:line="288" w:lineRule="auto"/>
        <w:rPr>
          <w:rFonts w:ascii="Arial" w:cs="Arial" w:eastAsia="Arial" w:hAnsi="Arial"/>
          <w:sz w:val="14"/>
          <w:szCs w:val="14"/>
          <w:b w:val="1"/>
          <w:bCs w:val="1"/>
          <w:i w:val="1"/>
          <w:iCs w:val="1"/>
          <w:color w:val="auto"/>
        </w:rPr>
      </w:pPr>
      <w:r>
        <w:rPr>
          <w:rFonts w:ascii="Arial" w:cs="Arial" w:eastAsia="Arial" w:hAnsi="Arial"/>
          <w:sz w:val="12"/>
          <w:szCs w:val="12"/>
          <w:color w:val="auto"/>
        </w:rPr>
        <w:t>The cumulative translation adjustment in accumulated other comprehensive income (loss) in 2009 and 2008 of $(15.9) million resulted from Agnico-Eagle electing the US dollar as its principal currency of measurement. Prior to this change, the Canadian dollar had been used as the reporting currency. Prior periods' consolidated financial statements were translated into US dollars by the current rate method using the year end or the annual average exchange rate where appropriate. This translation approach was</w:t>
      </w:r>
    </w:p>
    <w:p>
      <w:pPr>
        <w:spacing w:after="0" w:line="1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207" w:name="page208"/>
    <w:bookmarkEnd w:id="207"/>
    <w:p>
      <w:pPr>
        <w:jc w:val="center"/>
        <w:spacing w:after="0"/>
        <w:rPr>
          <w:sz w:val="20"/>
          <w:szCs w:val="20"/>
          <w:color w:val="auto"/>
        </w:rPr>
      </w:pPr>
      <w:r>
        <w:rPr>
          <w:rFonts w:ascii="Arial" w:cs="Arial" w:eastAsia="Arial" w:hAnsi="Arial"/>
          <w:sz w:val="18"/>
          <w:szCs w:val="18"/>
          <w:b w:val="1"/>
          <w:bCs w:val="1"/>
          <w:color w:val="auto"/>
        </w:rPr>
        <w:t>AGNICO-EAGLE MINES LIMITED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 (Continued)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(thousands of United States dollars, except per share amounts, unless otherwise indicated)</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December 31, 2009</w:t>
      </w:r>
    </w:p>
    <w:p>
      <w:pPr>
        <w:spacing w:after="0" w:line="214" w:lineRule="exact"/>
        <w:rPr>
          <w:sz w:val="20"/>
          <w:szCs w:val="20"/>
          <w:color w:val="auto"/>
        </w:rPr>
      </w:pPr>
    </w:p>
    <w:p>
      <w:pPr>
        <w:ind w:left="280" w:hanging="272"/>
        <w:spacing w:after="0"/>
        <w:tabs>
          <w:tab w:leader="none" w:pos="280" w:val="left"/>
        </w:tabs>
        <w:numPr>
          <w:ilvl w:val="0"/>
          <w:numId w:val="93"/>
        </w:numPr>
        <w:rPr>
          <w:rFonts w:ascii="Arial" w:cs="Arial" w:eastAsia="Arial" w:hAnsi="Arial"/>
          <w:sz w:val="14"/>
          <w:szCs w:val="14"/>
          <w:b w:val="1"/>
          <w:bCs w:val="1"/>
          <w:color w:val="auto"/>
        </w:rPr>
      </w:pPr>
      <w:r>
        <w:rPr>
          <w:rFonts w:ascii="Arial" w:cs="Arial" w:eastAsia="Arial" w:hAnsi="Arial"/>
          <w:sz w:val="14"/>
          <w:szCs w:val="14"/>
          <w:b w:val="1"/>
          <w:bCs w:val="1"/>
          <w:color w:val="auto"/>
        </w:rPr>
        <w:t>SHAREHOLDERS' EQUITY (Continued)</w:t>
      </w:r>
    </w:p>
    <w:p>
      <w:pPr>
        <w:spacing w:after="0" w:line="206" w:lineRule="exact"/>
        <w:rPr>
          <w:sz w:val="20"/>
          <w:szCs w:val="20"/>
          <w:color w:val="auto"/>
        </w:rPr>
      </w:pPr>
    </w:p>
    <w:p>
      <w:pPr>
        <w:ind w:left="1080"/>
        <w:spacing w:after="0" w:line="239" w:lineRule="auto"/>
        <w:rPr>
          <w:sz w:val="20"/>
          <w:szCs w:val="20"/>
          <w:color w:val="auto"/>
        </w:rPr>
      </w:pPr>
      <w:r>
        <w:rPr>
          <w:rFonts w:ascii="Arial" w:cs="Arial" w:eastAsia="Arial" w:hAnsi="Arial"/>
          <w:sz w:val="14"/>
          <w:szCs w:val="14"/>
          <w:color w:val="auto"/>
        </w:rPr>
        <w:t>applied from January 1, 1994. This translation gave rise to a deficit in the cumulative translation adjustment account within accumulated other comprehensive income (loss) as at December 31, 2009 and 2008.</w:t>
      </w:r>
    </w:p>
    <w:p>
      <w:pPr>
        <w:spacing w:after="0" w:line="193" w:lineRule="exact"/>
        <w:rPr>
          <w:sz w:val="20"/>
          <w:szCs w:val="20"/>
          <w:color w:val="auto"/>
        </w:rPr>
      </w:pPr>
    </w:p>
    <w:p>
      <w:pPr>
        <w:ind w:left="1080"/>
        <w:spacing w:after="0" w:line="239" w:lineRule="auto"/>
        <w:rPr>
          <w:sz w:val="20"/>
          <w:szCs w:val="20"/>
          <w:color w:val="auto"/>
        </w:rPr>
      </w:pPr>
      <w:r>
        <w:rPr>
          <w:rFonts w:ascii="Arial" w:cs="Arial" w:eastAsia="Arial" w:hAnsi="Arial"/>
          <w:sz w:val="14"/>
          <w:szCs w:val="14"/>
          <w:color w:val="auto"/>
        </w:rPr>
        <w:t>The Company has designated certain foreign exchange derivative contracts as cash flow hedges and, as such, unrealized gains and losses on these contracts are recorded in accumulated other comprehensive income (loss).</w:t>
      </w:r>
    </w:p>
    <w:p>
      <w:pPr>
        <w:spacing w:after="0" w:line="193" w:lineRule="exact"/>
        <w:rPr>
          <w:sz w:val="20"/>
          <w:szCs w:val="20"/>
          <w:color w:val="auto"/>
        </w:rPr>
      </w:pPr>
    </w:p>
    <w:tbl>
      <w:tblPr>
        <w:tblLayout w:type="fixed"/>
        <w:tblInd w:w="1080" w:type="dxa"/>
        <w:tblCellMar>
          <w:top w:w="0" w:type="dxa"/>
          <w:left w:w="0" w:type="dxa"/>
          <w:bottom w:w="0" w:type="dxa"/>
          <w:right w:w="0" w:type="dxa"/>
        </w:tblCellMar>
      </w:tblPr>
      <w:tr>
        <w:trPr>
          <w:trHeight w:val="172"/>
        </w:trPr>
        <w:tc>
          <w:tcPr>
            <w:tcW w:w="7620" w:type="dxa"/>
            <w:vAlign w:val="bottom"/>
            <w:gridSpan w:val="2"/>
          </w:tcPr>
          <w:p>
            <w:pPr>
              <w:spacing w:after="0"/>
              <w:rPr>
                <w:sz w:val="20"/>
                <w:szCs w:val="20"/>
                <w:color w:val="auto"/>
              </w:rPr>
            </w:pPr>
            <w:r>
              <w:rPr>
                <w:rFonts w:ascii="Arial" w:cs="Arial" w:eastAsia="Arial" w:hAnsi="Arial"/>
                <w:sz w:val="14"/>
                <w:szCs w:val="14"/>
                <w:color w:val="auto"/>
              </w:rPr>
              <w:t>The following table sets out the components of accumulated other comprehensive income (loss), net of related tax effects:</w:t>
            </w:r>
          </w:p>
        </w:tc>
        <w:tc>
          <w:tcPr>
            <w:tcW w:w="12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60" w:type="dxa"/>
            <w:vAlign w:val="bottom"/>
          </w:tcPr>
          <w:p>
            <w:pPr>
              <w:spacing w:after="0"/>
              <w:rPr>
                <w:sz w:val="14"/>
                <w:szCs w:val="14"/>
                <w:color w:val="auto"/>
              </w:rPr>
            </w:pPr>
          </w:p>
        </w:tc>
      </w:tr>
      <w:tr>
        <w:trPr>
          <w:trHeight w:val="352"/>
        </w:trPr>
        <w:tc>
          <w:tcPr>
            <w:tcW w:w="80" w:type="dxa"/>
            <w:vAlign w:val="bottom"/>
          </w:tcPr>
          <w:p>
            <w:pPr>
              <w:spacing w:after="0"/>
              <w:rPr>
                <w:sz w:val="24"/>
                <w:szCs w:val="24"/>
                <w:color w:val="auto"/>
              </w:rPr>
            </w:pPr>
          </w:p>
        </w:tc>
        <w:tc>
          <w:tcPr>
            <w:tcW w:w="754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500" w:type="dxa"/>
            <w:vAlign w:val="bottom"/>
            <w:tcBorders>
              <w:bottom w:val="single" w:sz="8" w:color="auto"/>
            </w:tcBorders>
          </w:tcPr>
          <w:p>
            <w:pPr>
              <w:jc w:val="right"/>
              <w:ind w:right="112"/>
              <w:spacing w:after="0"/>
              <w:rPr>
                <w:sz w:val="20"/>
                <w:szCs w:val="20"/>
                <w:color w:val="auto"/>
              </w:rPr>
            </w:pPr>
            <w:r>
              <w:rPr>
                <w:rFonts w:ascii="Arial" w:cs="Arial" w:eastAsia="Arial" w:hAnsi="Arial"/>
                <w:sz w:val="14"/>
                <w:szCs w:val="14"/>
                <w:b w:val="1"/>
                <w:bCs w:val="1"/>
                <w:color w:val="auto"/>
                <w:w w:val="96"/>
              </w:rPr>
              <w:t>2009</w:t>
            </w:r>
          </w:p>
        </w:tc>
        <w:tc>
          <w:tcPr>
            <w:tcW w:w="160" w:type="dxa"/>
            <w:vAlign w:val="bottom"/>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500" w:type="dxa"/>
            <w:vAlign w:val="bottom"/>
            <w:tcBorders>
              <w:bottom w:val="single" w:sz="8" w:color="auto"/>
            </w:tcBorders>
          </w:tcPr>
          <w:p>
            <w:pPr>
              <w:jc w:val="right"/>
              <w:ind w:right="112"/>
              <w:spacing w:after="0"/>
              <w:rPr>
                <w:sz w:val="20"/>
                <w:szCs w:val="20"/>
                <w:color w:val="auto"/>
              </w:rPr>
            </w:pPr>
            <w:r>
              <w:rPr>
                <w:rFonts w:ascii="Arial" w:cs="Arial" w:eastAsia="Arial" w:hAnsi="Arial"/>
                <w:sz w:val="14"/>
                <w:szCs w:val="14"/>
                <w:b w:val="1"/>
                <w:bCs w:val="1"/>
                <w:color w:val="auto"/>
                <w:w w:val="96"/>
              </w:rPr>
              <w:t>2008</w:t>
            </w:r>
          </w:p>
        </w:tc>
        <w:tc>
          <w:tcPr>
            <w:tcW w:w="160" w:type="dxa"/>
            <w:vAlign w:val="bottom"/>
          </w:tcPr>
          <w:p>
            <w:pPr>
              <w:spacing w:after="0"/>
              <w:rPr>
                <w:sz w:val="24"/>
                <w:szCs w:val="24"/>
                <w:color w:val="auto"/>
              </w:rPr>
            </w:pPr>
          </w:p>
        </w:tc>
      </w:tr>
      <w:tr>
        <w:trPr>
          <w:trHeight w:val="142"/>
        </w:trPr>
        <w:tc>
          <w:tcPr>
            <w:tcW w:w="80" w:type="dxa"/>
            <w:vAlign w:val="bottom"/>
          </w:tcPr>
          <w:p>
            <w:pPr>
              <w:spacing w:after="0"/>
              <w:rPr>
                <w:sz w:val="12"/>
                <w:szCs w:val="12"/>
                <w:color w:val="auto"/>
              </w:rPr>
            </w:pPr>
          </w:p>
        </w:tc>
        <w:tc>
          <w:tcPr>
            <w:tcW w:w="7540" w:type="dxa"/>
            <w:vAlign w:val="bottom"/>
            <w:shd w:val="clear" w:color="auto" w:fill="CCEEFF"/>
          </w:tcPr>
          <w:p>
            <w:pPr>
              <w:ind w:left="420"/>
              <w:spacing w:after="0" w:line="142" w:lineRule="exact"/>
              <w:rPr>
                <w:sz w:val="20"/>
                <w:szCs w:val="20"/>
                <w:color w:val="auto"/>
              </w:rPr>
            </w:pPr>
            <w:r>
              <w:rPr>
                <w:rFonts w:ascii="Arial" w:cs="Arial" w:eastAsia="Arial" w:hAnsi="Arial"/>
                <w:sz w:val="14"/>
                <w:szCs w:val="14"/>
                <w:color w:val="auto"/>
              </w:rPr>
              <w:t>Cumulative translation adjustment from electing US dollar as principal reporting currency</w:t>
            </w:r>
          </w:p>
        </w:tc>
        <w:tc>
          <w:tcPr>
            <w:tcW w:w="120" w:type="dxa"/>
            <w:vAlign w:val="bottom"/>
            <w:shd w:val="clear" w:color="auto" w:fill="CCEEFF"/>
          </w:tcPr>
          <w:p>
            <w:pPr>
              <w:jc w:val="right"/>
              <w:ind w:right="9"/>
              <w:spacing w:after="0"/>
              <w:rPr>
                <w:sz w:val="20"/>
                <w:szCs w:val="20"/>
                <w:color w:val="auto"/>
              </w:rPr>
            </w:pPr>
            <w:r>
              <w:rPr>
                <w:rFonts w:ascii="Arial" w:cs="Arial" w:eastAsia="Arial" w:hAnsi="Arial"/>
                <w:sz w:val="10"/>
                <w:szCs w:val="10"/>
                <w:color w:val="auto"/>
                <w:w w:val="71"/>
              </w:rPr>
              <w:t>$</w:t>
            </w:r>
          </w:p>
        </w:tc>
        <w:tc>
          <w:tcPr>
            <w:tcW w:w="660" w:type="dxa"/>
            <w:vAlign w:val="bottom"/>
            <w:gridSpan w:val="2"/>
            <w:shd w:val="clear" w:color="auto" w:fill="CCEEFF"/>
          </w:tcPr>
          <w:p>
            <w:pPr>
              <w:jc w:val="right"/>
              <w:ind w:right="120"/>
              <w:spacing w:after="0" w:line="142" w:lineRule="exact"/>
              <w:rPr>
                <w:sz w:val="20"/>
                <w:szCs w:val="20"/>
                <w:color w:val="auto"/>
              </w:rPr>
            </w:pPr>
            <w:r>
              <w:rPr>
                <w:rFonts w:ascii="Arial" w:cs="Arial" w:eastAsia="Arial" w:hAnsi="Arial"/>
                <w:sz w:val="14"/>
                <w:szCs w:val="14"/>
                <w:color w:val="auto"/>
                <w:w w:val="99"/>
              </w:rPr>
              <w:t>(15,907)</w:t>
            </w:r>
          </w:p>
        </w:tc>
        <w:tc>
          <w:tcPr>
            <w:tcW w:w="14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660" w:type="dxa"/>
            <w:vAlign w:val="bottom"/>
            <w:gridSpan w:val="2"/>
            <w:shd w:val="clear" w:color="auto" w:fill="CCEEFF"/>
          </w:tcPr>
          <w:p>
            <w:pPr>
              <w:jc w:val="right"/>
              <w:ind w:right="120"/>
              <w:spacing w:after="0" w:line="142" w:lineRule="exact"/>
              <w:rPr>
                <w:sz w:val="20"/>
                <w:szCs w:val="20"/>
                <w:color w:val="auto"/>
              </w:rPr>
            </w:pPr>
            <w:r>
              <w:rPr>
                <w:rFonts w:ascii="Arial" w:cs="Arial" w:eastAsia="Arial" w:hAnsi="Arial"/>
                <w:sz w:val="14"/>
                <w:szCs w:val="14"/>
                <w:color w:val="auto"/>
                <w:w w:val="99"/>
              </w:rPr>
              <w:t>(15,907)</w:t>
            </w:r>
          </w:p>
        </w:tc>
      </w:tr>
      <w:tr>
        <w:trPr>
          <w:trHeight w:val="149"/>
        </w:trPr>
        <w:tc>
          <w:tcPr>
            <w:tcW w:w="80" w:type="dxa"/>
            <w:vAlign w:val="bottom"/>
          </w:tcPr>
          <w:p>
            <w:pPr>
              <w:spacing w:after="0"/>
              <w:rPr>
                <w:sz w:val="12"/>
                <w:szCs w:val="12"/>
                <w:color w:val="auto"/>
              </w:rPr>
            </w:pPr>
          </w:p>
        </w:tc>
        <w:tc>
          <w:tcPr>
            <w:tcW w:w="7540" w:type="dxa"/>
            <w:vAlign w:val="bottom"/>
          </w:tcPr>
          <w:p>
            <w:pPr>
              <w:ind w:left="420"/>
              <w:spacing w:after="0" w:line="149" w:lineRule="exact"/>
              <w:rPr>
                <w:sz w:val="20"/>
                <w:szCs w:val="20"/>
                <w:color w:val="auto"/>
              </w:rPr>
            </w:pPr>
            <w:r>
              <w:rPr>
                <w:rFonts w:ascii="Arial" w:cs="Arial" w:eastAsia="Arial" w:hAnsi="Arial"/>
                <w:sz w:val="14"/>
                <w:szCs w:val="14"/>
                <w:color w:val="auto"/>
              </w:rPr>
              <w:t>Unrealized gain on available-for-sale securities</w:t>
            </w:r>
          </w:p>
        </w:tc>
        <w:tc>
          <w:tcPr>
            <w:tcW w:w="120" w:type="dxa"/>
            <w:vAlign w:val="bottom"/>
          </w:tcPr>
          <w:p>
            <w:pPr>
              <w:spacing w:after="0"/>
              <w:rPr>
                <w:sz w:val="12"/>
                <w:szCs w:val="12"/>
                <w:color w:val="auto"/>
              </w:rPr>
            </w:pPr>
          </w:p>
        </w:tc>
        <w:tc>
          <w:tcPr>
            <w:tcW w:w="500" w:type="dxa"/>
            <w:vAlign w:val="bottom"/>
          </w:tcPr>
          <w:p>
            <w:pPr>
              <w:jc w:val="right"/>
              <w:spacing w:after="0" w:line="149" w:lineRule="exact"/>
              <w:rPr>
                <w:sz w:val="20"/>
                <w:szCs w:val="20"/>
                <w:color w:val="auto"/>
              </w:rPr>
            </w:pPr>
            <w:r>
              <w:rPr>
                <w:rFonts w:ascii="Arial" w:cs="Arial" w:eastAsia="Arial" w:hAnsi="Arial"/>
                <w:sz w:val="14"/>
                <w:szCs w:val="14"/>
                <w:color w:val="auto"/>
              </w:rPr>
              <w:t>67,497</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00" w:type="dxa"/>
            <w:vAlign w:val="bottom"/>
          </w:tcPr>
          <w:p>
            <w:pPr>
              <w:jc w:val="right"/>
              <w:spacing w:after="0" w:line="149" w:lineRule="exact"/>
              <w:rPr>
                <w:sz w:val="20"/>
                <w:szCs w:val="20"/>
                <w:color w:val="auto"/>
              </w:rPr>
            </w:pPr>
            <w:r>
              <w:rPr>
                <w:rFonts w:ascii="Arial" w:cs="Arial" w:eastAsia="Arial" w:hAnsi="Arial"/>
                <w:sz w:val="14"/>
                <w:szCs w:val="14"/>
                <w:color w:val="auto"/>
              </w:rPr>
              <w:t>1,602</w:t>
            </w:r>
          </w:p>
        </w:tc>
        <w:tc>
          <w:tcPr>
            <w:tcW w:w="160" w:type="dxa"/>
            <w:vAlign w:val="bottom"/>
          </w:tcPr>
          <w:p>
            <w:pPr>
              <w:spacing w:after="0"/>
              <w:rPr>
                <w:sz w:val="12"/>
                <w:szCs w:val="12"/>
                <w:color w:val="auto"/>
              </w:rPr>
            </w:pPr>
          </w:p>
        </w:tc>
      </w:tr>
      <w:tr>
        <w:trPr>
          <w:trHeight w:val="149"/>
        </w:trPr>
        <w:tc>
          <w:tcPr>
            <w:tcW w:w="80" w:type="dxa"/>
            <w:vAlign w:val="bottom"/>
          </w:tcPr>
          <w:p>
            <w:pPr>
              <w:spacing w:after="0"/>
              <w:rPr>
                <w:sz w:val="12"/>
                <w:szCs w:val="12"/>
                <w:color w:val="auto"/>
              </w:rPr>
            </w:pPr>
          </w:p>
        </w:tc>
        <w:tc>
          <w:tcPr>
            <w:tcW w:w="754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Unrealized loss on hedging activities</w:t>
            </w:r>
          </w:p>
        </w:tc>
        <w:tc>
          <w:tcPr>
            <w:tcW w:w="12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14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(8,888)</w:t>
            </w:r>
          </w:p>
        </w:tc>
      </w:tr>
      <w:tr>
        <w:trPr>
          <w:trHeight w:val="149"/>
        </w:trPr>
        <w:tc>
          <w:tcPr>
            <w:tcW w:w="80" w:type="dxa"/>
            <w:vAlign w:val="bottom"/>
          </w:tcPr>
          <w:p>
            <w:pPr>
              <w:spacing w:after="0"/>
              <w:rPr>
                <w:sz w:val="12"/>
                <w:szCs w:val="12"/>
                <w:color w:val="auto"/>
              </w:rPr>
            </w:pPr>
          </w:p>
        </w:tc>
        <w:tc>
          <w:tcPr>
            <w:tcW w:w="7540" w:type="dxa"/>
            <w:vAlign w:val="bottom"/>
          </w:tcPr>
          <w:p>
            <w:pPr>
              <w:ind w:left="420"/>
              <w:spacing w:after="0" w:line="149" w:lineRule="exact"/>
              <w:rPr>
                <w:sz w:val="20"/>
                <w:szCs w:val="20"/>
                <w:color w:val="auto"/>
              </w:rPr>
            </w:pPr>
            <w:r>
              <w:rPr>
                <w:rFonts w:ascii="Arial" w:cs="Arial" w:eastAsia="Arial" w:hAnsi="Arial"/>
                <w:sz w:val="14"/>
                <w:szCs w:val="14"/>
                <w:color w:val="auto"/>
              </w:rPr>
              <w:t>Cumulative translation adjustments</w:t>
            </w:r>
          </w:p>
        </w:tc>
        <w:tc>
          <w:tcPr>
            <w:tcW w:w="120" w:type="dxa"/>
            <w:vAlign w:val="bottom"/>
          </w:tcPr>
          <w:p>
            <w:pPr>
              <w:spacing w:after="0"/>
              <w:rPr>
                <w:sz w:val="12"/>
                <w:szCs w:val="12"/>
                <w:color w:val="auto"/>
              </w:rPr>
            </w:pPr>
          </w:p>
        </w:tc>
        <w:tc>
          <w:tcPr>
            <w:tcW w:w="66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(299)</w:t>
            </w:r>
          </w:p>
        </w:tc>
        <w:tc>
          <w:tcPr>
            <w:tcW w:w="140" w:type="dxa"/>
            <w:vAlign w:val="bottom"/>
          </w:tcPr>
          <w:p>
            <w:pPr>
              <w:spacing w:after="0"/>
              <w:rPr>
                <w:sz w:val="12"/>
                <w:szCs w:val="12"/>
                <w:color w:val="auto"/>
              </w:rPr>
            </w:pPr>
          </w:p>
        </w:tc>
        <w:tc>
          <w:tcPr>
            <w:tcW w:w="66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(299)</w:t>
            </w:r>
          </w:p>
        </w:tc>
      </w:tr>
      <w:tr>
        <w:trPr>
          <w:trHeight w:val="149"/>
        </w:trPr>
        <w:tc>
          <w:tcPr>
            <w:tcW w:w="80" w:type="dxa"/>
            <w:vAlign w:val="bottom"/>
          </w:tcPr>
          <w:p>
            <w:pPr>
              <w:spacing w:after="0"/>
              <w:rPr>
                <w:sz w:val="12"/>
                <w:szCs w:val="12"/>
                <w:color w:val="auto"/>
              </w:rPr>
            </w:pPr>
          </w:p>
        </w:tc>
        <w:tc>
          <w:tcPr>
            <w:tcW w:w="754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Unrealized gain (loss) on pension liability</w:t>
            </w:r>
          </w:p>
        </w:tc>
        <w:tc>
          <w:tcPr>
            <w:tcW w:w="12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(327)</w:t>
            </w:r>
          </w:p>
        </w:tc>
        <w:tc>
          <w:tcPr>
            <w:tcW w:w="140" w:type="dxa"/>
            <w:vAlign w:val="bottom"/>
            <w:shd w:val="clear" w:color="auto" w:fill="CCEEFF"/>
          </w:tcPr>
          <w:p>
            <w:pPr>
              <w:spacing w:after="0"/>
              <w:rPr>
                <w:sz w:val="12"/>
                <w:szCs w:val="12"/>
                <w:color w:val="auto"/>
              </w:rPr>
            </w:pPr>
          </w:p>
        </w:tc>
        <w:tc>
          <w:tcPr>
            <w:tcW w:w="5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400</w:t>
            </w:r>
          </w:p>
        </w:tc>
        <w:tc>
          <w:tcPr>
            <w:tcW w:w="160" w:type="dxa"/>
            <w:vAlign w:val="bottom"/>
            <w:shd w:val="clear" w:color="auto" w:fill="CCEEFF"/>
          </w:tcPr>
          <w:p>
            <w:pPr>
              <w:spacing w:after="0"/>
              <w:rPr>
                <w:sz w:val="12"/>
                <w:szCs w:val="12"/>
                <w:color w:val="auto"/>
              </w:rPr>
            </w:pPr>
          </w:p>
        </w:tc>
      </w:tr>
      <w:tr>
        <w:trPr>
          <w:trHeight w:val="174"/>
        </w:trPr>
        <w:tc>
          <w:tcPr>
            <w:tcW w:w="80" w:type="dxa"/>
            <w:vAlign w:val="bottom"/>
          </w:tcPr>
          <w:p>
            <w:pPr>
              <w:spacing w:after="0"/>
              <w:rPr>
                <w:sz w:val="15"/>
                <w:szCs w:val="15"/>
                <w:color w:val="auto"/>
              </w:rPr>
            </w:pPr>
          </w:p>
        </w:tc>
        <w:tc>
          <w:tcPr>
            <w:tcW w:w="7540" w:type="dxa"/>
            <w:vAlign w:val="bottom"/>
          </w:tcPr>
          <w:p>
            <w:pPr>
              <w:ind w:left="420"/>
              <w:spacing w:after="0"/>
              <w:rPr>
                <w:sz w:val="20"/>
                <w:szCs w:val="20"/>
                <w:color w:val="auto"/>
              </w:rPr>
            </w:pPr>
            <w:r>
              <w:rPr>
                <w:rFonts w:ascii="Arial" w:cs="Arial" w:eastAsia="Arial" w:hAnsi="Arial"/>
                <w:sz w:val="14"/>
                <w:szCs w:val="14"/>
                <w:color w:val="auto"/>
              </w:rPr>
              <w:t>Tax effect of accumulated other comprehensive loss items</w:t>
            </w:r>
          </w:p>
        </w:tc>
        <w:tc>
          <w:tcPr>
            <w:tcW w:w="120" w:type="dxa"/>
            <w:vAlign w:val="bottom"/>
            <w:tcBorders>
              <w:bottom w:val="single" w:sz="8" w:color="auto"/>
            </w:tcBorders>
          </w:tcPr>
          <w:p>
            <w:pPr>
              <w:spacing w:after="0"/>
              <w:rPr>
                <w:sz w:val="15"/>
                <w:szCs w:val="15"/>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85</w:t>
            </w:r>
          </w:p>
        </w:tc>
        <w:tc>
          <w:tcPr>
            <w:tcW w:w="160" w:type="dxa"/>
            <w:vAlign w:val="bottom"/>
          </w:tcPr>
          <w:p>
            <w:pPr>
              <w:spacing w:after="0"/>
              <w:rPr>
                <w:sz w:val="15"/>
                <w:szCs w:val="15"/>
                <w:color w:val="auto"/>
              </w:rPr>
            </w:pPr>
          </w:p>
        </w:tc>
        <w:tc>
          <w:tcPr>
            <w:tcW w:w="140" w:type="dxa"/>
            <w:vAlign w:val="bottom"/>
            <w:tcBorders>
              <w:bottom w:val="single" w:sz="8" w:color="auto"/>
            </w:tcBorders>
          </w:tcPr>
          <w:p>
            <w:pPr>
              <w:spacing w:after="0"/>
              <w:rPr>
                <w:sz w:val="15"/>
                <w:szCs w:val="15"/>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2,484</w:t>
            </w:r>
          </w:p>
        </w:tc>
        <w:tc>
          <w:tcPr>
            <w:tcW w:w="160" w:type="dxa"/>
            <w:vAlign w:val="bottom"/>
          </w:tcPr>
          <w:p>
            <w:pPr>
              <w:spacing w:after="0"/>
              <w:rPr>
                <w:sz w:val="15"/>
                <w:szCs w:val="15"/>
                <w:color w:val="auto"/>
              </w:rPr>
            </w:pPr>
          </w:p>
        </w:tc>
      </w:tr>
      <w:tr>
        <w:trPr>
          <w:trHeight w:val="211"/>
        </w:trPr>
        <w:tc>
          <w:tcPr>
            <w:tcW w:w="80" w:type="dxa"/>
            <w:vAlign w:val="bottom"/>
          </w:tcPr>
          <w:p>
            <w:pPr>
              <w:spacing w:after="0"/>
              <w:rPr>
                <w:sz w:val="18"/>
                <w:szCs w:val="18"/>
                <w:color w:val="auto"/>
              </w:rPr>
            </w:pPr>
          </w:p>
        </w:tc>
        <w:tc>
          <w:tcPr>
            <w:tcW w:w="7540" w:type="dxa"/>
            <w:vAlign w:val="bottom"/>
            <w:shd w:val="clear" w:color="auto" w:fill="CCEEFF"/>
          </w:tcPr>
          <w:p>
            <w:pPr>
              <w:spacing w:after="0"/>
              <w:rPr>
                <w:sz w:val="18"/>
                <w:szCs w:val="18"/>
                <w:color w:val="auto"/>
              </w:rPr>
            </w:pPr>
          </w:p>
        </w:tc>
        <w:tc>
          <w:tcPr>
            <w:tcW w:w="120" w:type="dxa"/>
            <w:vAlign w:val="bottom"/>
            <w:shd w:val="clear" w:color="auto" w:fill="CCEEFF"/>
          </w:tcPr>
          <w:p>
            <w:pPr>
              <w:jc w:val="right"/>
              <w:ind w:right="9"/>
              <w:spacing w:after="0"/>
              <w:rPr>
                <w:sz w:val="20"/>
                <w:szCs w:val="20"/>
                <w:color w:val="auto"/>
              </w:rPr>
            </w:pPr>
            <w:r>
              <w:rPr>
                <w:rFonts w:ascii="Arial" w:cs="Arial" w:eastAsia="Arial" w:hAnsi="Arial"/>
                <w:sz w:val="10"/>
                <w:szCs w:val="10"/>
                <w:color w:val="auto"/>
                <w:w w:val="71"/>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51,049</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66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w w:val="99"/>
              </w:rPr>
              <w:t>(20,608)</w:t>
            </w:r>
          </w:p>
        </w:tc>
      </w:tr>
      <w:tr>
        <w:trPr>
          <w:trHeight w:val="27"/>
        </w:trPr>
        <w:tc>
          <w:tcPr>
            <w:tcW w:w="80" w:type="dxa"/>
            <w:vAlign w:val="bottom"/>
          </w:tcPr>
          <w:p>
            <w:pPr>
              <w:spacing w:after="0"/>
              <w:rPr>
                <w:sz w:val="2"/>
                <w:szCs w:val="2"/>
                <w:color w:val="auto"/>
              </w:rPr>
            </w:pPr>
          </w:p>
        </w:tc>
        <w:tc>
          <w:tcPr>
            <w:tcW w:w="754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r>
      <w:tr>
        <w:trPr>
          <w:trHeight w:val="20"/>
        </w:trPr>
        <w:tc>
          <w:tcPr>
            <w:tcW w:w="80" w:type="dxa"/>
            <w:vAlign w:val="bottom"/>
          </w:tcPr>
          <w:p>
            <w:pPr>
              <w:spacing w:after="0" w:line="20" w:lineRule="exact"/>
              <w:rPr>
                <w:sz w:val="1"/>
                <w:szCs w:val="1"/>
                <w:color w:val="auto"/>
              </w:rPr>
            </w:pPr>
          </w:p>
        </w:tc>
        <w:tc>
          <w:tcPr>
            <w:tcW w:w="754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5" w:lineRule="exact"/>
        <w:rPr>
          <w:sz w:val="20"/>
          <w:szCs w:val="20"/>
          <w:color w:val="auto"/>
        </w:rPr>
      </w:pPr>
    </w:p>
    <w:p>
      <w:pPr>
        <w:ind w:left="1080"/>
        <w:spacing w:after="0" w:line="239" w:lineRule="auto"/>
        <w:rPr>
          <w:sz w:val="20"/>
          <w:szCs w:val="20"/>
          <w:color w:val="auto"/>
        </w:rPr>
      </w:pPr>
      <w:r>
        <w:rPr>
          <w:rFonts w:ascii="Arial" w:cs="Arial" w:eastAsia="Arial" w:hAnsi="Arial"/>
          <w:sz w:val="14"/>
          <w:szCs w:val="14"/>
          <w:color w:val="auto"/>
        </w:rPr>
        <w:t>In 2009, a $10.1 million gain (2008 — $9.0 million gain, 2007 — $1.9 million gain) was reclassified from accumulated other comprehensive income (loss) to income to reflect the realization of gains on available-for-sale securities due to the disposition of those securities.</w:t>
      </w:r>
    </w:p>
    <w:p>
      <w:pPr>
        <w:spacing w:after="0" w:line="179" w:lineRule="exact"/>
        <w:rPr>
          <w:sz w:val="20"/>
          <w:szCs w:val="20"/>
          <w:color w:val="auto"/>
        </w:rPr>
      </w:pPr>
    </w:p>
    <w:p>
      <w:pPr>
        <w:ind w:left="1080" w:hanging="532"/>
        <w:spacing w:after="0"/>
        <w:tabs>
          <w:tab w:leader="none" w:pos="1080" w:val="left"/>
        </w:tabs>
        <w:numPr>
          <w:ilvl w:val="0"/>
          <w:numId w:val="94"/>
        </w:numPr>
        <w:rPr>
          <w:rFonts w:ascii="Arial" w:cs="Arial" w:eastAsia="Arial" w:hAnsi="Arial"/>
          <w:sz w:val="14"/>
          <w:szCs w:val="14"/>
          <w:b w:val="1"/>
          <w:bCs w:val="1"/>
          <w:i w:val="1"/>
          <w:iCs w:val="1"/>
          <w:color w:val="auto"/>
        </w:rPr>
      </w:pPr>
      <w:r>
        <w:rPr>
          <w:rFonts w:ascii="Arial" w:cs="Arial" w:eastAsia="Arial" w:hAnsi="Arial"/>
          <w:sz w:val="14"/>
          <w:szCs w:val="14"/>
          <w:b w:val="1"/>
          <w:bCs w:val="1"/>
          <w:i w:val="1"/>
          <w:iCs w:val="1"/>
          <w:color w:val="auto"/>
        </w:rPr>
        <w:t>Net income per share</w:t>
      </w:r>
    </w:p>
    <w:p>
      <w:pPr>
        <w:spacing w:after="0" w:line="203" w:lineRule="exact"/>
        <w:rPr>
          <w:rFonts w:ascii="Arial" w:cs="Arial" w:eastAsia="Arial" w:hAnsi="Arial"/>
          <w:sz w:val="14"/>
          <w:szCs w:val="14"/>
          <w:b w:val="1"/>
          <w:bCs w:val="1"/>
          <w:i w:val="1"/>
          <w:iCs w:val="1"/>
          <w:color w:val="auto"/>
        </w:rPr>
      </w:pPr>
    </w:p>
    <w:p>
      <w:pPr>
        <w:ind w:left="1080"/>
        <w:spacing w:after="0"/>
        <w:rPr>
          <w:rFonts w:ascii="Arial" w:cs="Arial" w:eastAsia="Arial" w:hAnsi="Arial"/>
          <w:sz w:val="14"/>
          <w:szCs w:val="14"/>
          <w:b w:val="1"/>
          <w:bCs w:val="1"/>
          <w:i w:val="1"/>
          <w:iCs w:val="1"/>
          <w:color w:val="auto"/>
        </w:rPr>
      </w:pPr>
      <w:r>
        <w:rPr>
          <w:rFonts w:ascii="Arial" w:cs="Arial" w:eastAsia="Arial" w:hAnsi="Arial"/>
          <w:sz w:val="14"/>
          <w:szCs w:val="14"/>
          <w:color w:val="auto"/>
        </w:rPr>
        <w:t>The following table provides the weighted average number of common shares used in the calculation of basic and diluted income per share:</w:t>
      </w:r>
    </w:p>
    <w:p>
      <w:pPr>
        <w:spacing w:after="0" w:line="202" w:lineRule="exact"/>
        <w:rPr>
          <w:sz w:val="20"/>
          <w:szCs w:val="20"/>
          <w:color w:val="auto"/>
        </w:rPr>
      </w:pPr>
    </w:p>
    <w:tbl>
      <w:tblPr>
        <w:tblLayout w:type="fixed"/>
        <w:tblInd w:w="1160" w:type="dxa"/>
        <w:tblCellMar>
          <w:top w:w="0" w:type="dxa"/>
          <w:left w:w="0" w:type="dxa"/>
          <w:bottom w:w="0" w:type="dxa"/>
          <w:right w:w="0" w:type="dxa"/>
        </w:tblCellMar>
      </w:tblPr>
      <w:tr>
        <w:trPr>
          <w:trHeight w:val="161"/>
        </w:trPr>
        <w:tc>
          <w:tcPr>
            <w:tcW w:w="6160" w:type="dxa"/>
            <w:vAlign w:val="bottom"/>
          </w:tcPr>
          <w:p>
            <w:pPr>
              <w:spacing w:after="0"/>
              <w:rPr>
                <w:sz w:val="14"/>
                <w:szCs w:val="14"/>
                <w:color w:val="auto"/>
              </w:rPr>
            </w:pPr>
          </w:p>
        </w:tc>
        <w:tc>
          <w:tcPr>
            <w:tcW w:w="840" w:type="dxa"/>
            <w:vAlign w:val="bottom"/>
            <w:tcBorders>
              <w:bottom w:val="single" w:sz="8" w:color="auto"/>
            </w:tcBorders>
          </w:tcPr>
          <w:p>
            <w:pPr>
              <w:jc w:val="right"/>
              <w:ind w:right="232"/>
              <w:spacing w:after="0"/>
              <w:rPr>
                <w:sz w:val="20"/>
                <w:szCs w:val="20"/>
                <w:color w:val="auto"/>
              </w:rPr>
            </w:pPr>
            <w:r>
              <w:rPr>
                <w:rFonts w:ascii="Arial" w:cs="Arial" w:eastAsia="Arial" w:hAnsi="Arial"/>
                <w:sz w:val="14"/>
                <w:szCs w:val="14"/>
                <w:b w:val="1"/>
                <w:bCs w:val="1"/>
                <w:color w:val="auto"/>
              </w:rPr>
              <w:t>2009</w:t>
            </w:r>
          </w:p>
        </w:tc>
        <w:tc>
          <w:tcPr>
            <w:tcW w:w="160" w:type="dxa"/>
            <w:vAlign w:val="bottom"/>
          </w:tcPr>
          <w:p>
            <w:pPr>
              <w:spacing w:after="0"/>
              <w:rPr>
                <w:sz w:val="14"/>
                <w:szCs w:val="14"/>
                <w:color w:val="auto"/>
              </w:rPr>
            </w:pPr>
          </w:p>
        </w:tc>
        <w:tc>
          <w:tcPr>
            <w:tcW w:w="820" w:type="dxa"/>
            <w:vAlign w:val="bottom"/>
            <w:tcBorders>
              <w:bottom w:val="single" w:sz="8" w:color="auto"/>
            </w:tcBorders>
          </w:tcPr>
          <w:p>
            <w:pPr>
              <w:jc w:val="right"/>
              <w:ind w:right="212"/>
              <w:spacing w:after="0"/>
              <w:rPr>
                <w:sz w:val="20"/>
                <w:szCs w:val="20"/>
                <w:color w:val="auto"/>
              </w:rPr>
            </w:pPr>
            <w:r>
              <w:rPr>
                <w:rFonts w:ascii="Arial" w:cs="Arial" w:eastAsia="Arial" w:hAnsi="Arial"/>
                <w:sz w:val="14"/>
                <w:szCs w:val="14"/>
                <w:b w:val="1"/>
                <w:bCs w:val="1"/>
                <w:color w:val="auto"/>
              </w:rPr>
              <w:t>2008</w:t>
            </w:r>
          </w:p>
        </w:tc>
        <w:tc>
          <w:tcPr>
            <w:tcW w:w="160" w:type="dxa"/>
            <w:vAlign w:val="bottom"/>
          </w:tcPr>
          <w:p>
            <w:pPr>
              <w:spacing w:after="0"/>
              <w:rPr>
                <w:sz w:val="14"/>
                <w:szCs w:val="14"/>
                <w:color w:val="auto"/>
              </w:rPr>
            </w:pPr>
          </w:p>
        </w:tc>
        <w:tc>
          <w:tcPr>
            <w:tcW w:w="820" w:type="dxa"/>
            <w:vAlign w:val="bottom"/>
            <w:tcBorders>
              <w:bottom w:val="single" w:sz="8" w:color="auto"/>
            </w:tcBorders>
          </w:tcPr>
          <w:p>
            <w:pPr>
              <w:jc w:val="right"/>
              <w:ind w:right="212"/>
              <w:spacing w:after="0"/>
              <w:rPr>
                <w:sz w:val="20"/>
                <w:szCs w:val="20"/>
                <w:color w:val="auto"/>
              </w:rPr>
            </w:pPr>
            <w:r>
              <w:rPr>
                <w:rFonts w:ascii="Arial" w:cs="Arial" w:eastAsia="Arial" w:hAnsi="Arial"/>
                <w:sz w:val="14"/>
                <w:szCs w:val="14"/>
                <w:b w:val="1"/>
                <w:bCs w:val="1"/>
                <w:color w:val="auto"/>
              </w:rPr>
              <w:t>2007</w:t>
            </w:r>
          </w:p>
        </w:tc>
        <w:tc>
          <w:tcPr>
            <w:tcW w:w="160" w:type="dxa"/>
            <w:vAlign w:val="bottom"/>
          </w:tcPr>
          <w:p>
            <w:pPr>
              <w:spacing w:after="0"/>
              <w:rPr>
                <w:sz w:val="14"/>
                <w:szCs w:val="14"/>
                <w:color w:val="auto"/>
              </w:rPr>
            </w:pPr>
          </w:p>
        </w:tc>
      </w:tr>
      <w:tr>
        <w:trPr>
          <w:trHeight w:val="142"/>
        </w:trPr>
        <w:tc>
          <w:tcPr>
            <w:tcW w:w="6160" w:type="dxa"/>
            <w:vAlign w:val="bottom"/>
            <w:shd w:val="clear" w:color="auto" w:fill="CCEEFF"/>
          </w:tcPr>
          <w:p>
            <w:pPr>
              <w:ind w:left="420"/>
              <w:spacing w:after="0" w:line="142" w:lineRule="exact"/>
              <w:rPr>
                <w:sz w:val="20"/>
                <w:szCs w:val="20"/>
                <w:color w:val="auto"/>
              </w:rPr>
            </w:pPr>
            <w:r>
              <w:rPr>
                <w:rFonts w:ascii="Arial" w:cs="Arial" w:eastAsia="Arial" w:hAnsi="Arial"/>
                <w:sz w:val="14"/>
                <w:szCs w:val="14"/>
                <w:color w:val="auto"/>
              </w:rPr>
              <w:t>Weighted average number of common shares outstanding — basic</w:t>
            </w:r>
          </w:p>
        </w:tc>
        <w:tc>
          <w:tcPr>
            <w:tcW w:w="84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155,942,151</w:t>
            </w:r>
          </w:p>
        </w:tc>
        <w:tc>
          <w:tcPr>
            <w:tcW w:w="98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144,740,658</w:t>
            </w:r>
          </w:p>
        </w:tc>
        <w:tc>
          <w:tcPr>
            <w:tcW w:w="98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132,768,049</w:t>
            </w:r>
          </w:p>
        </w:tc>
        <w:tc>
          <w:tcPr>
            <w:tcW w:w="160" w:type="dxa"/>
            <w:vAlign w:val="bottom"/>
            <w:shd w:val="clear" w:color="auto" w:fill="CCEEFF"/>
          </w:tcPr>
          <w:p>
            <w:pPr>
              <w:spacing w:after="0"/>
              <w:rPr>
                <w:sz w:val="12"/>
                <w:szCs w:val="12"/>
                <w:color w:val="auto"/>
              </w:rPr>
            </w:pPr>
          </w:p>
        </w:tc>
      </w:tr>
      <w:tr>
        <w:trPr>
          <w:trHeight w:val="149"/>
        </w:trPr>
        <w:tc>
          <w:tcPr>
            <w:tcW w:w="6160" w:type="dxa"/>
            <w:vAlign w:val="bottom"/>
          </w:tcPr>
          <w:p>
            <w:pPr>
              <w:ind w:left="420"/>
              <w:spacing w:after="0" w:line="149" w:lineRule="exact"/>
              <w:rPr>
                <w:sz w:val="20"/>
                <w:szCs w:val="20"/>
                <w:color w:val="auto"/>
              </w:rPr>
            </w:pPr>
            <w:r>
              <w:rPr>
                <w:rFonts w:ascii="Arial" w:cs="Arial" w:eastAsia="Arial" w:hAnsi="Arial"/>
                <w:sz w:val="14"/>
                <w:szCs w:val="14"/>
                <w:color w:val="auto"/>
              </w:rPr>
              <w:t>Add: Dilutive impact of employee stock options</w:t>
            </w: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1,256,103</w:t>
            </w:r>
          </w:p>
        </w:tc>
        <w:tc>
          <w:tcPr>
            <w:tcW w:w="9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1,148,070</w:t>
            </w:r>
          </w:p>
        </w:tc>
        <w:tc>
          <w:tcPr>
            <w:tcW w:w="9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1,189,820</w:t>
            </w:r>
          </w:p>
        </w:tc>
        <w:tc>
          <w:tcPr>
            <w:tcW w:w="160" w:type="dxa"/>
            <w:vAlign w:val="bottom"/>
          </w:tcPr>
          <w:p>
            <w:pPr>
              <w:spacing w:after="0"/>
              <w:rPr>
                <w:sz w:val="12"/>
                <w:szCs w:val="12"/>
                <w:color w:val="auto"/>
              </w:rPr>
            </w:pPr>
          </w:p>
        </w:tc>
      </w:tr>
      <w:tr>
        <w:trPr>
          <w:trHeight w:val="149"/>
        </w:trPr>
        <w:tc>
          <w:tcPr>
            <w:tcW w:w="6160" w:type="dxa"/>
            <w:vAlign w:val="bottom"/>
            <w:shd w:val="clear" w:color="auto" w:fill="CCEEFF"/>
          </w:tcPr>
          <w:p>
            <w:pPr>
              <w:ind w:left="720"/>
              <w:spacing w:after="0" w:line="149" w:lineRule="exact"/>
              <w:rPr>
                <w:sz w:val="20"/>
                <w:szCs w:val="20"/>
                <w:color w:val="auto"/>
              </w:rPr>
            </w:pPr>
            <w:r>
              <w:rPr>
                <w:rFonts w:ascii="Arial" w:cs="Arial" w:eastAsia="Arial" w:hAnsi="Arial"/>
                <w:sz w:val="14"/>
                <w:szCs w:val="14"/>
                <w:color w:val="auto"/>
              </w:rPr>
              <w:t>Dilutive impact of warrants</w:t>
            </w: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1,392,752</w:t>
            </w:r>
          </w:p>
        </w:tc>
        <w:tc>
          <w:tcPr>
            <w:tcW w:w="160" w:type="dxa"/>
            <w:vAlign w:val="bottom"/>
            <w:shd w:val="clear" w:color="auto" w:fill="CCEEFF"/>
          </w:tcPr>
          <w:p>
            <w:pPr>
              <w:spacing w:after="0"/>
              <w:rPr>
                <w:sz w:val="12"/>
                <w:szCs w:val="12"/>
                <w:color w:val="auto"/>
              </w:rPr>
            </w:pPr>
          </w:p>
        </w:tc>
        <w:tc>
          <w:tcPr>
            <w:tcW w:w="8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r>
      <w:tr>
        <w:trPr>
          <w:trHeight w:val="174"/>
        </w:trPr>
        <w:tc>
          <w:tcPr>
            <w:tcW w:w="6160" w:type="dxa"/>
            <w:vAlign w:val="bottom"/>
          </w:tcPr>
          <w:p>
            <w:pPr>
              <w:ind w:left="720"/>
              <w:spacing w:after="0"/>
              <w:rPr>
                <w:sz w:val="20"/>
                <w:szCs w:val="20"/>
                <w:color w:val="auto"/>
              </w:rPr>
            </w:pPr>
            <w:r>
              <w:rPr>
                <w:rFonts w:ascii="Arial" w:cs="Arial" w:eastAsia="Arial" w:hAnsi="Arial"/>
                <w:sz w:val="14"/>
                <w:szCs w:val="14"/>
                <w:color w:val="auto"/>
              </w:rPr>
              <w:t>Dilutive impact of treasury shares related to restricted share unit plan</w:t>
            </w:r>
          </w:p>
        </w:tc>
        <w:tc>
          <w:tcPr>
            <w:tcW w:w="84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29,882</w:t>
            </w:r>
          </w:p>
        </w:tc>
        <w:tc>
          <w:tcPr>
            <w:tcW w:w="160" w:type="dxa"/>
            <w:vAlign w:val="bottom"/>
          </w:tcPr>
          <w:p>
            <w:pPr>
              <w:spacing w:after="0"/>
              <w:rPr>
                <w:sz w:val="15"/>
                <w:szCs w:val="15"/>
                <w:color w:val="auto"/>
              </w:rPr>
            </w:pPr>
          </w:p>
        </w:tc>
        <w:tc>
          <w:tcPr>
            <w:tcW w:w="82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5"/>
                <w:szCs w:val="15"/>
                <w:color w:val="auto"/>
              </w:rPr>
            </w:pPr>
          </w:p>
        </w:tc>
        <w:tc>
          <w:tcPr>
            <w:tcW w:w="82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5"/>
                <w:szCs w:val="15"/>
                <w:color w:val="auto"/>
              </w:rPr>
            </w:pPr>
          </w:p>
        </w:tc>
      </w:tr>
      <w:tr>
        <w:trPr>
          <w:trHeight w:val="144"/>
        </w:trPr>
        <w:tc>
          <w:tcPr>
            <w:tcW w:w="6160" w:type="dxa"/>
            <w:vAlign w:val="bottom"/>
            <w:shd w:val="clear" w:color="auto" w:fill="CCEEFF"/>
          </w:tcPr>
          <w:p>
            <w:pPr>
              <w:ind w:left="420"/>
              <w:spacing w:after="0" w:line="144" w:lineRule="exact"/>
              <w:rPr>
                <w:sz w:val="20"/>
                <w:szCs w:val="20"/>
                <w:color w:val="auto"/>
              </w:rPr>
            </w:pPr>
            <w:r>
              <w:rPr>
                <w:rFonts w:ascii="Arial" w:cs="Arial" w:eastAsia="Arial" w:hAnsi="Arial"/>
                <w:sz w:val="14"/>
                <w:szCs w:val="14"/>
                <w:color w:val="auto"/>
              </w:rPr>
              <w:t>Weighted average number of common shares outstanding — diluted</w:t>
            </w:r>
          </w:p>
        </w:tc>
        <w:tc>
          <w:tcPr>
            <w:tcW w:w="84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158,620,888</w:t>
            </w:r>
          </w:p>
        </w:tc>
        <w:tc>
          <w:tcPr>
            <w:tcW w:w="98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rPr>
              <w:t>145,888,728</w:t>
            </w:r>
          </w:p>
        </w:tc>
        <w:tc>
          <w:tcPr>
            <w:tcW w:w="98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rPr>
              <w:t>133,957,869</w:t>
            </w:r>
          </w:p>
        </w:tc>
        <w:tc>
          <w:tcPr>
            <w:tcW w:w="160" w:type="dxa"/>
            <w:vAlign w:val="bottom"/>
            <w:shd w:val="clear" w:color="auto" w:fill="CCEEFF"/>
          </w:tcPr>
          <w:p>
            <w:pPr>
              <w:spacing w:after="0"/>
              <w:rPr>
                <w:sz w:val="12"/>
                <w:szCs w:val="12"/>
                <w:color w:val="auto"/>
              </w:rPr>
            </w:pPr>
          </w:p>
        </w:tc>
      </w:tr>
      <w:tr>
        <w:trPr>
          <w:trHeight w:val="27"/>
        </w:trPr>
        <w:tc>
          <w:tcPr>
            <w:tcW w:w="6160" w:type="dxa"/>
            <w:vAlign w:val="bottom"/>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8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8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r>
      <w:tr>
        <w:trPr>
          <w:trHeight w:val="20"/>
        </w:trPr>
        <w:tc>
          <w:tcPr>
            <w:tcW w:w="6160" w:type="dxa"/>
            <w:vAlign w:val="bottom"/>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5" w:lineRule="exact"/>
        <w:rPr>
          <w:sz w:val="20"/>
          <w:szCs w:val="20"/>
          <w:color w:val="auto"/>
        </w:rPr>
      </w:pPr>
    </w:p>
    <w:p>
      <w:pPr>
        <w:ind w:left="1080"/>
        <w:spacing w:after="0" w:line="318" w:lineRule="auto"/>
        <w:rPr>
          <w:sz w:val="20"/>
          <w:szCs w:val="20"/>
          <w:color w:val="auto"/>
        </w:rPr>
      </w:pPr>
      <w:r>
        <w:rPr>
          <w:rFonts w:ascii="Arial" w:cs="Arial" w:eastAsia="Arial" w:hAnsi="Arial"/>
          <w:sz w:val="12"/>
          <w:szCs w:val="12"/>
          <w:color w:val="auto"/>
        </w:rPr>
        <w:t>The calculation of diluted income per share has been computed using the treasury stock method. In applying the treasury stock method, options and warrants with an exercise price greater than the average quoted market price, for the period outstanding, of the common shares are not included in the calculation of diluted income per share as the effect is anti-dilutive.</w:t>
      </w:r>
    </w:p>
    <w:p>
      <w:pPr>
        <w:spacing w:after="0" w:line="146" w:lineRule="exact"/>
        <w:rPr>
          <w:sz w:val="20"/>
          <w:szCs w:val="20"/>
          <w:color w:val="auto"/>
        </w:rPr>
      </w:pPr>
    </w:p>
    <w:p>
      <w:pPr>
        <w:ind w:left="280" w:hanging="272"/>
        <w:spacing w:after="0"/>
        <w:tabs>
          <w:tab w:leader="none" w:pos="280" w:val="left"/>
        </w:tabs>
        <w:numPr>
          <w:ilvl w:val="0"/>
          <w:numId w:val="95"/>
        </w:numPr>
        <w:rPr>
          <w:rFonts w:ascii="Arial" w:cs="Arial" w:eastAsia="Arial" w:hAnsi="Arial"/>
          <w:sz w:val="14"/>
          <w:szCs w:val="14"/>
          <w:b w:val="1"/>
          <w:bCs w:val="1"/>
          <w:color w:val="auto"/>
        </w:rPr>
      </w:pPr>
      <w:r>
        <w:rPr>
          <w:rFonts w:ascii="Arial" w:cs="Arial" w:eastAsia="Arial" w:hAnsi="Arial"/>
          <w:sz w:val="14"/>
          <w:szCs w:val="14"/>
          <w:b w:val="1"/>
          <w:bCs w:val="1"/>
          <w:color w:val="auto"/>
        </w:rPr>
        <w:t>STOCK-BASED COMPENSATION</w:t>
      </w:r>
    </w:p>
    <w:p>
      <w:pPr>
        <w:spacing w:after="0" w:line="192" w:lineRule="exact"/>
        <w:rPr>
          <w:rFonts w:ascii="Arial" w:cs="Arial" w:eastAsia="Arial" w:hAnsi="Arial"/>
          <w:sz w:val="14"/>
          <w:szCs w:val="14"/>
          <w:b w:val="1"/>
          <w:bCs w:val="1"/>
          <w:color w:val="auto"/>
        </w:rPr>
      </w:pPr>
    </w:p>
    <w:p>
      <w:pPr>
        <w:ind w:left="1080" w:hanging="532"/>
        <w:spacing w:after="0"/>
        <w:tabs>
          <w:tab w:leader="none" w:pos="1080" w:val="left"/>
        </w:tabs>
        <w:numPr>
          <w:ilvl w:val="1"/>
          <w:numId w:val="95"/>
        </w:numPr>
        <w:rPr>
          <w:rFonts w:ascii="Arial" w:cs="Arial" w:eastAsia="Arial" w:hAnsi="Arial"/>
          <w:sz w:val="14"/>
          <w:szCs w:val="14"/>
          <w:b w:val="1"/>
          <w:bCs w:val="1"/>
          <w:i w:val="1"/>
          <w:iCs w:val="1"/>
          <w:color w:val="auto"/>
        </w:rPr>
      </w:pPr>
      <w:r>
        <w:rPr>
          <w:rFonts w:ascii="Arial" w:cs="Arial" w:eastAsia="Arial" w:hAnsi="Arial"/>
          <w:sz w:val="14"/>
          <w:szCs w:val="14"/>
          <w:b w:val="1"/>
          <w:bCs w:val="1"/>
          <w:i w:val="1"/>
          <w:iCs w:val="1"/>
          <w:color w:val="auto"/>
        </w:rPr>
        <w:t>Employee Stock Option Plan ("ESOP")</w:t>
      </w:r>
    </w:p>
    <w:p>
      <w:pPr>
        <w:spacing w:after="0" w:line="203" w:lineRule="exact"/>
        <w:rPr>
          <w:rFonts w:ascii="Arial" w:cs="Arial" w:eastAsia="Arial" w:hAnsi="Arial"/>
          <w:sz w:val="14"/>
          <w:szCs w:val="14"/>
          <w:b w:val="1"/>
          <w:bCs w:val="1"/>
          <w:i w:val="1"/>
          <w:iCs w:val="1"/>
          <w:color w:val="auto"/>
        </w:rPr>
      </w:pPr>
    </w:p>
    <w:p>
      <w:pPr>
        <w:jc w:val="both"/>
        <w:ind w:left="1080"/>
        <w:spacing w:after="0" w:line="233" w:lineRule="auto"/>
        <w:rPr>
          <w:rFonts w:ascii="Arial" w:cs="Arial" w:eastAsia="Arial" w:hAnsi="Arial"/>
          <w:sz w:val="14"/>
          <w:szCs w:val="14"/>
          <w:b w:val="1"/>
          <w:bCs w:val="1"/>
          <w:i w:val="1"/>
          <w:iCs w:val="1"/>
          <w:color w:val="auto"/>
        </w:rPr>
      </w:pPr>
      <w:r>
        <w:rPr>
          <w:rFonts w:ascii="Arial" w:cs="Arial" w:eastAsia="Arial" w:hAnsi="Arial"/>
          <w:sz w:val="14"/>
          <w:szCs w:val="14"/>
          <w:color w:val="auto"/>
        </w:rPr>
        <w:t>The Company's ESOP provides for the granting of options to directors, officers, employees and service providers to purchase common shares. Under this plan, options are granted at the fair market value of the underlying shares on the day prior to the date of grant. The number of shares subject to option for any one person may not exceed 5% of the Company's common shares issued and outstanding at the date of grant.</w:t>
      </w:r>
    </w:p>
    <w:p>
      <w:pPr>
        <w:spacing w:after="0" w:line="192" w:lineRule="exact"/>
        <w:rPr>
          <w:rFonts w:ascii="Arial" w:cs="Arial" w:eastAsia="Arial" w:hAnsi="Arial"/>
          <w:sz w:val="14"/>
          <w:szCs w:val="14"/>
          <w:b w:val="1"/>
          <w:bCs w:val="1"/>
          <w:i w:val="1"/>
          <w:iCs w:val="1"/>
          <w:color w:val="auto"/>
        </w:rPr>
      </w:pPr>
    </w:p>
    <w:p>
      <w:pPr>
        <w:jc w:val="both"/>
        <w:ind w:left="1080"/>
        <w:spacing w:after="0" w:line="228" w:lineRule="auto"/>
        <w:rPr>
          <w:rFonts w:ascii="Arial" w:cs="Arial" w:eastAsia="Arial" w:hAnsi="Arial"/>
          <w:sz w:val="14"/>
          <w:szCs w:val="14"/>
          <w:b w:val="1"/>
          <w:bCs w:val="1"/>
          <w:i w:val="1"/>
          <w:iCs w:val="1"/>
          <w:color w:val="auto"/>
        </w:rPr>
      </w:pPr>
      <w:r>
        <w:rPr>
          <w:rFonts w:ascii="Arial" w:cs="Arial" w:eastAsia="Arial" w:hAnsi="Arial"/>
          <w:sz w:val="14"/>
          <w:szCs w:val="14"/>
          <w:color w:val="auto"/>
        </w:rPr>
        <w:t>Up to May 31, 2001, the number of common shares reserved for issuance under the ESOP was 6,000,000 and options granted under the ESOP had a maximum term of ten years. On April 24, 2001, the Compensation Committee of the Board of Directors adopted a policy pursuant to which options granted after that date shall have a maximum term of five years. In 2001, the shareholders approved a resolution to increase the number of common shares reserved for issuance under the ESOP by 2,000,000 to 8,000,000. In 2004 and 2006, the shareholders approved a further 2,000,000 and 3,000,000 common shares for issuance under the ESOP, respectively. In 2008, the shareholders approved a further 6,000,000 common shares for issuance under the ESOP.</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2" w:right="239" w:bottom="1440" w:gutter="0" w:footer="0" w:header="0"/>
        </w:sectPr>
      </w:pPr>
    </w:p>
    <w:bookmarkStart w:id="208" w:name="page209"/>
    <w:bookmarkEnd w:id="208"/>
    <w:p>
      <w:pPr>
        <w:jc w:val="center"/>
        <w:ind w:right="-11"/>
        <w:spacing w:after="0"/>
        <w:rPr>
          <w:sz w:val="20"/>
          <w:szCs w:val="20"/>
          <w:color w:val="auto"/>
        </w:rPr>
      </w:pPr>
      <w:r>
        <w:rPr>
          <w:rFonts w:ascii="Arial" w:cs="Arial" w:eastAsia="Arial" w:hAnsi="Arial"/>
          <w:sz w:val="18"/>
          <w:szCs w:val="18"/>
          <w:b w:val="1"/>
          <w:bCs w:val="1"/>
          <w:color w:val="auto"/>
        </w:rPr>
        <w:t>AGNICO-EAGLE MINES LIMITED</w:t>
      </w:r>
    </w:p>
    <w:p>
      <w:pPr>
        <w:spacing w:after="0" w:line="225" w:lineRule="exact"/>
        <w:rPr>
          <w:sz w:val="20"/>
          <w:szCs w:val="20"/>
          <w:color w:val="auto"/>
        </w:rPr>
      </w:pPr>
    </w:p>
    <w:p>
      <w:pPr>
        <w:jc w:val="center"/>
        <w:ind w:right="-11"/>
        <w:spacing w:after="0"/>
        <w:rPr>
          <w:sz w:val="20"/>
          <w:szCs w:val="20"/>
          <w:color w:val="auto"/>
        </w:rPr>
      </w:pPr>
      <w:r>
        <w:rPr>
          <w:rFonts w:ascii="Arial" w:cs="Arial" w:eastAsia="Arial" w:hAnsi="Arial"/>
          <w:sz w:val="18"/>
          <w:szCs w:val="18"/>
          <w:b w:val="1"/>
          <w:bCs w:val="1"/>
          <w:color w:val="auto"/>
        </w:rPr>
        <w:t>NOTES TO CONSOLIDATED FINANCIAL STATEMENTS (Continued)</w:t>
      </w:r>
    </w:p>
    <w:p>
      <w:pPr>
        <w:spacing w:after="0" w:line="225" w:lineRule="exact"/>
        <w:rPr>
          <w:sz w:val="20"/>
          <w:szCs w:val="20"/>
          <w:color w:val="auto"/>
        </w:rPr>
      </w:pPr>
    </w:p>
    <w:p>
      <w:pPr>
        <w:jc w:val="center"/>
        <w:ind w:right="-11"/>
        <w:spacing w:after="0"/>
        <w:rPr>
          <w:sz w:val="20"/>
          <w:szCs w:val="20"/>
          <w:color w:val="auto"/>
        </w:rPr>
      </w:pPr>
      <w:r>
        <w:rPr>
          <w:rFonts w:ascii="Arial" w:cs="Arial" w:eastAsia="Arial" w:hAnsi="Arial"/>
          <w:sz w:val="18"/>
          <w:szCs w:val="18"/>
          <w:b w:val="1"/>
          <w:bCs w:val="1"/>
          <w:color w:val="auto"/>
        </w:rPr>
        <w:t>(thousands of United States dollars, except per share amounts, unless otherwise indicated)</w:t>
      </w:r>
    </w:p>
    <w:p>
      <w:pPr>
        <w:spacing w:after="0" w:line="21" w:lineRule="exact"/>
        <w:rPr>
          <w:sz w:val="20"/>
          <w:szCs w:val="20"/>
          <w:color w:val="auto"/>
        </w:rPr>
      </w:pPr>
    </w:p>
    <w:p>
      <w:pPr>
        <w:jc w:val="center"/>
        <w:ind w:right="-11"/>
        <w:spacing w:after="0"/>
        <w:rPr>
          <w:sz w:val="20"/>
          <w:szCs w:val="20"/>
          <w:color w:val="auto"/>
        </w:rPr>
      </w:pPr>
      <w:r>
        <w:rPr>
          <w:rFonts w:ascii="Arial" w:cs="Arial" w:eastAsia="Arial" w:hAnsi="Arial"/>
          <w:sz w:val="18"/>
          <w:szCs w:val="18"/>
          <w:b w:val="1"/>
          <w:bCs w:val="1"/>
          <w:color w:val="auto"/>
        </w:rPr>
        <w:t>December 31, 2009</w:t>
      </w:r>
    </w:p>
    <w:p>
      <w:pPr>
        <w:spacing w:after="0" w:line="214" w:lineRule="exact"/>
        <w:rPr>
          <w:sz w:val="20"/>
          <w:szCs w:val="20"/>
          <w:color w:val="auto"/>
        </w:rPr>
      </w:pPr>
    </w:p>
    <w:p>
      <w:pPr>
        <w:ind w:left="272" w:hanging="272"/>
        <w:spacing w:after="0"/>
        <w:tabs>
          <w:tab w:leader="none" w:pos="272" w:val="left"/>
        </w:tabs>
        <w:numPr>
          <w:ilvl w:val="0"/>
          <w:numId w:val="96"/>
        </w:numPr>
        <w:rPr>
          <w:rFonts w:ascii="Arial" w:cs="Arial" w:eastAsia="Arial" w:hAnsi="Arial"/>
          <w:sz w:val="14"/>
          <w:szCs w:val="14"/>
          <w:b w:val="1"/>
          <w:bCs w:val="1"/>
          <w:color w:val="auto"/>
        </w:rPr>
      </w:pPr>
      <w:r>
        <w:rPr>
          <w:rFonts w:ascii="Arial" w:cs="Arial" w:eastAsia="Arial" w:hAnsi="Arial"/>
          <w:sz w:val="14"/>
          <w:szCs w:val="14"/>
          <w:b w:val="1"/>
          <w:bCs w:val="1"/>
          <w:color w:val="auto"/>
        </w:rPr>
        <w:t>STOCK-BASED COMPENSATION (Continued)</w:t>
      </w:r>
    </w:p>
    <w:p>
      <w:pPr>
        <w:spacing w:after="0" w:line="206" w:lineRule="exact"/>
        <w:rPr>
          <w:sz w:val="20"/>
          <w:szCs w:val="20"/>
          <w:color w:val="auto"/>
        </w:rPr>
      </w:pPr>
    </w:p>
    <w:p>
      <w:pPr>
        <w:jc w:val="both"/>
        <w:ind w:left="1072"/>
        <w:spacing w:after="0" w:line="227" w:lineRule="auto"/>
        <w:rPr>
          <w:sz w:val="20"/>
          <w:szCs w:val="20"/>
          <w:color w:val="auto"/>
        </w:rPr>
      </w:pPr>
      <w:r>
        <w:rPr>
          <w:rFonts w:ascii="Arial" w:cs="Arial" w:eastAsia="Arial" w:hAnsi="Arial"/>
          <w:sz w:val="14"/>
          <w:szCs w:val="14"/>
          <w:color w:val="auto"/>
        </w:rPr>
        <w:t>Of the 2,276,000 options granted under the ESOP in 2009, 569,000 options granted vested immediately and expire in 2014. The remaining options expire in 2014 and vest in equal installments, on each anniversary date of the grant, over a three-year period. Of the 2,549,400 options granted under the ESOP in 2008, 637,350 options granted vested immediately and expire in 2013. The remaining options expire in 2013 and vest in equal installments, on each anniversary date of the grant, over a three-year period. Of the 1,380,000 options granted under the ESOP in 2007, 345,000 options granted vested immediately and expire in 2012. The remaining options expire in 2012 and vest in equal installments, on each anniversary date of the grant, over a three-year period. As a result of the acquisition of Cumberland Resources Ltd. ("Cumberland"), 326,250 options in Cumberland were converted to options of the Company. All these options vested immediately.</w:t>
      </w:r>
    </w:p>
    <w:p>
      <w:pPr>
        <w:spacing w:after="0" w:line="194" w:lineRule="exact"/>
        <w:rPr>
          <w:sz w:val="20"/>
          <w:szCs w:val="20"/>
          <w:color w:val="auto"/>
        </w:rPr>
      </w:pPr>
    </w:p>
    <w:p>
      <w:pPr>
        <w:ind w:left="1072"/>
        <w:spacing w:after="0"/>
        <w:rPr>
          <w:sz w:val="20"/>
          <w:szCs w:val="20"/>
          <w:color w:val="auto"/>
        </w:rPr>
      </w:pPr>
      <w:r>
        <w:rPr>
          <w:rFonts w:ascii="Arial" w:cs="Arial" w:eastAsia="Arial" w:hAnsi="Arial"/>
          <w:sz w:val="14"/>
          <w:szCs w:val="14"/>
          <w:color w:val="auto"/>
        </w:rPr>
        <w:t>Upon the exercise of stock options under the ESOP, the Company issues new common shares to settle the obligation.</w:t>
      </w:r>
    </w:p>
    <w:p>
      <w:pPr>
        <w:spacing w:after="0" w:line="204" w:lineRule="exact"/>
        <w:rPr>
          <w:sz w:val="20"/>
          <w:szCs w:val="20"/>
          <w:color w:val="auto"/>
        </w:rPr>
      </w:pPr>
    </w:p>
    <w:p>
      <w:pPr>
        <w:ind w:left="1072"/>
        <w:spacing w:after="0"/>
        <w:rPr>
          <w:sz w:val="20"/>
          <w:szCs w:val="20"/>
          <w:color w:val="auto"/>
        </w:rPr>
      </w:pPr>
      <w:r>
        <w:rPr>
          <w:rFonts w:ascii="Arial" w:cs="Arial" w:eastAsia="Arial" w:hAnsi="Arial"/>
          <w:sz w:val="14"/>
          <w:szCs w:val="14"/>
          <w:color w:val="auto"/>
        </w:rPr>
        <w:t>The following summary sets out the activity with respect to Agnico-Eagle's outstanding stock options:</w:t>
      </w:r>
    </w:p>
    <w:p>
      <w:pPr>
        <w:spacing w:after="0" w:line="202" w:lineRule="exact"/>
        <w:rPr>
          <w:sz w:val="20"/>
          <w:szCs w:val="20"/>
          <w:color w:val="auto"/>
        </w:rPr>
      </w:pPr>
    </w:p>
    <w:tbl>
      <w:tblPr>
        <w:tblLayout w:type="fixed"/>
        <w:tblInd w:w="1152" w:type="dxa"/>
        <w:tblCellMar>
          <w:top w:w="0" w:type="dxa"/>
          <w:left w:w="0" w:type="dxa"/>
          <w:bottom w:w="0" w:type="dxa"/>
          <w:right w:w="0" w:type="dxa"/>
        </w:tblCellMar>
      </w:tblPr>
      <w:tr>
        <w:trPr>
          <w:trHeight w:val="161"/>
        </w:trPr>
        <w:tc>
          <w:tcPr>
            <w:tcW w:w="2880" w:type="dxa"/>
            <w:vAlign w:val="bottom"/>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gridSpan w:val="2"/>
          </w:tcPr>
          <w:p>
            <w:pPr>
              <w:jc w:val="center"/>
              <w:spacing w:after="0"/>
              <w:rPr>
                <w:sz w:val="20"/>
                <w:szCs w:val="20"/>
                <w:color w:val="auto"/>
              </w:rPr>
            </w:pPr>
            <w:r>
              <w:rPr>
                <w:rFonts w:ascii="Arial" w:cs="Arial" w:eastAsia="Arial" w:hAnsi="Arial"/>
                <w:sz w:val="14"/>
                <w:szCs w:val="14"/>
                <w:b w:val="1"/>
                <w:bCs w:val="1"/>
                <w:color w:val="auto"/>
                <w:w w:val="83"/>
              </w:rPr>
              <w:t>2009</w:t>
            </w:r>
          </w:p>
        </w:tc>
        <w:tc>
          <w:tcPr>
            <w:tcW w:w="84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gridSpan w:val="2"/>
          </w:tcPr>
          <w:p>
            <w:pPr>
              <w:jc w:val="center"/>
              <w:spacing w:after="0"/>
              <w:rPr>
                <w:sz w:val="20"/>
                <w:szCs w:val="20"/>
                <w:color w:val="auto"/>
              </w:rPr>
            </w:pPr>
            <w:r>
              <w:rPr>
                <w:rFonts w:ascii="Arial" w:cs="Arial" w:eastAsia="Arial" w:hAnsi="Arial"/>
                <w:sz w:val="14"/>
                <w:szCs w:val="14"/>
                <w:b w:val="1"/>
                <w:bCs w:val="1"/>
                <w:color w:val="auto"/>
                <w:w w:val="89"/>
              </w:rPr>
              <w:t>2008</w:t>
            </w:r>
          </w:p>
        </w:tc>
        <w:tc>
          <w:tcPr>
            <w:tcW w:w="84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68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gridSpan w:val="2"/>
          </w:tcPr>
          <w:p>
            <w:pPr>
              <w:jc w:val="right"/>
              <w:spacing w:after="0"/>
              <w:rPr>
                <w:sz w:val="20"/>
                <w:szCs w:val="20"/>
                <w:color w:val="auto"/>
              </w:rPr>
            </w:pPr>
            <w:r>
              <w:rPr>
                <w:rFonts w:ascii="Arial" w:cs="Arial" w:eastAsia="Arial" w:hAnsi="Arial"/>
                <w:sz w:val="14"/>
                <w:szCs w:val="14"/>
                <w:b w:val="1"/>
                <w:bCs w:val="1"/>
                <w:color w:val="auto"/>
                <w:w w:val="96"/>
              </w:rPr>
              <w:t>2007</w:t>
            </w:r>
          </w:p>
        </w:tc>
        <w:tc>
          <w:tcPr>
            <w:tcW w:w="84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29"/>
        </w:trPr>
        <w:tc>
          <w:tcPr>
            <w:tcW w:w="288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840" w:type="dxa"/>
            <w:vAlign w:val="bottom"/>
          </w:tcPr>
          <w:p>
            <w:pPr>
              <w:jc w:val="center"/>
              <w:ind w:right="172"/>
              <w:spacing w:after="0" w:line="129" w:lineRule="exact"/>
              <w:rPr>
                <w:sz w:val="20"/>
                <w:szCs w:val="20"/>
                <w:color w:val="auto"/>
              </w:rPr>
            </w:pPr>
            <w:r>
              <w:rPr>
                <w:rFonts w:ascii="Arial" w:cs="Arial" w:eastAsia="Arial" w:hAnsi="Arial"/>
                <w:sz w:val="14"/>
                <w:szCs w:val="14"/>
                <w:b w:val="1"/>
                <w:bCs w:val="1"/>
                <w:color w:val="auto"/>
                <w:w w:val="88"/>
              </w:rPr>
              <w:t>Weighted</w:t>
            </w:r>
          </w:p>
        </w:tc>
        <w:tc>
          <w:tcPr>
            <w:tcW w:w="16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840" w:type="dxa"/>
            <w:vAlign w:val="bottom"/>
          </w:tcPr>
          <w:p>
            <w:pPr>
              <w:jc w:val="center"/>
              <w:ind w:right="192"/>
              <w:spacing w:after="0" w:line="129" w:lineRule="exact"/>
              <w:rPr>
                <w:sz w:val="20"/>
                <w:szCs w:val="20"/>
                <w:color w:val="auto"/>
              </w:rPr>
            </w:pPr>
            <w:r>
              <w:rPr>
                <w:rFonts w:ascii="Arial" w:cs="Arial" w:eastAsia="Arial" w:hAnsi="Arial"/>
                <w:sz w:val="14"/>
                <w:szCs w:val="14"/>
                <w:b w:val="1"/>
                <w:bCs w:val="1"/>
                <w:color w:val="auto"/>
                <w:w w:val="85"/>
              </w:rPr>
              <w:t>Weighted</w:t>
            </w:r>
          </w:p>
        </w:tc>
        <w:tc>
          <w:tcPr>
            <w:tcW w:w="16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840" w:type="dxa"/>
            <w:vAlign w:val="bottom"/>
          </w:tcPr>
          <w:p>
            <w:pPr>
              <w:jc w:val="center"/>
              <w:ind w:right="192"/>
              <w:spacing w:after="0" w:line="129" w:lineRule="exact"/>
              <w:rPr>
                <w:sz w:val="20"/>
                <w:szCs w:val="20"/>
                <w:color w:val="auto"/>
              </w:rPr>
            </w:pPr>
            <w:r>
              <w:rPr>
                <w:rFonts w:ascii="Arial" w:cs="Arial" w:eastAsia="Arial" w:hAnsi="Arial"/>
                <w:sz w:val="14"/>
                <w:szCs w:val="14"/>
                <w:b w:val="1"/>
                <w:bCs w:val="1"/>
                <w:color w:val="auto"/>
                <w:w w:val="85"/>
              </w:rPr>
              <w:t>Weighted</w:t>
            </w: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8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840" w:type="dxa"/>
            <w:vAlign w:val="bottom"/>
          </w:tcPr>
          <w:p>
            <w:pPr>
              <w:jc w:val="center"/>
              <w:ind w:right="172"/>
              <w:spacing w:after="0" w:line="149" w:lineRule="exact"/>
              <w:rPr>
                <w:sz w:val="20"/>
                <w:szCs w:val="20"/>
                <w:color w:val="auto"/>
              </w:rPr>
            </w:pPr>
            <w:r>
              <w:rPr>
                <w:rFonts w:ascii="Arial" w:cs="Arial" w:eastAsia="Arial" w:hAnsi="Arial"/>
                <w:sz w:val="14"/>
                <w:szCs w:val="14"/>
                <w:b w:val="1"/>
                <w:bCs w:val="1"/>
                <w:color w:val="auto"/>
                <w:w w:val="83"/>
              </w:rPr>
              <w:t>average</w:t>
            </w:r>
          </w:p>
        </w:tc>
        <w:tc>
          <w:tcPr>
            <w:tcW w:w="1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40" w:type="dxa"/>
            <w:vAlign w:val="bottom"/>
          </w:tcPr>
          <w:p>
            <w:pPr>
              <w:jc w:val="center"/>
              <w:ind w:right="192"/>
              <w:spacing w:after="0" w:line="149" w:lineRule="exact"/>
              <w:rPr>
                <w:sz w:val="20"/>
                <w:szCs w:val="20"/>
                <w:color w:val="auto"/>
              </w:rPr>
            </w:pPr>
            <w:r>
              <w:rPr>
                <w:rFonts w:ascii="Arial" w:cs="Arial" w:eastAsia="Arial" w:hAnsi="Arial"/>
                <w:sz w:val="14"/>
                <w:szCs w:val="14"/>
                <w:b w:val="1"/>
                <w:bCs w:val="1"/>
                <w:color w:val="auto"/>
                <w:w w:val="86"/>
              </w:rPr>
              <w:t>average</w:t>
            </w:r>
          </w:p>
        </w:tc>
        <w:tc>
          <w:tcPr>
            <w:tcW w:w="16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000" w:type="dxa"/>
            <w:vAlign w:val="bottom"/>
            <w:gridSpan w:val="2"/>
          </w:tcPr>
          <w:p>
            <w:pPr>
              <w:jc w:val="center"/>
              <w:ind w:right="420"/>
              <w:spacing w:after="0" w:line="149" w:lineRule="exact"/>
              <w:rPr>
                <w:sz w:val="20"/>
                <w:szCs w:val="20"/>
                <w:color w:val="auto"/>
              </w:rPr>
            </w:pPr>
            <w:r>
              <w:rPr>
                <w:rFonts w:ascii="Arial" w:cs="Arial" w:eastAsia="Arial" w:hAnsi="Arial"/>
                <w:sz w:val="14"/>
                <w:szCs w:val="14"/>
                <w:b w:val="1"/>
                <w:bCs w:val="1"/>
                <w:color w:val="auto"/>
                <w:w w:val="86"/>
              </w:rPr>
              <w:t>average</w:t>
            </w:r>
          </w:p>
        </w:tc>
        <w:tc>
          <w:tcPr>
            <w:tcW w:w="0" w:type="dxa"/>
            <w:vAlign w:val="bottom"/>
          </w:tcPr>
          <w:p>
            <w:pPr>
              <w:spacing w:after="0"/>
              <w:rPr>
                <w:sz w:val="1"/>
                <w:szCs w:val="1"/>
                <w:color w:val="auto"/>
              </w:rPr>
            </w:pPr>
          </w:p>
        </w:tc>
      </w:tr>
      <w:tr>
        <w:trPr>
          <w:trHeight w:val="161"/>
        </w:trPr>
        <w:tc>
          <w:tcPr>
            <w:tcW w:w="2880" w:type="dxa"/>
            <w:vAlign w:val="bottom"/>
          </w:tcPr>
          <w:p>
            <w:pPr>
              <w:spacing w:after="0"/>
              <w:rPr>
                <w:sz w:val="14"/>
                <w:szCs w:val="14"/>
                <w:color w:val="auto"/>
              </w:rPr>
            </w:pPr>
          </w:p>
        </w:tc>
        <w:tc>
          <w:tcPr>
            <w:tcW w:w="740" w:type="dxa"/>
            <w:vAlign w:val="bottom"/>
            <w:tcBorders>
              <w:bottom w:val="single" w:sz="8" w:color="auto"/>
            </w:tcBorders>
          </w:tcPr>
          <w:p>
            <w:pPr>
              <w:jc w:val="right"/>
              <w:ind w:right="72"/>
              <w:spacing w:after="0"/>
              <w:rPr>
                <w:sz w:val="20"/>
                <w:szCs w:val="20"/>
                <w:color w:val="auto"/>
              </w:rPr>
            </w:pPr>
            <w:r>
              <w:rPr>
                <w:rFonts w:ascii="Arial" w:cs="Arial" w:eastAsia="Arial" w:hAnsi="Arial"/>
                <w:sz w:val="14"/>
                <w:szCs w:val="14"/>
                <w:b w:val="1"/>
                <w:bCs w:val="1"/>
                <w:color w:val="auto"/>
              </w:rPr>
              <w:t>Options</w:t>
            </w: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60" w:type="dxa"/>
            <w:vAlign w:val="bottom"/>
            <w:tcBorders>
              <w:bottom w:val="single" w:sz="8" w:color="auto"/>
            </w:tcBorders>
            <w:gridSpan w:val="2"/>
          </w:tcPr>
          <w:p>
            <w:pPr>
              <w:jc w:val="center"/>
              <w:spacing w:after="0"/>
              <w:rPr>
                <w:sz w:val="20"/>
                <w:szCs w:val="20"/>
                <w:color w:val="auto"/>
              </w:rPr>
            </w:pPr>
            <w:r>
              <w:rPr>
                <w:rFonts w:ascii="Arial" w:cs="Arial" w:eastAsia="Arial" w:hAnsi="Arial"/>
                <w:sz w:val="14"/>
                <w:szCs w:val="14"/>
                <w:b w:val="1"/>
                <w:bCs w:val="1"/>
                <w:color w:val="auto"/>
                <w:w w:val="83"/>
              </w:rPr>
              <w:t>exercise price</w:t>
            </w:r>
          </w:p>
        </w:tc>
        <w:tc>
          <w:tcPr>
            <w:tcW w:w="160" w:type="dxa"/>
            <w:vAlign w:val="bottom"/>
          </w:tcPr>
          <w:p>
            <w:pPr>
              <w:spacing w:after="0"/>
              <w:rPr>
                <w:sz w:val="14"/>
                <w:szCs w:val="14"/>
                <w:color w:val="auto"/>
              </w:rPr>
            </w:pPr>
          </w:p>
        </w:tc>
        <w:tc>
          <w:tcPr>
            <w:tcW w:w="740" w:type="dxa"/>
            <w:vAlign w:val="bottom"/>
            <w:tcBorders>
              <w:bottom w:val="single" w:sz="8" w:color="auto"/>
            </w:tcBorders>
          </w:tcPr>
          <w:p>
            <w:pPr>
              <w:jc w:val="right"/>
              <w:ind w:right="72"/>
              <w:spacing w:after="0"/>
              <w:rPr>
                <w:sz w:val="20"/>
                <w:szCs w:val="20"/>
                <w:color w:val="auto"/>
              </w:rPr>
            </w:pPr>
            <w:r>
              <w:rPr>
                <w:rFonts w:ascii="Arial" w:cs="Arial" w:eastAsia="Arial" w:hAnsi="Arial"/>
                <w:sz w:val="14"/>
                <w:szCs w:val="14"/>
                <w:b w:val="1"/>
                <w:bCs w:val="1"/>
                <w:color w:val="auto"/>
              </w:rPr>
              <w:t>Options</w:t>
            </w: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80" w:type="dxa"/>
            <w:vAlign w:val="bottom"/>
            <w:tcBorders>
              <w:bottom w:val="single" w:sz="8" w:color="auto"/>
            </w:tcBorders>
            <w:gridSpan w:val="2"/>
          </w:tcPr>
          <w:p>
            <w:pPr>
              <w:jc w:val="center"/>
              <w:spacing w:after="0"/>
              <w:rPr>
                <w:sz w:val="20"/>
                <w:szCs w:val="20"/>
                <w:color w:val="auto"/>
              </w:rPr>
            </w:pPr>
            <w:r>
              <w:rPr>
                <w:rFonts w:ascii="Arial" w:cs="Arial" w:eastAsia="Arial" w:hAnsi="Arial"/>
                <w:sz w:val="14"/>
                <w:szCs w:val="14"/>
                <w:b w:val="1"/>
                <w:bCs w:val="1"/>
                <w:color w:val="auto"/>
                <w:w w:val="83"/>
              </w:rPr>
              <w:t>exercise price</w:t>
            </w:r>
          </w:p>
        </w:tc>
        <w:tc>
          <w:tcPr>
            <w:tcW w:w="160" w:type="dxa"/>
            <w:vAlign w:val="bottom"/>
          </w:tcPr>
          <w:p>
            <w:pPr>
              <w:spacing w:after="0"/>
              <w:rPr>
                <w:sz w:val="14"/>
                <w:szCs w:val="14"/>
                <w:color w:val="auto"/>
              </w:rPr>
            </w:pPr>
          </w:p>
        </w:tc>
        <w:tc>
          <w:tcPr>
            <w:tcW w:w="680" w:type="dxa"/>
            <w:vAlign w:val="bottom"/>
            <w:tcBorders>
              <w:bottom w:val="single" w:sz="8" w:color="auto"/>
            </w:tcBorders>
          </w:tcPr>
          <w:p>
            <w:pPr>
              <w:jc w:val="right"/>
              <w:ind w:right="52"/>
              <w:spacing w:after="0"/>
              <w:rPr>
                <w:sz w:val="20"/>
                <w:szCs w:val="20"/>
                <w:color w:val="auto"/>
              </w:rPr>
            </w:pPr>
            <w:r>
              <w:rPr>
                <w:rFonts w:ascii="Arial" w:cs="Arial" w:eastAsia="Arial" w:hAnsi="Arial"/>
                <w:sz w:val="14"/>
                <w:szCs w:val="14"/>
                <w:b w:val="1"/>
                <w:bCs w:val="1"/>
                <w:color w:val="auto"/>
              </w:rPr>
              <w:t>Options</w:t>
            </w: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80" w:type="dxa"/>
            <w:vAlign w:val="bottom"/>
            <w:tcBorders>
              <w:bottom w:val="single" w:sz="8" w:color="auto"/>
            </w:tcBorders>
            <w:gridSpan w:val="2"/>
          </w:tcPr>
          <w:p>
            <w:pPr>
              <w:jc w:val="center"/>
              <w:spacing w:after="0"/>
              <w:rPr>
                <w:sz w:val="20"/>
                <w:szCs w:val="20"/>
                <w:color w:val="auto"/>
              </w:rPr>
            </w:pPr>
            <w:r>
              <w:rPr>
                <w:rFonts w:ascii="Arial" w:cs="Arial" w:eastAsia="Arial" w:hAnsi="Arial"/>
                <w:sz w:val="14"/>
                <w:szCs w:val="14"/>
                <w:b w:val="1"/>
                <w:bCs w:val="1"/>
                <w:color w:val="auto"/>
                <w:w w:val="83"/>
              </w:rPr>
              <w:t>exercise price</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880" w:type="dxa"/>
            <w:vAlign w:val="bottom"/>
            <w:shd w:val="clear" w:color="auto" w:fill="CCEEFF"/>
          </w:tcPr>
          <w:p>
            <w:pPr>
              <w:ind w:left="420"/>
              <w:spacing w:after="0" w:line="142" w:lineRule="exact"/>
              <w:rPr>
                <w:sz w:val="20"/>
                <w:szCs w:val="20"/>
                <w:color w:val="auto"/>
              </w:rPr>
            </w:pPr>
            <w:r>
              <w:rPr>
                <w:rFonts w:ascii="Arial" w:cs="Arial" w:eastAsia="Arial" w:hAnsi="Arial"/>
                <w:sz w:val="14"/>
                <w:szCs w:val="14"/>
                <w:color w:val="auto"/>
              </w:rPr>
              <w:t>Outstanding, beginning of year</w:t>
            </w:r>
          </w:p>
        </w:tc>
        <w:tc>
          <w:tcPr>
            <w:tcW w:w="74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4,752,440</w:t>
            </w:r>
          </w:p>
        </w:tc>
        <w:tc>
          <w:tcPr>
            <w:tcW w:w="80" w:type="dxa"/>
            <w:vAlign w:val="bottom"/>
            <w:shd w:val="clear" w:color="auto" w:fill="CCEEFF"/>
          </w:tcPr>
          <w:p>
            <w:pPr>
              <w:spacing w:after="0"/>
              <w:rPr>
                <w:sz w:val="12"/>
                <w:szCs w:val="12"/>
                <w:color w:val="auto"/>
              </w:rPr>
            </w:pPr>
          </w:p>
        </w:tc>
        <w:tc>
          <w:tcPr>
            <w:tcW w:w="320" w:type="dxa"/>
            <w:vAlign w:val="bottom"/>
            <w:gridSpan w:val="2"/>
            <w:shd w:val="clear" w:color="auto" w:fill="CCEEFF"/>
          </w:tcPr>
          <w:p>
            <w:pPr>
              <w:jc w:val="center"/>
              <w:spacing w:after="0" w:line="142" w:lineRule="exact"/>
              <w:rPr>
                <w:sz w:val="20"/>
                <w:szCs w:val="20"/>
                <w:color w:val="auto"/>
              </w:rPr>
            </w:pPr>
            <w:r>
              <w:rPr>
                <w:rFonts w:ascii="Arial" w:cs="Arial" w:eastAsia="Arial" w:hAnsi="Arial"/>
                <w:sz w:val="14"/>
                <w:szCs w:val="14"/>
                <w:color w:val="auto"/>
                <w:w w:val="89"/>
              </w:rPr>
              <w:t>C$</w:t>
            </w:r>
          </w:p>
        </w:tc>
        <w:tc>
          <w:tcPr>
            <w:tcW w:w="84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44.57</w:t>
            </w:r>
          </w:p>
        </w:tc>
        <w:tc>
          <w:tcPr>
            <w:tcW w:w="90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3,609,924</w:t>
            </w:r>
          </w:p>
        </w:tc>
        <w:tc>
          <w:tcPr>
            <w:tcW w:w="80" w:type="dxa"/>
            <w:vAlign w:val="bottom"/>
            <w:shd w:val="clear" w:color="auto" w:fill="CCEEFF"/>
          </w:tcPr>
          <w:p>
            <w:pPr>
              <w:spacing w:after="0"/>
              <w:rPr>
                <w:sz w:val="12"/>
                <w:szCs w:val="12"/>
                <w:color w:val="auto"/>
              </w:rPr>
            </w:pPr>
          </w:p>
        </w:tc>
        <w:tc>
          <w:tcPr>
            <w:tcW w:w="320" w:type="dxa"/>
            <w:vAlign w:val="bottom"/>
            <w:gridSpan w:val="2"/>
            <w:shd w:val="clear" w:color="auto" w:fill="CCEEFF"/>
          </w:tcPr>
          <w:p>
            <w:pPr>
              <w:jc w:val="center"/>
              <w:spacing w:after="0" w:line="142" w:lineRule="exact"/>
              <w:rPr>
                <w:sz w:val="20"/>
                <w:szCs w:val="20"/>
                <w:color w:val="auto"/>
              </w:rPr>
            </w:pPr>
            <w:r>
              <w:rPr>
                <w:rFonts w:ascii="Arial" w:cs="Arial" w:eastAsia="Arial" w:hAnsi="Arial"/>
                <w:sz w:val="14"/>
                <w:szCs w:val="14"/>
                <w:color w:val="auto"/>
                <w:w w:val="89"/>
              </w:rPr>
              <w:t>C$</w:t>
            </w:r>
          </w:p>
        </w:tc>
        <w:tc>
          <w:tcPr>
            <w:tcW w:w="84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30.34</w:t>
            </w:r>
          </w:p>
        </w:tc>
        <w:tc>
          <w:tcPr>
            <w:tcW w:w="84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2,478,790</w:t>
            </w:r>
          </w:p>
        </w:tc>
        <w:tc>
          <w:tcPr>
            <w:tcW w:w="80" w:type="dxa"/>
            <w:vAlign w:val="bottom"/>
            <w:shd w:val="clear" w:color="auto" w:fill="CCEEFF"/>
          </w:tcPr>
          <w:p>
            <w:pPr>
              <w:spacing w:after="0"/>
              <w:rPr>
                <w:sz w:val="12"/>
                <w:szCs w:val="12"/>
                <w:color w:val="auto"/>
              </w:rPr>
            </w:pPr>
          </w:p>
        </w:tc>
        <w:tc>
          <w:tcPr>
            <w:tcW w:w="320" w:type="dxa"/>
            <w:vAlign w:val="bottom"/>
            <w:gridSpan w:val="2"/>
            <w:shd w:val="clear" w:color="auto" w:fill="CCEEFF"/>
          </w:tcPr>
          <w:p>
            <w:pPr>
              <w:ind w:left="80"/>
              <w:spacing w:after="0" w:line="142" w:lineRule="exact"/>
              <w:rPr>
                <w:sz w:val="20"/>
                <w:szCs w:val="20"/>
                <w:color w:val="auto"/>
              </w:rPr>
            </w:pPr>
            <w:r>
              <w:rPr>
                <w:rFonts w:ascii="Arial" w:cs="Arial" w:eastAsia="Arial" w:hAnsi="Arial"/>
                <w:sz w:val="14"/>
                <w:szCs w:val="14"/>
                <w:color w:val="auto"/>
              </w:rPr>
              <w:t>C$</w:t>
            </w:r>
          </w:p>
        </w:tc>
        <w:tc>
          <w:tcPr>
            <w:tcW w:w="84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19.55</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880" w:type="dxa"/>
            <w:vAlign w:val="bottom"/>
          </w:tcPr>
          <w:p>
            <w:pPr>
              <w:ind w:left="420"/>
              <w:spacing w:after="0" w:line="149" w:lineRule="exact"/>
              <w:rPr>
                <w:sz w:val="20"/>
                <w:szCs w:val="20"/>
                <w:color w:val="auto"/>
              </w:rPr>
            </w:pPr>
            <w:r>
              <w:rPr>
                <w:rFonts w:ascii="Arial" w:cs="Arial" w:eastAsia="Arial" w:hAnsi="Arial"/>
                <w:sz w:val="14"/>
                <w:szCs w:val="14"/>
                <w:color w:val="auto"/>
              </w:rPr>
              <w:t>Granted</w:t>
            </w:r>
          </w:p>
        </w:tc>
        <w:tc>
          <w:tcPr>
            <w:tcW w:w="740" w:type="dxa"/>
            <w:vAlign w:val="bottom"/>
          </w:tcPr>
          <w:p>
            <w:pPr>
              <w:jc w:val="right"/>
              <w:spacing w:after="0" w:line="149" w:lineRule="exact"/>
              <w:rPr>
                <w:sz w:val="20"/>
                <w:szCs w:val="20"/>
                <w:color w:val="auto"/>
              </w:rPr>
            </w:pPr>
            <w:r>
              <w:rPr>
                <w:rFonts w:ascii="Arial" w:cs="Arial" w:eastAsia="Arial" w:hAnsi="Arial"/>
                <w:sz w:val="14"/>
                <w:szCs w:val="14"/>
                <w:color w:val="auto"/>
              </w:rPr>
              <w:t>2,276,000</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62.65</w:t>
            </w:r>
          </w:p>
        </w:tc>
        <w:tc>
          <w:tcPr>
            <w:tcW w:w="90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2,549,400</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54.84</w:t>
            </w:r>
          </w:p>
        </w:tc>
        <w:tc>
          <w:tcPr>
            <w:tcW w:w="84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1,706,250</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41.74</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88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Exercised</w:t>
            </w:r>
          </w:p>
        </w:tc>
        <w:tc>
          <w:tcPr>
            <w:tcW w:w="82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(1,238,000)</w:t>
            </w:r>
          </w:p>
        </w:tc>
        <w:tc>
          <w:tcPr>
            <w:tcW w:w="1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34.28</w:t>
            </w:r>
          </w:p>
        </w:tc>
        <w:tc>
          <w:tcPr>
            <w:tcW w:w="980" w:type="dxa"/>
            <w:vAlign w:val="bottom"/>
            <w:gridSpan w:val="3"/>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(1,340,484)</w:t>
            </w:r>
          </w:p>
        </w:tc>
        <w:tc>
          <w:tcPr>
            <w:tcW w:w="8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25.46</w:t>
            </w:r>
          </w:p>
        </w:tc>
        <w:tc>
          <w:tcPr>
            <w:tcW w:w="920" w:type="dxa"/>
            <w:vAlign w:val="bottom"/>
            <w:gridSpan w:val="3"/>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(536,116)</w:t>
            </w:r>
          </w:p>
        </w:tc>
        <w:tc>
          <w:tcPr>
            <w:tcW w:w="8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17.56</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2880" w:type="dxa"/>
            <w:vAlign w:val="bottom"/>
          </w:tcPr>
          <w:p>
            <w:pPr>
              <w:ind w:left="420"/>
              <w:spacing w:after="0"/>
              <w:rPr>
                <w:sz w:val="20"/>
                <w:szCs w:val="20"/>
                <w:color w:val="auto"/>
              </w:rPr>
            </w:pPr>
            <w:r>
              <w:rPr>
                <w:rFonts w:ascii="Arial" w:cs="Arial" w:eastAsia="Arial" w:hAnsi="Arial"/>
                <w:sz w:val="14"/>
                <w:szCs w:val="14"/>
                <w:color w:val="auto"/>
              </w:rPr>
              <w:t>Cancelled</w:t>
            </w:r>
          </w:p>
        </w:tc>
        <w:tc>
          <w:tcPr>
            <w:tcW w:w="820" w:type="dxa"/>
            <w:vAlign w:val="bottom"/>
            <w:gridSpan w:val="2"/>
          </w:tcPr>
          <w:p>
            <w:pPr>
              <w:jc w:val="right"/>
              <w:ind w:right="40"/>
              <w:spacing w:after="0"/>
              <w:rPr>
                <w:sz w:val="20"/>
                <w:szCs w:val="20"/>
                <w:color w:val="auto"/>
              </w:rPr>
            </w:pPr>
            <w:r>
              <w:rPr>
                <w:rFonts w:ascii="Arial" w:cs="Arial" w:eastAsia="Arial" w:hAnsi="Arial"/>
                <w:sz w:val="14"/>
                <w:szCs w:val="14"/>
                <w:color w:val="auto"/>
              </w:rPr>
              <w:t>(82,500)</w:t>
            </w:r>
          </w:p>
        </w:tc>
        <w:tc>
          <w:tcPr>
            <w:tcW w:w="10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840" w:type="dxa"/>
            <w:vAlign w:val="bottom"/>
          </w:tcPr>
          <w:p>
            <w:pPr>
              <w:jc w:val="right"/>
              <w:spacing w:after="0"/>
              <w:rPr>
                <w:sz w:val="20"/>
                <w:szCs w:val="20"/>
                <w:color w:val="auto"/>
              </w:rPr>
            </w:pPr>
            <w:r>
              <w:rPr>
                <w:rFonts w:ascii="Arial" w:cs="Arial" w:eastAsia="Arial" w:hAnsi="Arial"/>
                <w:sz w:val="14"/>
                <w:szCs w:val="14"/>
                <w:color w:val="auto"/>
              </w:rPr>
              <w:t>55.99</w:t>
            </w:r>
          </w:p>
        </w:tc>
        <w:tc>
          <w:tcPr>
            <w:tcW w:w="980" w:type="dxa"/>
            <w:vAlign w:val="bottom"/>
            <w:gridSpan w:val="3"/>
          </w:tcPr>
          <w:p>
            <w:pPr>
              <w:jc w:val="right"/>
              <w:ind w:right="40"/>
              <w:spacing w:after="0"/>
              <w:rPr>
                <w:sz w:val="20"/>
                <w:szCs w:val="20"/>
                <w:color w:val="auto"/>
              </w:rPr>
            </w:pPr>
            <w:r>
              <w:rPr>
                <w:rFonts w:ascii="Arial" w:cs="Arial" w:eastAsia="Arial" w:hAnsi="Arial"/>
                <w:sz w:val="14"/>
                <w:szCs w:val="14"/>
                <w:color w:val="auto"/>
              </w:rPr>
              <w:t>(66,400)</w:t>
            </w:r>
          </w:p>
        </w:tc>
        <w:tc>
          <w:tcPr>
            <w:tcW w:w="8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840" w:type="dxa"/>
            <w:vAlign w:val="bottom"/>
          </w:tcPr>
          <w:p>
            <w:pPr>
              <w:jc w:val="right"/>
              <w:spacing w:after="0"/>
              <w:rPr>
                <w:sz w:val="20"/>
                <w:szCs w:val="20"/>
                <w:color w:val="auto"/>
              </w:rPr>
            </w:pPr>
            <w:r>
              <w:rPr>
                <w:rFonts w:ascii="Arial" w:cs="Arial" w:eastAsia="Arial" w:hAnsi="Arial"/>
                <w:sz w:val="14"/>
                <w:szCs w:val="14"/>
                <w:color w:val="auto"/>
              </w:rPr>
              <w:t>51.32</w:t>
            </w:r>
          </w:p>
        </w:tc>
        <w:tc>
          <w:tcPr>
            <w:tcW w:w="920" w:type="dxa"/>
            <w:vAlign w:val="bottom"/>
            <w:gridSpan w:val="3"/>
          </w:tcPr>
          <w:p>
            <w:pPr>
              <w:jc w:val="right"/>
              <w:ind w:right="40"/>
              <w:spacing w:after="0"/>
              <w:rPr>
                <w:sz w:val="20"/>
                <w:szCs w:val="20"/>
                <w:color w:val="auto"/>
              </w:rPr>
            </w:pPr>
            <w:r>
              <w:rPr>
                <w:rFonts w:ascii="Arial" w:cs="Arial" w:eastAsia="Arial" w:hAnsi="Arial"/>
                <w:sz w:val="14"/>
                <w:szCs w:val="14"/>
                <w:color w:val="auto"/>
              </w:rPr>
              <w:t>(39,000)</w:t>
            </w:r>
          </w:p>
        </w:tc>
        <w:tc>
          <w:tcPr>
            <w:tcW w:w="8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840" w:type="dxa"/>
            <w:vAlign w:val="bottom"/>
          </w:tcPr>
          <w:p>
            <w:pPr>
              <w:jc w:val="right"/>
              <w:spacing w:after="0"/>
              <w:rPr>
                <w:sz w:val="20"/>
                <w:szCs w:val="20"/>
                <w:color w:val="auto"/>
              </w:rPr>
            </w:pPr>
            <w:r>
              <w:rPr>
                <w:rFonts w:ascii="Arial" w:cs="Arial" w:eastAsia="Arial" w:hAnsi="Arial"/>
                <w:sz w:val="14"/>
                <w:szCs w:val="14"/>
                <w:color w:val="auto"/>
              </w:rPr>
              <w:t>19.16</w:t>
            </w: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2880" w:type="dxa"/>
            <w:vAlign w:val="bottom"/>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4"/>
        </w:trPr>
        <w:tc>
          <w:tcPr>
            <w:tcW w:w="2880" w:type="dxa"/>
            <w:vAlign w:val="bottom"/>
            <w:shd w:val="clear" w:color="auto" w:fill="CCEEFF"/>
          </w:tcPr>
          <w:p>
            <w:pPr>
              <w:ind w:left="420"/>
              <w:spacing w:after="0" w:line="144" w:lineRule="exact"/>
              <w:rPr>
                <w:sz w:val="20"/>
                <w:szCs w:val="20"/>
                <w:color w:val="auto"/>
              </w:rPr>
            </w:pPr>
            <w:r>
              <w:rPr>
                <w:rFonts w:ascii="Arial" w:cs="Arial" w:eastAsia="Arial" w:hAnsi="Arial"/>
                <w:sz w:val="14"/>
                <w:szCs w:val="14"/>
                <w:color w:val="auto"/>
              </w:rPr>
              <w:t>Outstanding, end of year</w:t>
            </w:r>
          </w:p>
        </w:tc>
        <w:tc>
          <w:tcPr>
            <w:tcW w:w="74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5,707,940</w:t>
            </w:r>
          </w:p>
        </w:tc>
        <w:tc>
          <w:tcPr>
            <w:tcW w:w="80" w:type="dxa"/>
            <w:vAlign w:val="bottom"/>
            <w:shd w:val="clear" w:color="auto" w:fill="CCEEFF"/>
          </w:tcPr>
          <w:p>
            <w:pPr>
              <w:spacing w:after="0"/>
              <w:rPr>
                <w:sz w:val="12"/>
                <w:szCs w:val="12"/>
                <w:color w:val="auto"/>
              </w:rPr>
            </w:pPr>
          </w:p>
        </w:tc>
        <w:tc>
          <w:tcPr>
            <w:tcW w:w="320" w:type="dxa"/>
            <w:vAlign w:val="bottom"/>
            <w:gridSpan w:val="2"/>
            <w:shd w:val="clear" w:color="auto" w:fill="CCEEFF"/>
          </w:tcPr>
          <w:p>
            <w:pPr>
              <w:jc w:val="center"/>
              <w:spacing w:after="0" w:line="144" w:lineRule="exact"/>
              <w:rPr>
                <w:sz w:val="20"/>
                <w:szCs w:val="20"/>
                <w:color w:val="auto"/>
              </w:rPr>
            </w:pPr>
            <w:r>
              <w:rPr>
                <w:rFonts w:ascii="Arial" w:cs="Arial" w:eastAsia="Arial" w:hAnsi="Arial"/>
                <w:sz w:val="14"/>
                <w:szCs w:val="14"/>
                <w:color w:val="auto"/>
                <w:w w:val="89"/>
              </w:rPr>
              <w:t>C$</w:t>
            </w:r>
          </w:p>
        </w:tc>
        <w:tc>
          <w:tcPr>
            <w:tcW w:w="84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53.85</w:t>
            </w:r>
          </w:p>
        </w:tc>
        <w:tc>
          <w:tcPr>
            <w:tcW w:w="90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rPr>
              <w:t>4,752,440</w:t>
            </w:r>
          </w:p>
        </w:tc>
        <w:tc>
          <w:tcPr>
            <w:tcW w:w="80" w:type="dxa"/>
            <w:vAlign w:val="bottom"/>
            <w:shd w:val="clear" w:color="auto" w:fill="CCEEFF"/>
          </w:tcPr>
          <w:p>
            <w:pPr>
              <w:spacing w:after="0"/>
              <w:rPr>
                <w:sz w:val="12"/>
                <w:szCs w:val="12"/>
                <w:color w:val="auto"/>
              </w:rPr>
            </w:pPr>
          </w:p>
        </w:tc>
        <w:tc>
          <w:tcPr>
            <w:tcW w:w="320" w:type="dxa"/>
            <w:vAlign w:val="bottom"/>
            <w:gridSpan w:val="2"/>
            <w:shd w:val="clear" w:color="auto" w:fill="CCEEFF"/>
          </w:tcPr>
          <w:p>
            <w:pPr>
              <w:jc w:val="center"/>
              <w:spacing w:after="0" w:line="144" w:lineRule="exact"/>
              <w:rPr>
                <w:sz w:val="20"/>
                <w:szCs w:val="20"/>
                <w:color w:val="auto"/>
              </w:rPr>
            </w:pPr>
            <w:r>
              <w:rPr>
                <w:rFonts w:ascii="Arial" w:cs="Arial" w:eastAsia="Arial" w:hAnsi="Arial"/>
                <w:sz w:val="14"/>
                <w:szCs w:val="14"/>
                <w:color w:val="auto"/>
                <w:w w:val="89"/>
              </w:rPr>
              <w:t>C$</w:t>
            </w:r>
          </w:p>
        </w:tc>
        <w:tc>
          <w:tcPr>
            <w:tcW w:w="84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44.57</w:t>
            </w:r>
          </w:p>
        </w:tc>
        <w:tc>
          <w:tcPr>
            <w:tcW w:w="84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rPr>
              <w:t>3,609,924</w:t>
            </w:r>
          </w:p>
        </w:tc>
        <w:tc>
          <w:tcPr>
            <w:tcW w:w="80" w:type="dxa"/>
            <w:vAlign w:val="bottom"/>
            <w:shd w:val="clear" w:color="auto" w:fill="CCEEFF"/>
          </w:tcPr>
          <w:p>
            <w:pPr>
              <w:spacing w:after="0"/>
              <w:rPr>
                <w:sz w:val="12"/>
                <w:szCs w:val="12"/>
                <w:color w:val="auto"/>
              </w:rPr>
            </w:pPr>
          </w:p>
        </w:tc>
        <w:tc>
          <w:tcPr>
            <w:tcW w:w="320" w:type="dxa"/>
            <w:vAlign w:val="bottom"/>
            <w:gridSpan w:val="2"/>
            <w:shd w:val="clear" w:color="auto" w:fill="CCEEFF"/>
          </w:tcPr>
          <w:p>
            <w:pPr>
              <w:ind w:left="80"/>
              <w:spacing w:after="0" w:line="144" w:lineRule="exact"/>
              <w:rPr>
                <w:sz w:val="20"/>
                <w:szCs w:val="20"/>
                <w:color w:val="auto"/>
              </w:rPr>
            </w:pPr>
            <w:r>
              <w:rPr>
                <w:rFonts w:ascii="Arial" w:cs="Arial" w:eastAsia="Arial" w:hAnsi="Arial"/>
                <w:sz w:val="14"/>
                <w:szCs w:val="14"/>
                <w:color w:val="auto"/>
              </w:rPr>
              <w:t>C$</w:t>
            </w:r>
          </w:p>
        </w:tc>
        <w:tc>
          <w:tcPr>
            <w:tcW w:w="84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30.34</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7"/>
        </w:trPr>
        <w:tc>
          <w:tcPr>
            <w:tcW w:w="2880" w:type="dxa"/>
            <w:vAlign w:val="bottom"/>
            <w:vMerge w:val="restart"/>
          </w:tcPr>
          <w:p>
            <w:pPr>
              <w:ind w:left="420"/>
              <w:spacing w:after="0"/>
              <w:rPr>
                <w:sz w:val="20"/>
                <w:szCs w:val="20"/>
                <w:color w:val="auto"/>
              </w:rPr>
            </w:pPr>
            <w:r>
              <w:rPr>
                <w:rFonts w:ascii="Arial" w:cs="Arial" w:eastAsia="Arial" w:hAnsi="Arial"/>
                <w:sz w:val="14"/>
                <w:szCs w:val="14"/>
                <w:color w:val="auto"/>
              </w:rPr>
              <w:t>Options exercisable at end of year</w:t>
            </w:r>
          </w:p>
        </w:tc>
        <w:tc>
          <w:tcPr>
            <w:tcW w:w="74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68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2880" w:type="dxa"/>
            <w:vAlign w:val="bottom"/>
            <w:vMerge w:val="continue"/>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90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84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4"/>
        </w:trPr>
        <w:tc>
          <w:tcPr>
            <w:tcW w:w="2880" w:type="dxa"/>
            <w:vAlign w:val="bottom"/>
            <w:vMerge w:val="continue"/>
          </w:tcPr>
          <w:p>
            <w:pPr>
              <w:spacing w:after="0"/>
              <w:rPr>
                <w:sz w:val="13"/>
                <w:szCs w:val="13"/>
                <w:color w:val="auto"/>
              </w:rPr>
            </w:pPr>
          </w:p>
        </w:tc>
        <w:tc>
          <w:tcPr>
            <w:tcW w:w="74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rPr>
              <w:t>2,445,615</w:t>
            </w:r>
          </w:p>
        </w:tc>
        <w:tc>
          <w:tcPr>
            <w:tcW w:w="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220" w:type="dxa"/>
            <w:vAlign w:val="bottom"/>
            <w:tcBorders>
              <w:top w:val="single" w:sz="8" w:color="auto"/>
            </w:tcBorders>
          </w:tcPr>
          <w:p>
            <w:pPr>
              <w:spacing w:after="0"/>
              <w:rPr>
                <w:sz w:val="13"/>
                <w:szCs w:val="13"/>
                <w:color w:val="auto"/>
              </w:rPr>
            </w:pPr>
          </w:p>
        </w:tc>
        <w:tc>
          <w:tcPr>
            <w:tcW w:w="840" w:type="dxa"/>
            <w:vAlign w:val="bottom"/>
            <w:tcBorders>
              <w:top w:val="single" w:sz="8" w:color="auto"/>
            </w:tcBorders>
          </w:tcPr>
          <w:p>
            <w:pPr>
              <w:spacing w:after="0"/>
              <w:rPr>
                <w:sz w:val="13"/>
                <w:szCs w:val="13"/>
                <w:color w:val="auto"/>
              </w:rPr>
            </w:pPr>
          </w:p>
        </w:tc>
        <w:tc>
          <w:tcPr>
            <w:tcW w:w="160" w:type="dxa"/>
            <w:vAlign w:val="bottom"/>
          </w:tcPr>
          <w:p>
            <w:pPr>
              <w:spacing w:after="0"/>
              <w:rPr>
                <w:sz w:val="13"/>
                <w:szCs w:val="13"/>
                <w:color w:val="auto"/>
              </w:rPr>
            </w:pPr>
          </w:p>
        </w:tc>
        <w:tc>
          <w:tcPr>
            <w:tcW w:w="74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rPr>
              <w:t>1,860,890</w:t>
            </w: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240" w:type="dxa"/>
            <w:vAlign w:val="bottom"/>
            <w:tcBorders>
              <w:top w:val="single" w:sz="8" w:color="auto"/>
            </w:tcBorders>
          </w:tcPr>
          <w:p>
            <w:pPr>
              <w:spacing w:after="0"/>
              <w:rPr>
                <w:sz w:val="13"/>
                <w:szCs w:val="13"/>
                <w:color w:val="auto"/>
              </w:rPr>
            </w:pPr>
          </w:p>
        </w:tc>
        <w:tc>
          <w:tcPr>
            <w:tcW w:w="840" w:type="dxa"/>
            <w:vAlign w:val="bottom"/>
            <w:tcBorders>
              <w:top w:val="single" w:sz="8" w:color="auto"/>
            </w:tcBorders>
          </w:tcPr>
          <w:p>
            <w:pPr>
              <w:spacing w:after="0"/>
              <w:rPr>
                <w:sz w:val="13"/>
                <w:szCs w:val="13"/>
                <w:color w:val="auto"/>
              </w:rPr>
            </w:pPr>
          </w:p>
        </w:tc>
        <w:tc>
          <w:tcPr>
            <w:tcW w:w="160" w:type="dxa"/>
            <w:vAlign w:val="bottom"/>
          </w:tcPr>
          <w:p>
            <w:pPr>
              <w:spacing w:after="0"/>
              <w:rPr>
                <w:sz w:val="13"/>
                <w:szCs w:val="13"/>
                <w:color w:val="auto"/>
              </w:rPr>
            </w:pPr>
          </w:p>
        </w:tc>
        <w:tc>
          <w:tcPr>
            <w:tcW w:w="68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rPr>
              <w:t>1,908,049</w:t>
            </w: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240" w:type="dxa"/>
            <w:vAlign w:val="bottom"/>
            <w:tcBorders>
              <w:top w:val="single" w:sz="8" w:color="auto"/>
            </w:tcBorders>
          </w:tcPr>
          <w:p>
            <w:pPr>
              <w:spacing w:after="0"/>
              <w:rPr>
                <w:sz w:val="13"/>
                <w:szCs w:val="13"/>
                <w:color w:val="auto"/>
              </w:rPr>
            </w:pPr>
          </w:p>
        </w:tc>
        <w:tc>
          <w:tcPr>
            <w:tcW w:w="840" w:type="dxa"/>
            <w:vAlign w:val="bottom"/>
            <w:tcBorders>
              <w:top w:val="single" w:sz="8" w:color="auto"/>
            </w:tcBorders>
          </w:tcPr>
          <w:p>
            <w:pPr>
              <w:spacing w:after="0"/>
              <w:rPr>
                <w:sz w:val="13"/>
                <w:szCs w:val="13"/>
                <w:color w:val="auto"/>
              </w:rPr>
            </w:pPr>
          </w:p>
        </w:tc>
        <w:tc>
          <w:tcPr>
            <w:tcW w:w="1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2880" w:type="dxa"/>
            <w:vAlign w:val="bottom"/>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5" w:lineRule="exact"/>
        <w:rPr>
          <w:sz w:val="20"/>
          <w:szCs w:val="20"/>
          <w:color w:val="auto"/>
        </w:rPr>
      </w:pPr>
    </w:p>
    <w:p>
      <w:pPr>
        <w:ind w:left="1072"/>
        <w:spacing w:after="0"/>
        <w:rPr>
          <w:sz w:val="20"/>
          <w:szCs w:val="20"/>
          <w:color w:val="auto"/>
        </w:rPr>
      </w:pPr>
      <w:r>
        <w:rPr>
          <w:rFonts w:ascii="Arial" w:cs="Arial" w:eastAsia="Arial" w:hAnsi="Arial"/>
          <w:sz w:val="14"/>
          <w:szCs w:val="14"/>
          <w:color w:val="auto"/>
        </w:rPr>
        <w:t>Cash received for options exercised in 2009 was $36.6 million (2008 — $33.6 million; 2007 — $8.8 million).</w:t>
      </w:r>
    </w:p>
    <w:p>
      <w:pPr>
        <w:spacing w:after="0" w:line="204" w:lineRule="exact"/>
        <w:rPr>
          <w:sz w:val="20"/>
          <w:szCs w:val="20"/>
          <w:color w:val="auto"/>
        </w:rPr>
      </w:pPr>
    </w:p>
    <w:p>
      <w:pPr>
        <w:ind w:left="1072"/>
        <w:spacing w:after="0"/>
        <w:rPr>
          <w:sz w:val="20"/>
          <w:szCs w:val="20"/>
          <w:color w:val="auto"/>
        </w:rPr>
      </w:pPr>
      <w:r>
        <w:rPr>
          <w:rFonts w:ascii="Arial" w:cs="Arial" w:eastAsia="Arial" w:hAnsi="Arial"/>
          <w:sz w:val="14"/>
          <w:szCs w:val="14"/>
          <w:color w:val="auto"/>
        </w:rPr>
        <w:t>The total intrinsic value of options exercised in 2009 was C$43.8 million (2008 — C$50.5 million).</w:t>
      </w:r>
    </w:p>
    <w:p>
      <w:pPr>
        <w:spacing w:after="0" w:line="204" w:lineRule="exact"/>
        <w:rPr>
          <w:sz w:val="20"/>
          <w:szCs w:val="20"/>
          <w:color w:val="auto"/>
        </w:rPr>
      </w:pPr>
    </w:p>
    <w:p>
      <w:pPr>
        <w:ind w:left="1072"/>
        <w:spacing w:after="0" w:line="239" w:lineRule="auto"/>
        <w:rPr>
          <w:sz w:val="20"/>
          <w:szCs w:val="20"/>
          <w:color w:val="auto"/>
        </w:rPr>
      </w:pPr>
      <w:r>
        <w:rPr>
          <w:rFonts w:ascii="Arial" w:cs="Arial" w:eastAsia="Arial" w:hAnsi="Arial"/>
          <w:sz w:val="14"/>
          <w:szCs w:val="14"/>
          <w:color w:val="auto"/>
        </w:rPr>
        <w:t>The weighted average grant-date fair value of options granted in 2009 was C$24.52 (2008 — C$16.78; 2007 — C$12.53). The following table summarizes information about Agnico-Eagle's stock options outstanding at December 31, 2009:</w:t>
      </w:r>
    </w:p>
    <w:p>
      <w:pPr>
        <w:spacing w:after="0" w:line="191" w:lineRule="exact"/>
        <w:rPr>
          <w:sz w:val="20"/>
          <w:szCs w:val="20"/>
          <w:color w:val="auto"/>
        </w:rPr>
      </w:pPr>
    </w:p>
    <w:tbl>
      <w:tblPr>
        <w:tblLayout w:type="fixed"/>
        <w:tblInd w:w="1152" w:type="dxa"/>
        <w:tblCellMar>
          <w:top w:w="0" w:type="dxa"/>
          <w:left w:w="0" w:type="dxa"/>
          <w:bottom w:w="0" w:type="dxa"/>
          <w:right w:w="0" w:type="dxa"/>
        </w:tblCellMar>
      </w:tblPr>
      <w:tr>
        <w:trPr>
          <w:trHeight w:val="161"/>
        </w:trPr>
        <w:tc>
          <w:tcPr>
            <w:tcW w:w="420" w:type="dxa"/>
            <w:vAlign w:val="bottom"/>
          </w:tcPr>
          <w:p>
            <w:pPr>
              <w:spacing w:after="0"/>
              <w:rPr>
                <w:sz w:val="14"/>
                <w:szCs w:val="14"/>
                <w:color w:val="auto"/>
              </w:rPr>
            </w:pPr>
          </w:p>
        </w:tc>
        <w:tc>
          <w:tcPr>
            <w:tcW w:w="1540" w:type="dxa"/>
            <w:vAlign w:val="bottom"/>
          </w:tcPr>
          <w:p>
            <w:pPr>
              <w:spacing w:after="0"/>
              <w:rPr>
                <w:sz w:val="14"/>
                <w:szCs w:val="14"/>
                <w:color w:val="auto"/>
              </w:rPr>
            </w:pPr>
          </w:p>
        </w:tc>
        <w:tc>
          <w:tcPr>
            <w:tcW w:w="1300" w:type="dxa"/>
            <w:vAlign w:val="bottom"/>
          </w:tcPr>
          <w:p>
            <w:pPr>
              <w:spacing w:after="0"/>
              <w:rPr>
                <w:sz w:val="14"/>
                <w:szCs w:val="14"/>
                <w:color w:val="auto"/>
              </w:rPr>
            </w:pPr>
          </w:p>
        </w:tc>
        <w:tc>
          <w:tcPr>
            <w:tcW w:w="84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340" w:type="dxa"/>
            <w:vAlign w:val="bottom"/>
            <w:tcBorders>
              <w:bottom w:val="single" w:sz="8" w:color="auto"/>
            </w:tcBorders>
            <w:gridSpan w:val="2"/>
          </w:tcPr>
          <w:p>
            <w:pPr>
              <w:ind w:left="160"/>
              <w:spacing w:after="0"/>
              <w:rPr>
                <w:sz w:val="20"/>
                <w:szCs w:val="20"/>
                <w:color w:val="auto"/>
              </w:rPr>
            </w:pPr>
            <w:r>
              <w:rPr>
                <w:rFonts w:ascii="Arial" w:cs="Arial" w:eastAsia="Arial" w:hAnsi="Arial"/>
                <w:sz w:val="14"/>
                <w:szCs w:val="14"/>
                <w:b w:val="1"/>
                <w:bCs w:val="1"/>
                <w:color w:val="auto"/>
                <w:w w:val="84"/>
              </w:rPr>
              <w:t>Options outstanding</w:t>
            </w:r>
          </w:p>
        </w:tc>
        <w:tc>
          <w:tcPr>
            <w:tcW w:w="86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1820" w:type="dxa"/>
            <w:vAlign w:val="bottom"/>
            <w:tcBorders>
              <w:bottom w:val="single" w:sz="8" w:color="auto"/>
            </w:tcBorders>
            <w:gridSpan w:val="3"/>
          </w:tcPr>
          <w:p>
            <w:pPr>
              <w:ind w:left="500"/>
              <w:spacing w:after="0"/>
              <w:rPr>
                <w:sz w:val="20"/>
                <w:szCs w:val="20"/>
                <w:color w:val="auto"/>
              </w:rPr>
            </w:pPr>
            <w:r>
              <w:rPr>
                <w:rFonts w:ascii="Arial" w:cs="Arial" w:eastAsia="Arial" w:hAnsi="Arial"/>
                <w:sz w:val="14"/>
                <w:szCs w:val="14"/>
                <w:b w:val="1"/>
                <w:bCs w:val="1"/>
                <w:color w:val="auto"/>
                <w:w w:val="97"/>
              </w:rPr>
              <w:t>Options exercisable</w:t>
            </w:r>
          </w:p>
        </w:tc>
        <w:tc>
          <w:tcPr>
            <w:tcW w:w="32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29"/>
        </w:trPr>
        <w:tc>
          <w:tcPr>
            <w:tcW w:w="420" w:type="dxa"/>
            <w:vAlign w:val="bottom"/>
          </w:tcPr>
          <w:p>
            <w:pPr>
              <w:spacing w:after="0"/>
              <w:rPr>
                <w:sz w:val="11"/>
                <w:szCs w:val="11"/>
                <w:color w:val="auto"/>
              </w:rPr>
            </w:pPr>
          </w:p>
        </w:tc>
        <w:tc>
          <w:tcPr>
            <w:tcW w:w="1540" w:type="dxa"/>
            <w:vAlign w:val="bottom"/>
          </w:tcPr>
          <w:p>
            <w:pPr>
              <w:spacing w:after="0"/>
              <w:rPr>
                <w:sz w:val="11"/>
                <w:szCs w:val="11"/>
                <w:color w:val="auto"/>
              </w:rPr>
            </w:pPr>
          </w:p>
        </w:tc>
        <w:tc>
          <w:tcPr>
            <w:tcW w:w="130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340" w:type="dxa"/>
            <w:vAlign w:val="bottom"/>
            <w:gridSpan w:val="2"/>
          </w:tcPr>
          <w:p>
            <w:pPr>
              <w:jc w:val="center"/>
              <w:ind w:right="180"/>
              <w:spacing w:after="0" w:line="129" w:lineRule="exact"/>
              <w:rPr>
                <w:sz w:val="20"/>
                <w:szCs w:val="20"/>
                <w:color w:val="auto"/>
              </w:rPr>
            </w:pPr>
            <w:r>
              <w:rPr>
                <w:rFonts w:ascii="Arial" w:cs="Arial" w:eastAsia="Arial" w:hAnsi="Arial"/>
                <w:sz w:val="14"/>
                <w:szCs w:val="14"/>
                <w:b w:val="1"/>
                <w:bCs w:val="1"/>
                <w:color w:val="auto"/>
                <w:w w:val="86"/>
              </w:rPr>
              <w:t>Weighted average</w:t>
            </w:r>
          </w:p>
        </w:tc>
        <w:tc>
          <w:tcPr>
            <w:tcW w:w="86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420" w:type="dxa"/>
            <w:vAlign w:val="bottom"/>
          </w:tcPr>
          <w:p>
            <w:pPr>
              <w:spacing w:after="0"/>
              <w:rPr>
                <w:sz w:val="12"/>
                <w:szCs w:val="12"/>
                <w:color w:val="auto"/>
              </w:rPr>
            </w:pPr>
          </w:p>
        </w:tc>
        <w:tc>
          <w:tcPr>
            <w:tcW w:w="1540" w:type="dxa"/>
            <w:vAlign w:val="bottom"/>
          </w:tcPr>
          <w:p>
            <w:pPr>
              <w:spacing w:after="0"/>
              <w:rPr>
                <w:sz w:val="12"/>
                <w:szCs w:val="12"/>
                <w:color w:val="auto"/>
              </w:rPr>
            </w:pPr>
          </w:p>
        </w:tc>
        <w:tc>
          <w:tcPr>
            <w:tcW w:w="1300" w:type="dxa"/>
            <w:vAlign w:val="bottom"/>
          </w:tcPr>
          <w:p>
            <w:pPr>
              <w:spacing w:after="0"/>
              <w:rPr>
                <w:sz w:val="12"/>
                <w:szCs w:val="12"/>
                <w:color w:val="auto"/>
              </w:rPr>
            </w:pPr>
          </w:p>
        </w:tc>
        <w:tc>
          <w:tcPr>
            <w:tcW w:w="840" w:type="dxa"/>
            <w:vAlign w:val="bottom"/>
          </w:tcPr>
          <w:p>
            <w:pPr>
              <w:jc w:val="right"/>
              <w:ind w:right="112"/>
              <w:spacing w:after="0" w:line="149" w:lineRule="exact"/>
              <w:rPr>
                <w:sz w:val="20"/>
                <w:szCs w:val="20"/>
                <w:color w:val="auto"/>
              </w:rPr>
            </w:pPr>
            <w:r>
              <w:rPr>
                <w:rFonts w:ascii="Arial" w:cs="Arial" w:eastAsia="Arial" w:hAnsi="Arial"/>
                <w:sz w:val="14"/>
                <w:szCs w:val="14"/>
                <w:b w:val="1"/>
                <w:bCs w:val="1"/>
                <w:color w:val="auto"/>
              </w:rPr>
              <w:t>Number</w:t>
            </w:r>
          </w:p>
        </w:tc>
        <w:tc>
          <w:tcPr>
            <w:tcW w:w="160" w:type="dxa"/>
            <w:vAlign w:val="bottom"/>
          </w:tcPr>
          <w:p>
            <w:pPr>
              <w:spacing w:after="0"/>
              <w:rPr>
                <w:sz w:val="12"/>
                <w:szCs w:val="12"/>
                <w:color w:val="auto"/>
              </w:rPr>
            </w:pPr>
          </w:p>
        </w:tc>
        <w:tc>
          <w:tcPr>
            <w:tcW w:w="134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9"/>
              </w:rPr>
              <w:t>remaining</w:t>
            </w:r>
          </w:p>
        </w:tc>
        <w:tc>
          <w:tcPr>
            <w:tcW w:w="1180" w:type="dxa"/>
            <w:vAlign w:val="bottom"/>
            <w:gridSpan w:val="2"/>
          </w:tcPr>
          <w:p>
            <w:pPr>
              <w:jc w:val="right"/>
              <w:ind w:right="12"/>
              <w:spacing w:after="0" w:line="149" w:lineRule="exact"/>
              <w:rPr>
                <w:sz w:val="20"/>
                <w:szCs w:val="20"/>
                <w:color w:val="auto"/>
              </w:rPr>
            </w:pPr>
            <w:r>
              <w:rPr>
                <w:rFonts w:ascii="Arial" w:cs="Arial" w:eastAsia="Arial" w:hAnsi="Arial"/>
                <w:sz w:val="14"/>
                <w:szCs w:val="14"/>
                <w:b w:val="1"/>
                <w:bCs w:val="1"/>
                <w:color w:val="auto"/>
                <w:w w:val="90"/>
              </w:rPr>
              <w:t>Weighted average</w:t>
            </w:r>
          </w:p>
        </w:tc>
        <w:tc>
          <w:tcPr>
            <w:tcW w:w="160" w:type="dxa"/>
            <w:vAlign w:val="bottom"/>
          </w:tcPr>
          <w:p>
            <w:pPr>
              <w:spacing w:after="0"/>
              <w:rPr>
                <w:sz w:val="12"/>
                <w:szCs w:val="12"/>
                <w:color w:val="auto"/>
              </w:rPr>
            </w:pPr>
          </w:p>
        </w:tc>
        <w:tc>
          <w:tcPr>
            <w:tcW w:w="800" w:type="dxa"/>
            <w:vAlign w:val="bottom"/>
          </w:tcPr>
          <w:p>
            <w:pPr>
              <w:jc w:val="right"/>
              <w:ind w:right="112"/>
              <w:spacing w:after="0" w:line="149" w:lineRule="exact"/>
              <w:rPr>
                <w:sz w:val="20"/>
                <w:szCs w:val="20"/>
                <w:color w:val="auto"/>
              </w:rPr>
            </w:pPr>
            <w:r>
              <w:rPr>
                <w:rFonts w:ascii="Arial" w:cs="Arial" w:eastAsia="Arial" w:hAnsi="Arial"/>
                <w:sz w:val="14"/>
                <w:szCs w:val="14"/>
                <w:b w:val="1"/>
                <w:bCs w:val="1"/>
                <w:color w:val="auto"/>
              </w:rPr>
              <w:t>Number</w:t>
            </w:r>
          </w:p>
        </w:tc>
        <w:tc>
          <w:tcPr>
            <w:tcW w:w="160" w:type="dxa"/>
            <w:vAlign w:val="bottom"/>
          </w:tcPr>
          <w:p>
            <w:pPr>
              <w:spacing w:after="0"/>
              <w:rPr>
                <w:sz w:val="12"/>
                <w:szCs w:val="12"/>
                <w:color w:val="auto"/>
              </w:rPr>
            </w:pPr>
          </w:p>
        </w:tc>
        <w:tc>
          <w:tcPr>
            <w:tcW w:w="1340" w:type="dxa"/>
            <w:vAlign w:val="bottom"/>
            <w:gridSpan w:val="3"/>
          </w:tcPr>
          <w:p>
            <w:pPr>
              <w:ind w:left="60"/>
              <w:spacing w:after="0" w:line="149" w:lineRule="exact"/>
              <w:rPr>
                <w:sz w:val="20"/>
                <w:szCs w:val="20"/>
                <w:color w:val="auto"/>
              </w:rPr>
            </w:pPr>
            <w:r>
              <w:rPr>
                <w:rFonts w:ascii="Arial" w:cs="Arial" w:eastAsia="Arial" w:hAnsi="Arial"/>
                <w:sz w:val="14"/>
                <w:szCs w:val="14"/>
                <w:b w:val="1"/>
                <w:bCs w:val="1"/>
                <w:color w:val="auto"/>
              </w:rPr>
              <w:t>Weighted average</w:t>
            </w:r>
          </w:p>
        </w:tc>
        <w:tc>
          <w:tcPr>
            <w:tcW w:w="0" w:type="dxa"/>
            <w:vAlign w:val="bottom"/>
          </w:tcPr>
          <w:p>
            <w:pPr>
              <w:spacing w:after="0"/>
              <w:rPr>
                <w:sz w:val="1"/>
                <w:szCs w:val="1"/>
                <w:color w:val="auto"/>
              </w:rPr>
            </w:pPr>
          </w:p>
        </w:tc>
      </w:tr>
      <w:tr>
        <w:trPr>
          <w:trHeight w:val="161"/>
        </w:trPr>
        <w:tc>
          <w:tcPr>
            <w:tcW w:w="420" w:type="dxa"/>
            <w:vAlign w:val="bottom"/>
          </w:tcPr>
          <w:p>
            <w:pPr>
              <w:spacing w:after="0"/>
              <w:rPr>
                <w:sz w:val="14"/>
                <w:szCs w:val="14"/>
                <w:color w:val="auto"/>
              </w:rPr>
            </w:pPr>
          </w:p>
        </w:tc>
        <w:tc>
          <w:tcPr>
            <w:tcW w:w="154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w w:val="92"/>
              </w:rPr>
              <w:t>Range of exercise prices</w:t>
            </w:r>
          </w:p>
        </w:tc>
        <w:tc>
          <w:tcPr>
            <w:tcW w:w="1300" w:type="dxa"/>
            <w:vAlign w:val="bottom"/>
          </w:tcPr>
          <w:p>
            <w:pPr>
              <w:spacing w:after="0"/>
              <w:rPr>
                <w:sz w:val="14"/>
                <w:szCs w:val="14"/>
                <w:color w:val="auto"/>
              </w:rPr>
            </w:pPr>
          </w:p>
        </w:tc>
        <w:tc>
          <w:tcPr>
            <w:tcW w:w="840" w:type="dxa"/>
            <w:vAlign w:val="bottom"/>
            <w:tcBorders>
              <w:bottom w:val="single" w:sz="8" w:color="auto"/>
            </w:tcBorders>
          </w:tcPr>
          <w:p>
            <w:pPr>
              <w:jc w:val="right"/>
              <w:ind w:right="12"/>
              <w:spacing w:after="0"/>
              <w:rPr>
                <w:sz w:val="20"/>
                <w:szCs w:val="20"/>
                <w:color w:val="auto"/>
              </w:rPr>
            </w:pPr>
            <w:r>
              <w:rPr>
                <w:rFonts w:ascii="Arial" w:cs="Arial" w:eastAsia="Arial" w:hAnsi="Arial"/>
                <w:sz w:val="14"/>
                <w:szCs w:val="14"/>
                <w:b w:val="1"/>
                <w:bCs w:val="1"/>
                <w:color w:val="auto"/>
                <w:w w:val="92"/>
              </w:rPr>
              <w:t>outstanding</w:t>
            </w:r>
          </w:p>
        </w:tc>
        <w:tc>
          <w:tcPr>
            <w:tcW w:w="160" w:type="dxa"/>
            <w:vAlign w:val="bottom"/>
          </w:tcPr>
          <w:p>
            <w:pPr>
              <w:spacing w:after="0"/>
              <w:rPr>
                <w:sz w:val="14"/>
                <w:szCs w:val="14"/>
                <w:color w:val="auto"/>
              </w:rPr>
            </w:pPr>
          </w:p>
        </w:tc>
        <w:tc>
          <w:tcPr>
            <w:tcW w:w="118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8"/>
              </w:rPr>
              <w:t>contractual life</w:t>
            </w:r>
          </w:p>
        </w:tc>
        <w:tc>
          <w:tcPr>
            <w:tcW w:w="160" w:type="dxa"/>
            <w:vAlign w:val="bottom"/>
          </w:tcPr>
          <w:p>
            <w:pPr>
              <w:spacing w:after="0"/>
              <w:rPr>
                <w:sz w:val="14"/>
                <w:szCs w:val="14"/>
                <w:color w:val="auto"/>
              </w:rPr>
            </w:pPr>
          </w:p>
        </w:tc>
        <w:tc>
          <w:tcPr>
            <w:tcW w:w="1180" w:type="dxa"/>
            <w:vAlign w:val="bottom"/>
            <w:tcBorders>
              <w:bottom w:val="single" w:sz="8" w:color="auto"/>
            </w:tcBorders>
            <w:gridSpan w:val="2"/>
          </w:tcPr>
          <w:p>
            <w:pPr>
              <w:jc w:val="right"/>
              <w:ind w:right="132"/>
              <w:spacing w:after="0"/>
              <w:rPr>
                <w:sz w:val="20"/>
                <w:szCs w:val="20"/>
                <w:color w:val="auto"/>
              </w:rPr>
            </w:pPr>
            <w:r>
              <w:rPr>
                <w:rFonts w:ascii="Arial" w:cs="Arial" w:eastAsia="Arial" w:hAnsi="Arial"/>
                <w:sz w:val="14"/>
                <w:szCs w:val="14"/>
                <w:b w:val="1"/>
                <w:bCs w:val="1"/>
                <w:color w:val="auto"/>
              </w:rPr>
              <w:t>exercise price</w:t>
            </w:r>
          </w:p>
        </w:tc>
        <w:tc>
          <w:tcPr>
            <w:tcW w:w="160" w:type="dxa"/>
            <w:vAlign w:val="bottom"/>
          </w:tcPr>
          <w:p>
            <w:pPr>
              <w:spacing w:after="0"/>
              <w:rPr>
                <w:sz w:val="14"/>
                <w:szCs w:val="14"/>
                <w:color w:val="auto"/>
              </w:rPr>
            </w:pPr>
          </w:p>
        </w:tc>
        <w:tc>
          <w:tcPr>
            <w:tcW w:w="800" w:type="dxa"/>
            <w:vAlign w:val="bottom"/>
            <w:tcBorders>
              <w:bottom w:val="single" w:sz="8" w:color="auto"/>
            </w:tcBorders>
          </w:tcPr>
          <w:p>
            <w:pPr>
              <w:jc w:val="right"/>
              <w:ind w:right="32"/>
              <w:spacing w:after="0"/>
              <w:rPr>
                <w:sz w:val="20"/>
                <w:szCs w:val="20"/>
                <w:color w:val="auto"/>
              </w:rPr>
            </w:pPr>
            <w:r>
              <w:rPr>
                <w:rFonts w:ascii="Arial" w:cs="Arial" w:eastAsia="Arial" w:hAnsi="Arial"/>
                <w:sz w:val="14"/>
                <w:szCs w:val="14"/>
                <w:b w:val="1"/>
                <w:bCs w:val="1"/>
                <w:color w:val="auto"/>
                <w:w w:val="89"/>
              </w:rPr>
              <w:t>exercisable</w:t>
            </w:r>
          </w:p>
        </w:tc>
        <w:tc>
          <w:tcPr>
            <w:tcW w:w="160" w:type="dxa"/>
            <w:vAlign w:val="bottom"/>
          </w:tcPr>
          <w:p>
            <w:pPr>
              <w:spacing w:after="0"/>
              <w:rPr>
                <w:sz w:val="14"/>
                <w:szCs w:val="14"/>
                <w:color w:val="auto"/>
              </w:rPr>
            </w:pPr>
          </w:p>
        </w:tc>
        <w:tc>
          <w:tcPr>
            <w:tcW w:w="1180" w:type="dxa"/>
            <w:vAlign w:val="bottom"/>
            <w:tcBorders>
              <w:bottom w:val="single" w:sz="8" w:color="auto"/>
            </w:tcBorders>
            <w:gridSpan w:val="2"/>
          </w:tcPr>
          <w:p>
            <w:pPr>
              <w:jc w:val="right"/>
              <w:ind w:right="152"/>
              <w:spacing w:after="0"/>
              <w:rPr>
                <w:sz w:val="20"/>
                <w:szCs w:val="20"/>
                <w:color w:val="auto"/>
              </w:rPr>
            </w:pPr>
            <w:r>
              <w:rPr>
                <w:rFonts w:ascii="Arial" w:cs="Arial" w:eastAsia="Arial" w:hAnsi="Arial"/>
                <w:sz w:val="14"/>
                <w:szCs w:val="14"/>
                <w:b w:val="1"/>
                <w:bCs w:val="1"/>
                <w:color w:val="auto"/>
              </w:rPr>
              <w:t>exercise price</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3260" w:type="dxa"/>
            <w:vAlign w:val="bottom"/>
            <w:gridSpan w:val="3"/>
            <w:shd w:val="clear" w:color="auto" w:fill="CCEEFF"/>
          </w:tcPr>
          <w:p>
            <w:pPr>
              <w:ind w:left="420"/>
              <w:spacing w:after="0" w:line="142" w:lineRule="exact"/>
              <w:rPr>
                <w:sz w:val="20"/>
                <w:szCs w:val="20"/>
                <w:color w:val="auto"/>
              </w:rPr>
            </w:pPr>
            <w:r>
              <w:rPr>
                <w:rFonts w:ascii="Arial" w:cs="Arial" w:eastAsia="Arial" w:hAnsi="Arial"/>
                <w:sz w:val="14"/>
                <w:szCs w:val="14"/>
                <w:color w:val="auto"/>
              </w:rPr>
              <w:t>C$7.57 — C$10.40</w:t>
            </w:r>
          </w:p>
        </w:tc>
        <w:tc>
          <w:tcPr>
            <w:tcW w:w="84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60,798</w:t>
            </w:r>
          </w:p>
        </w:tc>
        <w:tc>
          <w:tcPr>
            <w:tcW w:w="160" w:type="dxa"/>
            <w:vAlign w:val="bottom"/>
            <w:shd w:val="clear" w:color="auto" w:fill="CCEEFF"/>
          </w:tcPr>
          <w:p>
            <w:pPr>
              <w:spacing w:after="0"/>
              <w:rPr>
                <w:sz w:val="12"/>
                <w:szCs w:val="12"/>
                <w:color w:val="auto"/>
              </w:rPr>
            </w:pPr>
          </w:p>
        </w:tc>
        <w:tc>
          <w:tcPr>
            <w:tcW w:w="1340" w:type="dxa"/>
            <w:vAlign w:val="bottom"/>
            <w:gridSpan w:val="2"/>
            <w:shd w:val="clear" w:color="auto" w:fill="CCEEFF"/>
          </w:tcPr>
          <w:p>
            <w:pPr>
              <w:ind w:left="680"/>
              <w:spacing w:after="0" w:line="142" w:lineRule="exact"/>
              <w:rPr>
                <w:sz w:val="20"/>
                <w:szCs w:val="20"/>
                <w:color w:val="auto"/>
              </w:rPr>
            </w:pPr>
            <w:r>
              <w:rPr>
                <w:rFonts w:ascii="Arial" w:cs="Arial" w:eastAsia="Arial" w:hAnsi="Arial"/>
                <w:sz w:val="14"/>
                <w:szCs w:val="14"/>
                <w:color w:val="auto"/>
              </w:rPr>
              <w:t>0.2 years</w:t>
            </w:r>
          </w:p>
        </w:tc>
        <w:tc>
          <w:tcPr>
            <w:tcW w:w="860" w:type="dxa"/>
            <w:vAlign w:val="bottom"/>
            <w:shd w:val="clear" w:color="auto" w:fill="CCEEFF"/>
          </w:tcPr>
          <w:p>
            <w:pPr>
              <w:ind w:left="700"/>
              <w:spacing w:after="0" w:line="142" w:lineRule="exact"/>
              <w:rPr>
                <w:sz w:val="20"/>
                <w:szCs w:val="20"/>
                <w:color w:val="auto"/>
              </w:rPr>
            </w:pPr>
            <w:r>
              <w:rPr>
                <w:rFonts w:ascii="Arial" w:cs="Arial" w:eastAsia="Arial" w:hAnsi="Arial"/>
                <w:sz w:val="14"/>
                <w:szCs w:val="14"/>
                <w:color w:val="auto"/>
                <w:w w:val="77"/>
              </w:rPr>
              <w:t>C$</w:t>
            </w:r>
          </w:p>
        </w:tc>
        <w:tc>
          <w:tcPr>
            <w:tcW w:w="3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9.59</w:t>
            </w:r>
          </w:p>
        </w:tc>
        <w:tc>
          <w:tcPr>
            <w:tcW w:w="96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60,798</w:t>
            </w:r>
          </w:p>
        </w:tc>
        <w:tc>
          <w:tcPr>
            <w:tcW w:w="160" w:type="dxa"/>
            <w:vAlign w:val="bottom"/>
            <w:shd w:val="clear" w:color="auto" w:fill="CCEEFF"/>
          </w:tcPr>
          <w:p>
            <w:pPr>
              <w:spacing w:after="0"/>
              <w:rPr>
                <w:sz w:val="12"/>
                <w:szCs w:val="12"/>
                <w:color w:val="auto"/>
              </w:rPr>
            </w:pPr>
          </w:p>
        </w:tc>
        <w:tc>
          <w:tcPr>
            <w:tcW w:w="860" w:type="dxa"/>
            <w:vAlign w:val="bottom"/>
            <w:shd w:val="clear" w:color="auto" w:fill="CCEEFF"/>
          </w:tcPr>
          <w:p>
            <w:pPr>
              <w:ind w:left="700"/>
              <w:spacing w:after="0" w:line="142" w:lineRule="exact"/>
              <w:rPr>
                <w:sz w:val="20"/>
                <w:szCs w:val="20"/>
                <w:color w:val="auto"/>
              </w:rPr>
            </w:pPr>
            <w:r>
              <w:rPr>
                <w:rFonts w:ascii="Arial" w:cs="Arial" w:eastAsia="Arial" w:hAnsi="Arial"/>
                <w:sz w:val="14"/>
                <w:szCs w:val="14"/>
                <w:color w:val="auto"/>
                <w:w w:val="77"/>
              </w:rPr>
              <w:t>C$</w:t>
            </w:r>
          </w:p>
        </w:tc>
        <w:tc>
          <w:tcPr>
            <w:tcW w:w="3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9.59</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3260" w:type="dxa"/>
            <w:vAlign w:val="bottom"/>
            <w:gridSpan w:val="3"/>
          </w:tcPr>
          <w:p>
            <w:pPr>
              <w:ind w:left="420"/>
              <w:spacing w:after="0" w:line="149" w:lineRule="exact"/>
              <w:rPr>
                <w:sz w:val="20"/>
                <w:szCs w:val="20"/>
                <w:color w:val="auto"/>
              </w:rPr>
            </w:pPr>
            <w:r>
              <w:rPr>
                <w:rFonts w:ascii="Arial" w:cs="Arial" w:eastAsia="Arial" w:hAnsi="Arial"/>
                <w:sz w:val="14"/>
                <w:szCs w:val="14"/>
                <w:color w:val="auto"/>
              </w:rPr>
              <w:t>C$15.60 — C$23.02</w:t>
            </w: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274,600</w:t>
            </w:r>
          </w:p>
        </w:tc>
        <w:tc>
          <w:tcPr>
            <w:tcW w:w="160" w:type="dxa"/>
            <w:vAlign w:val="bottom"/>
          </w:tcPr>
          <w:p>
            <w:pPr>
              <w:spacing w:after="0"/>
              <w:rPr>
                <w:sz w:val="12"/>
                <w:szCs w:val="12"/>
                <w:color w:val="auto"/>
              </w:rPr>
            </w:pPr>
          </w:p>
        </w:tc>
        <w:tc>
          <w:tcPr>
            <w:tcW w:w="1340" w:type="dxa"/>
            <w:vAlign w:val="bottom"/>
            <w:gridSpan w:val="2"/>
          </w:tcPr>
          <w:p>
            <w:pPr>
              <w:ind w:left="680"/>
              <w:spacing w:after="0" w:line="149" w:lineRule="exact"/>
              <w:rPr>
                <w:sz w:val="20"/>
                <w:szCs w:val="20"/>
                <w:color w:val="auto"/>
              </w:rPr>
            </w:pPr>
            <w:r>
              <w:rPr>
                <w:rFonts w:ascii="Arial" w:cs="Arial" w:eastAsia="Arial" w:hAnsi="Arial"/>
                <w:sz w:val="14"/>
                <w:szCs w:val="14"/>
                <w:color w:val="auto"/>
              </w:rPr>
              <w:t>1.0 years</w:t>
            </w:r>
          </w:p>
        </w:tc>
        <w:tc>
          <w:tcPr>
            <w:tcW w:w="860" w:type="dxa"/>
            <w:vAlign w:val="bottom"/>
          </w:tcPr>
          <w:p>
            <w:pPr>
              <w:spacing w:after="0"/>
              <w:rPr>
                <w:sz w:val="12"/>
                <w:szCs w:val="12"/>
                <w:color w:val="auto"/>
              </w:rPr>
            </w:pPr>
          </w:p>
        </w:tc>
        <w:tc>
          <w:tcPr>
            <w:tcW w:w="320" w:type="dxa"/>
            <w:vAlign w:val="bottom"/>
          </w:tcPr>
          <w:p>
            <w:pPr>
              <w:jc w:val="right"/>
              <w:spacing w:after="0" w:line="149" w:lineRule="exact"/>
              <w:rPr>
                <w:sz w:val="20"/>
                <w:szCs w:val="20"/>
                <w:color w:val="auto"/>
              </w:rPr>
            </w:pPr>
            <w:r>
              <w:rPr>
                <w:rFonts w:ascii="Arial" w:cs="Arial" w:eastAsia="Arial" w:hAnsi="Arial"/>
                <w:sz w:val="14"/>
                <w:szCs w:val="14"/>
                <w:color w:val="auto"/>
                <w:w w:val="79"/>
              </w:rPr>
              <w:t>22.61</w:t>
            </w:r>
          </w:p>
        </w:tc>
        <w:tc>
          <w:tcPr>
            <w:tcW w:w="96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274,600</w:t>
            </w:r>
          </w:p>
        </w:tc>
        <w:tc>
          <w:tcPr>
            <w:tcW w:w="1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320" w:type="dxa"/>
            <w:vAlign w:val="bottom"/>
          </w:tcPr>
          <w:p>
            <w:pPr>
              <w:jc w:val="right"/>
              <w:spacing w:after="0" w:line="149" w:lineRule="exact"/>
              <w:rPr>
                <w:sz w:val="20"/>
                <w:szCs w:val="20"/>
                <w:color w:val="auto"/>
              </w:rPr>
            </w:pPr>
            <w:r>
              <w:rPr>
                <w:rFonts w:ascii="Arial" w:cs="Arial" w:eastAsia="Arial" w:hAnsi="Arial"/>
                <w:sz w:val="14"/>
                <w:szCs w:val="14"/>
                <w:color w:val="auto"/>
                <w:w w:val="79"/>
              </w:rPr>
              <w:t>22.61</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3260" w:type="dxa"/>
            <w:vAlign w:val="bottom"/>
            <w:gridSpan w:val="3"/>
            <w:shd w:val="clear" w:color="auto" w:fill="CCEEFF"/>
          </w:tcPr>
          <w:p>
            <w:pPr>
              <w:ind w:left="420"/>
              <w:spacing w:after="0" w:line="149" w:lineRule="exact"/>
              <w:rPr>
                <w:sz w:val="20"/>
                <w:szCs w:val="20"/>
                <w:color w:val="auto"/>
              </w:rPr>
            </w:pPr>
            <w:r>
              <w:rPr>
                <w:rFonts w:ascii="Arial" w:cs="Arial" w:eastAsia="Arial" w:hAnsi="Arial"/>
                <w:sz w:val="14"/>
                <w:szCs w:val="14"/>
                <w:color w:val="auto"/>
              </w:rPr>
              <w:t>C$25.62 — C$36.23</w:t>
            </w: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141,207</w:t>
            </w:r>
          </w:p>
        </w:tc>
        <w:tc>
          <w:tcPr>
            <w:tcW w:w="160" w:type="dxa"/>
            <w:vAlign w:val="bottom"/>
            <w:shd w:val="clear" w:color="auto" w:fill="CCEEFF"/>
          </w:tcPr>
          <w:p>
            <w:pPr>
              <w:spacing w:after="0"/>
              <w:rPr>
                <w:sz w:val="12"/>
                <w:szCs w:val="12"/>
                <w:color w:val="auto"/>
              </w:rPr>
            </w:pPr>
          </w:p>
        </w:tc>
        <w:tc>
          <w:tcPr>
            <w:tcW w:w="1340" w:type="dxa"/>
            <w:vAlign w:val="bottom"/>
            <w:gridSpan w:val="2"/>
            <w:shd w:val="clear" w:color="auto" w:fill="CCEEFF"/>
          </w:tcPr>
          <w:p>
            <w:pPr>
              <w:ind w:left="680"/>
              <w:spacing w:after="0" w:line="149" w:lineRule="exact"/>
              <w:rPr>
                <w:sz w:val="20"/>
                <w:szCs w:val="20"/>
                <w:color w:val="auto"/>
              </w:rPr>
            </w:pPr>
            <w:r>
              <w:rPr>
                <w:rFonts w:ascii="Arial" w:cs="Arial" w:eastAsia="Arial" w:hAnsi="Arial"/>
                <w:sz w:val="14"/>
                <w:szCs w:val="14"/>
                <w:color w:val="auto"/>
              </w:rPr>
              <w:t>1.8 years</w:t>
            </w:r>
          </w:p>
        </w:tc>
        <w:tc>
          <w:tcPr>
            <w:tcW w:w="86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9"/>
              </w:rPr>
              <w:t>28.66</w:t>
            </w:r>
          </w:p>
        </w:tc>
        <w:tc>
          <w:tcPr>
            <w:tcW w:w="9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125,257</w:t>
            </w:r>
          </w:p>
        </w:tc>
        <w:tc>
          <w:tcPr>
            <w:tcW w:w="16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9"/>
              </w:rPr>
              <w:t>27.99</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3260" w:type="dxa"/>
            <w:vAlign w:val="bottom"/>
            <w:gridSpan w:val="3"/>
          </w:tcPr>
          <w:p>
            <w:pPr>
              <w:ind w:left="420"/>
              <w:spacing w:after="0" w:line="149" w:lineRule="exact"/>
              <w:rPr>
                <w:sz w:val="20"/>
                <w:szCs w:val="20"/>
                <w:color w:val="auto"/>
              </w:rPr>
            </w:pPr>
            <w:r>
              <w:rPr>
                <w:rFonts w:ascii="Arial" w:cs="Arial" w:eastAsia="Arial" w:hAnsi="Arial"/>
                <w:sz w:val="14"/>
                <w:szCs w:val="14"/>
                <w:color w:val="auto"/>
              </w:rPr>
              <w:t>C$39.18 — C$54.42</w:t>
            </w: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3,013,335</w:t>
            </w:r>
          </w:p>
        </w:tc>
        <w:tc>
          <w:tcPr>
            <w:tcW w:w="160" w:type="dxa"/>
            <w:vAlign w:val="bottom"/>
          </w:tcPr>
          <w:p>
            <w:pPr>
              <w:spacing w:after="0"/>
              <w:rPr>
                <w:sz w:val="12"/>
                <w:szCs w:val="12"/>
                <w:color w:val="auto"/>
              </w:rPr>
            </w:pPr>
          </w:p>
        </w:tc>
        <w:tc>
          <w:tcPr>
            <w:tcW w:w="1340" w:type="dxa"/>
            <w:vAlign w:val="bottom"/>
            <w:gridSpan w:val="2"/>
          </w:tcPr>
          <w:p>
            <w:pPr>
              <w:ind w:left="680"/>
              <w:spacing w:after="0" w:line="149" w:lineRule="exact"/>
              <w:rPr>
                <w:sz w:val="20"/>
                <w:szCs w:val="20"/>
                <w:color w:val="auto"/>
              </w:rPr>
            </w:pPr>
            <w:r>
              <w:rPr>
                <w:rFonts w:ascii="Arial" w:cs="Arial" w:eastAsia="Arial" w:hAnsi="Arial"/>
                <w:sz w:val="14"/>
                <w:szCs w:val="14"/>
                <w:color w:val="auto"/>
              </w:rPr>
              <w:t>2.7 years</w:t>
            </w:r>
          </w:p>
        </w:tc>
        <w:tc>
          <w:tcPr>
            <w:tcW w:w="860" w:type="dxa"/>
            <w:vAlign w:val="bottom"/>
          </w:tcPr>
          <w:p>
            <w:pPr>
              <w:spacing w:after="0"/>
              <w:rPr>
                <w:sz w:val="12"/>
                <w:szCs w:val="12"/>
                <w:color w:val="auto"/>
              </w:rPr>
            </w:pPr>
          </w:p>
        </w:tc>
        <w:tc>
          <w:tcPr>
            <w:tcW w:w="320" w:type="dxa"/>
            <w:vAlign w:val="bottom"/>
          </w:tcPr>
          <w:p>
            <w:pPr>
              <w:jc w:val="right"/>
              <w:spacing w:after="0" w:line="149" w:lineRule="exact"/>
              <w:rPr>
                <w:sz w:val="20"/>
                <w:szCs w:val="20"/>
                <w:color w:val="auto"/>
              </w:rPr>
            </w:pPr>
            <w:r>
              <w:rPr>
                <w:rFonts w:ascii="Arial" w:cs="Arial" w:eastAsia="Arial" w:hAnsi="Arial"/>
                <w:sz w:val="14"/>
                <w:szCs w:val="14"/>
                <w:color w:val="auto"/>
                <w:w w:val="79"/>
              </w:rPr>
              <w:t>52.07</w:t>
            </w:r>
          </w:p>
        </w:tc>
        <w:tc>
          <w:tcPr>
            <w:tcW w:w="96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1,500,210</w:t>
            </w:r>
          </w:p>
        </w:tc>
        <w:tc>
          <w:tcPr>
            <w:tcW w:w="1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320" w:type="dxa"/>
            <w:vAlign w:val="bottom"/>
          </w:tcPr>
          <w:p>
            <w:pPr>
              <w:jc w:val="right"/>
              <w:spacing w:after="0" w:line="149" w:lineRule="exact"/>
              <w:rPr>
                <w:sz w:val="20"/>
                <w:szCs w:val="20"/>
                <w:color w:val="auto"/>
              </w:rPr>
            </w:pPr>
            <w:r>
              <w:rPr>
                <w:rFonts w:ascii="Arial" w:cs="Arial" w:eastAsia="Arial" w:hAnsi="Arial"/>
                <w:sz w:val="14"/>
                <w:szCs w:val="14"/>
                <w:color w:val="auto"/>
                <w:w w:val="79"/>
              </w:rPr>
              <w:t>51.28</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3260" w:type="dxa"/>
            <w:vAlign w:val="bottom"/>
            <w:gridSpan w:val="3"/>
            <w:shd w:val="clear" w:color="auto" w:fill="CCEEFF"/>
          </w:tcPr>
          <w:p>
            <w:pPr>
              <w:ind w:left="420"/>
              <w:spacing w:after="0" w:line="149" w:lineRule="exact"/>
              <w:rPr>
                <w:sz w:val="20"/>
                <w:szCs w:val="20"/>
                <w:color w:val="auto"/>
              </w:rPr>
            </w:pPr>
            <w:r>
              <w:rPr>
                <w:rFonts w:ascii="Arial" w:cs="Arial" w:eastAsia="Arial" w:hAnsi="Arial"/>
                <w:sz w:val="14"/>
                <w:szCs w:val="14"/>
                <w:color w:val="auto"/>
              </w:rPr>
              <w:t>C$62.77 — C$72.41</w:t>
            </w: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2,218,000</w:t>
            </w:r>
          </w:p>
        </w:tc>
        <w:tc>
          <w:tcPr>
            <w:tcW w:w="160" w:type="dxa"/>
            <w:vAlign w:val="bottom"/>
            <w:shd w:val="clear" w:color="auto" w:fill="CCEEFF"/>
          </w:tcPr>
          <w:p>
            <w:pPr>
              <w:spacing w:after="0"/>
              <w:rPr>
                <w:sz w:val="12"/>
                <w:szCs w:val="12"/>
                <w:color w:val="auto"/>
              </w:rPr>
            </w:pPr>
          </w:p>
        </w:tc>
        <w:tc>
          <w:tcPr>
            <w:tcW w:w="1340" w:type="dxa"/>
            <w:vAlign w:val="bottom"/>
            <w:gridSpan w:val="2"/>
            <w:shd w:val="clear" w:color="auto" w:fill="CCEEFF"/>
          </w:tcPr>
          <w:p>
            <w:pPr>
              <w:ind w:left="680"/>
              <w:spacing w:after="0" w:line="149" w:lineRule="exact"/>
              <w:rPr>
                <w:sz w:val="20"/>
                <w:szCs w:val="20"/>
                <w:color w:val="auto"/>
              </w:rPr>
            </w:pPr>
            <w:r>
              <w:rPr>
                <w:rFonts w:ascii="Arial" w:cs="Arial" w:eastAsia="Arial" w:hAnsi="Arial"/>
                <w:sz w:val="14"/>
                <w:szCs w:val="14"/>
                <w:color w:val="auto"/>
              </w:rPr>
              <w:t>4.0 years</w:t>
            </w:r>
          </w:p>
        </w:tc>
        <w:tc>
          <w:tcPr>
            <w:tcW w:w="86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9"/>
              </w:rPr>
              <w:t>62.94</w:t>
            </w:r>
          </w:p>
        </w:tc>
        <w:tc>
          <w:tcPr>
            <w:tcW w:w="9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484,750</w:t>
            </w:r>
          </w:p>
        </w:tc>
        <w:tc>
          <w:tcPr>
            <w:tcW w:w="16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9"/>
              </w:rPr>
              <w:t>63.11</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7"/>
        </w:trPr>
        <w:tc>
          <w:tcPr>
            <w:tcW w:w="3260" w:type="dxa"/>
            <w:vAlign w:val="bottom"/>
            <w:gridSpan w:val="3"/>
            <w:vMerge w:val="restart"/>
          </w:tcPr>
          <w:p>
            <w:pPr>
              <w:ind w:left="420"/>
              <w:spacing w:after="0"/>
              <w:rPr>
                <w:sz w:val="20"/>
                <w:szCs w:val="20"/>
                <w:color w:val="auto"/>
              </w:rPr>
            </w:pPr>
            <w:r>
              <w:rPr>
                <w:rFonts w:ascii="Arial" w:cs="Arial" w:eastAsia="Arial" w:hAnsi="Arial"/>
                <w:sz w:val="14"/>
                <w:szCs w:val="14"/>
                <w:color w:val="auto"/>
              </w:rPr>
              <w:t>C$7.57 — C$72.41</w:t>
            </w:r>
          </w:p>
        </w:tc>
        <w:tc>
          <w:tcPr>
            <w:tcW w:w="840" w:type="dxa"/>
            <w:vAlign w:val="bottom"/>
          </w:tcPr>
          <w:p>
            <w:pPr>
              <w:spacing w:after="0"/>
              <w:rPr>
                <w:sz w:val="2"/>
                <w:szCs w:val="2"/>
                <w:color w:val="auto"/>
              </w:rPr>
            </w:pPr>
          </w:p>
        </w:tc>
        <w:tc>
          <w:tcPr>
            <w:tcW w:w="160" w:type="dxa"/>
            <w:vAlign w:val="bottom"/>
          </w:tcPr>
          <w:p>
            <w:pPr>
              <w:spacing w:after="0"/>
              <w:rPr>
                <w:sz w:val="2"/>
                <w:szCs w:val="2"/>
                <w:color w:val="auto"/>
              </w:rPr>
            </w:pPr>
          </w:p>
        </w:tc>
        <w:tc>
          <w:tcPr>
            <w:tcW w:w="1340" w:type="dxa"/>
            <w:vAlign w:val="bottom"/>
            <w:gridSpan w:val="2"/>
          </w:tcPr>
          <w:p>
            <w:pPr>
              <w:spacing w:after="0"/>
              <w:rPr>
                <w:sz w:val="2"/>
                <w:szCs w:val="2"/>
                <w:color w:val="auto"/>
              </w:rPr>
            </w:pPr>
          </w:p>
        </w:tc>
        <w:tc>
          <w:tcPr>
            <w:tcW w:w="860" w:type="dxa"/>
            <w:vAlign w:val="bottom"/>
          </w:tcPr>
          <w:p>
            <w:pPr>
              <w:spacing w:after="0"/>
              <w:rPr>
                <w:sz w:val="2"/>
                <w:szCs w:val="2"/>
                <w:color w:val="auto"/>
              </w:rPr>
            </w:pPr>
          </w:p>
        </w:tc>
        <w:tc>
          <w:tcPr>
            <w:tcW w:w="320" w:type="dxa"/>
            <w:vAlign w:val="bottom"/>
          </w:tcPr>
          <w:p>
            <w:pPr>
              <w:spacing w:after="0"/>
              <w:rPr>
                <w:sz w:val="2"/>
                <w:szCs w:val="2"/>
                <w:color w:val="auto"/>
              </w:rPr>
            </w:pPr>
          </w:p>
        </w:tc>
        <w:tc>
          <w:tcPr>
            <w:tcW w:w="960" w:type="dxa"/>
            <w:vAlign w:val="bottom"/>
            <w:gridSpan w:val="2"/>
          </w:tcPr>
          <w:p>
            <w:pPr>
              <w:spacing w:after="0"/>
              <w:rPr>
                <w:sz w:val="2"/>
                <w:szCs w:val="2"/>
                <w:color w:val="auto"/>
              </w:rPr>
            </w:pPr>
          </w:p>
        </w:tc>
        <w:tc>
          <w:tcPr>
            <w:tcW w:w="160" w:type="dxa"/>
            <w:vAlign w:val="bottom"/>
          </w:tcPr>
          <w:p>
            <w:pPr>
              <w:spacing w:after="0"/>
              <w:rPr>
                <w:sz w:val="2"/>
                <w:szCs w:val="2"/>
                <w:color w:val="auto"/>
              </w:rPr>
            </w:pPr>
          </w:p>
        </w:tc>
        <w:tc>
          <w:tcPr>
            <w:tcW w:w="860" w:type="dxa"/>
            <w:vAlign w:val="bottom"/>
          </w:tcPr>
          <w:p>
            <w:pPr>
              <w:spacing w:after="0"/>
              <w:rPr>
                <w:sz w:val="2"/>
                <w:szCs w:val="2"/>
                <w:color w:val="auto"/>
              </w:rPr>
            </w:pPr>
          </w:p>
        </w:tc>
        <w:tc>
          <w:tcPr>
            <w:tcW w:w="320" w:type="dxa"/>
            <w:vAlign w:val="bottom"/>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67"/>
        </w:trPr>
        <w:tc>
          <w:tcPr>
            <w:tcW w:w="3260" w:type="dxa"/>
            <w:vAlign w:val="bottom"/>
            <w:gridSpan w:val="3"/>
            <w:vMerge w:val="continue"/>
          </w:tcPr>
          <w:p>
            <w:pPr>
              <w:spacing w:after="0"/>
              <w:rPr>
                <w:sz w:val="14"/>
                <w:szCs w:val="14"/>
                <w:color w:val="auto"/>
              </w:rPr>
            </w:pPr>
          </w:p>
        </w:tc>
        <w:tc>
          <w:tcPr>
            <w:tcW w:w="8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5,707,940</w:t>
            </w:r>
          </w:p>
        </w:tc>
        <w:tc>
          <w:tcPr>
            <w:tcW w:w="160" w:type="dxa"/>
            <w:vAlign w:val="bottom"/>
          </w:tcPr>
          <w:p>
            <w:pPr>
              <w:spacing w:after="0"/>
              <w:rPr>
                <w:sz w:val="14"/>
                <w:szCs w:val="14"/>
                <w:color w:val="auto"/>
              </w:rPr>
            </w:pPr>
          </w:p>
        </w:tc>
        <w:tc>
          <w:tcPr>
            <w:tcW w:w="1180" w:type="dxa"/>
            <w:vAlign w:val="bottom"/>
            <w:tcBorders>
              <w:top w:val="single" w:sz="8" w:color="auto"/>
              <w:bottom w:val="single" w:sz="8" w:color="auto"/>
            </w:tcBorders>
          </w:tcPr>
          <w:p>
            <w:pPr>
              <w:ind w:left="680"/>
              <w:spacing w:after="0"/>
              <w:rPr>
                <w:sz w:val="20"/>
                <w:szCs w:val="20"/>
                <w:color w:val="auto"/>
              </w:rPr>
            </w:pPr>
            <w:r>
              <w:rPr>
                <w:rFonts w:ascii="Arial" w:cs="Arial" w:eastAsia="Arial" w:hAnsi="Arial"/>
                <w:sz w:val="14"/>
                <w:szCs w:val="14"/>
                <w:color w:val="auto"/>
                <w:w w:val="83"/>
              </w:rPr>
              <w:t>3.1 years</w:t>
            </w:r>
          </w:p>
        </w:tc>
        <w:tc>
          <w:tcPr>
            <w:tcW w:w="160" w:type="dxa"/>
            <w:vAlign w:val="bottom"/>
          </w:tcPr>
          <w:p>
            <w:pPr>
              <w:spacing w:after="0"/>
              <w:rPr>
                <w:sz w:val="14"/>
                <w:szCs w:val="14"/>
                <w:color w:val="auto"/>
              </w:rPr>
            </w:pPr>
          </w:p>
        </w:tc>
        <w:tc>
          <w:tcPr>
            <w:tcW w:w="860" w:type="dxa"/>
            <w:vAlign w:val="bottom"/>
            <w:tcBorders>
              <w:top w:val="single" w:sz="8" w:color="auto"/>
              <w:bottom w:val="single" w:sz="8" w:color="auto"/>
            </w:tcBorders>
          </w:tcPr>
          <w:p>
            <w:pPr>
              <w:ind w:left="700"/>
              <w:spacing w:after="0"/>
              <w:rPr>
                <w:sz w:val="20"/>
                <w:szCs w:val="20"/>
                <w:color w:val="auto"/>
              </w:rPr>
            </w:pPr>
            <w:r>
              <w:rPr>
                <w:rFonts w:ascii="Arial" w:cs="Arial" w:eastAsia="Arial" w:hAnsi="Arial"/>
                <w:sz w:val="14"/>
                <w:szCs w:val="14"/>
                <w:color w:val="auto"/>
                <w:w w:val="77"/>
              </w:rPr>
              <w:t>C$</w:t>
            </w:r>
          </w:p>
        </w:tc>
        <w:tc>
          <w:tcPr>
            <w:tcW w:w="3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w w:val="79"/>
              </w:rPr>
              <w:t>53.85</w:t>
            </w:r>
          </w:p>
        </w:tc>
        <w:tc>
          <w:tcPr>
            <w:tcW w:w="160" w:type="dxa"/>
            <w:vAlign w:val="bottom"/>
          </w:tcPr>
          <w:p>
            <w:pPr>
              <w:spacing w:after="0"/>
              <w:rPr>
                <w:sz w:val="14"/>
                <w:szCs w:val="14"/>
                <w:color w:val="auto"/>
              </w:rPr>
            </w:pP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2,445,615</w:t>
            </w:r>
          </w:p>
        </w:tc>
        <w:tc>
          <w:tcPr>
            <w:tcW w:w="160" w:type="dxa"/>
            <w:vAlign w:val="bottom"/>
          </w:tcPr>
          <w:p>
            <w:pPr>
              <w:spacing w:after="0"/>
              <w:rPr>
                <w:sz w:val="14"/>
                <w:szCs w:val="14"/>
                <w:color w:val="auto"/>
              </w:rPr>
            </w:pPr>
          </w:p>
        </w:tc>
        <w:tc>
          <w:tcPr>
            <w:tcW w:w="860" w:type="dxa"/>
            <w:vAlign w:val="bottom"/>
            <w:tcBorders>
              <w:top w:val="single" w:sz="8" w:color="auto"/>
              <w:bottom w:val="single" w:sz="8" w:color="auto"/>
            </w:tcBorders>
          </w:tcPr>
          <w:p>
            <w:pPr>
              <w:ind w:left="700"/>
              <w:spacing w:after="0"/>
              <w:rPr>
                <w:sz w:val="20"/>
                <w:szCs w:val="20"/>
                <w:color w:val="auto"/>
              </w:rPr>
            </w:pPr>
            <w:r>
              <w:rPr>
                <w:rFonts w:ascii="Arial" w:cs="Arial" w:eastAsia="Arial" w:hAnsi="Arial"/>
                <w:sz w:val="14"/>
                <w:szCs w:val="14"/>
                <w:color w:val="auto"/>
                <w:w w:val="77"/>
              </w:rPr>
              <w:t>C$</w:t>
            </w:r>
          </w:p>
        </w:tc>
        <w:tc>
          <w:tcPr>
            <w:tcW w:w="3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w w:val="79"/>
              </w:rPr>
              <w:t>48.18</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420" w:type="dxa"/>
            <w:vAlign w:val="bottom"/>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1300" w:type="dxa"/>
            <w:vAlign w:val="bottom"/>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5" w:lineRule="exact"/>
        <w:rPr>
          <w:sz w:val="20"/>
          <w:szCs w:val="20"/>
          <w:color w:val="auto"/>
        </w:rPr>
      </w:pPr>
    </w:p>
    <w:p>
      <w:pPr>
        <w:ind w:left="1072"/>
        <w:spacing w:after="0"/>
        <w:rPr>
          <w:sz w:val="20"/>
          <w:szCs w:val="20"/>
          <w:color w:val="auto"/>
        </w:rPr>
      </w:pPr>
      <w:r>
        <w:rPr>
          <w:rFonts w:ascii="Arial" w:cs="Arial" w:eastAsia="Arial" w:hAnsi="Arial"/>
          <w:sz w:val="14"/>
          <w:szCs w:val="14"/>
          <w:color w:val="auto"/>
        </w:rPr>
        <w:t>The weighted-average remaining contractual term of options exercisable at December 31, 2009, was 2.6 years.</w:t>
      </w:r>
    </w:p>
    <w:p>
      <w:pPr>
        <w:spacing w:after="0" w:line="204" w:lineRule="exact"/>
        <w:rPr>
          <w:sz w:val="20"/>
          <w:szCs w:val="20"/>
          <w:color w:val="auto"/>
        </w:rPr>
      </w:pPr>
    </w:p>
    <w:p>
      <w:pPr>
        <w:ind w:left="1072"/>
        <w:spacing w:after="0"/>
        <w:rPr>
          <w:sz w:val="20"/>
          <w:szCs w:val="20"/>
          <w:color w:val="auto"/>
        </w:rPr>
      </w:pPr>
      <w:r>
        <w:rPr>
          <w:rFonts w:ascii="Arial" w:cs="Arial" w:eastAsia="Arial" w:hAnsi="Arial"/>
          <w:sz w:val="14"/>
          <w:szCs w:val="14"/>
          <w:color w:val="auto"/>
        </w:rPr>
        <w:t>The Company has reserved for issuance 5,707,940 common shares in the event that these options are exercised.</w:t>
      </w:r>
    </w:p>
    <w:p>
      <w:pPr>
        <w:spacing w:after="0" w:line="204" w:lineRule="exact"/>
        <w:rPr>
          <w:sz w:val="20"/>
          <w:szCs w:val="20"/>
          <w:color w:val="auto"/>
        </w:rPr>
      </w:pPr>
    </w:p>
    <w:p>
      <w:pPr>
        <w:ind w:left="1072"/>
        <w:spacing w:after="0"/>
        <w:rPr>
          <w:sz w:val="20"/>
          <w:szCs w:val="20"/>
          <w:color w:val="auto"/>
        </w:rPr>
      </w:pPr>
      <w:r>
        <w:rPr>
          <w:rFonts w:ascii="Arial" w:cs="Arial" w:eastAsia="Arial" w:hAnsi="Arial"/>
          <w:sz w:val="14"/>
          <w:szCs w:val="14"/>
          <w:color w:val="auto"/>
        </w:rPr>
        <w:t>The number of un-optioned shares available for granting of options as at December 31, 2009, 2008 and 2007 was 4,155,750, 6,349,250 and 2,832,250, respectively.</w:t>
      </w:r>
    </w:p>
    <w:p>
      <w:pPr>
        <w:spacing w:after="0" w:line="204" w:lineRule="exact"/>
        <w:rPr>
          <w:sz w:val="20"/>
          <w:szCs w:val="20"/>
          <w:color w:val="auto"/>
        </w:rPr>
      </w:pPr>
    </w:p>
    <w:p>
      <w:pPr>
        <w:ind w:left="1072"/>
        <w:spacing w:after="0" w:line="239" w:lineRule="auto"/>
        <w:rPr>
          <w:sz w:val="20"/>
          <w:szCs w:val="20"/>
          <w:color w:val="auto"/>
        </w:rPr>
      </w:pPr>
      <w:r>
        <w:rPr>
          <w:rFonts w:ascii="Arial" w:cs="Arial" w:eastAsia="Arial" w:hAnsi="Arial"/>
          <w:sz w:val="14"/>
          <w:szCs w:val="14"/>
          <w:color w:val="auto"/>
        </w:rPr>
        <w:t>On January 4, 2010, 2,735,080 options were granted under the ESOP, of which 683,770 options vested immediately and expire in the year 2015. The remaining options expire in 2015 and vest in equal installments on each anniversary date of the grant, over a three-year period.</w:t>
      </w:r>
    </w:p>
    <w:p>
      <w:pPr>
        <w:spacing w:after="0" w:line="195"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166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146050</wp:posOffset>
            </wp:positionV>
            <wp:extent cx="7250430" cy="2159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12"/>
          </w:cols>
          <w:pgMar w:left="248" w:top="341" w:right="239" w:bottom="1440" w:gutter="0" w:footer="0" w:header="0"/>
        </w:sectPr>
      </w:pPr>
    </w:p>
    <w:bookmarkStart w:id="209" w:name="page210"/>
    <w:bookmarkEnd w:id="209"/>
    <w:p>
      <w:pPr>
        <w:jc w:val="center"/>
        <w:spacing w:after="0"/>
        <w:rPr>
          <w:sz w:val="20"/>
          <w:szCs w:val="20"/>
          <w:color w:val="auto"/>
        </w:rPr>
      </w:pPr>
      <w:r>
        <w:rPr>
          <w:rFonts w:ascii="Arial" w:cs="Arial" w:eastAsia="Arial" w:hAnsi="Arial"/>
          <w:sz w:val="18"/>
          <w:szCs w:val="18"/>
          <w:b w:val="1"/>
          <w:bCs w:val="1"/>
          <w:color w:val="auto"/>
        </w:rPr>
        <w:t>AGNICO-EAGLE MINES LIMITED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 (Continued)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(thousands of United States dollars, except per share amounts, unless otherwise indicated)</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December 31, 2009</w:t>
      </w:r>
    </w:p>
    <w:p>
      <w:pPr>
        <w:spacing w:after="0" w:line="214" w:lineRule="exact"/>
        <w:rPr>
          <w:sz w:val="20"/>
          <w:szCs w:val="20"/>
          <w:color w:val="auto"/>
        </w:rPr>
      </w:pPr>
    </w:p>
    <w:p>
      <w:pPr>
        <w:ind w:left="280" w:hanging="272"/>
        <w:spacing w:after="0"/>
        <w:tabs>
          <w:tab w:leader="none" w:pos="280" w:val="left"/>
        </w:tabs>
        <w:numPr>
          <w:ilvl w:val="0"/>
          <w:numId w:val="97"/>
        </w:numPr>
        <w:rPr>
          <w:rFonts w:ascii="Arial" w:cs="Arial" w:eastAsia="Arial" w:hAnsi="Arial"/>
          <w:sz w:val="14"/>
          <w:szCs w:val="14"/>
          <w:b w:val="1"/>
          <w:bCs w:val="1"/>
          <w:color w:val="auto"/>
        </w:rPr>
      </w:pPr>
      <w:r>
        <w:rPr>
          <w:rFonts w:ascii="Arial" w:cs="Arial" w:eastAsia="Arial" w:hAnsi="Arial"/>
          <w:sz w:val="14"/>
          <w:szCs w:val="14"/>
          <w:b w:val="1"/>
          <w:bCs w:val="1"/>
          <w:color w:val="auto"/>
        </w:rPr>
        <w:t>STOCK-BASED COMPENSATION (Continued)</w:t>
      </w:r>
    </w:p>
    <w:p>
      <w:pPr>
        <w:spacing w:after="0" w:line="206" w:lineRule="exact"/>
        <w:rPr>
          <w:sz w:val="20"/>
          <w:szCs w:val="20"/>
          <w:color w:val="auto"/>
        </w:rPr>
      </w:pPr>
    </w:p>
    <w:p>
      <w:pPr>
        <w:ind w:left="1080"/>
        <w:spacing w:after="0"/>
        <w:rPr>
          <w:sz w:val="20"/>
          <w:szCs w:val="20"/>
          <w:color w:val="auto"/>
        </w:rPr>
      </w:pPr>
      <w:r>
        <w:rPr>
          <w:rFonts w:ascii="Arial" w:cs="Arial" w:eastAsia="Arial" w:hAnsi="Arial"/>
          <w:sz w:val="14"/>
          <w:szCs w:val="14"/>
          <w:color w:val="auto"/>
        </w:rPr>
        <w:t>Agnico-Eagle estimated the fair value of options under the Black-Scholes option pricing model using the following weighted average assumptions:</w:t>
      </w:r>
    </w:p>
    <w:p>
      <w:pPr>
        <w:spacing w:after="0" w:line="202" w:lineRule="exact"/>
        <w:rPr>
          <w:sz w:val="20"/>
          <w:szCs w:val="20"/>
          <w:color w:val="auto"/>
        </w:rPr>
      </w:pPr>
    </w:p>
    <w:tbl>
      <w:tblPr>
        <w:tblLayout w:type="fixed"/>
        <w:tblInd w:w="1160" w:type="dxa"/>
        <w:tblCellMar>
          <w:top w:w="0" w:type="dxa"/>
          <w:left w:w="0" w:type="dxa"/>
          <w:bottom w:w="0" w:type="dxa"/>
          <w:right w:w="0" w:type="dxa"/>
        </w:tblCellMar>
      </w:tblPr>
      <w:tr>
        <w:trPr>
          <w:trHeight w:val="161"/>
        </w:trPr>
        <w:tc>
          <w:tcPr>
            <w:tcW w:w="7140" w:type="dxa"/>
            <w:vAlign w:val="bottom"/>
          </w:tcPr>
          <w:p>
            <w:pPr>
              <w:spacing w:after="0"/>
              <w:rPr>
                <w:sz w:val="14"/>
                <w:szCs w:val="14"/>
                <w:color w:val="auto"/>
              </w:rPr>
            </w:pPr>
          </w:p>
        </w:tc>
        <w:tc>
          <w:tcPr>
            <w:tcW w:w="500" w:type="dxa"/>
            <w:vAlign w:val="bottom"/>
            <w:tcBorders>
              <w:bottom w:val="single" w:sz="8" w:color="auto"/>
            </w:tcBorders>
          </w:tcPr>
          <w:p>
            <w:pPr>
              <w:jc w:val="right"/>
              <w:ind w:right="52"/>
              <w:spacing w:after="0"/>
              <w:rPr>
                <w:sz w:val="20"/>
                <w:szCs w:val="20"/>
                <w:color w:val="auto"/>
              </w:rPr>
            </w:pPr>
            <w:r>
              <w:rPr>
                <w:rFonts w:ascii="Arial" w:cs="Arial" w:eastAsia="Arial" w:hAnsi="Arial"/>
                <w:sz w:val="14"/>
                <w:szCs w:val="14"/>
                <w:b w:val="1"/>
                <w:bCs w:val="1"/>
                <w:color w:val="auto"/>
              </w:rPr>
              <w:t>2009</w:t>
            </w:r>
          </w:p>
        </w:tc>
        <w:tc>
          <w:tcPr>
            <w:tcW w:w="160" w:type="dxa"/>
            <w:vAlign w:val="bottom"/>
          </w:tcPr>
          <w:p>
            <w:pPr>
              <w:spacing w:after="0"/>
              <w:rPr>
                <w:sz w:val="14"/>
                <w:szCs w:val="14"/>
                <w:color w:val="auto"/>
              </w:rPr>
            </w:pPr>
          </w:p>
        </w:tc>
        <w:tc>
          <w:tcPr>
            <w:tcW w:w="500" w:type="dxa"/>
            <w:vAlign w:val="bottom"/>
            <w:tcBorders>
              <w:bottom w:val="single" w:sz="8" w:color="auto"/>
            </w:tcBorders>
          </w:tcPr>
          <w:p>
            <w:pPr>
              <w:jc w:val="right"/>
              <w:ind w:right="52"/>
              <w:spacing w:after="0"/>
              <w:rPr>
                <w:sz w:val="20"/>
                <w:szCs w:val="20"/>
                <w:color w:val="auto"/>
              </w:rPr>
            </w:pPr>
            <w:r>
              <w:rPr>
                <w:rFonts w:ascii="Arial" w:cs="Arial" w:eastAsia="Arial" w:hAnsi="Arial"/>
                <w:sz w:val="14"/>
                <w:szCs w:val="14"/>
                <w:b w:val="1"/>
                <w:bCs w:val="1"/>
                <w:color w:val="auto"/>
              </w:rPr>
              <w:t>2008</w:t>
            </w:r>
          </w:p>
        </w:tc>
        <w:tc>
          <w:tcPr>
            <w:tcW w:w="160" w:type="dxa"/>
            <w:vAlign w:val="bottom"/>
          </w:tcPr>
          <w:p>
            <w:pPr>
              <w:spacing w:after="0"/>
              <w:rPr>
                <w:sz w:val="14"/>
                <w:szCs w:val="14"/>
                <w:color w:val="auto"/>
              </w:rPr>
            </w:pPr>
          </w:p>
        </w:tc>
        <w:tc>
          <w:tcPr>
            <w:tcW w:w="500" w:type="dxa"/>
            <w:vAlign w:val="bottom"/>
            <w:tcBorders>
              <w:bottom w:val="single" w:sz="8" w:color="auto"/>
            </w:tcBorders>
          </w:tcPr>
          <w:p>
            <w:pPr>
              <w:jc w:val="right"/>
              <w:ind w:right="52"/>
              <w:spacing w:after="0"/>
              <w:rPr>
                <w:sz w:val="20"/>
                <w:szCs w:val="20"/>
                <w:color w:val="auto"/>
              </w:rPr>
            </w:pPr>
            <w:r>
              <w:rPr>
                <w:rFonts w:ascii="Arial" w:cs="Arial" w:eastAsia="Arial" w:hAnsi="Arial"/>
                <w:sz w:val="14"/>
                <w:szCs w:val="14"/>
                <w:b w:val="1"/>
                <w:bCs w:val="1"/>
                <w:color w:val="auto"/>
              </w:rPr>
              <w:t>2007</w:t>
            </w:r>
          </w:p>
        </w:tc>
        <w:tc>
          <w:tcPr>
            <w:tcW w:w="160" w:type="dxa"/>
            <w:vAlign w:val="bottom"/>
          </w:tcPr>
          <w:p>
            <w:pPr>
              <w:spacing w:after="0"/>
              <w:rPr>
                <w:sz w:val="14"/>
                <w:szCs w:val="14"/>
                <w:color w:val="auto"/>
              </w:rPr>
            </w:pPr>
          </w:p>
        </w:tc>
      </w:tr>
      <w:tr>
        <w:trPr>
          <w:trHeight w:val="142"/>
        </w:trPr>
        <w:tc>
          <w:tcPr>
            <w:tcW w:w="7140" w:type="dxa"/>
            <w:vAlign w:val="bottom"/>
            <w:shd w:val="clear" w:color="auto" w:fill="CCEEFF"/>
          </w:tcPr>
          <w:p>
            <w:pPr>
              <w:ind w:left="420"/>
              <w:spacing w:after="0" w:line="142" w:lineRule="exact"/>
              <w:rPr>
                <w:sz w:val="20"/>
                <w:szCs w:val="20"/>
                <w:color w:val="auto"/>
              </w:rPr>
            </w:pPr>
            <w:r>
              <w:rPr>
                <w:rFonts w:ascii="Arial" w:cs="Arial" w:eastAsia="Arial" w:hAnsi="Arial"/>
                <w:sz w:val="14"/>
                <w:szCs w:val="14"/>
                <w:color w:val="auto"/>
              </w:rPr>
              <w:t>Risk-free interest rate</w:t>
            </w:r>
          </w:p>
        </w:tc>
        <w:tc>
          <w:tcPr>
            <w:tcW w:w="50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1.27%</w:t>
            </w:r>
          </w:p>
        </w:tc>
        <w:tc>
          <w:tcPr>
            <w:tcW w:w="66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3.65%</w:t>
            </w:r>
          </w:p>
        </w:tc>
        <w:tc>
          <w:tcPr>
            <w:tcW w:w="66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4.02%</w:t>
            </w:r>
          </w:p>
        </w:tc>
        <w:tc>
          <w:tcPr>
            <w:tcW w:w="160" w:type="dxa"/>
            <w:vAlign w:val="bottom"/>
            <w:shd w:val="clear" w:color="auto" w:fill="CCEEFF"/>
          </w:tcPr>
          <w:p>
            <w:pPr>
              <w:spacing w:after="0"/>
              <w:rPr>
                <w:sz w:val="12"/>
                <w:szCs w:val="12"/>
                <w:color w:val="auto"/>
              </w:rPr>
            </w:pPr>
          </w:p>
        </w:tc>
      </w:tr>
      <w:tr>
        <w:trPr>
          <w:trHeight w:val="149"/>
        </w:trPr>
        <w:tc>
          <w:tcPr>
            <w:tcW w:w="7140" w:type="dxa"/>
            <w:vAlign w:val="bottom"/>
          </w:tcPr>
          <w:p>
            <w:pPr>
              <w:ind w:left="420"/>
              <w:spacing w:after="0" w:line="149" w:lineRule="exact"/>
              <w:rPr>
                <w:sz w:val="20"/>
                <w:szCs w:val="20"/>
                <w:color w:val="auto"/>
              </w:rPr>
            </w:pPr>
            <w:r>
              <w:rPr>
                <w:rFonts w:ascii="Arial" w:cs="Arial" w:eastAsia="Arial" w:hAnsi="Arial"/>
                <w:sz w:val="14"/>
                <w:szCs w:val="14"/>
                <w:color w:val="auto"/>
              </w:rPr>
              <w:t>Expected life of options (in years)</w:t>
            </w:r>
          </w:p>
        </w:tc>
        <w:tc>
          <w:tcPr>
            <w:tcW w:w="500" w:type="dxa"/>
            <w:vAlign w:val="bottom"/>
          </w:tcPr>
          <w:p>
            <w:pPr>
              <w:jc w:val="right"/>
              <w:spacing w:after="0" w:line="149" w:lineRule="exact"/>
              <w:rPr>
                <w:sz w:val="20"/>
                <w:szCs w:val="20"/>
                <w:color w:val="auto"/>
              </w:rPr>
            </w:pPr>
            <w:r>
              <w:rPr>
                <w:rFonts w:ascii="Arial" w:cs="Arial" w:eastAsia="Arial" w:hAnsi="Arial"/>
                <w:sz w:val="14"/>
                <w:szCs w:val="14"/>
                <w:color w:val="auto"/>
              </w:rPr>
              <w:t>2.5</w:t>
            </w:r>
          </w:p>
        </w:tc>
        <w:tc>
          <w:tcPr>
            <w:tcW w:w="66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2.5</w:t>
            </w:r>
          </w:p>
        </w:tc>
        <w:tc>
          <w:tcPr>
            <w:tcW w:w="66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2.5</w:t>
            </w:r>
          </w:p>
        </w:tc>
        <w:tc>
          <w:tcPr>
            <w:tcW w:w="160" w:type="dxa"/>
            <w:vAlign w:val="bottom"/>
          </w:tcPr>
          <w:p>
            <w:pPr>
              <w:spacing w:after="0"/>
              <w:rPr>
                <w:sz w:val="12"/>
                <w:szCs w:val="12"/>
                <w:color w:val="auto"/>
              </w:rPr>
            </w:pPr>
          </w:p>
        </w:tc>
      </w:tr>
      <w:tr>
        <w:trPr>
          <w:trHeight w:val="149"/>
        </w:trPr>
        <w:tc>
          <w:tcPr>
            <w:tcW w:w="714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Expected volatility of Agnico-Eagle's share price</w:t>
            </w:r>
          </w:p>
        </w:tc>
        <w:tc>
          <w:tcPr>
            <w:tcW w:w="5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64.0%</w:t>
            </w:r>
          </w:p>
        </w:tc>
        <w:tc>
          <w:tcPr>
            <w:tcW w:w="6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44.8%</w:t>
            </w:r>
          </w:p>
        </w:tc>
        <w:tc>
          <w:tcPr>
            <w:tcW w:w="6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37.6%</w:t>
            </w:r>
          </w:p>
        </w:tc>
        <w:tc>
          <w:tcPr>
            <w:tcW w:w="160" w:type="dxa"/>
            <w:vAlign w:val="bottom"/>
            <w:shd w:val="clear" w:color="auto" w:fill="CCEEFF"/>
          </w:tcPr>
          <w:p>
            <w:pPr>
              <w:spacing w:after="0"/>
              <w:rPr>
                <w:sz w:val="12"/>
                <w:szCs w:val="12"/>
                <w:color w:val="auto"/>
              </w:rPr>
            </w:pPr>
          </w:p>
        </w:tc>
      </w:tr>
      <w:tr>
        <w:trPr>
          <w:trHeight w:val="172"/>
        </w:trPr>
        <w:tc>
          <w:tcPr>
            <w:tcW w:w="7140" w:type="dxa"/>
            <w:vAlign w:val="bottom"/>
          </w:tcPr>
          <w:p>
            <w:pPr>
              <w:ind w:left="420"/>
              <w:spacing w:after="0"/>
              <w:rPr>
                <w:sz w:val="20"/>
                <w:szCs w:val="20"/>
                <w:color w:val="auto"/>
              </w:rPr>
            </w:pPr>
            <w:r>
              <w:rPr>
                <w:rFonts w:ascii="Arial" w:cs="Arial" w:eastAsia="Arial" w:hAnsi="Arial"/>
                <w:sz w:val="14"/>
                <w:szCs w:val="14"/>
                <w:color w:val="auto"/>
              </w:rPr>
              <w:t>Expected dividend yield</w:t>
            </w:r>
          </w:p>
        </w:tc>
        <w:tc>
          <w:tcPr>
            <w:tcW w:w="500" w:type="dxa"/>
            <w:vAlign w:val="bottom"/>
          </w:tcPr>
          <w:p>
            <w:pPr>
              <w:jc w:val="right"/>
              <w:spacing w:after="0"/>
              <w:rPr>
                <w:sz w:val="20"/>
                <w:szCs w:val="20"/>
                <w:color w:val="auto"/>
              </w:rPr>
            </w:pPr>
            <w:r>
              <w:rPr>
                <w:rFonts w:ascii="Arial" w:cs="Arial" w:eastAsia="Arial" w:hAnsi="Arial"/>
                <w:sz w:val="14"/>
                <w:szCs w:val="14"/>
                <w:color w:val="auto"/>
              </w:rPr>
              <w:t>0.42%</w:t>
            </w:r>
          </w:p>
        </w:tc>
        <w:tc>
          <w:tcPr>
            <w:tcW w:w="660" w:type="dxa"/>
            <w:vAlign w:val="bottom"/>
            <w:gridSpan w:val="2"/>
          </w:tcPr>
          <w:p>
            <w:pPr>
              <w:jc w:val="right"/>
              <w:spacing w:after="0"/>
              <w:rPr>
                <w:sz w:val="20"/>
                <w:szCs w:val="20"/>
                <w:color w:val="auto"/>
              </w:rPr>
            </w:pPr>
            <w:r>
              <w:rPr>
                <w:rFonts w:ascii="Arial" w:cs="Arial" w:eastAsia="Arial" w:hAnsi="Arial"/>
                <w:sz w:val="14"/>
                <w:szCs w:val="14"/>
                <w:color w:val="auto"/>
              </w:rPr>
              <w:t>0.23%</w:t>
            </w:r>
          </w:p>
        </w:tc>
        <w:tc>
          <w:tcPr>
            <w:tcW w:w="660" w:type="dxa"/>
            <w:vAlign w:val="bottom"/>
            <w:gridSpan w:val="2"/>
          </w:tcPr>
          <w:p>
            <w:pPr>
              <w:jc w:val="right"/>
              <w:spacing w:after="0"/>
              <w:rPr>
                <w:sz w:val="20"/>
                <w:szCs w:val="20"/>
                <w:color w:val="auto"/>
              </w:rPr>
            </w:pPr>
            <w:r>
              <w:rPr>
                <w:rFonts w:ascii="Arial" w:cs="Arial" w:eastAsia="Arial" w:hAnsi="Arial"/>
                <w:sz w:val="14"/>
                <w:szCs w:val="14"/>
                <w:color w:val="auto"/>
              </w:rPr>
              <w:t>0.29%</w:t>
            </w:r>
          </w:p>
        </w:tc>
        <w:tc>
          <w:tcPr>
            <w:tcW w:w="160" w:type="dxa"/>
            <w:vAlign w:val="bottom"/>
          </w:tcPr>
          <w:p>
            <w:pPr>
              <w:spacing w:after="0"/>
              <w:rPr>
                <w:sz w:val="14"/>
                <w:szCs w:val="14"/>
                <w:color w:val="auto"/>
              </w:rPr>
            </w:pPr>
          </w:p>
        </w:tc>
      </w:tr>
    </w:tbl>
    <w:p>
      <w:pPr>
        <w:spacing w:after="0" w:line="182" w:lineRule="exact"/>
        <w:rPr>
          <w:sz w:val="20"/>
          <w:szCs w:val="20"/>
          <w:color w:val="auto"/>
        </w:rPr>
      </w:pPr>
    </w:p>
    <w:p>
      <w:pPr>
        <w:ind w:left="1080"/>
        <w:spacing w:after="0"/>
        <w:rPr>
          <w:sz w:val="20"/>
          <w:szCs w:val="20"/>
          <w:color w:val="auto"/>
        </w:rPr>
      </w:pPr>
      <w:r>
        <w:rPr>
          <w:rFonts w:ascii="Arial" w:cs="Arial" w:eastAsia="Arial" w:hAnsi="Arial"/>
          <w:sz w:val="14"/>
          <w:szCs w:val="14"/>
          <w:color w:val="auto"/>
        </w:rPr>
        <w:t>The Company uses historical volatility in estimating the expected volatility of Agnico-Eagle's share price.</w:t>
      </w:r>
    </w:p>
    <w:p>
      <w:pPr>
        <w:spacing w:after="0" w:line="204" w:lineRule="exact"/>
        <w:rPr>
          <w:sz w:val="20"/>
          <w:szCs w:val="20"/>
          <w:color w:val="auto"/>
        </w:rPr>
      </w:pPr>
    </w:p>
    <w:p>
      <w:pPr>
        <w:jc w:val="both"/>
        <w:ind w:left="1080"/>
        <w:spacing w:after="0" w:line="239" w:lineRule="auto"/>
        <w:rPr>
          <w:sz w:val="20"/>
          <w:szCs w:val="20"/>
          <w:color w:val="auto"/>
        </w:rPr>
      </w:pPr>
      <w:r>
        <w:rPr>
          <w:rFonts w:ascii="Arial" w:cs="Arial" w:eastAsia="Arial" w:hAnsi="Arial"/>
          <w:sz w:val="14"/>
          <w:szCs w:val="14"/>
          <w:color w:val="auto"/>
        </w:rPr>
        <w:t>The aggregate intrinsic value of options outstanding at December 31, 2009 was C$17.5 million. The aggregate intrinsic value of options exercisable at December 31, 2009 was C$21.4 million.</w:t>
      </w:r>
    </w:p>
    <w:p>
      <w:pPr>
        <w:spacing w:after="0" w:line="193" w:lineRule="exact"/>
        <w:rPr>
          <w:sz w:val="20"/>
          <w:szCs w:val="20"/>
          <w:color w:val="auto"/>
        </w:rPr>
      </w:pPr>
    </w:p>
    <w:p>
      <w:pPr>
        <w:jc w:val="both"/>
        <w:ind w:left="1080"/>
        <w:spacing w:after="0" w:line="233" w:lineRule="auto"/>
        <w:rPr>
          <w:sz w:val="20"/>
          <w:szCs w:val="20"/>
          <w:color w:val="auto"/>
        </w:rPr>
      </w:pPr>
      <w:r>
        <w:rPr>
          <w:rFonts w:ascii="Arial" w:cs="Arial" w:eastAsia="Arial" w:hAnsi="Arial"/>
          <w:sz w:val="14"/>
          <w:szCs w:val="14"/>
          <w:color w:val="auto"/>
        </w:rPr>
        <w:t>The total compensation expense for the ESOP recognized in the consolidated statements of income for the current year was $27.7 million (2008 — $25.3 million; 2007 — $9.8 million). The total compensation cost related to non-vested options not yet recognized was $33.3 million as of December 31, 2009. Of the total compensation cost for the ESOP, $8.7 million was capitalized as part of construction costs in 2009 (2008 — $9.0 million; 2007 — nil).</w:t>
      </w:r>
    </w:p>
    <w:p>
      <w:pPr>
        <w:spacing w:after="0" w:line="179" w:lineRule="exact"/>
        <w:rPr>
          <w:sz w:val="20"/>
          <w:szCs w:val="20"/>
          <w:color w:val="auto"/>
        </w:rPr>
      </w:pPr>
    </w:p>
    <w:p>
      <w:pPr>
        <w:ind w:left="1080" w:hanging="532"/>
        <w:spacing w:after="0"/>
        <w:tabs>
          <w:tab w:leader="none" w:pos="1080" w:val="left"/>
        </w:tabs>
        <w:numPr>
          <w:ilvl w:val="0"/>
          <w:numId w:val="98"/>
        </w:numPr>
        <w:rPr>
          <w:rFonts w:ascii="Arial" w:cs="Arial" w:eastAsia="Arial" w:hAnsi="Arial"/>
          <w:sz w:val="14"/>
          <w:szCs w:val="14"/>
          <w:b w:val="1"/>
          <w:bCs w:val="1"/>
          <w:i w:val="1"/>
          <w:iCs w:val="1"/>
          <w:color w:val="auto"/>
        </w:rPr>
      </w:pPr>
      <w:r>
        <w:rPr>
          <w:rFonts w:ascii="Arial" w:cs="Arial" w:eastAsia="Arial" w:hAnsi="Arial"/>
          <w:sz w:val="14"/>
          <w:szCs w:val="14"/>
          <w:b w:val="1"/>
          <w:bCs w:val="1"/>
          <w:i w:val="1"/>
          <w:iCs w:val="1"/>
          <w:color w:val="auto"/>
        </w:rPr>
        <w:t>Incentive Share Purchase Plan</w:t>
      </w:r>
    </w:p>
    <w:p>
      <w:pPr>
        <w:spacing w:after="0" w:line="203" w:lineRule="exact"/>
        <w:rPr>
          <w:rFonts w:ascii="Arial" w:cs="Arial" w:eastAsia="Arial" w:hAnsi="Arial"/>
          <w:sz w:val="14"/>
          <w:szCs w:val="14"/>
          <w:b w:val="1"/>
          <w:bCs w:val="1"/>
          <w:i w:val="1"/>
          <w:iCs w:val="1"/>
          <w:color w:val="auto"/>
        </w:rPr>
      </w:pPr>
    </w:p>
    <w:p>
      <w:pPr>
        <w:ind w:left="1080"/>
        <w:spacing w:after="0" w:line="318" w:lineRule="auto"/>
        <w:rPr>
          <w:rFonts w:ascii="Arial" w:cs="Arial" w:eastAsia="Arial" w:hAnsi="Arial"/>
          <w:sz w:val="14"/>
          <w:szCs w:val="14"/>
          <w:b w:val="1"/>
          <w:bCs w:val="1"/>
          <w:i w:val="1"/>
          <w:iCs w:val="1"/>
          <w:color w:val="auto"/>
        </w:rPr>
      </w:pPr>
      <w:r>
        <w:rPr>
          <w:rFonts w:ascii="Arial" w:cs="Arial" w:eastAsia="Arial" w:hAnsi="Arial"/>
          <w:sz w:val="12"/>
          <w:szCs w:val="12"/>
          <w:color w:val="auto"/>
        </w:rPr>
        <w:t>On June 26, 1997, the shareholders approved an incentive share purchase plan (the "Purchase Plan") to encourage directors, officers and employees ("Participants") to purchase Agnico-Eagle's common shares at market values. In 2009, the Purchase Plan was amended to remove non-executive directors as eligible participants in the plan</w:t>
      </w:r>
    </w:p>
    <w:p>
      <w:pPr>
        <w:spacing w:after="0" w:line="147" w:lineRule="exact"/>
        <w:rPr>
          <w:rFonts w:ascii="Arial" w:cs="Arial" w:eastAsia="Arial" w:hAnsi="Arial"/>
          <w:sz w:val="14"/>
          <w:szCs w:val="14"/>
          <w:b w:val="1"/>
          <w:bCs w:val="1"/>
          <w:i w:val="1"/>
          <w:iCs w:val="1"/>
          <w:color w:val="auto"/>
        </w:rPr>
      </w:pPr>
    </w:p>
    <w:p>
      <w:pPr>
        <w:jc w:val="both"/>
        <w:ind w:left="1080"/>
        <w:spacing w:after="0" w:line="233" w:lineRule="auto"/>
        <w:rPr>
          <w:rFonts w:ascii="Arial" w:cs="Arial" w:eastAsia="Arial" w:hAnsi="Arial"/>
          <w:sz w:val="14"/>
          <w:szCs w:val="14"/>
          <w:b w:val="1"/>
          <w:bCs w:val="1"/>
          <w:i w:val="1"/>
          <w:iCs w:val="1"/>
          <w:color w:val="auto"/>
        </w:rPr>
      </w:pPr>
      <w:r>
        <w:rPr>
          <w:rFonts w:ascii="Arial" w:cs="Arial" w:eastAsia="Arial" w:hAnsi="Arial"/>
          <w:sz w:val="14"/>
          <w:szCs w:val="14"/>
          <w:color w:val="auto"/>
        </w:rPr>
        <w:t>Under the Purchase Plan, Participants may contribute up to 10% of their basic annual salaries, and the Company contributes an amount equal to 50% of each Participant's contribution. All shares subscribed for under the Purchase Plan are newly issued by the Company. The total compensation cost recognized in 2009 related to the Purchase Plan was $3.8 million (2008 — $3.2 million).</w:t>
      </w:r>
    </w:p>
    <w:p>
      <w:pPr>
        <w:spacing w:after="0" w:line="192" w:lineRule="exact"/>
        <w:rPr>
          <w:rFonts w:ascii="Arial" w:cs="Arial" w:eastAsia="Arial" w:hAnsi="Arial"/>
          <w:sz w:val="14"/>
          <w:szCs w:val="14"/>
          <w:b w:val="1"/>
          <w:bCs w:val="1"/>
          <w:i w:val="1"/>
          <w:iCs w:val="1"/>
          <w:color w:val="auto"/>
        </w:rPr>
      </w:pPr>
    </w:p>
    <w:p>
      <w:pPr>
        <w:jc w:val="both"/>
        <w:ind w:left="1080"/>
        <w:spacing w:after="0" w:line="288" w:lineRule="auto"/>
        <w:rPr>
          <w:rFonts w:ascii="Arial" w:cs="Arial" w:eastAsia="Arial" w:hAnsi="Arial"/>
          <w:sz w:val="14"/>
          <w:szCs w:val="14"/>
          <w:b w:val="1"/>
          <w:bCs w:val="1"/>
          <w:i w:val="1"/>
          <w:iCs w:val="1"/>
          <w:color w:val="auto"/>
        </w:rPr>
      </w:pPr>
      <w:r>
        <w:rPr>
          <w:rFonts w:ascii="Arial" w:cs="Arial" w:eastAsia="Arial" w:hAnsi="Arial"/>
          <w:sz w:val="12"/>
          <w:szCs w:val="12"/>
          <w:color w:val="auto"/>
        </w:rPr>
        <w:t>In 2009, 196,649 common shares were subscribed for under the Purchase Plan (2008 — 154,998; 2007 — 167,378) for a value of $11.3 million (2008 — $9.5 million; 2007 — $7.1 million). In May 2008, shareholders approved an increase in the maximum number of shares reserved for issuance under the Purchase Plan to 5,000,000 from 2,500,000. As at December 31, 2009, Agnico-Eagle has reserved for issuance 2,740,504 common shares (2008 — 2,937,153; 2007 — 592,151) under the Purchase Plan.</w:t>
      </w:r>
    </w:p>
    <w:p>
      <w:pPr>
        <w:spacing w:after="0" w:line="151" w:lineRule="exact"/>
        <w:rPr>
          <w:rFonts w:ascii="Arial" w:cs="Arial" w:eastAsia="Arial" w:hAnsi="Arial"/>
          <w:sz w:val="14"/>
          <w:szCs w:val="14"/>
          <w:b w:val="1"/>
          <w:bCs w:val="1"/>
          <w:i w:val="1"/>
          <w:iCs w:val="1"/>
          <w:color w:val="auto"/>
        </w:rPr>
      </w:pPr>
    </w:p>
    <w:p>
      <w:pPr>
        <w:ind w:left="1080" w:hanging="532"/>
        <w:spacing w:after="0"/>
        <w:tabs>
          <w:tab w:leader="none" w:pos="1080" w:val="left"/>
        </w:tabs>
        <w:numPr>
          <w:ilvl w:val="0"/>
          <w:numId w:val="98"/>
        </w:numPr>
        <w:rPr>
          <w:rFonts w:ascii="Arial" w:cs="Arial" w:eastAsia="Arial" w:hAnsi="Arial"/>
          <w:sz w:val="14"/>
          <w:szCs w:val="14"/>
          <w:b w:val="1"/>
          <w:bCs w:val="1"/>
          <w:i w:val="1"/>
          <w:iCs w:val="1"/>
          <w:color w:val="auto"/>
        </w:rPr>
      </w:pPr>
      <w:r>
        <w:rPr>
          <w:rFonts w:ascii="Arial" w:cs="Arial" w:eastAsia="Arial" w:hAnsi="Arial"/>
          <w:sz w:val="14"/>
          <w:szCs w:val="14"/>
          <w:b w:val="1"/>
          <w:bCs w:val="1"/>
          <w:i w:val="1"/>
          <w:iCs w:val="1"/>
          <w:color w:val="auto"/>
        </w:rPr>
        <w:t>Restricted Share Unit Plan</w:t>
      </w:r>
    </w:p>
    <w:p>
      <w:pPr>
        <w:spacing w:after="0" w:line="203" w:lineRule="exact"/>
        <w:rPr>
          <w:rFonts w:ascii="Arial" w:cs="Arial" w:eastAsia="Arial" w:hAnsi="Arial"/>
          <w:sz w:val="14"/>
          <w:szCs w:val="14"/>
          <w:b w:val="1"/>
          <w:bCs w:val="1"/>
          <w:i w:val="1"/>
          <w:iCs w:val="1"/>
          <w:color w:val="auto"/>
        </w:rPr>
      </w:pPr>
    </w:p>
    <w:p>
      <w:pPr>
        <w:jc w:val="both"/>
        <w:ind w:left="1080"/>
        <w:spacing w:after="0" w:line="233" w:lineRule="auto"/>
        <w:rPr>
          <w:rFonts w:ascii="Arial" w:cs="Arial" w:eastAsia="Arial" w:hAnsi="Arial"/>
          <w:sz w:val="14"/>
          <w:szCs w:val="14"/>
          <w:b w:val="1"/>
          <w:bCs w:val="1"/>
          <w:i w:val="1"/>
          <w:iCs w:val="1"/>
          <w:color w:val="auto"/>
        </w:rPr>
      </w:pPr>
      <w:r>
        <w:rPr>
          <w:rFonts w:ascii="Arial" w:cs="Arial" w:eastAsia="Arial" w:hAnsi="Arial"/>
          <w:sz w:val="14"/>
          <w:szCs w:val="14"/>
          <w:color w:val="auto"/>
        </w:rPr>
        <w:t>In 2009, the Company implemented a restricted share unit ("RSU") plan for certain employees. A deferred compensation balance was recorded for the total grant-date value on the date of the grant. The deferred compensation balance was recorded as a reduction of shareholders' equity and is being amortized as compensation expense (or capitalized to construction in progress) over the applicable vesting period of two years.</w:t>
      </w:r>
    </w:p>
    <w:p>
      <w:pPr>
        <w:spacing w:after="0" w:line="192" w:lineRule="exact"/>
        <w:rPr>
          <w:rFonts w:ascii="Arial" w:cs="Arial" w:eastAsia="Arial" w:hAnsi="Arial"/>
          <w:sz w:val="14"/>
          <w:szCs w:val="14"/>
          <w:b w:val="1"/>
          <w:bCs w:val="1"/>
          <w:i w:val="1"/>
          <w:iCs w:val="1"/>
          <w:color w:val="auto"/>
        </w:rPr>
      </w:pPr>
    </w:p>
    <w:p>
      <w:pPr>
        <w:jc w:val="both"/>
        <w:ind w:left="1080"/>
        <w:spacing w:after="0" w:line="227" w:lineRule="auto"/>
        <w:rPr>
          <w:rFonts w:ascii="Arial" w:cs="Arial" w:eastAsia="Arial" w:hAnsi="Arial"/>
          <w:sz w:val="14"/>
          <w:szCs w:val="14"/>
          <w:b w:val="1"/>
          <w:bCs w:val="1"/>
          <w:i w:val="1"/>
          <w:iCs w:val="1"/>
          <w:color w:val="auto"/>
        </w:rPr>
      </w:pPr>
      <w:r>
        <w:rPr>
          <w:rFonts w:ascii="Arial" w:cs="Arial" w:eastAsia="Arial" w:hAnsi="Arial"/>
          <w:sz w:val="14"/>
          <w:szCs w:val="14"/>
          <w:color w:val="auto"/>
        </w:rPr>
        <w:t>The Company funded the plan by transferring $3.0 million to an employee benefit trust (the "Trust") that then purchased shares of the Company in the open market. Compensation costs for RSUs incorporates an expected forfeiture rate. The forfeiture rate is estimated based on the Company's historical employee turnover rates and expectations of future forfeiture rates that incorporate various factors that include historical employee stock option plan forfeiture rates. For 2009, the impact of forfeitures was not material. For accounting purposes, the Trust is treated as a VIE and consolidated in the accounts of the Company. On consolidation, the dividends paid on the shares held by the Trust are eliminated. The shares purchased and held by the Trust are treated as not being outstanding for the basic earnings per share ("EPS") calculations. They are amortized back into basic EPS over the vesting period. All of the shares held by the Trust were included in the diluted EPS calculations.</w:t>
      </w:r>
    </w:p>
    <w:p>
      <w:pPr>
        <w:spacing w:after="0" w:line="193" w:lineRule="exact"/>
        <w:rPr>
          <w:rFonts w:ascii="Arial" w:cs="Arial" w:eastAsia="Arial" w:hAnsi="Arial"/>
          <w:sz w:val="14"/>
          <w:szCs w:val="14"/>
          <w:b w:val="1"/>
          <w:bCs w:val="1"/>
          <w:i w:val="1"/>
          <w:iCs w:val="1"/>
          <w:color w:val="auto"/>
        </w:rPr>
      </w:pPr>
    </w:p>
    <w:p>
      <w:pPr>
        <w:jc w:val="both"/>
        <w:ind w:left="1080"/>
        <w:spacing w:after="0" w:line="233" w:lineRule="auto"/>
        <w:rPr>
          <w:rFonts w:ascii="Arial" w:cs="Arial" w:eastAsia="Arial" w:hAnsi="Arial"/>
          <w:sz w:val="14"/>
          <w:szCs w:val="14"/>
          <w:b w:val="1"/>
          <w:bCs w:val="1"/>
          <w:i w:val="1"/>
          <w:iCs w:val="1"/>
          <w:color w:val="auto"/>
        </w:rPr>
      </w:pPr>
      <w:r>
        <w:rPr>
          <w:rFonts w:ascii="Arial" w:cs="Arial" w:eastAsia="Arial" w:hAnsi="Arial"/>
          <w:sz w:val="14"/>
          <w:szCs w:val="14"/>
          <w:color w:val="auto"/>
        </w:rPr>
        <w:t>Compensation cost related to the RSUs was $1.5 million in 2009, with $0.3 million being capitalized to Property, Plant and Mine Development line item in the consolidated balance sheets. The $1.2 million of compensation expense is included as a component of production, administration and exploration expense, consistent with the classification of other elements of compensation expense for those employees who had RSUs.</w:t>
      </w:r>
    </w:p>
    <w:p>
      <w:pPr>
        <w:spacing w:after="0" w:line="19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210" w:name="page211"/>
    <w:bookmarkEnd w:id="210"/>
    <w:p>
      <w:pPr>
        <w:jc w:val="center"/>
        <w:ind w:right="-19"/>
        <w:spacing w:after="0"/>
        <w:rPr>
          <w:sz w:val="20"/>
          <w:szCs w:val="20"/>
          <w:color w:val="auto"/>
        </w:rPr>
      </w:pPr>
      <w:r>
        <w:rPr>
          <w:rFonts w:ascii="Arial" w:cs="Arial" w:eastAsia="Arial" w:hAnsi="Arial"/>
          <w:sz w:val="18"/>
          <w:szCs w:val="18"/>
          <w:b w:val="1"/>
          <w:bCs w:val="1"/>
          <w:color w:val="auto"/>
        </w:rPr>
        <w:t>AGNICO-EAGLE MINES LIMITED</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 (Continued)</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(thousands of United States dollars, except per share amounts, unless otherwise indicated)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December 31, 2009</w:t>
      </w:r>
    </w:p>
    <w:p>
      <w:pPr>
        <w:spacing w:after="0" w:line="214" w:lineRule="exact"/>
        <w:rPr>
          <w:sz w:val="20"/>
          <w:szCs w:val="20"/>
          <w:color w:val="auto"/>
        </w:rPr>
      </w:pPr>
    </w:p>
    <w:tbl>
      <w:tblPr>
        <w:tblLayout w:type="fixed"/>
        <w:tblInd w:w="0" w:type="dxa"/>
        <w:tblCellMar>
          <w:top w:w="0" w:type="dxa"/>
          <w:left w:w="0" w:type="dxa"/>
          <w:bottom w:w="0" w:type="dxa"/>
          <w:right w:w="0" w:type="dxa"/>
        </w:tblCellMar>
      </w:tblPr>
      <w:tr>
        <w:trPr>
          <w:trHeight w:val="174"/>
        </w:trPr>
        <w:tc>
          <w:tcPr>
            <w:tcW w:w="8060" w:type="dxa"/>
            <w:vAlign w:val="bottom"/>
            <w:gridSpan w:val="2"/>
          </w:tcPr>
          <w:p>
            <w:pPr>
              <w:spacing w:after="0"/>
              <w:rPr>
                <w:sz w:val="20"/>
                <w:szCs w:val="20"/>
                <w:color w:val="auto"/>
              </w:rPr>
            </w:pPr>
            <w:r>
              <w:rPr>
                <w:rFonts w:ascii="Arial" w:cs="Arial" w:eastAsia="Arial" w:hAnsi="Arial"/>
                <w:sz w:val="14"/>
                <w:szCs w:val="14"/>
                <w:b w:val="1"/>
                <w:bCs w:val="1"/>
                <w:color w:val="auto"/>
              </w:rPr>
              <w:t>8.   INCOME AND MINING TAXES</w:t>
            </w:r>
          </w:p>
        </w:tc>
        <w:tc>
          <w:tcPr>
            <w:tcW w:w="10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160" w:type="dxa"/>
            <w:vAlign w:val="bottom"/>
          </w:tcPr>
          <w:p>
            <w:pPr>
              <w:spacing w:after="0"/>
              <w:rPr>
                <w:sz w:val="15"/>
                <w:szCs w:val="15"/>
                <w:color w:val="auto"/>
              </w:rPr>
            </w:pPr>
          </w:p>
        </w:tc>
      </w:tr>
      <w:tr>
        <w:trPr>
          <w:trHeight w:val="365"/>
        </w:trPr>
        <w:tc>
          <w:tcPr>
            <w:tcW w:w="8060" w:type="dxa"/>
            <w:vAlign w:val="bottom"/>
            <w:gridSpan w:val="2"/>
          </w:tcPr>
          <w:p>
            <w:pPr>
              <w:ind w:left="540"/>
              <w:spacing w:after="0"/>
              <w:rPr>
                <w:sz w:val="20"/>
                <w:szCs w:val="20"/>
                <w:color w:val="auto"/>
              </w:rPr>
            </w:pPr>
            <w:r>
              <w:rPr>
                <w:rFonts w:ascii="Arial" w:cs="Arial" w:eastAsia="Arial" w:hAnsi="Arial"/>
                <w:sz w:val="14"/>
                <w:szCs w:val="14"/>
                <w:color w:val="auto"/>
              </w:rPr>
              <w:t>Income and mining taxes recovery is made up of the following geographic components:</w:t>
            </w:r>
          </w:p>
        </w:tc>
        <w:tc>
          <w:tcPr>
            <w:tcW w:w="10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60" w:type="dxa"/>
            <w:vAlign w:val="bottom"/>
          </w:tcPr>
          <w:p>
            <w:pPr>
              <w:spacing w:after="0"/>
              <w:rPr>
                <w:sz w:val="24"/>
                <w:szCs w:val="24"/>
                <w:color w:val="auto"/>
              </w:rPr>
            </w:pPr>
          </w:p>
        </w:tc>
      </w:tr>
      <w:tr>
        <w:trPr>
          <w:trHeight w:val="352"/>
        </w:trPr>
        <w:tc>
          <w:tcPr>
            <w:tcW w:w="1160" w:type="dxa"/>
            <w:vAlign w:val="bottom"/>
          </w:tcPr>
          <w:p>
            <w:pPr>
              <w:spacing w:after="0"/>
              <w:rPr>
                <w:sz w:val="24"/>
                <w:szCs w:val="24"/>
                <w:color w:val="auto"/>
              </w:rPr>
            </w:pPr>
          </w:p>
        </w:tc>
        <w:tc>
          <w:tcPr>
            <w:tcW w:w="6900" w:type="dxa"/>
            <w:vAlign w:val="bottom"/>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480" w:type="dxa"/>
            <w:vAlign w:val="bottom"/>
            <w:tcBorders>
              <w:bottom w:val="single" w:sz="8" w:color="auto"/>
            </w:tcBorders>
          </w:tcPr>
          <w:p>
            <w:pPr>
              <w:jc w:val="right"/>
              <w:ind w:right="92"/>
              <w:spacing w:after="0"/>
              <w:rPr>
                <w:sz w:val="20"/>
                <w:szCs w:val="20"/>
                <w:color w:val="auto"/>
              </w:rPr>
            </w:pPr>
            <w:r>
              <w:rPr>
                <w:rFonts w:ascii="Arial" w:cs="Arial" w:eastAsia="Arial" w:hAnsi="Arial"/>
                <w:sz w:val="14"/>
                <w:szCs w:val="14"/>
                <w:b w:val="1"/>
                <w:bCs w:val="1"/>
                <w:color w:val="auto"/>
                <w:w w:val="96"/>
              </w:rPr>
              <w:t>2009</w:t>
            </w:r>
          </w:p>
        </w:tc>
        <w:tc>
          <w:tcPr>
            <w:tcW w:w="16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jc w:val="right"/>
              <w:ind w:right="92"/>
              <w:spacing w:after="0"/>
              <w:rPr>
                <w:sz w:val="20"/>
                <w:szCs w:val="20"/>
                <w:color w:val="auto"/>
              </w:rPr>
            </w:pPr>
            <w:r>
              <w:rPr>
                <w:rFonts w:ascii="Arial" w:cs="Arial" w:eastAsia="Arial" w:hAnsi="Arial"/>
                <w:sz w:val="14"/>
                <w:szCs w:val="14"/>
                <w:b w:val="1"/>
                <w:bCs w:val="1"/>
                <w:color w:val="auto"/>
                <w:w w:val="89"/>
              </w:rPr>
              <w:t>2008</w:t>
            </w:r>
          </w:p>
        </w:tc>
        <w:tc>
          <w:tcPr>
            <w:tcW w:w="16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jc w:val="right"/>
              <w:ind w:right="92"/>
              <w:spacing w:after="0"/>
              <w:rPr>
                <w:sz w:val="20"/>
                <w:szCs w:val="20"/>
                <w:color w:val="auto"/>
              </w:rPr>
            </w:pPr>
            <w:r>
              <w:rPr>
                <w:rFonts w:ascii="Arial" w:cs="Arial" w:eastAsia="Arial" w:hAnsi="Arial"/>
                <w:sz w:val="14"/>
                <w:szCs w:val="14"/>
                <w:b w:val="1"/>
                <w:bCs w:val="1"/>
                <w:color w:val="auto"/>
                <w:w w:val="89"/>
              </w:rPr>
              <w:t>2007</w:t>
            </w:r>
          </w:p>
        </w:tc>
        <w:tc>
          <w:tcPr>
            <w:tcW w:w="160" w:type="dxa"/>
            <w:vAlign w:val="bottom"/>
          </w:tcPr>
          <w:p>
            <w:pPr>
              <w:spacing w:after="0"/>
              <w:rPr>
                <w:sz w:val="24"/>
                <w:szCs w:val="24"/>
                <w:color w:val="auto"/>
              </w:rPr>
            </w:pPr>
          </w:p>
        </w:tc>
      </w:tr>
      <w:tr>
        <w:trPr>
          <w:trHeight w:val="142"/>
        </w:trPr>
        <w:tc>
          <w:tcPr>
            <w:tcW w:w="1160" w:type="dxa"/>
            <w:vAlign w:val="bottom"/>
          </w:tcPr>
          <w:p>
            <w:pPr>
              <w:spacing w:after="0"/>
              <w:rPr>
                <w:sz w:val="12"/>
                <w:szCs w:val="12"/>
                <w:color w:val="auto"/>
              </w:rPr>
            </w:pPr>
          </w:p>
        </w:tc>
        <w:tc>
          <w:tcPr>
            <w:tcW w:w="6900" w:type="dxa"/>
            <w:vAlign w:val="bottom"/>
            <w:shd w:val="clear" w:color="auto" w:fill="CCEEFF"/>
          </w:tcPr>
          <w:p>
            <w:pPr>
              <w:ind w:left="100"/>
              <w:spacing w:after="0" w:line="142" w:lineRule="exact"/>
              <w:rPr>
                <w:sz w:val="20"/>
                <w:szCs w:val="20"/>
                <w:color w:val="auto"/>
              </w:rPr>
            </w:pPr>
            <w:r>
              <w:rPr>
                <w:rFonts w:ascii="Arial" w:cs="Arial" w:eastAsia="Arial" w:hAnsi="Arial"/>
                <w:sz w:val="14"/>
                <w:szCs w:val="14"/>
                <w:color w:val="auto"/>
              </w:rPr>
              <w:t>Current provision</w:t>
            </w:r>
          </w:p>
        </w:tc>
        <w:tc>
          <w:tcPr>
            <w:tcW w:w="10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r>
      <w:tr>
        <w:trPr>
          <w:trHeight w:val="149"/>
        </w:trPr>
        <w:tc>
          <w:tcPr>
            <w:tcW w:w="1160" w:type="dxa"/>
            <w:vAlign w:val="bottom"/>
          </w:tcPr>
          <w:p>
            <w:pPr>
              <w:spacing w:after="0"/>
              <w:rPr>
                <w:sz w:val="12"/>
                <w:szCs w:val="12"/>
                <w:color w:val="auto"/>
              </w:rPr>
            </w:pPr>
          </w:p>
        </w:tc>
        <w:tc>
          <w:tcPr>
            <w:tcW w:w="6900" w:type="dxa"/>
            <w:vAlign w:val="bottom"/>
          </w:tcPr>
          <w:p>
            <w:pPr>
              <w:ind w:left="320"/>
              <w:spacing w:after="0" w:line="149" w:lineRule="exact"/>
              <w:rPr>
                <w:sz w:val="20"/>
                <w:szCs w:val="20"/>
                <w:color w:val="auto"/>
              </w:rPr>
            </w:pPr>
            <w:r>
              <w:rPr>
                <w:rFonts w:ascii="Arial" w:cs="Arial" w:eastAsia="Arial" w:hAnsi="Arial"/>
                <w:sz w:val="14"/>
                <w:szCs w:val="14"/>
                <w:color w:val="auto"/>
              </w:rPr>
              <w:t>Canada</w:t>
            </w:r>
          </w:p>
        </w:tc>
        <w:tc>
          <w:tcPr>
            <w:tcW w:w="10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480" w:type="dxa"/>
            <w:vAlign w:val="bottom"/>
          </w:tcPr>
          <w:p>
            <w:pPr>
              <w:jc w:val="right"/>
              <w:spacing w:after="0" w:line="149" w:lineRule="exact"/>
              <w:rPr>
                <w:sz w:val="20"/>
                <w:szCs w:val="20"/>
                <w:color w:val="auto"/>
              </w:rPr>
            </w:pPr>
            <w:r>
              <w:rPr>
                <w:rFonts w:ascii="Arial" w:cs="Arial" w:eastAsia="Arial" w:hAnsi="Arial"/>
                <w:sz w:val="14"/>
                <w:szCs w:val="14"/>
                <w:color w:val="auto"/>
              </w:rPr>
              <w:t>1,171</w:t>
            </w:r>
          </w:p>
        </w:tc>
        <w:tc>
          <w:tcPr>
            <w:tcW w:w="160" w:type="dxa"/>
            <w:vAlign w:val="bottom"/>
          </w:tcPr>
          <w:p>
            <w:pPr>
              <w:spacing w:after="0"/>
              <w:rPr>
                <w:sz w:val="12"/>
                <w:szCs w:val="12"/>
                <w:color w:val="auto"/>
              </w:rPr>
            </w:pPr>
          </w:p>
        </w:tc>
        <w:tc>
          <w:tcPr>
            <w:tcW w:w="12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460" w:type="dxa"/>
            <w:vAlign w:val="bottom"/>
          </w:tcPr>
          <w:p>
            <w:pPr>
              <w:jc w:val="right"/>
              <w:spacing w:after="0" w:line="149" w:lineRule="exact"/>
              <w:rPr>
                <w:sz w:val="20"/>
                <w:szCs w:val="20"/>
                <w:color w:val="auto"/>
              </w:rPr>
            </w:pPr>
            <w:r>
              <w:rPr>
                <w:rFonts w:ascii="Arial" w:cs="Arial" w:eastAsia="Arial" w:hAnsi="Arial"/>
                <w:sz w:val="14"/>
                <w:szCs w:val="14"/>
                <w:color w:val="auto"/>
              </w:rPr>
              <w:t>6,143</w:t>
            </w:r>
          </w:p>
        </w:tc>
        <w:tc>
          <w:tcPr>
            <w:tcW w:w="160" w:type="dxa"/>
            <w:vAlign w:val="bottom"/>
          </w:tcPr>
          <w:p>
            <w:pPr>
              <w:spacing w:after="0"/>
              <w:rPr>
                <w:sz w:val="12"/>
                <w:szCs w:val="12"/>
                <w:color w:val="auto"/>
              </w:rPr>
            </w:pPr>
          </w:p>
        </w:tc>
        <w:tc>
          <w:tcPr>
            <w:tcW w:w="12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460" w:type="dxa"/>
            <w:vAlign w:val="bottom"/>
          </w:tcPr>
          <w:p>
            <w:pPr>
              <w:jc w:val="right"/>
              <w:spacing w:after="0" w:line="149" w:lineRule="exact"/>
              <w:rPr>
                <w:sz w:val="20"/>
                <w:szCs w:val="20"/>
                <w:color w:val="auto"/>
              </w:rPr>
            </w:pPr>
            <w:r>
              <w:rPr>
                <w:rFonts w:ascii="Arial" w:cs="Arial" w:eastAsia="Arial" w:hAnsi="Arial"/>
                <w:sz w:val="14"/>
                <w:szCs w:val="14"/>
                <w:color w:val="auto"/>
              </w:rPr>
              <w:t>3,272</w:t>
            </w:r>
          </w:p>
        </w:tc>
        <w:tc>
          <w:tcPr>
            <w:tcW w:w="160" w:type="dxa"/>
            <w:vAlign w:val="bottom"/>
          </w:tcPr>
          <w:p>
            <w:pPr>
              <w:spacing w:after="0"/>
              <w:rPr>
                <w:sz w:val="12"/>
                <w:szCs w:val="12"/>
                <w:color w:val="auto"/>
              </w:rPr>
            </w:pPr>
          </w:p>
        </w:tc>
      </w:tr>
      <w:tr>
        <w:trPr>
          <w:trHeight w:val="149"/>
        </w:trPr>
        <w:tc>
          <w:tcPr>
            <w:tcW w:w="1160" w:type="dxa"/>
            <w:vAlign w:val="bottom"/>
          </w:tcPr>
          <w:p>
            <w:pPr>
              <w:spacing w:after="0"/>
              <w:rPr>
                <w:sz w:val="12"/>
                <w:szCs w:val="12"/>
                <w:color w:val="auto"/>
              </w:rPr>
            </w:pPr>
          </w:p>
        </w:tc>
        <w:tc>
          <w:tcPr>
            <w:tcW w:w="6900" w:type="dxa"/>
            <w:vAlign w:val="bottom"/>
            <w:shd w:val="clear" w:color="auto" w:fill="CCEEFF"/>
          </w:tcPr>
          <w:p>
            <w:pPr>
              <w:ind w:left="100"/>
              <w:spacing w:after="0" w:line="149" w:lineRule="exact"/>
              <w:rPr>
                <w:sz w:val="20"/>
                <w:szCs w:val="20"/>
                <w:color w:val="auto"/>
              </w:rPr>
            </w:pPr>
            <w:r>
              <w:rPr>
                <w:rFonts w:ascii="Arial" w:cs="Arial" w:eastAsia="Arial" w:hAnsi="Arial"/>
                <w:sz w:val="14"/>
                <w:szCs w:val="14"/>
                <w:color w:val="auto"/>
              </w:rPr>
              <w:t>Future provision (recovery)</w:t>
            </w:r>
          </w:p>
        </w:tc>
        <w:tc>
          <w:tcPr>
            <w:tcW w:w="10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r>
      <w:tr>
        <w:trPr>
          <w:trHeight w:val="149"/>
        </w:trPr>
        <w:tc>
          <w:tcPr>
            <w:tcW w:w="1160" w:type="dxa"/>
            <w:vAlign w:val="bottom"/>
          </w:tcPr>
          <w:p>
            <w:pPr>
              <w:spacing w:after="0"/>
              <w:rPr>
                <w:sz w:val="12"/>
                <w:szCs w:val="12"/>
                <w:color w:val="auto"/>
              </w:rPr>
            </w:pPr>
          </w:p>
        </w:tc>
        <w:tc>
          <w:tcPr>
            <w:tcW w:w="6900" w:type="dxa"/>
            <w:vAlign w:val="bottom"/>
          </w:tcPr>
          <w:p>
            <w:pPr>
              <w:ind w:left="320"/>
              <w:spacing w:after="0" w:line="149" w:lineRule="exact"/>
              <w:rPr>
                <w:sz w:val="20"/>
                <w:szCs w:val="20"/>
                <w:color w:val="auto"/>
              </w:rPr>
            </w:pPr>
            <w:r>
              <w:rPr>
                <w:rFonts w:ascii="Arial" w:cs="Arial" w:eastAsia="Arial" w:hAnsi="Arial"/>
                <w:sz w:val="14"/>
                <w:szCs w:val="14"/>
                <w:color w:val="auto"/>
              </w:rPr>
              <w:t>Canada</w:t>
            </w:r>
          </w:p>
        </w:tc>
        <w:tc>
          <w:tcPr>
            <w:tcW w:w="100" w:type="dxa"/>
            <w:vAlign w:val="bottom"/>
          </w:tcPr>
          <w:p>
            <w:pPr>
              <w:spacing w:after="0"/>
              <w:rPr>
                <w:sz w:val="12"/>
                <w:szCs w:val="12"/>
                <w:color w:val="auto"/>
              </w:rPr>
            </w:pPr>
          </w:p>
        </w:tc>
        <w:tc>
          <w:tcPr>
            <w:tcW w:w="480" w:type="dxa"/>
            <w:vAlign w:val="bottom"/>
          </w:tcPr>
          <w:p>
            <w:pPr>
              <w:jc w:val="right"/>
              <w:spacing w:after="0" w:line="149" w:lineRule="exact"/>
              <w:rPr>
                <w:sz w:val="20"/>
                <w:szCs w:val="20"/>
                <w:color w:val="auto"/>
              </w:rPr>
            </w:pPr>
            <w:r>
              <w:rPr>
                <w:rFonts w:ascii="Arial" w:cs="Arial" w:eastAsia="Arial" w:hAnsi="Arial"/>
                <w:sz w:val="14"/>
                <w:szCs w:val="14"/>
                <w:color w:val="auto"/>
              </w:rPr>
              <w:t>27,083</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60" w:type="dxa"/>
            <w:vAlign w:val="bottom"/>
          </w:tcPr>
          <w:p>
            <w:pPr>
              <w:jc w:val="right"/>
              <w:spacing w:after="0" w:line="149" w:lineRule="exact"/>
              <w:rPr>
                <w:sz w:val="20"/>
                <w:szCs w:val="20"/>
                <w:color w:val="auto"/>
              </w:rPr>
            </w:pPr>
            <w:r>
              <w:rPr>
                <w:rFonts w:ascii="Arial" w:cs="Arial" w:eastAsia="Arial" w:hAnsi="Arial"/>
                <w:sz w:val="14"/>
                <w:szCs w:val="14"/>
                <w:color w:val="auto"/>
              </w:rPr>
              <w:t>25,580</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60" w:type="dxa"/>
            <w:vAlign w:val="bottom"/>
          </w:tcPr>
          <w:p>
            <w:pPr>
              <w:jc w:val="right"/>
              <w:spacing w:after="0" w:line="149" w:lineRule="exact"/>
              <w:rPr>
                <w:sz w:val="20"/>
                <w:szCs w:val="20"/>
                <w:color w:val="auto"/>
              </w:rPr>
            </w:pPr>
            <w:r>
              <w:rPr>
                <w:rFonts w:ascii="Arial" w:cs="Arial" w:eastAsia="Arial" w:hAnsi="Arial"/>
                <w:sz w:val="14"/>
                <w:szCs w:val="14"/>
                <w:color w:val="auto"/>
              </w:rPr>
              <w:t>20,363</w:t>
            </w:r>
          </w:p>
        </w:tc>
        <w:tc>
          <w:tcPr>
            <w:tcW w:w="160" w:type="dxa"/>
            <w:vAlign w:val="bottom"/>
          </w:tcPr>
          <w:p>
            <w:pPr>
              <w:spacing w:after="0"/>
              <w:rPr>
                <w:sz w:val="12"/>
                <w:szCs w:val="12"/>
                <w:color w:val="auto"/>
              </w:rPr>
            </w:pPr>
          </w:p>
        </w:tc>
      </w:tr>
      <w:tr>
        <w:trPr>
          <w:trHeight w:val="149"/>
        </w:trPr>
        <w:tc>
          <w:tcPr>
            <w:tcW w:w="1160" w:type="dxa"/>
            <w:vAlign w:val="bottom"/>
          </w:tcPr>
          <w:p>
            <w:pPr>
              <w:spacing w:after="0"/>
              <w:rPr>
                <w:sz w:val="12"/>
                <w:szCs w:val="12"/>
                <w:color w:val="auto"/>
              </w:rPr>
            </w:pPr>
          </w:p>
        </w:tc>
        <w:tc>
          <w:tcPr>
            <w:tcW w:w="6900" w:type="dxa"/>
            <w:vAlign w:val="bottom"/>
            <w:shd w:val="clear" w:color="auto" w:fill="CCEEFF"/>
          </w:tcPr>
          <w:p>
            <w:pPr>
              <w:ind w:left="320"/>
              <w:spacing w:after="0" w:line="149" w:lineRule="exact"/>
              <w:rPr>
                <w:sz w:val="20"/>
                <w:szCs w:val="20"/>
                <w:color w:val="auto"/>
              </w:rPr>
            </w:pPr>
            <w:r>
              <w:rPr>
                <w:rFonts w:ascii="Arial" w:cs="Arial" w:eastAsia="Arial" w:hAnsi="Arial"/>
                <w:sz w:val="14"/>
                <w:szCs w:val="14"/>
                <w:color w:val="auto"/>
              </w:rPr>
              <w:t>Finland</w:t>
            </w:r>
          </w:p>
        </w:tc>
        <w:tc>
          <w:tcPr>
            <w:tcW w:w="100" w:type="dxa"/>
            <w:vAlign w:val="bottom"/>
            <w:shd w:val="clear" w:color="auto" w:fill="CCEEFF"/>
          </w:tcPr>
          <w:p>
            <w:pPr>
              <w:spacing w:after="0"/>
              <w:rPr>
                <w:sz w:val="12"/>
                <w:szCs w:val="12"/>
                <w:color w:val="auto"/>
              </w:rPr>
            </w:pPr>
          </w:p>
        </w:tc>
        <w:tc>
          <w:tcPr>
            <w:tcW w:w="6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(6,754)</w:t>
            </w:r>
          </w:p>
        </w:tc>
        <w:tc>
          <w:tcPr>
            <w:tcW w:w="120" w:type="dxa"/>
            <w:vAlign w:val="bottom"/>
            <w:shd w:val="clear" w:color="auto" w:fill="CCEEFF"/>
          </w:tcPr>
          <w:p>
            <w:pPr>
              <w:spacing w:after="0"/>
              <w:rPr>
                <w:sz w:val="12"/>
                <w:szCs w:val="12"/>
                <w:color w:val="auto"/>
              </w:rPr>
            </w:pPr>
          </w:p>
        </w:tc>
        <w:tc>
          <w:tcPr>
            <w:tcW w:w="6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(8,899)</w:t>
            </w:r>
          </w:p>
        </w:tc>
        <w:tc>
          <w:tcPr>
            <w:tcW w:w="120" w:type="dxa"/>
            <w:vAlign w:val="bottom"/>
            <w:shd w:val="clear" w:color="auto" w:fill="CCEEFF"/>
          </w:tcPr>
          <w:p>
            <w:pPr>
              <w:spacing w:after="0"/>
              <w:rPr>
                <w:sz w:val="12"/>
                <w:szCs w:val="12"/>
                <w:color w:val="auto"/>
              </w:rPr>
            </w:pPr>
          </w:p>
        </w:tc>
        <w:tc>
          <w:tcPr>
            <w:tcW w:w="6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(3,702)</w:t>
            </w:r>
          </w:p>
        </w:tc>
      </w:tr>
      <w:tr>
        <w:trPr>
          <w:trHeight w:val="27"/>
        </w:trPr>
        <w:tc>
          <w:tcPr>
            <w:tcW w:w="1160" w:type="dxa"/>
            <w:vAlign w:val="bottom"/>
          </w:tcPr>
          <w:p>
            <w:pPr>
              <w:spacing w:after="0"/>
              <w:rPr>
                <w:sz w:val="2"/>
                <w:szCs w:val="2"/>
                <w:color w:val="auto"/>
              </w:rPr>
            </w:pPr>
          </w:p>
        </w:tc>
        <w:tc>
          <w:tcPr>
            <w:tcW w:w="6900" w:type="dxa"/>
            <w:vAlign w:val="bottom"/>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r>
      <w:tr>
        <w:trPr>
          <w:trHeight w:val="230"/>
        </w:trPr>
        <w:tc>
          <w:tcPr>
            <w:tcW w:w="1160" w:type="dxa"/>
            <w:vAlign w:val="bottom"/>
          </w:tcPr>
          <w:p>
            <w:pPr>
              <w:spacing w:after="0"/>
              <w:rPr>
                <w:sz w:val="20"/>
                <w:szCs w:val="20"/>
                <w:color w:val="auto"/>
              </w:rPr>
            </w:pPr>
          </w:p>
        </w:tc>
        <w:tc>
          <w:tcPr>
            <w:tcW w:w="6900" w:type="dxa"/>
            <w:vAlign w:val="bottom"/>
          </w:tcPr>
          <w:p>
            <w:pPr>
              <w:spacing w:after="0"/>
              <w:rPr>
                <w:sz w:val="20"/>
                <w:szCs w:val="20"/>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w w:val="76"/>
              </w:rPr>
              <w:t>$</w:t>
            </w:r>
          </w:p>
        </w:tc>
        <w:tc>
          <w:tcPr>
            <w:tcW w:w="48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21,500</w:t>
            </w:r>
          </w:p>
        </w:tc>
        <w:tc>
          <w:tcPr>
            <w:tcW w:w="160" w:type="dxa"/>
            <w:vAlign w:val="bottom"/>
          </w:tcPr>
          <w:p>
            <w:pPr>
              <w:spacing w:after="0"/>
              <w:rPr>
                <w:sz w:val="20"/>
                <w:szCs w:val="20"/>
                <w:color w:val="auto"/>
              </w:rPr>
            </w:pP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w w:val="76"/>
              </w:rPr>
              <w:t>$</w:t>
            </w:r>
          </w:p>
        </w:tc>
        <w:tc>
          <w:tcPr>
            <w:tcW w:w="46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22,824</w:t>
            </w:r>
          </w:p>
        </w:tc>
        <w:tc>
          <w:tcPr>
            <w:tcW w:w="160" w:type="dxa"/>
            <w:vAlign w:val="bottom"/>
          </w:tcPr>
          <w:p>
            <w:pPr>
              <w:spacing w:after="0"/>
              <w:rPr>
                <w:sz w:val="20"/>
                <w:szCs w:val="20"/>
                <w:color w:val="auto"/>
              </w:rPr>
            </w:pP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w w:val="76"/>
              </w:rPr>
              <w:t>$</w:t>
            </w:r>
          </w:p>
        </w:tc>
        <w:tc>
          <w:tcPr>
            <w:tcW w:w="46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19,933</w:t>
            </w:r>
          </w:p>
        </w:tc>
        <w:tc>
          <w:tcPr>
            <w:tcW w:w="160" w:type="dxa"/>
            <w:vAlign w:val="bottom"/>
          </w:tcPr>
          <w:p>
            <w:pPr>
              <w:spacing w:after="0"/>
              <w:rPr>
                <w:sz w:val="20"/>
                <w:szCs w:val="20"/>
                <w:color w:val="auto"/>
              </w:rPr>
            </w:pPr>
          </w:p>
        </w:tc>
      </w:tr>
      <w:tr>
        <w:trPr>
          <w:trHeight w:val="20"/>
        </w:trPr>
        <w:tc>
          <w:tcPr>
            <w:tcW w:w="1160" w:type="dxa"/>
            <w:vAlign w:val="bottom"/>
          </w:tcPr>
          <w:p>
            <w:pPr>
              <w:spacing w:after="0" w:line="20" w:lineRule="exact"/>
              <w:rPr>
                <w:sz w:val="1"/>
                <w:szCs w:val="1"/>
                <w:color w:val="auto"/>
              </w:rPr>
            </w:pPr>
          </w:p>
        </w:tc>
        <w:tc>
          <w:tcPr>
            <w:tcW w:w="69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5" w:lineRule="exact"/>
        <w:rPr>
          <w:sz w:val="20"/>
          <w:szCs w:val="20"/>
          <w:color w:val="auto"/>
        </w:rPr>
      </w:pPr>
    </w:p>
    <w:p>
      <w:pPr>
        <w:ind w:left="540"/>
        <w:spacing w:after="0"/>
        <w:rPr>
          <w:sz w:val="20"/>
          <w:szCs w:val="20"/>
          <w:color w:val="auto"/>
        </w:rPr>
      </w:pPr>
      <w:r>
        <w:rPr>
          <w:rFonts w:ascii="Arial" w:cs="Arial" w:eastAsia="Arial" w:hAnsi="Arial"/>
          <w:sz w:val="14"/>
          <w:szCs w:val="14"/>
          <w:color w:val="auto"/>
        </w:rPr>
        <w:t>Cash income and mining taxes paid in 2009 were $8.8 million (2008 — $3.8 million; 2007 — $22.1 million).</w:t>
      </w:r>
    </w:p>
    <w:p>
      <w:pPr>
        <w:spacing w:after="0" w:line="204" w:lineRule="exact"/>
        <w:rPr>
          <w:sz w:val="20"/>
          <w:szCs w:val="20"/>
          <w:color w:val="auto"/>
        </w:rPr>
      </w:pPr>
    </w:p>
    <w:p>
      <w:pPr>
        <w:ind w:left="540"/>
        <w:spacing w:after="0"/>
        <w:rPr>
          <w:sz w:val="20"/>
          <w:szCs w:val="20"/>
          <w:color w:val="auto"/>
        </w:rPr>
      </w:pPr>
      <w:r>
        <w:rPr>
          <w:rFonts w:ascii="Arial" w:cs="Arial" w:eastAsia="Arial" w:hAnsi="Arial"/>
          <w:sz w:val="12"/>
          <w:szCs w:val="12"/>
          <w:color w:val="auto"/>
        </w:rPr>
        <w:t>The income and mining taxes recovery is different from the amount that would have been computed by applying the Canadian statutory income tax rate as a result of the following:</w:t>
      </w:r>
    </w:p>
    <w:p>
      <w:pPr>
        <w:spacing w:after="0" w:line="225" w:lineRule="exact"/>
        <w:rPr>
          <w:sz w:val="20"/>
          <w:szCs w:val="20"/>
          <w:color w:val="auto"/>
        </w:rPr>
      </w:pPr>
    </w:p>
    <w:tbl>
      <w:tblPr>
        <w:tblLayout w:type="fixed"/>
        <w:tblInd w:w="540" w:type="dxa"/>
        <w:tblCellMar>
          <w:top w:w="0" w:type="dxa"/>
          <w:left w:w="0" w:type="dxa"/>
          <w:bottom w:w="0" w:type="dxa"/>
          <w:right w:w="0" w:type="dxa"/>
        </w:tblCellMar>
      </w:tblPr>
      <w:tr>
        <w:trPr>
          <w:trHeight w:val="161"/>
        </w:trPr>
        <w:tc>
          <w:tcPr>
            <w:tcW w:w="620" w:type="dxa"/>
            <w:vAlign w:val="bottom"/>
          </w:tcPr>
          <w:p>
            <w:pPr>
              <w:spacing w:after="0"/>
              <w:rPr>
                <w:sz w:val="14"/>
                <w:szCs w:val="14"/>
                <w:color w:val="auto"/>
              </w:rPr>
            </w:pPr>
          </w:p>
        </w:tc>
        <w:tc>
          <w:tcPr>
            <w:tcW w:w="58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400" w:type="dxa"/>
            <w:vAlign w:val="bottom"/>
            <w:tcBorders>
              <w:bottom w:val="single" w:sz="8" w:color="auto"/>
            </w:tcBorders>
            <w:gridSpan w:val="3"/>
          </w:tcPr>
          <w:p>
            <w:pPr>
              <w:jc w:val="right"/>
              <w:ind w:right="32"/>
              <w:spacing w:after="0"/>
              <w:rPr>
                <w:sz w:val="20"/>
                <w:szCs w:val="20"/>
                <w:color w:val="auto"/>
              </w:rPr>
            </w:pPr>
            <w:r>
              <w:rPr>
                <w:rFonts w:ascii="Arial" w:cs="Arial" w:eastAsia="Arial" w:hAnsi="Arial"/>
                <w:sz w:val="14"/>
                <w:szCs w:val="14"/>
                <w:b w:val="1"/>
                <w:bCs w:val="1"/>
                <w:color w:val="auto"/>
                <w:w w:val="89"/>
              </w:rPr>
              <w:t>2009</w:t>
            </w: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420" w:type="dxa"/>
            <w:vAlign w:val="bottom"/>
            <w:tcBorders>
              <w:bottom w:val="single" w:sz="8" w:color="auto"/>
            </w:tcBorders>
            <w:gridSpan w:val="3"/>
          </w:tcPr>
          <w:p>
            <w:pPr>
              <w:jc w:val="right"/>
              <w:ind w:right="12"/>
              <w:spacing w:after="0"/>
              <w:rPr>
                <w:sz w:val="20"/>
                <w:szCs w:val="20"/>
                <w:color w:val="auto"/>
              </w:rPr>
            </w:pPr>
            <w:r>
              <w:rPr>
                <w:rFonts w:ascii="Arial" w:cs="Arial" w:eastAsia="Arial" w:hAnsi="Arial"/>
                <w:sz w:val="14"/>
                <w:szCs w:val="14"/>
                <w:b w:val="1"/>
                <w:bCs w:val="1"/>
                <w:color w:val="auto"/>
              </w:rPr>
              <w:t>2008</w:t>
            </w:r>
          </w:p>
        </w:tc>
        <w:tc>
          <w:tcPr>
            <w:tcW w:w="1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420" w:type="dxa"/>
            <w:vAlign w:val="bottom"/>
            <w:tcBorders>
              <w:bottom w:val="single" w:sz="8" w:color="auto"/>
            </w:tcBorders>
          </w:tcPr>
          <w:p>
            <w:pPr>
              <w:jc w:val="right"/>
              <w:ind w:right="12"/>
              <w:spacing w:after="0"/>
              <w:rPr>
                <w:sz w:val="20"/>
                <w:szCs w:val="20"/>
                <w:color w:val="auto"/>
              </w:rPr>
            </w:pPr>
            <w:r>
              <w:rPr>
                <w:rFonts w:ascii="Arial" w:cs="Arial" w:eastAsia="Arial" w:hAnsi="Arial"/>
                <w:sz w:val="14"/>
                <w:szCs w:val="14"/>
                <w:b w:val="1"/>
                <w:bCs w:val="1"/>
                <w:color w:val="auto"/>
              </w:rPr>
              <w:t>2007</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620" w:type="dxa"/>
            <w:vAlign w:val="bottom"/>
          </w:tcPr>
          <w:p>
            <w:pPr>
              <w:spacing w:after="0"/>
              <w:rPr>
                <w:sz w:val="12"/>
                <w:szCs w:val="12"/>
                <w:color w:val="auto"/>
              </w:rPr>
            </w:pPr>
          </w:p>
        </w:tc>
        <w:tc>
          <w:tcPr>
            <w:tcW w:w="5840" w:type="dxa"/>
            <w:vAlign w:val="bottom"/>
            <w:shd w:val="clear" w:color="auto" w:fill="CCEEFF"/>
          </w:tcPr>
          <w:p>
            <w:pPr>
              <w:ind w:left="200"/>
              <w:spacing w:after="0" w:line="142" w:lineRule="exact"/>
              <w:rPr>
                <w:sz w:val="20"/>
                <w:szCs w:val="20"/>
                <w:color w:val="auto"/>
              </w:rPr>
            </w:pPr>
            <w:r>
              <w:rPr>
                <w:rFonts w:ascii="Arial" w:cs="Arial" w:eastAsia="Arial" w:hAnsi="Arial"/>
                <w:sz w:val="14"/>
                <w:szCs w:val="14"/>
                <w:color w:val="auto"/>
              </w:rPr>
              <w:t>Combined federal and composite provincial tax rates</w:t>
            </w:r>
          </w:p>
        </w:tc>
        <w:tc>
          <w:tcPr>
            <w:tcW w:w="8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60" w:type="dxa"/>
            <w:vAlign w:val="bottom"/>
            <w:tcBorders>
              <w:right w:val="single" w:sz="8" w:color="CCEEFF"/>
            </w:tcBorders>
            <w:shd w:val="clear" w:color="auto" w:fill="CCEEFF"/>
          </w:tcPr>
          <w:p>
            <w:pPr>
              <w:spacing w:after="0"/>
              <w:rPr>
                <w:sz w:val="12"/>
                <w:szCs w:val="12"/>
                <w:color w:val="auto"/>
              </w:rPr>
            </w:pPr>
          </w:p>
        </w:tc>
        <w:tc>
          <w:tcPr>
            <w:tcW w:w="520" w:type="dxa"/>
            <w:vAlign w:val="bottom"/>
            <w:gridSpan w:val="4"/>
            <w:shd w:val="clear" w:color="auto" w:fill="CCEEFF"/>
          </w:tcPr>
          <w:p>
            <w:pPr>
              <w:jc w:val="right"/>
              <w:ind w:right="20"/>
              <w:spacing w:after="0" w:line="142" w:lineRule="exact"/>
              <w:rPr>
                <w:sz w:val="20"/>
                <w:szCs w:val="20"/>
                <w:color w:val="auto"/>
              </w:rPr>
            </w:pPr>
            <w:r>
              <w:rPr>
                <w:rFonts w:ascii="Arial" w:cs="Arial" w:eastAsia="Arial" w:hAnsi="Arial"/>
                <w:sz w:val="14"/>
                <w:szCs w:val="14"/>
                <w:color w:val="auto"/>
              </w:rPr>
              <w:t>30.9%</w:t>
            </w:r>
          </w:p>
        </w:tc>
        <w:tc>
          <w:tcPr>
            <w:tcW w:w="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40" w:type="dxa"/>
            <w:vAlign w:val="bottom"/>
            <w:gridSpan w:val="3"/>
            <w:shd w:val="clear" w:color="auto" w:fill="CCEEFF"/>
          </w:tcPr>
          <w:p>
            <w:pPr>
              <w:jc w:val="right"/>
              <w:ind w:right="20"/>
              <w:spacing w:after="0" w:line="142" w:lineRule="exact"/>
              <w:rPr>
                <w:sz w:val="20"/>
                <w:szCs w:val="20"/>
                <w:color w:val="auto"/>
              </w:rPr>
            </w:pPr>
            <w:r>
              <w:rPr>
                <w:rFonts w:ascii="Arial" w:cs="Arial" w:eastAsia="Arial" w:hAnsi="Arial"/>
                <w:sz w:val="14"/>
                <w:szCs w:val="14"/>
                <w:color w:val="auto"/>
              </w:rPr>
              <w:t>31.1%</w:t>
            </w:r>
          </w:p>
        </w:tc>
        <w:tc>
          <w:tcPr>
            <w:tcW w:w="620" w:type="dxa"/>
            <w:vAlign w:val="bottom"/>
            <w:gridSpan w:val="3"/>
            <w:shd w:val="clear" w:color="auto" w:fill="CCEEFF"/>
          </w:tcPr>
          <w:p>
            <w:pPr>
              <w:jc w:val="right"/>
              <w:ind w:right="60"/>
              <w:spacing w:after="0" w:line="142" w:lineRule="exact"/>
              <w:rPr>
                <w:sz w:val="20"/>
                <w:szCs w:val="20"/>
                <w:color w:val="auto"/>
              </w:rPr>
            </w:pPr>
            <w:r>
              <w:rPr>
                <w:rFonts w:ascii="Arial" w:cs="Arial" w:eastAsia="Arial" w:hAnsi="Arial"/>
                <w:sz w:val="14"/>
                <w:szCs w:val="14"/>
                <w:color w:val="auto"/>
              </w:rPr>
              <w:t>32.6%</w:t>
            </w:r>
          </w:p>
        </w:tc>
        <w:tc>
          <w:tcPr>
            <w:tcW w:w="0" w:type="dxa"/>
            <w:vAlign w:val="bottom"/>
          </w:tcPr>
          <w:p>
            <w:pPr>
              <w:spacing w:after="0"/>
              <w:rPr>
                <w:sz w:val="1"/>
                <w:szCs w:val="1"/>
                <w:color w:val="auto"/>
              </w:rPr>
            </w:pPr>
          </w:p>
        </w:tc>
      </w:tr>
      <w:tr>
        <w:trPr>
          <w:trHeight w:val="149"/>
        </w:trPr>
        <w:tc>
          <w:tcPr>
            <w:tcW w:w="620" w:type="dxa"/>
            <w:vAlign w:val="bottom"/>
          </w:tcPr>
          <w:p>
            <w:pPr>
              <w:spacing w:after="0"/>
              <w:rPr>
                <w:sz w:val="12"/>
                <w:szCs w:val="12"/>
                <w:color w:val="auto"/>
              </w:rPr>
            </w:pPr>
          </w:p>
        </w:tc>
        <w:tc>
          <w:tcPr>
            <w:tcW w:w="5840" w:type="dxa"/>
            <w:vAlign w:val="bottom"/>
          </w:tcPr>
          <w:p>
            <w:pPr>
              <w:ind w:left="200"/>
              <w:spacing w:after="0" w:line="149" w:lineRule="exact"/>
              <w:rPr>
                <w:sz w:val="20"/>
                <w:szCs w:val="20"/>
                <w:color w:val="auto"/>
              </w:rPr>
            </w:pPr>
            <w:r>
              <w:rPr>
                <w:rFonts w:ascii="Arial" w:cs="Arial" w:eastAsia="Arial" w:hAnsi="Arial"/>
                <w:sz w:val="14"/>
                <w:szCs w:val="14"/>
                <w:color w:val="auto"/>
              </w:rPr>
              <w:t>Increase (decrease) in taxes resulting from:</w:t>
            </w:r>
          </w:p>
        </w:tc>
        <w:tc>
          <w:tcPr>
            <w:tcW w:w="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620" w:type="dxa"/>
            <w:vAlign w:val="bottom"/>
          </w:tcPr>
          <w:p>
            <w:pPr>
              <w:spacing w:after="0"/>
              <w:rPr>
                <w:sz w:val="12"/>
                <w:szCs w:val="12"/>
                <w:color w:val="auto"/>
              </w:rPr>
            </w:pPr>
          </w:p>
        </w:tc>
        <w:tc>
          <w:tcPr>
            <w:tcW w:w="584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Provincial mining duties</w:t>
            </w:r>
          </w:p>
        </w:tc>
        <w:tc>
          <w:tcPr>
            <w:tcW w:w="8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60" w:type="dxa"/>
            <w:vAlign w:val="bottom"/>
            <w:tcBorders>
              <w:right w:val="single" w:sz="8" w:color="CCEEFF"/>
            </w:tcBorders>
            <w:shd w:val="clear" w:color="auto" w:fill="CCEEFF"/>
          </w:tcPr>
          <w:p>
            <w:pPr>
              <w:spacing w:after="0"/>
              <w:rPr>
                <w:sz w:val="12"/>
                <w:szCs w:val="12"/>
                <w:color w:val="auto"/>
              </w:rPr>
            </w:pPr>
          </w:p>
        </w:tc>
        <w:tc>
          <w:tcPr>
            <w:tcW w:w="400" w:type="dxa"/>
            <w:vAlign w:val="bottom"/>
            <w:gridSpan w:val="3"/>
            <w:shd w:val="clear" w:color="auto" w:fill="CCEEFF"/>
          </w:tcPr>
          <w:p>
            <w:pPr>
              <w:jc w:val="right"/>
              <w:spacing w:after="0" w:line="149" w:lineRule="exact"/>
              <w:rPr>
                <w:sz w:val="20"/>
                <w:szCs w:val="20"/>
                <w:color w:val="auto"/>
              </w:rPr>
            </w:pPr>
            <w:r>
              <w:rPr>
                <w:rFonts w:ascii="Arial" w:cs="Arial" w:eastAsia="Arial" w:hAnsi="Arial"/>
                <w:sz w:val="14"/>
                <w:szCs w:val="14"/>
                <w:color w:val="auto"/>
              </w:rPr>
              <w:t>16.1</w:t>
            </w:r>
          </w:p>
        </w:tc>
        <w:tc>
          <w:tcPr>
            <w:tcW w:w="1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30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6.9</w:t>
            </w:r>
          </w:p>
        </w:tc>
        <w:tc>
          <w:tcPr>
            <w:tcW w:w="140" w:type="dxa"/>
            <w:vAlign w:val="bottom"/>
            <w:shd w:val="clear" w:color="auto" w:fill="CCEEFF"/>
          </w:tcPr>
          <w:p>
            <w:pPr>
              <w:spacing w:after="0"/>
              <w:rPr>
                <w:sz w:val="12"/>
                <w:szCs w:val="12"/>
                <w:color w:val="auto"/>
              </w:rPr>
            </w:pPr>
          </w:p>
        </w:tc>
        <w:tc>
          <w:tcPr>
            <w:tcW w:w="4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12.3</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620" w:type="dxa"/>
            <w:vAlign w:val="bottom"/>
          </w:tcPr>
          <w:p>
            <w:pPr>
              <w:spacing w:after="0"/>
              <w:rPr>
                <w:sz w:val="12"/>
                <w:szCs w:val="12"/>
                <w:color w:val="auto"/>
              </w:rPr>
            </w:pPr>
          </w:p>
        </w:tc>
        <w:tc>
          <w:tcPr>
            <w:tcW w:w="5840" w:type="dxa"/>
            <w:vAlign w:val="bottom"/>
          </w:tcPr>
          <w:p>
            <w:pPr>
              <w:ind w:left="200"/>
              <w:spacing w:after="0" w:line="149" w:lineRule="exact"/>
              <w:rPr>
                <w:sz w:val="20"/>
                <w:szCs w:val="20"/>
                <w:color w:val="auto"/>
              </w:rPr>
            </w:pPr>
            <w:r>
              <w:rPr>
                <w:rFonts w:ascii="Arial" w:cs="Arial" w:eastAsia="Arial" w:hAnsi="Arial"/>
                <w:sz w:val="14"/>
                <w:szCs w:val="14"/>
                <w:color w:val="auto"/>
              </w:rPr>
              <w:t>Tax law change (US$ election)</w:t>
            </w:r>
          </w:p>
        </w:tc>
        <w:tc>
          <w:tcPr>
            <w:tcW w:w="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20" w:type="dxa"/>
            <w:vAlign w:val="bottom"/>
            <w:gridSpan w:val="4"/>
          </w:tcPr>
          <w:p>
            <w:pPr>
              <w:jc w:val="right"/>
              <w:ind w:right="80"/>
              <w:spacing w:after="0" w:line="149" w:lineRule="exact"/>
              <w:rPr>
                <w:sz w:val="20"/>
                <w:szCs w:val="20"/>
                <w:color w:val="auto"/>
              </w:rPr>
            </w:pPr>
            <w:r>
              <w:rPr>
                <w:rFonts w:ascii="Arial" w:cs="Arial" w:eastAsia="Arial" w:hAnsi="Arial"/>
                <w:sz w:val="14"/>
                <w:szCs w:val="14"/>
                <w:color w:val="auto"/>
              </w:rPr>
              <w:t>(24.4)</w:t>
            </w: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8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w w:val="85"/>
              </w:rPr>
              <w:t>—</w:t>
            </w:r>
          </w:p>
        </w:tc>
        <w:tc>
          <w:tcPr>
            <w:tcW w:w="40" w:type="dxa"/>
            <w:vAlign w:val="bottom"/>
          </w:tcPr>
          <w:p>
            <w:pPr>
              <w:spacing w:after="0"/>
              <w:rPr>
                <w:sz w:val="12"/>
                <w:szCs w:val="12"/>
                <w:color w:val="auto"/>
              </w:rPr>
            </w:pPr>
          </w:p>
        </w:tc>
        <w:tc>
          <w:tcPr>
            <w:tcW w:w="5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620" w:type="dxa"/>
            <w:vAlign w:val="bottom"/>
          </w:tcPr>
          <w:p>
            <w:pPr>
              <w:spacing w:after="0"/>
              <w:rPr>
                <w:sz w:val="12"/>
                <w:szCs w:val="12"/>
                <w:color w:val="auto"/>
              </w:rPr>
            </w:pPr>
          </w:p>
        </w:tc>
        <w:tc>
          <w:tcPr>
            <w:tcW w:w="584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Impact of foreign tax rates</w:t>
            </w:r>
          </w:p>
        </w:tc>
        <w:tc>
          <w:tcPr>
            <w:tcW w:w="8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6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4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w w:val="83"/>
              </w:rPr>
              <w:t>(4.9)</w:t>
            </w:r>
          </w:p>
        </w:tc>
        <w:tc>
          <w:tcPr>
            <w:tcW w:w="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8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w w:val="85"/>
              </w:rPr>
              <w:t>—</w:t>
            </w:r>
          </w:p>
        </w:tc>
        <w:tc>
          <w:tcPr>
            <w:tcW w:w="620" w:type="dxa"/>
            <w:vAlign w:val="bottom"/>
            <w:gridSpan w:val="3"/>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(2.3)</w:t>
            </w:r>
          </w:p>
        </w:tc>
        <w:tc>
          <w:tcPr>
            <w:tcW w:w="0" w:type="dxa"/>
            <w:vAlign w:val="bottom"/>
          </w:tcPr>
          <w:p>
            <w:pPr>
              <w:spacing w:after="0"/>
              <w:rPr>
                <w:sz w:val="1"/>
                <w:szCs w:val="1"/>
                <w:color w:val="auto"/>
              </w:rPr>
            </w:pPr>
          </w:p>
        </w:tc>
      </w:tr>
      <w:tr>
        <w:trPr>
          <w:trHeight w:val="149"/>
        </w:trPr>
        <w:tc>
          <w:tcPr>
            <w:tcW w:w="620" w:type="dxa"/>
            <w:vAlign w:val="bottom"/>
          </w:tcPr>
          <w:p>
            <w:pPr>
              <w:spacing w:after="0"/>
              <w:rPr>
                <w:sz w:val="12"/>
                <w:szCs w:val="12"/>
                <w:color w:val="auto"/>
              </w:rPr>
            </w:pPr>
          </w:p>
        </w:tc>
        <w:tc>
          <w:tcPr>
            <w:tcW w:w="5840" w:type="dxa"/>
            <w:vAlign w:val="bottom"/>
          </w:tcPr>
          <w:p>
            <w:pPr>
              <w:ind w:left="200"/>
              <w:spacing w:after="0" w:line="149" w:lineRule="exact"/>
              <w:rPr>
                <w:sz w:val="20"/>
                <w:szCs w:val="20"/>
                <w:color w:val="auto"/>
              </w:rPr>
            </w:pPr>
            <w:r>
              <w:rPr>
                <w:rFonts w:ascii="Arial" w:cs="Arial" w:eastAsia="Arial" w:hAnsi="Arial"/>
                <w:sz w:val="14"/>
                <w:szCs w:val="14"/>
                <w:color w:val="auto"/>
              </w:rPr>
              <w:t>Permanent differences</w:t>
            </w:r>
          </w:p>
        </w:tc>
        <w:tc>
          <w:tcPr>
            <w:tcW w:w="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20" w:type="dxa"/>
            <w:vAlign w:val="bottom"/>
          </w:tcPr>
          <w:p>
            <w:pPr>
              <w:jc w:val="right"/>
              <w:spacing w:after="0" w:line="149" w:lineRule="exact"/>
              <w:rPr>
                <w:sz w:val="20"/>
                <w:szCs w:val="20"/>
                <w:color w:val="auto"/>
              </w:rPr>
            </w:pPr>
            <w:r>
              <w:rPr>
                <w:rFonts w:ascii="Arial" w:cs="Arial" w:eastAsia="Arial" w:hAnsi="Arial"/>
                <w:sz w:val="14"/>
                <w:szCs w:val="14"/>
                <w:color w:val="auto"/>
                <w:w w:val="92"/>
              </w:rPr>
              <w:t>2.2</w:t>
            </w: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40" w:type="dxa"/>
            <w:vAlign w:val="bottom"/>
            <w:gridSpan w:val="3"/>
          </w:tcPr>
          <w:p>
            <w:pPr>
              <w:jc w:val="right"/>
              <w:ind w:right="100"/>
              <w:spacing w:after="0" w:line="149" w:lineRule="exact"/>
              <w:rPr>
                <w:sz w:val="20"/>
                <w:szCs w:val="20"/>
                <w:color w:val="auto"/>
              </w:rPr>
            </w:pPr>
            <w:r>
              <w:rPr>
                <w:rFonts w:ascii="Arial" w:cs="Arial" w:eastAsia="Arial" w:hAnsi="Arial"/>
                <w:sz w:val="14"/>
                <w:szCs w:val="14"/>
                <w:color w:val="auto"/>
                <w:w w:val="87"/>
              </w:rPr>
              <w:t>(13.4)</w:t>
            </w:r>
          </w:p>
        </w:tc>
        <w:tc>
          <w:tcPr>
            <w:tcW w:w="620" w:type="dxa"/>
            <w:vAlign w:val="bottom"/>
            <w:gridSpan w:val="3"/>
          </w:tcPr>
          <w:p>
            <w:pPr>
              <w:jc w:val="right"/>
              <w:ind w:right="120"/>
              <w:spacing w:after="0" w:line="149" w:lineRule="exact"/>
              <w:rPr>
                <w:sz w:val="20"/>
                <w:szCs w:val="20"/>
                <w:color w:val="auto"/>
              </w:rPr>
            </w:pPr>
            <w:r>
              <w:rPr>
                <w:rFonts w:ascii="Arial" w:cs="Arial" w:eastAsia="Arial" w:hAnsi="Arial"/>
                <w:sz w:val="14"/>
                <w:szCs w:val="14"/>
                <w:color w:val="auto"/>
              </w:rPr>
              <w:t>(0.9)</w:t>
            </w:r>
          </w:p>
        </w:tc>
        <w:tc>
          <w:tcPr>
            <w:tcW w:w="0" w:type="dxa"/>
            <w:vAlign w:val="bottom"/>
          </w:tcPr>
          <w:p>
            <w:pPr>
              <w:spacing w:after="0"/>
              <w:rPr>
                <w:sz w:val="1"/>
                <w:szCs w:val="1"/>
                <w:color w:val="auto"/>
              </w:rPr>
            </w:pPr>
          </w:p>
        </w:tc>
      </w:tr>
      <w:tr>
        <w:trPr>
          <w:trHeight w:val="149"/>
        </w:trPr>
        <w:tc>
          <w:tcPr>
            <w:tcW w:w="620" w:type="dxa"/>
            <w:vAlign w:val="bottom"/>
          </w:tcPr>
          <w:p>
            <w:pPr>
              <w:spacing w:after="0"/>
              <w:rPr>
                <w:sz w:val="12"/>
                <w:szCs w:val="12"/>
                <w:color w:val="auto"/>
              </w:rPr>
            </w:pPr>
          </w:p>
        </w:tc>
        <w:tc>
          <w:tcPr>
            <w:tcW w:w="584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Valuation allowance</w:t>
            </w:r>
          </w:p>
        </w:tc>
        <w:tc>
          <w:tcPr>
            <w:tcW w:w="8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6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4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30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5.8</w:t>
            </w:r>
          </w:p>
        </w:tc>
        <w:tc>
          <w:tcPr>
            <w:tcW w:w="1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74"/>
        </w:trPr>
        <w:tc>
          <w:tcPr>
            <w:tcW w:w="620" w:type="dxa"/>
            <w:vAlign w:val="bottom"/>
          </w:tcPr>
          <w:p>
            <w:pPr>
              <w:spacing w:after="0"/>
              <w:rPr>
                <w:sz w:val="15"/>
                <w:szCs w:val="15"/>
                <w:color w:val="auto"/>
              </w:rPr>
            </w:pPr>
          </w:p>
        </w:tc>
        <w:tc>
          <w:tcPr>
            <w:tcW w:w="5840" w:type="dxa"/>
            <w:vAlign w:val="bottom"/>
          </w:tcPr>
          <w:p>
            <w:pPr>
              <w:ind w:left="200"/>
              <w:spacing w:after="0"/>
              <w:rPr>
                <w:sz w:val="20"/>
                <w:szCs w:val="20"/>
                <w:color w:val="auto"/>
              </w:rPr>
            </w:pPr>
            <w:r>
              <w:rPr>
                <w:rFonts w:ascii="Arial" w:cs="Arial" w:eastAsia="Arial" w:hAnsi="Arial"/>
                <w:sz w:val="14"/>
                <w:szCs w:val="14"/>
                <w:color w:val="auto"/>
              </w:rPr>
              <w:t>Effect of changes in income tax rates</w:t>
            </w:r>
          </w:p>
        </w:tc>
        <w:tc>
          <w:tcPr>
            <w:tcW w:w="8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w:t>
            </w:r>
          </w:p>
        </w:tc>
        <w:tc>
          <w:tcPr>
            <w:tcW w:w="1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40" w:type="dxa"/>
            <w:vAlign w:val="bottom"/>
            <w:gridSpan w:val="3"/>
          </w:tcPr>
          <w:p>
            <w:pPr>
              <w:jc w:val="right"/>
              <w:ind w:right="100"/>
              <w:spacing w:after="0"/>
              <w:rPr>
                <w:sz w:val="20"/>
                <w:szCs w:val="20"/>
                <w:color w:val="auto"/>
              </w:rPr>
            </w:pPr>
            <w:r>
              <w:rPr>
                <w:rFonts w:ascii="Arial" w:cs="Arial" w:eastAsia="Arial" w:hAnsi="Arial"/>
                <w:sz w:val="14"/>
                <w:szCs w:val="14"/>
                <w:color w:val="auto"/>
              </w:rPr>
              <w:t>(6.6)</w:t>
            </w:r>
          </w:p>
        </w:tc>
        <w:tc>
          <w:tcPr>
            <w:tcW w:w="620" w:type="dxa"/>
            <w:vAlign w:val="bottom"/>
            <w:gridSpan w:val="3"/>
          </w:tcPr>
          <w:p>
            <w:pPr>
              <w:jc w:val="right"/>
              <w:ind w:right="120"/>
              <w:spacing w:after="0"/>
              <w:rPr>
                <w:sz w:val="20"/>
                <w:szCs w:val="20"/>
                <w:color w:val="auto"/>
              </w:rPr>
            </w:pPr>
            <w:r>
              <w:rPr>
                <w:rFonts w:ascii="Arial" w:cs="Arial" w:eastAsia="Arial" w:hAnsi="Arial"/>
                <w:sz w:val="14"/>
                <w:szCs w:val="14"/>
                <w:color w:val="auto"/>
              </w:rPr>
              <w:t>(29.2)</w:t>
            </w:r>
          </w:p>
        </w:tc>
        <w:tc>
          <w:tcPr>
            <w:tcW w:w="0" w:type="dxa"/>
            <w:vAlign w:val="bottom"/>
          </w:tcPr>
          <w:p>
            <w:pPr>
              <w:spacing w:after="0"/>
              <w:rPr>
                <w:sz w:val="1"/>
                <w:szCs w:val="1"/>
                <w:color w:val="auto"/>
              </w:rPr>
            </w:pPr>
          </w:p>
        </w:tc>
      </w:tr>
      <w:tr>
        <w:trPr>
          <w:trHeight w:val="20"/>
        </w:trPr>
        <w:tc>
          <w:tcPr>
            <w:tcW w:w="620" w:type="dxa"/>
            <w:vAlign w:val="bottom"/>
          </w:tcPr>
          <w:p>
            <w:pPr>
              <w:spacing w:after="0" w:line="20" w:lineRule="exact"/>
              <w:rPr>
                <w:sz w:val="1"/>
                <w:szCs w:val="1"/>
                <w:color w:val="auto"/>
              </w:rPr>
            </w:pPr>
          </w:p>
        </w:tc>
        <w:tc>
          <w:tcPr>
            <w:tcW w:w="58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60" w:type="dxa"/>
            <w:vAlign w:val="bottom"/>
            <w:tcBorders>
              <w:right w:val="single" w:sz="8" w:color="auto"/>
            </w:tcBorders>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4"/>
        </w:trPr>
        <w:tc>
          <w:tcPr>
            <w:tcW w:w="620" w:type="dxa"/>
            <w:vAlign w:val="bottom"/>
          </w:tcPr>
          <w:p>
            <w:pPr>
              <w:spacing w:after="0"/>
              <w:rPr>
                <w:sz w:val="12"/>
                <w:szCs w:val="12"/>
                <w:color w:val="auto"/>
              </w:rPr>
            </w:pPr>
          </w:p>
        </w:tc>
        <w:tc>
          <w:tcPr>
            <w:tcW w:w="5840" w:type="dxa"/>
            <w:vAlign w:val="bottom"/>
            <w:shd w:val="clear" w:color="auto" w:fill="CCEEFF"/>
          </w:tcPr>
          <w:p>
            <w:pPr>
              <w:ind w:left="200"/>
              <w:spacing w:after="0" w:line="144" w:lineRule="exact"/>
              <w:rPr>
                <w:sz w:val="20"/>
                <w:szCs w:val="20"/>
                <w:color w:val="auto"/>
              </w:rPr>
            </w:pPr>
            <w:r>
              <w:rPr>
                <w:rFonts w:ascii="Arial" w:cs="Arial" w:eastAsia="Arial" w:hAnsi="Arial"/>
                <w:sz w:val="14"/>
                <w:szCs w:val="14"/>
                <w:color w:val="auto"/>
              </w:rPr>
              <w:t>Actual rate as a percentage of pre-tax income</w:t>
            </w:r>
          </w:p>
        </w:tc>
        <w:tc>
          <w:tcPr>
            <w:tcW w:w="8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60" w:type="dxa"/>
            <w:vAlign w:val="bottom"/>
            <w:tcBorders>
              <w:right w:val="single" w:sz="8" w:color="CCEEFF"/>
            </w:tcBorders>
            <w:shd w:val="clear" w:color="auto" w:fill="CCEEFF"/>
          </w:tcPr>
          <w:p>
            <w:pPr>
              <w:spacing w:after="0"/>
              <w:rPr>
                <w:sz w:val="12"/>
                <w:szCs w:val="12"/>
                <w:color w:val="auto"/>
              </w:rPr>
            </w:pPr>
          </w:p>
        </w:tc>
        <w:tc>
          <w:tcPr>
            <w:tcW w:w="520" w:type="dxa"/>
            <w:vAlign w:val="bottom"/>
            <w:gridSpan w:val="4"/>
            <w:shd w:val="clear" w:color="auto" w:fill="CCEEFF"/>
          </w:tcPr>
          <w:p>
            <w:pPr>
              <w:jc w:val="right"/>
              <w:ind w:right="20"/>
              <w:spacing w:after="0" w:line="144" w:lineRule="exact"/>
              <w:rPr>
                <w:sz w:val="20"/>
                <w:szCs w:val="20"/>
                <w:color w:val="auto"/>
              </w:rPr>
            </w:pPr>
            <w:r>
              <w:rPr>
                <w:rFonts w:ascii="Arial" w:cs="Arial" w:eastAsia="Arial" w:hAnsi="Arial"/>
                <w:sz w:val="14"/>
                <w:szCs w:val="14"/>
                <w:color w:val="auto"/>
              </w:rPr>
              <w:t>19.9%</w:t>
            </w:r>
          </w:p>
        </w:tc>
        <w:tc>
          <w:tcPr>
            <w:tcW w:w="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40" w:type="dxa"/>
            <w:vAlign w:val="bottom"/>
            <w:gridSpan w:val="3"/>
            <w:shd w:val="clear" w:color="auto" w:fill="CCEEFF"/>
          </w:tcPr>
          <w:p>
            <w:pPr>
              <w:jc w:val="right"/>
              <w:ind w:right="20"/>
              <w:spacing w:after="0" w:line="144" w:lineRule="exact"/>
              <w:rPr>
                <w:sz w:val="20"/>
                <w:szCs w:val="20"/>
                <w:color w:val="auto"/>
              </w:rPr>
            </w:pPr>
            <w:r>
              <w:rPr>
                <w:rFonts w:ascii="Arial" w:cs="Arial" w:eastAsia="Arial" w:hAnsi="Arial"/>
                <w:sz w:val="14"/>
                <w:szCs w:val="14"/>
                <w:color w:val="auto"/>
              </w:rPr>
              <w:t>23.8%</w:t>
            </w:r>
          </w:p>
        </w:tc>
        <w:tc>
          <w:tcPr>
            <w:tcW w:w="620" w:type="dxa"/>
            <w:vAlign w:val="bottom"/>
            <w:gridSpan w:val="3"/>
            <w:shd w:val="clear" w:color="auto" w:fill="CCEEFF"/>
          </w:tcPr>
          <w:p>
            <w:pPr>
              <w:jc w:val="right"/>
              <w:ind w:right="60"/>
              <w:spacing w:after="0" w:line="144" w:lineRule="exact"/>
              <w:rPr>
                <w:sz w:val="20"/>
                <w:szCs w:val="20"/>
                <w:color w:val="auto"/>
              </w:rPr>
            </w:pPr>
            <w:r>
              <w:rPr>
                <w:rFonts w:ascii="Arial" w:cs="Arial" w:eastAsia="Arial" w:hAnsi="Arial"/>
                <w:sz w:val="14"/>
                <w:szCs w:val="14"/>
                <w:color w:val="auto"/>
              </w:rPr>
              <w:t>12.5%</w:t>
            </w:r>
          </w:p>
        </w:tc>
        <w:tc>
          <w:tcPr>
            <w:tcW w:w="0" w:type="dxa"/>
            <w:vAlign w:val="bottom"/>
          </w:tcPr>
          <w:p>
            <w:pPr>
              <w:spacing w:after="0"/>
              <w:rPr>
                <w:sz w:val="1"/>
                <w:szCs w:val="1"/>
                <w:color w:val="auto"/>
              </w:rPr>
            </w:pPr>
          </w:p>
        </w:tc>
      </w:tr>
      <w:tr>
        <w:trPr>
          <w:trHeight w:val="27"/>
        </w:trPr>
        <w:tc>
          <w:tcPr>
            <w:tcW w:w="6540" w:type="dxa"/>
            <w:vAlign w:val="bottom"/>
            <w:gridSpan w:val="3"/>
            <w:vMerge w:val="restart"/>
          </w:tcPr>
          <w:p>
            <w:pPr>
              <w:jc w:val="right"/>
              <w:ind w:right="9"/>
              <w:spacing w:after="0"/>
              <w:rPr>
                <w:sz w:val="20"/>
                <w:szCs w:val="20"/>
                <w:color w:val="auto"/>
              </w:rPr>
            </w:pPr>
            <w:r>
              <w:rPr>
                <w:rFonts w:ascii="Arial" w:cs="Arial" w:eastAsia="Arial" w:hAnsi="Arial"/>
                <w:sz w:val="14"/>
                <w:szCs w:val="14"/>
                <w:color w:val="auto"/>
                <w:w w:val="87"/>
              </w:rPr>
              <w:t>As at December 31, 2009 and 2008, Agnico-Eagle's future income and mining tax assets and liabilities were as follows:</w:t>
            </w:r>
          </w:p>
        </w:tc>
        <w:tc>
          <w:tcPr>
            <w:tcW w:w="500" w:type="dxa"/>
            <w:vAlign w:val="bottom"/>
          </w:tcPr>
          <w:p>
            <w:pPr>
              <w:spacing w:after="0"/>
              <w:rPr>
                <w:sz w:val="2"/>
                <w:szCs w:val="2"/>
                <w:color w:val="auto"/>
              </w:rPr>
            </w:pPr>
          </w:p>
        </w:tc>
        <w:tc>
          <w:tcPr>
            <w:tcW w:w="160" w:type="dxa"/>
            <w:vAlign w:val="bottom"/>
          </w:tcPr>
          <w:p>
            <w:pPr>
              <w:spacing w:after="0"/>
              <w:rPr>
                <w:sz w:val="2"/>
                <w:szCs w:val="2"/>
                <w:color w:val="auto"/>
              </w:rPr>
            </w:pPr>
          </w:p>
        </w:tc>
        <w:tc>
          <w:tcPr>
            <w:tcW w:w="60" w:type="dxa"/>
            <w:vAlign w:val="bottom"/>
          </w:tcPr>
          <w:p>
            <w:pPr>
              <w:spacing w:after="0"/>
              <w:rPr>
                <w:sz w:val="2"/>
                <w:szCs w:val="2"/>
                <w:color w:val="auto"/>
              </w:rPr>
            </w:pPr>
          </w:p>
        </w:tc>
        <w:tc>
          <w:tcPr>
            <w:tcW w:w="680" w:type="dxa"/>
            <w:vAlign w:val="bottom"/>
          </w:tcPr>
          <w:p>
            <w:pPr>
              <w:spacing w:after="0"/>
              <w:rPr>
                <w:sz w:val="2"/>
                <w:szCs w:val="2"/>
                <w:color w:val="auto"/>
              </w:rPr>
            </w:pPr>
          </w:p>
        </w:tc>
        <w:tc>
          <w:tcPr>
            <w:tcW w:w="60" w:type="dxa"/>
            <w:vAlign w:val="bottom"/>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20" w:type="dxa"/>
            <w:vAlign w:val="bottom"/>
          </w:tcPr>
          <w:p>
            <w:pPr>
              <w:spacing w:after="0"/>
              <w:rPr>
                <w:sz w:val="2"/>
                <w:szCs w:val="2"/>
                <w:color w:val="auto"/>
              </w:rPr>
            </w:pPr>
          </w:p>
        </w:tc>
        <w:tc>
          <w:tcPr>
            <w:tcW w:w="4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140" w:type="dxa"/>
            <w:vAlign w:val="bottom"/>
          </w:tcPr>
          <w:p>
            <w:pPr>
              <w:spacing w:after="0"/>
              <w:rPr>
                <w:sz w:val="2"/>
                <w:szCs w:val="2"/>
                <w:color w:val="auto"/>
              </w:rPr>
            </w:pPr>
          </w:p>
        </w:tc>
        <w:tc>
          <w:tcPr>
            <w:tcW w:w="40" w:type="dxa"/>
            <w:vAlign w:val="bottom"/>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6540" w:type="dxa"/>
            <w:vAlign w:val="bottom"/>
            <w:gridSpan w:val="3"/>
            <w:vMerge w:val="continue"/>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8"/>
        </w:trPr>
        <w:tc>
          <w:tcPr>
            <w:tcW w:w="6540" w:type="dxa"/>
            <w:vAlign w:val="bottom"/>
            <w:gridSpan w:val="3"/>
            <w:vMerge w:val="continue"/>
          </w:tcPr>
          <w:p>
            <w:pPr>
              <w:spacing w:after="0"/>
              <w:rPr>
                <w:sz w:val="24"/>
                <w:szCs w:val="24"/>
                <w:color w:val="auto"/>
              </w:rPr>
            </w:pPr>
          </w:p>
        </w:tc>
        <w:tc>
          <w:tcPr>
            <w:tcW w:w="5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52"/>
        </w:trPr>
        <w:tc>
          <w:tcPr>
            <w:tcW w:w="620" w:type="dxa"/>
            <w:vAlign w:val="bottom"/>
          </w:tcPr>
          <w:p>
            <w:pPr>
              <w:spacing w:after="0"/>
              <w:rPr>
                <w:sz w:val="24"/>
                <w:szCs w:val="24"/>
                <w:color w:val="auto"/>
              </w:rPr>
            </w:pPr>
          </w:p>
        </w:tc>
        <w:tc>
          <w:tcPr>
            <w:tcW w:w="5840" w:type="dxa"/>
            <w:vAlign w:val="bottom"/>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500" w:type="dxa"/>
            <w:vAlign w:val="bottom"/>
            <w:tcBorders>
              <w:bottom w:val="single" w:sz="8" w:color="auto"/>
            </w:tcBorders>
          </w:tcPr>
          <w:p>
            <w:pPr>
              <w:spacing w:after="0"/>
              <w:rPr>
                <w:sz w:val="24"/>
                <w:szCs w:val="24"/>
                <w:color w:val="auto"/>
              </w:rPr>
            </w:pPr>
          </w:p>
        </w:tc>
        <w:tc>
          <w:tcPr>
            <w:tcW w:w="900" w:type="dxa"/>
            <w:vAlign w:val="bottom"/>
            <w:tcBorders>
              <w:bottom w:val="single" w:sz="8" w:color="auto"/>
            </w:tcBorders>
            <w:gridSpan w:val="3"/>
          </w:tcPr>
          <w:p>
            <w:pPr>
              <w:jc w:val="right"/>
              <w:ind w:right="552"/>
              <w:spacing w:after="0"/>
              <w:rPr>
                <w:sz w:val="20"/>
                <w:szCs w:val="20"/>
                <w:color w:val="auto"/>
              </w:rPr>
            </w:pPr>
            <w:r>
              <w:rPr>
                <w:rFonts w:ascii="Arial" w:cs="Arial" w:eastAsia="Arial" w:hAnsi="Arial"/>
                <w:sz w:val="14"/>
                <w:szCs w:val="14"/>
                <w:b w:val="1"/>
                <w:bCs w:val="1"/>
                <w:color w:val="auto"/>
                <w:w w:val="83"/>
              </w:rPr>
              <w:t>2009</w:t>
            </w: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gridSpan w:val="2"/>
          </w:tcPr>
          <w:p>
            <w:pPr>
              <w:jc w:val="right"/>
              <w:spacing w:after="0"/>
              <w:rPr>
                <w:sz w:val="20"/>
                <w:szCs w:val="20"/>
                <w:color w:val="auto"/>
              </w:rPr>
            </w:pPr>
            <w:r>
              <w:rPr>
                <w:rFonts w:ascii="Arial" w:cs="Arial" w:eastAsia="Arial" w:hAnsi="Arial"/>
                <w:sz w:val="14"/>
                <w:szCs w:val="14"/>
                <w:b w:val="1"/>
                <w:bCs w:val="1"/>
                <w:color w:val="auto"/>
                <w:w w:val="83"/>
              </w:rPr>
              <w:t>2008</w:t>
            </w:r>
          </w:p>
        </w:tc>
        <w:tc>
          <w:tcPr>
            <w:tcW w:w="14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420" w:type="dxa"/>
            <w:vAlign w:val="bottom"/>
            <w:tcBorders>
              <w:bottom w:val="single" w:sz="8" w:color="auto"/>
            </w:tcBorders>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2"/>
        </w:trPr>
        <w:tc>
          <w:tcPr>
            <w:tcW w:w="620" w:type="dxa"/>
            <w:vAlign w:val="bottom"/>
          </w:tcPr>
          <w:p>
            <w:pPr>
              <w:spacing w:after="0"/>
              <w:rPr>
                <w:sz w:val="12"/>
                <w:szCs w:val="12"/>
                <w:color w:val="auto"/>
              </w:rPr>
            </w:pPr>
          </w:p>
        </w:tc>
        <w:tc>
          <w:tcPr>
            <w:tcW w:w="5840" w:type="dxa"/>
            <w:vAlign w:val="bottom"/>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500" w:type="dxa"/>
            <w:vAlign w:val="bottom"/>
            <w:tcBorders>
              <w:bottom w:val="single" w:sz="8" w:color="auto"/>
            </w:tcBorders>
          </w:tcPr>
          <w:p>
            <w:pPr>
              <w:jc w:val="right"/>
              <w:ind w:right="52"/>
              <w:spacing w:after="0" w:line="142" w:lineRule="exact"/>
              <w:rPr>
                <w:sz w:val="20"/>
                <w:szCs w:val="20"/>
                <w:color w:val="auto"/>
              </w:rPr>
            </w:pPr>
            <w:r>
              <w:rPr>
                <w:rFonts w:ascii="Arial" w:cs="Arial" w:eastAsia="Arial" w:hAnsi="Arial"/>
                <w:sz w:val="14"/>
                <w:szCs w:val="14"/>
                <w:b w:val="1"/>
                <w:bCs w:val="1"/>
                <w:color w:val="auto"/>
                <w:w w:val="78"/>
              </w:rPr>
              <w:t>Assets</w:t>
            </w:r>
          </w:p>
        </w:tc>
        <w:tc>
          <w:tcPr>
            <w:tcW w:w="160" w:type="dxa"/>
            <w:vAlign w:val="bottom"/>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680" w:type="dxa"/>
            <w:vAlign w:val="bottom"/>
            <w:tcBorders>
              <w:bottom w:val="single" w:sz="8" w:color="auto"/>
            </w:tcBorders>
          </w:tcPr>
          <w:p>
            <w:pPr>
              <w:jc w:val="right"/>
              <w:ind w:right="32"/>
              <w:spacing w:after="0" w:line="142" w:lineRule="exact"/>
              <w:rPr>
                <w:sz w:val="20"/>
                <w:szCs w:val="20"/>
                <w:color w:val="auto"/>
              </w:rPr>
            </w:pPr>
            <w:r>
              <w:rPr>
                <w:rFonts w:ascii="Arial" w:cs="Arial" w:eastAsia="Arial" w:hAnsi="Arial"/>
                <w:sz w:val="14"/>
                <w:szCs w:val="14"/>
                <w:b w:val="1"/>
                <w:bCs w:val="1"/>
                <w:color w:val="auto"/>
                <w:w w:val="86"/>
              </w:rPr>
              <w:t>Liabilities</w:t>
            </w:r>
          </w:p>
        </w:tc>
        <w:tc>
          <w:tcPr>
            <w:tcW w:w="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500" w:type="dxa"/>
            <w:vAlign w:val="bottom"/>
            <w:tcBorders>
              <w:bottom w:val="single" w:sz="8" w:color="auto"/>
            </w:tcBorders>
            <w:gridSpan w:val="4"/>
          </w:tcPr>
          <w:p>
            <w:pPr>
              <w:jc w:val="right"/>
              <w:ind w:right="52"/>
              <w:spacing w:after="0" w:line="142" w:lineRule="exact"/>
              <w:rPr>
                <w:sz w:val="20"/>
                <w:szCs w:val="20"/>
                <w:color w:val="auto"/>
              </w:rPr>
            </w:pPr>
            <w:r>
              <w:rPr>
                <w:rFonts w:ascii="Arial" w:cs="Arial" w:eastAsia="Arial" w:hAnsi="Arial"/>
                <w:sz w:val="14"/>
                <w:szCs w:val="14"/>
                <w:b w:val="1"/>
                <w:bCs w:val="1"/>
                <w:color w:val="auto"/>
                <w:w w:val="78"/>
              </w:rPr>
              <w:t>Assets</w:t>
            </w:r>
          </w:p>
        </w:tc>
        <w:tc>
          <w:tcPr>
            <w:tcW w:w="160" w:type="dxa"/>
            <w:vAlign w:val="bottom"/>
          </w:tcPr>
          <w:p>
            <w:pPr>
              <w:spacing w:after="0"/>
              <w:rPr>
                <w:sz w:val="12"/>
                <w:szCs w:val="12"/>
                <w:color w:val="auto"/>
              </w:rPr>
            </w:pPr>
          </w:p>
        </w:tc>
        <w:tc>
          <w:tcPr>
            <w:tcW w:w="740" w:type="dxa"/>
            <w:vAlign w:val="bottom"/>
            <w:tcBorders>
              <w:bottom w:val="single" w:sz="8" w:color="auto"/>
            </w:tcBorders>
            <w:gridSpan w:val="4"/>
          </w:tcPr>
          <w:p>
            <w:pPr>
              <w:jc w:val="right"/>
              <w:ind w:right="12"/>
              <w:spacing w:after="0" w:line="142" w:lineRule="exact"/>
              <w:rPr>
                <w:sz w:val="20"/>
                <w:szCs w:val="20"/>
                <w:color w:val="auto"/>
              </w:rPr>
            </w:pPr>
            <w:r>
              <w:rPr>
                <w:rFonts w:ascii="Arial" w:cs="Arial" w:eastAsia="Arial" w:hAnsi="Arial"/>
                <w:sz w:val="14"/>
                <w:szCs w:val="14"/>
                <w:b w:val="1"/>
                <w:bCs w:val="1"/>
                <w:color w:val="auto"/>
                <w:w w:val="99"/>
              </w:rPr>
              <w:t>Liabilities</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620" w:type="dxa"/>
            <w:vAlign w:val="bottom"/>
          </w:tcPr>
          <w:p>
            <w:pPr>
              <w:spacing w:after="0"/>
              <w:rPr>
                <w:sz w:val="12"/>
                <w:szCs w:val="12"/>
                <w:color w:val="auto"/>
              </w:rPr>
            </w:pPr>
          </w:p>
        </w:tc>
        <w:tc>
          <w:tcPr>
            <w:tcW w:w="5840" w:type="dxa"/>
            <w:vAlign w:val="bottom"/>
            <w:shd w:val="clear" w:color="auto" w:fill="CCEEFF"/>
          </w:tcPr>
          <w:p>
            <w:pPr>
              <w:ind w:left="200"/>
              <w:spacing w:after="0" w:line="142" w:lineRule="exact"/>
              <w:rPr>
                <w:sz w:val="20"/>
                <w:szCs w:val="20"/>
                <w:color w:val="auto"/>
              </w:rPr>
            </w:pPr>
            <w:r>
              <w:rPr>
                <w:rFonts w:ascii="Arial" w:cs="Arial" w:eastAsia="Arial" w:hAnsi="Arial"/>
                <w:sz w:val="14"/>
                <w:szCs w:val="14"/>
                <w:color w:val="auto"/>
              </w:rPr>
              <w:t>Mining properties</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50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22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6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572,964</w:t>
            </w:r>
          </w:p>
        </w:tc>
        <w:tc>
          <w:tcPr>
            <w:tcW w:w="60" w:type="dxa"/>
            <w:vAlign w:val="bottom"/>
            <w:tcBorders>
              <w:right w:val="single" w:sz="8" w:color="CCEEFF"/>
            </w:tcBorders>
            <w:shd w:val="clear" w:color="auto" w:fill="CCEEFF"/>
          </w:tcPr>
          <w:p>
            <w:pPr>
              <w:spacing w:after="0"/>
              <w:rPr>
                <w:sz w:val="12"/>
                <w:szCs w:val="12"/>
                <w:color w:val="auto"/>
              </w:rPr>
            </w:pPr>
          </w:p>
        </w:tc>
        <w:tc>
          <w:tcPr>
            <w:tcW w:w="18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6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w w:val="99"/>
              </w:rPr>
              <w:t>—</w:t>
            </w:r>
          </w:p>
        </w:tc>
        <w:tc>
          <w:tcPr>
            <w:tcW w:w="30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140" w:type="dxa"/>
            <w:vAlign w:val="bottom"/>
            <w:shd w:val="clear" w:color="auto" w:fill="CCEEFF"/>
          </w:tcPr>
          <w:p>
            <w:pPr>
              <w:spacing w:after="0"/>
              <w:rPr>
                <w:sz w:val="12"/>
                <w:szCs w:val="12"/>
                <w:color w:val="auto"/>
              </w:rPr>
            </w:pPr>
          </w:p>
        </w:tc>
        <w:tc>
          <w:tcPr>
            <w:tcW w:w="46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w w:val="86"/>
              </w:rPr>
              <w:t>471,553</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620" w:type="dxa"/>
            <w:vAlign w:val="bottom"/>
          </w:tcPr>
          <w:p>
            <w:pPr>
              <w:spacing w:after="0"/>
              <w:rPr>
                <w:sz w:val="12"/>
                <w:szCs w:val="12"/>
                <w:color w:val="auto"/>
              </w:rPr>
            </w:pPr>
          </w:p>
        </w:tc>
        <w:tc>
          <w:tcPr>
            <w:tcW w:w="5840" w:type="dxa"/>
            <w:vAlign w:val="bottom"/>
          </w:tcPr>
          <w:p>
            <w:pPr>
              <w:ind w:left="200"/>
              <w:spacing w:after="0" w:line="149" w:lineRule="exact"/>
              <w:rPr>
                <w:sz w:val="20"/>
                <w:szCs w:val="20"/>
                <w:color w:val="auto"/>
              </w:rPr>
            </w:pPr>
            <w:r>
              <w:rPr>
                <w:rFonts w:ascii="Arial" w:cs="Arial" w:eastAsia="Arial" w:hAnsi="Arial"/>
                <w:sz w:val="14"/>
                <w:szCs w:val="14"/>
                <w:color w:val="auto"/>
              </w:rPr>
              <w:t>Net operating and capital loss carry-forwards</w:t>
            </w:r>
          </w:p>
        </w:tc>
        <w:tc>
          <w:tcPr>
            <w:tcW w:w="80" w:type="dxa"/>
            <w:vAlign w:val="bottom"/>
          </w:tcPr>
          <w:p>
            <w:pPr>
              <w:spacing w:after="0"/>
              <w:rPr>
                <w:sz w:val="12"/>
                <w:szCs w:val="12"/>
                <w:color w:val="auto"/>
              </w:rPr>
            </w:pPr>
          </w:p>
        </w:tc>
        <w:tc>
          <w:tcPr>
            <w:tcW w:w="500" w:type="dxa"/>
            <w:vAlign w:val="bottom"/>
          </w:tcPr>
          <w:p>
            <w:pPr>
              <w:jc w:val="right"/>
              <w:spacing w:after="0" w:line="149" w:lineRule="exact"/>
              <w:rPr>
                <w:sz w:val="20"/>
                <w:szCs w:val="20"/>
                <w:color w:val="auto"/>
              </w:rPr>
            </w:pPr>
            <w:r>
              <w:rPr>
                <w:rFonts w:ascii="Arial" w:cs="Arial" w:eastAsia="Arial" w:hAnsi="Arial"/>
                <w:sz w:val="14"/>
                <w:szCs w:val="14"/>
                <w:color w:val="auto"/>
              </w:rPr>
              <w:t>27,878</w:t>
            </w: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4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(24,692)</w:t>
            </w: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00" w:type="dxa"/>
            <w:vAlign w:val="bottom"/>
            <w:gridSpan w:val="4"/>
          </w:tcPr>
          <w:p>
            <w:pPr>
              <w:jc w:val="right"/>
              <w:spacing w:after="0" w:line="149" w:lineRule="exact"/>
              <w:rPr>
                <w:sz w:val="20"/>
                <w:szCs w:val="20"/>
                <w:color w:val="auto"/>
              </w:rPr>
            </w:pPr>
            <w:r>
              <w:rPr>
                <w:rFonts w:ascii="Arial" w:cs="Arial" w:eastAsia="Arial" w:hAnsi="Arial"/>
                <w:sz w:val="14"/>
                <w:szCs w:val="14"/>
                <w:color w:val="auto"/>
              </w:rPr>
              <w:t>21,647</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20" w:type="dxa"/>
            <w:vAlign w:val="bottom"/>
            <w:gridSpan w:val="3"/>
          </w:tcPr>
          <w:p>
            <w:pPr>
              <w:jc w:val="right"/>
              <w:ind w:right="120"/>
              <w:spacing w:after="0" w:line="149" w:lineRule="exact"/>
              <w:rPr>
                <w:sz w:val="20"/>
                <w:szCs w:val="20"/>
                <w:color w:val="auto"/>
              </w:rPr>
            </w:pPr>
            <w:r>
              <w:rPr>
                <w:rFonts w:ascii="Arial" w:cs="Arial" w:eastAsia="Arial" w:hAnsi="Arial"/>
                <w:sz w:val="14"/>
                <w:szCs w:val="14"/>
                <w:color w:val="auto"/>
                <w:w w:val="91"/>
              </w:rPr>
              <w:t>(14,906)</w:t>
            </w:r>
          </w:p>
        </w:tc>
        <w:tc>
          <w:tcPr>
            <w:tcW w:w="0" w:type="dxa"/>
            <w:vAlign w:val="bottom"/>
          </w:tcPr>
          <w:p>
            <w:pPr>
              <w:spacing w:after="0"/>
              <w:rPr>
                <w:sz w:val="1"/>
                <w:szCs w:val="1"/>
                <w:color w:val="auto"/>
              </w:rPr>
            </w:pPr>
          </w:p>
        </w:tc>
      </w:tr>
      <w:tr>
        <w:trPr>
          <w:trHeight w:val="149"/>
        </w:trPr>
        <w:tc>
          <w:tcPr>
            <w:tcW w:w="620" w:type="dxa"/>
            <w:vAlign w:val="bottom"/>
          </w:tcPr>
          <w:p>
            <w:pPr>
              <w:spacing w:after="0"/>
              <w:rPr>
                <w:sz w:val="12"/>
                <w:szCs w:val="12"/>
                <w:color w:val="auto"/>
              </w:rPr>
            </w:pPr>
          </w:p>
        </w:tc>
        <w:tc>
          <w:tcPr>
            <w:tcW w:w="584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Mining duties</w:t>
            </w:r>
          </w:p>
        </w:tc>
        <w:tc>
          <w:tcPr>
            <w:tcW w:w="80" w:type="dxa"/>
            <w:vAlign w:val="bottom"/>
            <w:shd w:val="clear" w:color="auto" w:fill="CCEEFF"/>
          </w:tcPr>
          <w:p>
            <w:pPr>
              <w:spacing w:after="0"/>
              <w:rPr>
                <w:sz w:val="12"/>
                <w:szCs w:val="12"/>
                <w:color w:val="auto"/>
              </w:rPr>
            </w:pPr>
          </w:p>
        </w:tc>
        <w:tc>
          <w:tcPr>
            <w:tcW w:w="5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740" w:type="dxa"/>
            <w:vAlign w:val="bottom"/>
            <w:tcBorders>
              <w:right w:val="single" w:sz="8" w:color="CCEEFF"/>
            </w:tcBorders>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(44,967)</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w w:val="99"/>
              </w:rPr>
              <w:t>—</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20" w:type="dxa"/>
            <w:vAlign w:val="bottom"/>
            <w:gridSpan w:val="3"/>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w w:val="91"/>
              </w:rPr>
              <w:t>(38,669)</w:t>
            </w:r>
          </w:p>
        </w:tc>
        <w:tc>
          <w:tcPr>
            <w:tcW w:w="0" w:type="dxa"/>
            <w:vAlign w:val="bottom"/>
          </w:tcPr>
          <w:p>
            <w:pPr>
              <w:spacing w:after="0"/>
              <w:rPr>
                <w:sz w:val="1"/>
                <w:szCs w:val="1"/>
                <w:color w:val="auto"/>
              </w:rPr>
            </w:pPr>
          </w:p>
        </w:tc>
      </w:tr>
      <w:tr>
        <w:trPr>
          <w:trHeight w:val="149"/>
        </w:trPr>
        <w:tc>
          <w:tcPr>
            <w:tcW w:w="620" w:type="dxa"/>
            <w:vAlign w:val="bottom"/>
          </w:tcPr>
          <w:p>
            <w:pPr>
              <w:spacing w:after="0"/>
              <w:rPr>
                <w:sz w:val="12"/>
                <w:szCs w:val="12"/>
                <w:color w:val="auto"/>
              </w:rPr>
            </w:pPr>
          </w:p>
        </w:tc>
        <w:tc>
          <w:tcPr>
            <w:tcW w:w="5840" w:type="dxa"/>
            <w:vAlign w:val="bottom"/>
          </w:tcPr>
          <w:p>
            <w:pPr>
              <w:ind w:left="200"/>
              <w:spacing w:after="0" w:line="149" w:lineRule="exact"/>
              <w:rPr>
                <w:sz w:val="20"/>
                <w:szCs w:val="20"/>
                <w:color w:val="auto"/>
              </w:rPr>
            </w:pPr>
            <w:r>
              <w:rPr>
                <w:rFonts w:ascii="Arial" w:cs="Arial" w:eastAsia="Arial" w:hAnsi="Arial"/>
                <w:sz w:val="14"/>
                <w:szCs w:val="14"/>
                <w:color w:val="auto"/>
              </w:rPr>
              <w:t>Reclamation provisions</w:t>
            </w:r>
          </w:p>
        </w:tc>
        <w:tc>
          <w:tcPr>
            <w:tcW w:w="80" w:type="dxa"/>
            <w:vAlign w:val="bottom"/>
          </w:tcPr>
          <w:p>
            <w:pPr>
              <w:spacing w:after="0"/>
              <w:rPr>
                <w:sz w:val="12"/>
                <w:szCs w:val="12"/>
                <w:color w:val="auto"/>
              </w:rPr>
            </w:pPr>
          </w:p>
        </w:tc>
        <w:tc>
          <w:tcPr>
            <w:tcW w:w="50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4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(20,774)</w:t>
            </w: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60" w:type="dxa"/>
            <w:vAlign w:val="bottom"/>
            <w:gridSpan w:val="2"/>
          </w:tcPr>
          <w:p>
            <w:pPr>
              <w:jc w:val="right"/>
              <w:spacing w:after="0" w:line="149" w:lineRule="exact"/>
              <w:rPr>
                <w:sz w:val="20"/>
                <w:szCs w:val="20"/>
                <w:color w:val="auto"/>
              </w:rPr>
            </w:pPr>
            <w:r>
              <w:rPr>
                <w:rFonts w:ascii="Arial" w:cs="Arial" w:eastAsia="Arial" w:hAnsi="Arial"/>
                <w:sz w:val="14"/>
                <w:szCs w:val="14"/>
                <w:color w:val="auto"/>
                <w:w w:val="99"/>
              </w:rPr>
              <w:t>—</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20" w:type="dxa"/>
            <w:vAlign w:val="bottom"/>
            <w:gridSpan w:val="3"/>
          </w:tcPr>
          <w:p>
            <w:pPr>
              <w:jc w:val="right"/>
              <w:ind w:right="120"/>
              <w:spacing w:after="0" w:line="149" w:lineRule="exact"/>
              <w:rPr>
                <w:sz w:val="20"/>
                <w:szCs w:val="20"/>
                <w:color w:val="auto"/>
              </w:rPr>
            </w:pPr>
            <w:r>
              <w:rPr>
                <w:rFonts w:ascii="Arial" w:cs="Arial" w:eastAsia="Arial" w:hAnsi="Arial"/>
                <w:sz w:val="14"/>
                <w:szCs w:val="14"/>
                <w:color w:val="auto"/>
                <w:w w:val="91"/>
              </w:rPr>
              <w:t>(22,892)</w:t>
            </w:r>
          </w:p>
        </w:tc>
        <w:tc>
          <w:tcPr>
            <w:tcW w:w="0" w:type="dxa"/>
            <w:vAlign w:val="bottom"/>
          </w:tcPr>
          <w:p>
            <w:pPr>
              <w:spacing w:after="0"/>
              <w:rPr>
                <w:sz w:val="1"/>
                <w:szCs w:val="1"/>
                <w:color w:val="auto"/>
              </w:rPr>
            </w:pPr>
          </w:p>
        </w:tc>
      </w:tr>
      <w:tr>
        <w:trPr>
          <w:trHeight w:val="149"/>
        </w:trPr>
        <w:tc>
          <w:tcPr>
            <w:tcW w:w="620" w:type="dxa"/>
            <w:vAlign w:val="bottom"/>
          </w:tcPr>
          <w:p>
            <w:pPr>
              <w:spacing w:after="0"/>
              <w:rPr>
                <w:sz w:val="12"/>
                <w:szCs w:val="12"/>
                <w:color w:val="auto"/>
              </w:rPr>
            </w:pPr>
          </w:p>
        </w:tc>
        <w:tc>
          <w:tcPr>
            <w:tcW w:w="584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Valuation allowance</w:t>
            </w:r>
          </w:p>
        </w:tc>
        <w:tc>
          <w:tcPr>
            <w:tcW w:w="80" w:type="dxa"/>
            <w:vAlign w:val="bottom"/>
            <w:shd w:val="clear" w:color="auto" w:fill="CCEEFF"/>
          </w:tcPr>
          <w:p>
            <w:pPr>
              <w:spacing w:after="0"/>
              <w:rPr>
                <w:sz w:val="12"/>
                <w:szCs w:val="12"/>
                <w:color w:val="auto"/>
              </w:rPr>
            </w:pPr>
          </w:p>
        </w:tc>
        <w:tc>
          <w:tcPr>
            <w:tcW w:w="5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11,350</w:t>
            </w:r>
          </w:p>
        </w:tc>
        <w:tc>
          <w:tcPr>
            <w:tcW w:w="6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w w:val="99"/>
              </w:rPr>
              <w:t>—</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8,330</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7"/>
        </w:trPr>
        <w:tc>
          <w:tcPr>
            <w:tcW w:w="620" w:type="dxa"/>
            <w:vAlign w:val="bottom"/>
          </w:tcPr>
          <w:p>
            <w:pPr>
              <w:spacing w:after="0"/>
              <w:rPr>
                <w:sz w:val="2"/>
                <w:szCs w:val="2"/>
                <w:color w:val="auto"/>
              </w:rPr>
            </w:pPr>
          </w:p>
        </w:tc>
        <w:tc>
          <w:tcPr>
            <w:tcW w:w="5840" w:type="dxa"/>
            <w:vAlign w:val="bottom"/>
            <w:vMerge w:val="restart"/>
          </w:tcPr>
          <w:p>
            <w:pPr>
              <w:ind w:left="200"/>
              <w:spacing w:after="0"/>
              <w:rPr>
                <w:sz w:val="20"/>
                <w:szCs w:val="20"/>
                <w:color w:val="auto"/>
              </w:rPr>
            </w:pPr>
            <w:r>
              <w:rPr>
                <w:rFonts w:ascii="Arial" w:cs="Arial" w:eastAsia="Arial" w:hAnsi="Arial"/>
                <w:sz w:val="14"/>
                <w:szCs w:val="14"/>
                <w:color w:val="auto"/>
              </w:rPr>
              <w:t>Future income and mining tax assets and liabilities</w:t>
            </w:r>
          </w:p>
        </w:tc>
        <w:tc>
          <w:tcPr>
            <w:tcW w:w="80" w:type="dxa"/>
            <w:vAlign w:val="bottom"/>
          </w:tcPr>
          <w:p>
            <w:pPr>
              <w:spacing w:after="0"/>
              <w:rPr>
                <w:sz w:val="2"/>
                <w:szCs w:val="2"/>
                <w:color w:val="auto"/>
              </w:rPr>
            </w:pPr>
          </w:p>
        </w:tc>
        <w:tc>
          <w:tcPr>
            <w:tcW w:w="500" w:type="dxa"/>
            <w:vAlign w:val="bottom"/>
          </w:tcPr>
          <w:p>
            <w:pPr>
              <w:spacing w:after="0"/>
              <w:rPr>
                <w:sz w:val="2"/>
                <w:szCs w:val="2"/>
                <w:color w:val="auto"/>
              </w:rPr>
            </w:pPr>
          </w:p>
        </w:tc>
        <w:tc>
          <w:tcPr>
            <w:tcW w:w="220" w:type="dxa"/>
            <w:vAlign w:val="bottom"/>
            <w:gridSpan w:val="2"/>
          </w:tcPr>
          <w:p>
            <w:pPr>
              <w:spacing w:after="0"/>
              <w:rPr>
                <w:sz w:val="2"/>
                <w:szCs w:val="2"/>
                <w:color w:val="auto"/>
              </w:rPr>
            </w:pPr>
          </w:p>
        </w:tc>
        <w:tc>
          <w:tcPr>
            <w:tcW w:w="680" w:type="dxa"/>
            <w:vAlign w:val="bottom"/>
          </w:tcPr>
          <w:p>
            <w:pPr>
              <w:spacing w:after="0"/>
              <w:rPr>
                <w:sz w:val="2"/>
                <w:szCs w:val="2"/>
                <w:color w:val="auto"/>
              </w:rPr>
            </w:pPr>
          </w:p>
        </w:tc>
        <w:tc>
          <w:tcPr>
            <w:tcW w:w="60" w:type="dxa"/>
            <w:vAlign w:val="bottom"/>
          </w:tcPr>
          <w:p>
            <w:pPr>
              <w:spacing w:after="0"/>
              <w:rPr>
                <w:sz w:val="2"/>
                <w:szCs w:val="2"/>
                <w:color w:val="auto"/>
              </w:rPr>
            </w:pPr>
          </w:p>
        </w:tc>
        <w:tc>
          <w:tcPr>
            <w:tcW w:w="180" w:type="dxa"/>
            <w:vAlign w:val="bottom"/>
            <w:gridSpan w:val="2"/>
          </w:tcPr>
          <w:p>
            <w:pPr>
              <w:spacing w:after="0"/>
              <w:rPr>
                <w:sz w:val="2"/>
                <w:szCs w:val="2"/>
                <w:color w:val="auto"/>
              </w:rPr>
            </w:pPr>
          </w:p>
        </w:tc>
        <w:tc>
          <w:tcPr>
            <w:tcW w:w="500" w:type="dxa"/>
            <w:vAlign w:val="bottom"/>
            <w:gridSpan w:val="4"/>
          </w:tcPr>
          <w:p>
            <w:pPr>
              <w:spacing w:after="0"/>
              <w:rPr>
                <w:sz w:val="2"/>
                <w:szCs w:val="2"/>
                <w:color w:val="auto"/>
              </w:rPr>
            </w:pPr>
          </w:p>
        </w:tc>
        <w:tc>
          <w:tcPr>
            <w:tcW w:w="300" w:type="dxa"/>
            <w:vAlign w:val="bottom"/>
            <w:gridSpan w:val="2"/>
          </w:tcPr>
          <w:p>
            <w:pPr>
              <w:spacing w:after="0"/>
              <w:rPr>
                <w:sz w:val="2"/>
                <w:szCs w:val="2"/>
                <w:color w:val="auto"/>
              </w:rPr>
            </w:pPr>
          </w:p>
        </w:tc>
        <w:tc>
          <w:tcPr>
            <w:tcW w:w="140" w:type="dxa"/>
            <w:vAlign w:val="bottom"/>
          </w:tcPr>
          <w:p>
            <w:pPr>
              <w:spacing w:after="0"/>
              <w:rPr>
                <w:sz w:val="2"/>
                <w:szCs w:val="2"/>
                <w:color w:val="auto"/>
              </w:rPr>
            </w:pPr>
          </w:p>
        </w:tc>
        <w:tc>
          <w:tcPr>
            <w:tcW w:w="460" w:type="dxa"/>
            <w:vAlign w:val="bottom"/>
            <w:gridSpan w:val="2"/>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67"/>
        </w:trPr>
        <w:tc>
          <w:tcPr>
            <w:tcW w:w="620" w:type="dxa"/>
            <w:vAlign w:val="bottom"/>
          </w:tcPr>
          <w:p>
            <w:pPr>
              <w:spacing w:after="0"/>
              <w:rPr>
                <w:sz w:val="14"/>
                <w:szCs w:val="14"/>
                <w:color w:val="auto"/>
              </w:rPr>
            </w:pPr>
          </w:p>
        </w:tc>
        <w:tc>
          <w:tcPr>
            <w:tcW w:w="5840" w:type="dxa"/>
            <w:vAlign w:val="bottom"/>
            <w:vMerge w:val="continue"/>
          </w:tcPr>
          <w:p>
            <w:pPr>
              <w:spacing w:after="0"/>
              <w:rPr>
                <w:sz w:val="14"/>
                <w:szCs w:val="14"/>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27,878</w:t>
            </w:r>
          </w:p>
        </w:tc>
        <w:tc>
          <w:tcPr>
            <w:tcW w:w="160" w:type="dxa"/>
            <w:vAlign w:val="bottom"/>
          </w:tcPr>
          <w:p>
            <w:pPr>
              <w:spacing w:after="0"/>
              <w:rPr>
                <w:sz w:val="14"/>
                <w:szCs w:val="14"/>
                <w:color w:val="auto"/>
              </w:rPr>
            </w:pPr>
          </w:p>
        </w:tc>
        <w:tc>
          <w:tcPr>
            <w:tcW w:w="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rPr>
              <w:t>493,881</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w w:val="76"/>
              </w:rPr>
              <w:t>$</w:t>
            </w:r>
          </w:p>
        </w:tc>
        <w:tc>
          <w:tcPr>
            <w:tcW w:w="500" w:type="dxa"/>
            <w:vAlign w:val="bottom"/>
            <w:tcBorders>
              <w:top w:val="single" w:sz="8" w:color="auto"/>
              <w:bottom w:val="single" w:sz="8" w:color="auto"/>
            </w:tcBorders>
            <w:gridSpan w:val="4"/>
          </w:tcPr>
          <w:p>
            <w:pPr>
              <w:jc w:val="right"/>
              <w:spacing w:after="0"/>
              <w:rPr>
                <w:sz w:val="20"/>
                <w:szCs w:val="20"/>
                <w:color w:val="auto"/>
              </w:rPr>
            </w:pPr>
            <w:r>
              <w:rPr>
                <w:rFonts w:ascii="Arial" w:cs="Arial" w:eastAsia="Arial" w:hAnsi="Arial"/>
                <w:sz w:val="14"/>
                <w:szCs w:val="14"/>
                <w:color w:val="auto"/>
              </w:rPr>
              <w:t>21,647</w:t>
            </w:r>
          </w:p>
        </w:tc>
        <w:tc>
          <w:tcPr>
            <w:tcW w:w="160" w:type="dxa"/>
            <w:vAlign w:val="bottom"/>
          </w:tcPr>
          <w:p>
            <w:pPr>
              <w:spacing w:after="0"/>
              <w:rPr>
                <w:sz w:val="14"/>
                <w:szCs w:val="14"/>
                <w:color w:val="auto"/>
              </w:rPr>
            </w:pPr>
          </w:p>
        </w:tc>
        <w:tc>
          <w:tcPr>
            <w:tcW w:w="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w w:val="76"/>
              </w:rPr>
              <w:t>$</w:t>
            </w:r>
          </w:p>
        </w:tc>
        <w:tc>
          <w:tcPr>
            <w:tcW w:w="140" w:type="dxa"/>
            <w:vAlign w:val="bottom"/>
            <w:tcBorders>
              <w:top w:val="single" w:sz="8" w:color="auto"/>
              <w:bottom w:val="single" w:sz="8" w:color="auto"/>
            </w:tcBorders>
          </w:tcPr>
          <w:p>
            <w:pPr>
              <w:spacing w:after="0"/>
              <w:rPr>
                <w:sz w:val="14"/>
                <w:szCs w:val="14"/>
                <w:color w:val="auto"/>
              </w:rPr>
            </w:pPr>
          </w:p>
        </w:tc>
        <w:tc>
          <w:tcPr>
            <w:tcW w:w="460" w:type="dxa"/>
            <w:vAlign w:val="bottom"/>
            <w:tcBorders>
              <w:top w:val="single" w:sz="8" w:color="auto"/>
              <w:bottom w:val="single" w:sz="8" w:color="auto"/>
            </w:tcBorders>
            <w:gridSpan w:val="2"/>
          </w:tcPr>
          <w:p>
            <w:pPr>
              <w:jc w:val="right"/>
              <w:spacing w:after="0"/>
              <w:rPr>
                <w:sz w:val="20"/>
                <w:szCs w:val="20"/>
                <w:color w:val="auto"/>
              </w:rPr>
            </w:pPr>
            <w:r>
              <w:rPr>
                <w:rFonts w:ascii="Arial" w:cs="Arial" w:eastAsia="Arial" w:hAnsi="Arial"/>
                <w:sz w:val="14"/>
                <w:szCs w:val="14"/>
                <w:color w:val="auto"/>
                <w:w w:val="86"/>
              </w:rPr>
              <w:t>403,416</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620" w:type="dxa"/>
            <w:vAlign w:val="bottom"/>
          </w:tcPr>
          <w:p>
            <w:pPr>
              <w:spacing w:after="0" w:line="20" w:lineRule="exact"/>
              <w:rPr>
                <w:sz w:val="1"/>
                <w:szCs w:val="1"/>
                <w:color w:val="auto"/>
              </w:rPr>
            </w:pPr>
          </w:p>
        </w:tc>
        <w:tc>
          <w:tcPr>
            <w:tcW w:w="58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5" w:lineRule="exact"/>
        <w:rPr>
          <w:sz w:val="20"/>
          <w:szCs w:val="20"/>
          <w:color w:val="auto"/>
        </w:rPr>
      </w:pPr>
    </w:p>
    <w:p>
      <w:pPr>
        <w:jc w:val="both"/>
        <w:ind w:left="540"/>
        <w:spacing w:after="0" w:line="270" w:lineRule="auto"/>
        <w:rPr>
          <w:sz w:val="20"/>
          <w:szCs w:val="20"/>
          <w:color w:val="auto"/>
        </w:rPr>
      </w:pPr>
      <w:r>
        <w:rPr>
          <w:rFonts w:ascii="Arial" w:cs="Arial" w:eastAsia="Arial" w:hAnsi="Arial"/>
          <w:sz w:val="12"/>
          <w:szCs w:val="12"/>
          <w:color w:val="auto"/>
        </w:rPr>
        <w:t>All of Agnico-Eagle's future income tax assets and liabilities were denominated in local currency based on the jurisdiction in which the Company paid taxes and were translated into US dollars using the exchange rate in effect at the consolidated balance sheet dates. The increase in future income tax liabilities was due in part to the weaker US dollar in relation to the Canadian dollar. On December 12, 2008 however, the Company executed a Canadian federal tax election to commence using the US dollar as its functional currency for federal Canadian income tax purposes. This election applies to taxation years ended December 31, 2008 and subsequent. This election resulted in a deferred tax benefit of $21.0 million for the period ended December 31, 2009. At December 31, 2009, asset and liability amounts were translated into US dollars at an exchange rate of C$1.0466 per $1.00, and at an exchange rate of SEK 7.2125 per $1.00, whereas at December 31, 2008, asset and liability amounts were translated at an exchange rate of C$1.2240 per $1.00, and at an exchange rate of SEK 7.8770 per $1.00.</w:t>
      </w:r>
    </w:p>
    <w:p>
      <w:pPr>
        <w:spacing w:after="0" w:line="176" w:lineRule="exact"/>
        <w:rPr>
          <w:sz w:val="20"/>
          <w:szCs w:val="20"/>
          <w:color w:val="auto"/>
        </w:rPr>
      </w:pPr>
    </w:p>
    <w:p>
      <w:pPr>
        <w:jc w:val="both"/>
        <w:ind w:left="540"/>
        <w:spacing w:after="0" w:line="233" w:lineRule="auto"/>
        <w:rPr>
          <w:sz w:val="20"/>
          <w:szCs w:val="20"/>
          <w:color w:val="auto"/>
        </w:rPr>
      </w:pPr>
      <w:r>
        <w:rPr>
          <w:rFonts w:ascii="Arial" w:cs="Arial" w:eastAsia="Arial" w:hAnsi="Arial"/>
          <w:sz w:val="14"/>
          <w:szCs w:val="14"/>
          <w:color w:val="auto"/>
        </w:rPr>
        <w:t>The Company operates in different jurisdictions and accordingly it is subject to income and other taxes under the various tax regimes in the countries in which it operates. The tax rules and regulations in many countries are highly complex and subject to interpretation. The Company may be subject in the future to a review of its historic income and other tax filings and in connection with such reviews,</w:t>
      </w:r>
    </w:p>
    <w:p>
      <w:pPr>
        <w:spacing w:after="0" w:line="19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211" w:name="page212"/>
    <w:bookmarkEnd w:id="211"/>
    <w:p>
      <w:pPr>
        <w:jc w:val="center"/>
        <w:spacing w:after="0"/>
        <w:rPr>
          <w:sz w:val="20"/>
          <w:szCs w:val="20"/>
          <w:color w:val="auto"/>
        </w:rPr>
      </w:pPr>
      <w:r>
        <w:rPr>
          <w:rFonts w:ascii="Arial" w:cs="Arial" w:eastAsia="Arial" w:hAnsi="Arial"/>
          <w:sz w:val="18"/>
          <w:szCs w:val="18"/>
          <w:b w:val="1"/>
          <w:bCs w:val="1"/>
          <w:color w:val="auto"/>
        </w:rPr>
        <w:t>AGNICO-EAGLE MINES LIMITED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 (Continued)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(thousands of United States dollars, except per share amounts, unless otherwise indicated)</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December 31, 2009</w:t>
      </w:r>
    </w:p>
    <w:p>
      <w:pPr>
        <w:spacing w:after="0" w:line="214" w:lineRule="exact"/>
        <w:rPr>
          <w:sz w:val="20"/>
          <w:szCs w:val="20"/>
          <w:color w:val="auto"/>
        </w:rPr>
      </w:pPr>
    </w:p>
    <w:p>
      <w:pPr>
        <w:ind w:left="280" w:hanging="272"/>
        <w:spacing w:after="0"/>
        <w:tabs>
          <w:tab w:leader="none" w:pos="280" w:val="left"/>
        </w:tabs>
        <w:numPr>
          <w:ilvl w:val="0"/>
          <w:numId w:val="99"/>
        </w:numPr>
        <w:rPr>
          <w:rFonts w:ascii="Arial" w:cs="Arial" w:eastAsia="Arial" w:hAnsi="Arial"/>
          <w:sz w:val="14"/>
          <w:szCs w:val="14"/>
          <w:b w:val="1"/>
          <w:bCs w:val="1"/>
          <w:color w:val="auto"/>
        </w:rPr>
      </w:pPr>
      <w:r>
        <w:rPr>
          <w:rFonts w:ascii="Arial" w:cs="Arial" w:eastAsia="Arial" w:hAnsi="Arial"/>
          <w:sz w:val="14"/>
          <w:szCs w:val="14"/>
          <w:b w:val="1"/>
          <w:bCs w:val="1"/>
          <w:color w:val="auto"/>
        </w:rPr>
        <w:t>INCOME AND MINING TAXES (Continued)</w:t>
      </w: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ind w:left="540"/>
        <w:spacing w:after="0"/>
        <w:rPr>
          <w:sz w:val="20"/>
          <w:szCs w:val="20"/>
          <w:color w:val="auto"/>
        </w:rPr>
      </w:pPr>
      <w:r>
        <w:rPr>
          <w:rFonts w:ascii="Arial" w:cs="Arial" w:eastAsia="Arial" w:hAnsi="Arial"/>
          <w:sz w:val="12"/>
          <w:szCs w:val="12"/>
          <w:color w:val="auto"/>
        </w:rPr>
        <w:t>disputes can arise with the taxing authorities over the interpretation or application of certain tax rules and regulations to the Company's business conducted within the country involved.</w:t>
      </w:r>
    </w:p>
    <w:p>
      <w:pPr>
        <w:spacing w:after="0" w:line="227" w:lineRule="exact"/>
        <w:rPr>
          <w:sz w:val="20"/>
          <w:szCs w:val="20"/>
          <w:color w:val="auto"/>
        </w:rPr>
      </w:pPr>
    </w:p>
    <w:tbl>
      <w:tblPr>
        <w:tblLayout w:type="fixed"/>
        <w:tblInd w:w="540" w:type="dxa"/>
        <w:tblCellMar>
          <w:top w:w="0" w:type="dxa"/>
          <w:left w:w="0" w:type="dxa"/>
          <w:bottom w:w="0" w:type="dxa"/>
          <w:right w:w="0" w:type="dxa"/>
        </w:tblCellMar>
      </w:tblPr>
      <w:tr>
        <w:trPr>
          <w:trHeight w:val="172"/>
        </w:trPr>
        <w:tc>
          <w:tcPr>
            <w:tcW w:w="8400" w:type="dxa"/>
            <w:vAlign w:val="bottom"/>
            <w:gridSpan w:val="2"/>
          </w:tcPr>
          <w:p>
            <w:pPr>
              <w:spacing w:after="0"/>
              <w:rPr>
                <w:sz w:val="20"/>
                <w:szCs w:val="20"/>
                <w:color w:val="auto"/>
              </w:rPr>
            </w:pPr>
            <w:r>
              <w:rPr>
                <w:rFonts w:ascii="Arial" w:cs="Arial" w:eastAsia="Arial" w:hAnsi="Arial"/>
                <w:sz w:val="14"/>
                <w:szCs w:val="14"/>
                <w:color w:val="auto"/>
              </w:rPr>
              <w:t>A reconciliation of the beginning and ending amount of the unrecognized tax benefits is as follows:</w:t>
            </w:r>
          </w:p>
        </w:tc>
        <w:tc>
          <w:tcPr>
            <w:tcW w:w="8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60" w:type="dxa"/>
            <w:vAlign w:val="bottom"/>
          </w:tcPr>
          <w:p>
            <w:pPr>
              <w:spacing w:after="0"/>
              <w:rPr>
                <w:sz w:val="14"/>
                <w:szCs w:val="14"/>
                <w:color w:val="auto"/>
              </w:rPr>
            </w:pPr>
          </w:p>
        </w:tc>
      </w:tr>
      <w:tr>
        <w:trPr>
          <w:trHeight w:val="352"/>
        </w:trPr>
        <w:tc>
          <w:tcPr>
            <w:tcW w:w="620" w:type="dxa"/>
            <w:vAlign w:val="bottom"/>
          </w:tcPr>
          <w:p>
            <w:pPr>
              <w:spacing w:after="0"/>
              <w:rPr>
                <w:sz w:val="24"/>
                <w:szCs w:val="24"/>
                <w:color w:val="auto"/>
              </w:rPr>
            </w:pPr>
          </w:p>
        </w:tc>
        <w:tc>
          <w:tcPr>
            <w:tcW w:w="7780" w:type="dxa"/>
            <w:vAlign w:val="bottom"/>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420" w:type="dxa"/>
            <w:vAlign w:val="bottom"/>
            <w:tcBorders>
              <w:bottom w:val="single" w:sz="8" w:color="auto"/>
            </w:tcBorders>
          </w:tcPr>
          <w:p>
            <w:pPr>
              <w:jc w:val="right"/>
              <w:ind w:right="52"/>
              <w:spacing w:after="0"/>
              <w:rPr>
                <w:sz w:val="20"/>
                <w:szCs w:val="20"/>
                <w:color w:val="auto"/>
              </w:rPr>
            </w:pPr>
            <w:r>
              <w:rPr>
                <w:rFonts w:ascii="Arial" w:cs="Arial" w:eastAsia="Arial" w:hAnsi="Arial"/>
                <w:sz w:val="14"/>
                <w:szCs w:val="14"/>
                <w:b w:val="1"/>
                <w:bCs w:val="1"/>
                <w:color w:val="auto"/>
                <w:w w:val="89"/>
              </w:rPr>
              <w:t>2009</w:t>
            </w:r>
          </w:p>
        </w:tc>
        <w:tc>
          <w:tcPr>
            <w:tcW w:w="180" w:type="dxa"/>
            <w:vAlign w:val="bottom"/>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420" w:type="dxa"/>
            <w:vAlign w:val="bottom"/>
            <w:tcBorders>
              <w:bottom w:val="single" w:sz="8" w:color="auto"/>
            </w:tcBorders>
          </w:tcPr>
          <w:p>
            <w:pPr>
              <w:jc w:val="right"/>
              <w:ind w:right="52"/>
              <w:spacing w:after="0"/>
              <w:rPr>
                <w:sz w:val="20"/>
                <w:szCs w:val="20"/>
                <w:color w:val="auto"/>
              </w:rPr>
            </w:pPr>
            <w:r>
              <w:rPr>
                <w:rFonts w:ascii="Arial" w:cs="Arial" w:eastAsia="Arial" w:hAnsi="Arial"/>
                <w:sz w:val="14"/>
                <w:szCs w:val="14"/>
                <w:b w:val="1"/>
                <w:bCs w:val="1"/>
                <w:color w:val="auto"/>
                <w:w w:val="89"/>
              </w:rPr>
              <w:t>2008</w:t>
            </w:r>
          </w:p>
        </w:tc>
        <w:tc>
          <w:tcPr>
            <w:tcW w:w="160" w:type="dxa"/>
            <w:vAlign w:val="bottom"/>
          </w:tcPr>
          <w:p>
            <w:pPr>
              <w:spacing w:after="0"/>
              <w:rPr>
                <w:sz w:val="24"/>
                <w:szCs w:val="24"/>
                <w:color w:val="auto"/>
              </w:rPr>
            </w:pPr>
          </w:p>
        </w:tc>
      </w:tr>
      <w:tr>
        <w:trPr>
          <w:trHeight w:val="142"/>
        </w:trPr>
        <w:tc>
          <w:tcPr>
            <w:tcW w:w="620" w:type="dxa"/>
            <w:vAlign w:val="bottom"/>
          </w:tcPr>
          <w:p>
            <w:pPr>
              <w:spacing w:after="0"/>
              <w:rPr>
                <w:sz w:val="12"/>
                <w:szCs w:val="12"/>
                <w:color w:val="auto"/>
              </w:rPr>
            </w:pPr>
          </w:p>
        </w:tc>
        <w:tc>
          <w:tcPr>
            <w:tcW w:w="7780" w:type="dxa"/>
            <w:vAlign w:val="bottom"/>
            <w:shd w:val="clear" w:color="auto" w:fill="CCEEFF"/>
          </w:tcPr>
          <w:p>
            <w:pPr>
              <w:ind w:left="200"/>
              <w:spacing w:after="0" w:line="142" w:lineRule="exact"/>
              <w:rPr>
                <w:sz w:val="20"/>
                <w:szCs w:val="20"/>
                <w:color w:val="auto"/>
              </w:rPr>
            </w:pPr>
            <w:r>
              <w:rPr>
                <w:rFonts w:ascii="Arial" w:cs="Arial" w:eastAsia="Arial" w:hAnsi="Arial"/>
                <w:sz w:val="14"/>
                <w:szCs w:val="14"/>
                <w:color w:val="auto"/>
              </w:rPr>
              <w:t>Unrecognized tax benefit, beginning of year</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2,824</w:t>
            </w:r>
          </w:p>
        </w:tc>
        <w:tc>
          <w:tcPr>
            <w:tcW w:w="260" w:type="dxa"/>
            <w:vAlign w:val="bottom"/>
            <w:gridSpan w:val="2"/>
            <w:shd w:val="clear" w:color="auto" w:fill="CCEEFF"/>
          </w:tcPr>
          <w:p>
            <w:pPr>
              <w:jc w:val="right"/>
              <w:ind w:right="20"/>
              <w:spacing w:after="0" w:line="142" w:lineRule="exact"/>
              <w:rPr>
                <w:sz w:val="20"/>
                <w:szCs w:val="20"/>
                <w:color w:val="auto"/>
              </w:rPr>
            </w:pPr>
            <w:r>
              <w:rPr>
                <w:rFonts w:ascii="Arial" w:cs="Arial" w:eastAsia="Arial" w:hAnsi="Arial"/>
                <w:sz w:val="14"/>
                <w:szCs w:val="14"/>
                <w:color w:val="auto"/>
              </w:rPr>
              <w:t>$</w:t>
            </w:r>
          </w:p>
        </w:tc>
        <w:tc>
          <w:tcPr>
            <w:tcW w:w="4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3,390</w:t>
            </w:r>
          </w:p>
        </w:tc>
        <w:tc>
          <w:tcPr>
            <w:tcW w:w="160" w:type="dxa"/>
            <w:vAlign w:val="bottom"/>
            <w:shd w:val="clear" w:color="auto" w:fill="CCEEFF"/>
          </w:tcPr>
          <w:p>
            <w:pPr>
              <w:spacing w:after="0"/>
              <w:rPr>
                <w:sz w:val="12"/>
                <w:szCs w:val="12"/>
                <w:color w:val="auto"/>
              </w:rPr>
            </w:pPr>
          </w:p>
        </w:tc>
      </w:tr>
      <w:tr>
        <w:trPr>
          <w:trHeight w:val="174"/>
        </w:trPr>
        <w:tc>
          <w:tcPr>
            <w:tcW w:w="620" w:type="dxa"/>
            <w:vAlign w:val="bottom"/>
          </w:tcPr>
          <w:p>
            <w:pPr>
              <w:spacing w:after="0"/>
              <w:rPr>
                <w:sz w:val="15"/>
                <w:szCs w:val="15"/>
                <w:color w:val="auto"/>
              </w:rPr>
            </w:pPr>
          </w:p>
        </w:tc>
        <w:tc>
          <w:tcPr>
            <w:tcW w:w="7780" w:type="dxa"/>
            <w:vAlign w:val="bottom"/>
          </w:tcPr>
          <w:p>
            <w:pPr>
              <w:ind w:left="200"/>
              <w:spacing w:after="0"/>
              <w:rPr>
                <w:sz w:val="20"/>
                <w:szCs w:val="20"/>
                <w:color w:val="auto"/>
              </w:rPr>
            </w:pPr>
            <w:r>
              <w:rPr>
                <w:rFonts w:ascii="Arial" w:cs="Arial" w:eastAsia="Arial" w:hAnsi="Arial"/>
                <w:sz w:val="14"/>
                <w:szCs w:val="14"/>
                <w:color w:val="auto"/>
              </w:rPr>
              <w:t>Additions (reductions)</w:t>
            </w:r>
          </w:p>
        </w:tc>
        <w:tc>
          <w:tcPr>
            <w:tcW w:w="80" w:type="dxa"/>
            <w:vAlign w:val="bottom"/>
          </w:tcPr>
          <w:p>
            <w:pPr>
              <w:spacing w:after="0"/>
              <w:rPr>
                <w:sz w:val="15"/>
                <w:szCs w:val="15"/>
                <w:color w:val="auto"/>
              </w:rPr>
            </w:pPr>
          </w:p>
        </w:tc>
        <w:tc>
          <w:tcPr>
            <w:tcW w:w="420" w:type="dxa"/>
            <w:vAlign w:val="bottom"/>
          </w:tcPr>
          <w:p>
            <w:pPr>
              <w:jc w:val="right"/>
              <w:spacing w:after="0"/>
              <w:rPr>
                <w:sz w:val="20"/>
                <w:szCs w:val="20"/>
                <w:color w:val="auto"/>
              </w:rPr>
            </w:pPr>
            <w:r>
              <w:rPr>
                <w:rFonts w:ascii="Arial" w:cs="Arial" w:eastAsia="Arial" w:hAnsi="Arial"/>
                <w:sz w:val="14"/>
                <w:szCs w:val="14"/>
                <w:color w:val="auto"/>
              </w:rPr>
              <w:t>2,784</w:t>
            </w:r>
          </w:p>
        </w:tc>
        <w:tc>
          <w:tcPr>
            <w:tcW w:w="1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80" w:type="dxa"/>
            <w:vAlign w:val="bottom"/>
            <w:gridSpan w:val="2"/>
          </w:tcPr>
          <w:p>
            <w:pPr>
              <w:jc w:val="right"/>
              <w:ind w:right="120"/>
              <w:spacing w:after="0"/>
              <w:rPr>
                <w:sz w:val="20"/>
                <w:szCs w:val="20"/>
                <w:color w:val="auto"/>
              </w:rPr>
            </w:pPr>
            <w:r>
              <w:rPr>
                <w:rFonts w:ascii="Arial" w:cs="Arial" w:eastAsia="Arial" w:hAnsi="Arial"/>
                <w:sz w:val="14"/>
                <w:szCs w:val="14"/>
                <w:color w:val="auto"/>
              </w:rPr>
              <w:t>(566)</w:t>
            </w:r>
          </w:p>
        </w:tc>
      </w:tr>
      <w:tr>
        <w:trPr>
          <w:trHeight w:val="20"/>
        </w:trPr>
        <w:tc>
          <w:tcPr>
            <w:tcW w:w="620" w:type="dxa"/>
            <w:vAlign w:val="bottom"/>
          </w:tcPr>
          <w:p>
            <w:pPr>
              <w:spacing w:after="0" w:line="20" w:lineRule="exact"/>
              <w:rPr>
                <w:sz w:val="1"/>
                <w:szCs w:val="1"/>
                <w:color w:val="auto"/>
              </w:rPr>
            </w:pPr>
          </w:p>
        </w:tc>
        <w:tc>
          <w:tcPr>
            <w:tcW w:w="77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144"/>
        </w:trPr>
        <w:tc>
          <w:tcPr>
            <w:tcW w:w="620" w:type="dxa"/>
            <w:vAlign w:val="bottom"/>
          </w:tcPr>
          <w:p>
            <w:pPr>
              <w:spacing w:after="0"/>
              <w:rPr>
                <w:sz w:val="12"/>
                <w:szCs w:val="12"/>
                <w:color w:val="auto"/>
              </w:rPr>
            </w:pPr>
          </w:p>
        </w:tc>
        <w:tc>
          <w:tcPr>
            <w:tcW w:w="7780" w:type="dxa"/>
            <w:vAlign w:val="bottom"/>
            <w:shd w:val="clear" w:color="auto" w:fill="CCEEFF"/>
          </w:tcPr>
          <w:p>
            <w:pPr>
              <w:ind w:left="200"/>
              <w:spacing w:after="0" w:line="144" w:lineRule="exact"/>
              <w:rPr>
                <w:sz w:val="20"/>
                <w:szCs w:val="20"/>
                <w:color w:val="auto"/>
              </w:rPr>
            </w:pPr>
            <w:r>
              <w:rPr>
                <w:rFonts w:ascii="Arial" w:cs="Arial" w:eastAsia="Arial" w:hAnsi="Arial"/>
                <w:sz w:val="14"/>
                <w:szCs w:val="14"/>
                <w:color w:val="auto"/>
              </w:rPr>
              <w:t>Unrecognized tax benefit, end of year</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5,608</w:t>
            </w:r>
          </w:p>
        </w:tc>
        <w:tc>
          <w:tcPr>
            <w:tcW w:w="260" w:type="dxa"/>
            <w:vAlign w:val="bottom"/>
            <w:gridSpan w:val="2"/>
            <w:shd w:val="clear" w:color="auto" w:fill="CCEEFF"/>
          </w:tcPr>
          <w:p>
            <w:pPr>
              <w:jc w:val="right"/>
              <w:ind w:right="20"/>
              <w:spacing w:after="0" w:line="144" w:lineRule="exact"/>
              <w:rPr>
                <w:sz w:val="20"/>
                <w:szCs w:val="20"/>
                <w:color w:val="auto"/>
              </w:rPr>
            </w:pPr>
            <w:r>
              <w:rPr>
                <w:rFonts w:ascii="Arial" w:cs="Arial" w:eastAsia="Arial" w:hAnsi="Arial"/>
                <w:sz w:val="14"/>
                <w:szCs w:val="14"/>
                <w:color w:val="auto"/>
              </w:rPr>
              <w:t>$</w:t>
            </w:r>
          </w:p>
        </w:tc>
        <w:tc>
          <w:tcPr>
            <w:tcW w:w="4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2,824</w:t>
            </w:r>
          </w:p>
        </w:tc>
        <w:tc>
          <w:tcPr>
            <w:tcW w:w="160" w:type="dxa"/>
            <w:vAlign w:val="bottom"/>
            <w:shd w:val="clear" w:color="auto" w:fill="CCEEFF"/>
          </w:tcPr>
          <w:p>
            <w:pPr>
              <w:spacing w:after="0"/>
              <w:rPr>
                <w:sz w:val="12"/>
                <w:szCs w:val="12"/>
                <w:color w:val="auto"/>
              </w:rPr>
            </w:pPr>
          </w:p>
        </w:tc>
      </w:tr>
      <w:tr>
        <w:trPr>
          <w:trHeight w:val="27"/>
        </w:trPr>
        <w:tc>
          <w:tcPr>
            <w:tcW w:w="620" w:type="dxa"/>
            <w:vAlign w:val="bottom"/>
          </w:tcPr>
          <w:p>
            <w:pPr>
              <w:spacing w:after="0"/>
              <w:rPr>
                <w:sz w:val="2"/>
                <w:szCs w:val="2"/>
                <w:color w:val="auto"/>
              </w:rPr>
            </w:pPr>
          </w:p>
        </w:tc>
        <w:tc>
          <w:tcPr>
            <w:tcW w:w="778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r>
      <w:tr>
        <w:trPr>
          <w:trHeight w:val="20"/>
        </w:trPr>
        <w:tc>
          <w:tcPr>
            <w:tcW w:w="620" w:type="dxa"/>
            <w:vAlign w:val="bottom"/>
          </w:tcPr>
          <w:p>
            <w:pPr>
              <w:spacing w:after="0" w:line="20" w:lineRule="exact"/>
              <w:rPr>
                <w:sz w:val="1"/>
                <w:szCs w:val="1"/>
                <w:color w:val="auto"/>
              </w:rPr>
            </w:pPr>
          </w:p>
        </w:tc>
        <w:tc>
          <w:tcPr>
            <w:tcW w:w="778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5" w:lineRule="exact"/>
        <w:rPr>
          <w:sz w:val="20"/>
          <w:szCs w:val="20"/>
          <w:color w:val="auto"/>
        </w:rPr>
      </w:pPr>
    </w:p>
    <w:p>
      <w:pPr>
        <w:ind w:left="540"/>
        <w:spacing w:after="0" w:line="239" w:lineRule="auto"/>
        <w:rPr>
          <w:sz w:val="20"/>
          <w:szCs w:val="20"/>
          <w:color w:val="auto"/>
        </w:rPr>
      </w:pPr>
      <w:r>
        <w:rPr>
          <w:rFonts w:ascii="Arial" w:cs="Arial" w:eastAsia="Arial" w:hAnsi="Arial"/>
          <w:sz w:val="14"/>
          <w:szCs w:val="14"/>
          <w:color w:val="auto"/>
        </w:rPr>
        <w:t>The full amount of unrecognized tax benefits of $5,608, if recognized, would reduce the Company's annual effective tax rate. The Company does not expect its unrecognized tax benefits to change significantly over the next 12 months.</w:t>
      </w:r>
    </w:p>
    <w:p>
      <w:pPr>
        <w:spacing w:after="0" w:line="193" w:lineRule="exact"/>
        <w:rPr>
          <w:sz w:val="20"/>
          <w:szCs w:val="20"/>
          <w:color w:val="auto"/>
        </w:rPr>
      </w:pPr>
    </w:p>
    <w:p>
      <w:pPr>
        <w:ind w:left="540" w:right="20"/>
        <w:spacing w:after="0" w:line="239" w:lineRule="auto"/>
        <w:rPr>
          <w:sz w:val="20"/>
          <w:szCs w:val="20"/>
          <w:color w:val="auto"/>
        </w:rPr>
      </w:pPr>
      <w:r>
        <w:rPr>
          <w:rFonts w:ascii="Arial" w:cs="Arial" w:eastAsia="Arial" w:hAnsi="Arial"/>
          <w:sz w:val="14"/>
          <w:szCs w:val="14"/>
          <w:color w:val="auto"/>
        </w:rPr>
        <w:t>The Company is subject to taxes in the following significant jurisdictions: Canada, Mexico, Sweden and Finland, each with varying statutes of limitations. The 1999 through 2009 tax years generally remain subject to examination.</w:t>
      </w:r>
    </w:p>
    <w:p>
      <w:pPr>
        <w:spacing w:after="0" w:line="191" w:lineRule="exact"/>
        <w:rPr>
          <w:sz w:val="20"/>
          <w:szCs w:val="20"/>
          <w:color w:val="auto"/>
        </w:rPr>
      </w:pPr>
    </w:p>
    <w:p>
      <w:pPr>
        <w:ind w:left="280" w:hanging="272"/>
        <w:spacing w:after="0"/>
        <w:tabs>
          <w:tab w:leader="none" w:pos="280" w:val="left"/>
        </w:tabs>
        <w:numPr>
          <w:ilvl w:val="0"/>
          <w:numId w:val="100"/>
        </w:numPr>
        <w:rPr>
          <w:rFonts w:ascii="Arial" w:cs="Arial" w:eastAsia="Arial" w:hAnsi="Arial"/>
          <w:sz w:val="14"/>
          <w:szCs w:val="14"/>
          <w:b w:val="1"/>
          <w:bCs w:val="1"/>
          <w:color w:val="auto"/>
        </w:rPr>
      </w:pPr>
      <w:r>
        <w:rPr>
          <w:rFonts w:ascii="Arial" w:cs="Arial" w:eastAsia="Arial" w:hAnsi="Arial"/>
          <w:sz w:val="14"/>
          <w:szCs w:val="14"/>
          <w:b w:val="1"/>
          <w:bCs w:val="1"/>
          <w:color w:val="auto"/>
        </w:rPr>
        <w:t>ACQUISITIONS</w:t>
      </w:r>
    </w:p>
    <w:p>
      <w:pPr>
        <w:spacing w:after="0" w:line="206" w:lineRule="exact"/>
        <w:rPr>
          <w:sz w:val="20"/>
          <w:szCs w:val="20"/>
          <w:color w:val="auto"/>
        </w:rPr>
      </w:pPr>
    </w:p>
    <w:p>
      <w:pPr>
        <w:ind w:left="540"/>
        <w:spacing w:after="0"/>
        <w:rPr>
          <w:sz w:val="20"/>
          <w:szCs w:val="20"/>
          <w:color w:val="auto"/>
        </w:rPr>
      </w:pPr>
      <w:r>
        <w:rPr>
          <w:rFonts w:ascii="Arial" w:cs="Arial" w:eastAsia="Arial" w:hAnsi="Arial"/>
          <w:sz w:val="14"/>
          <w:szCs w:val="14"/>
          <w:b w:val="1"/>
          <w:bCs w:val="1"/>
          <w:i w:val="1"/>
          <w:iCs w:val="1"/>
          <w:color w:val="auto"/>
        </w:rPr>
        <w:t>Cumberland Resources Ltd.</w:t>
      </w:r>
    </w:p>
    <w:p>
      <w:pPr>
        <w:spacing w:after="0" w:line="204" w:lineRule="exact"/>
        <w:rPr>
          <w:sz w:val="20"/>
          <w:szCs w:val="20"/>
          <w:color w:val="auto"/>
        </w:rPr>
      </w:pPr>
    </w:p>
    <w:p>
      <w:pPr>
        <w:jc w:val="both"/>
        <w:ind w:left="540"/>
        <w:spacing w:after="0" w:line="268" w:lineRule="auto"/>
        <w:rPr>
          <w:sz w:val="20"/>
          <w:szCs w:val="20"/>
          <w:color w:val="auto"/>
        </w:rPr>
      </w:pPr>
      <w:r>
        <w:rPr>
          <w:rFonts w:ascii="Arial" w:cs="Arial" w:eastAsia="Arial" w:hAnsi="Arial"/>
          <w:sz w:val="12"/>
          <w:szCs w:val="12"/>
          <w:color w:val="auto"/>
        </w:rPr>
        <w:t>On February 14, 2007, the Company and Agnico-Eagle Acquisition Corporation ("Agnico Acquisition"), a wholly-owned subsidiary of the Company, signed an agreement with Cumberland under which the Company and Agnico Acquisition agreed to make an exchange offer (the "Offer") for all of the outstanding common shares of Cumberland not already owned by the Company. At the time, the Company owned 2,037,000 or 2.6% of the outstanding shares of Cumberland on a fully diluted basis. Under the terms of the Offer, each Cumberland share was to be exchanged for 0.185 common shares of Agnico-Eagle. At the time, Cumberland owned 100% of the Meadowbank gold project, located in Nunavut, Canada. As of July 9, 2007, all common shares of Cumberland were acquired pursuant to the Offer. As of July 9, 2007, a total of 13,768,510 of the Company's shares were issued for the acquisition resulting in an increase of $536.6 million in common shares issued. The total purchase price as of July 9, 2007 amounted to $577.0 million which was allocated to various balance sheet accounts, mainly mining properties. On August 1, 2007, Agnico Acquisition, Cumberland and a wholly-owned subsidiary of Cumberland were amalgamated with Agnico-Eagle.</w:t>
      </w:r>
    </w:p>
    <w:p>
      <w:pPr>
        <w:spacing w:after="0" w:line="177" w:lineRule="exact"/>
        <w:rPr>
          <w:sz w:val="20"/>
          <w:szCs w:val="20"/>
          <w:color w:val="auto"/>
        </w:rPr>
      </w:pPr>
    </w:p>
    <w:tbl>
      <w:tblPr>
        <w:tblLayout w:type="fixed"/>
        <w:tblInd w:w="540" w:type="dxa"/>
        <w:tblCellMar>
          <w:top w:w="0" w:type="dxa"/>
          <w:left w:w="0" w:type="dxa"/>
          <w:bottom w:w="0" w:type="dxa"/>
          <w:right w:w="0" w:type="dxa"/>
        </w:tblCellMar>
      </w:tblPr>
      <w:tr>
        <w:trPr>
          <w:trHeight w:val="172"/>
        </w:trPr>
        <w:tc>
          <w:tcPr>
            <w:tcW w:w="8620" w:type="dxa"/>
            <w:vAlign w:val="bottom"/>
            <w:gridSpan w:val="2"/>
          </w:tcPr>
          <w:p>
            <w:pPr>
              <w:spacing w:after="0"/>
              <w:rPr>
                <w:sz w:val="20"/>
                <w:szCs w:val="20"/>
                <w:color w:val="auto"/>
              </w:rPr>
            </w:pPr>
            <w:r>
              <w:rPr>
                <w:rFonts w:ascii="Arial" w:cs="Arial" w:eastAsia="Arial" w:hAnsi="Arial"/>
                <w:sz w:val="14"/>
                <w:szCs w:val="14"/>
                <w:color w:val="auto"/>
              </w:rPr>
              <w:t>The results of operations of Cumberland are included in the income statement for the combined entity from April 17, 2007.</w:t>
            </w:r>
          </w:p>
        </w:tc>
        <w:tc>
          <w:tcPr>
            <w:tcW w:w="960" w:type="dxa"/>
            <w:vAlign w:val="bottom"/>
          </w:tcPr>
          <w:p>
            <w:pPr>
              <w:spacing w:after="0"/>
              <w:rPr>
                <w:sz w:val="14"/>
                <w:szCs w:val="14"/>
                <w:color w:val="auto"/>
              </w:rPr>
            </w:pPr>
          </w:p>
        </w:tc>
        <w:tc>
          <w:tcPr>
            <w:tcW w:w="160" w:type="dxa"/>
            <w:vAlign w:val="bottom"/>
          </w:tcPr>
          <w:p>
            <w:pPr>
              <w:spacing w:after="0"/>
              <w:rPr>
                <w:sz w:val="14"/>
                <w:szCs w:val="14"/>
                <w:color w:val="auto"/>
              </w:rPr>
            </w:pPr>
          </w:p>
        </w:tc>
      </w:tr>
      <w:tr>
        <w:trPr>
          <w:trHeight w:val="365"/>
        </w:trPr>
        <w:tc>
          <w:tcPr>
            <w:tcW w:w="8620" w:type="dxa"/>
            <w:vAlign w:val="bottom"/>
            <w:gridSpan w:val="2"/>
          </w:tcPr>
          <w:p>
            <w:pPr>
              <w:spacing w:after="0"/>
              <w:rPr>
                <w:sz w:val="20"/>
                <w:szCs w:val="20"/>
                <w:color w:val="auto"/>
              </w:rPr>
            </w:pPr>
            <w:r>
              <w:rPr>
                <w:rFonts w:ascii="Arial" w:cs="Arial" w:eastAsia="Arial" w:hAnsi="Arial"/>
                <w:sz w:val="14"/>
                <w:szCs w:val="14"/>
                <w:color w:val="auto"/>
              </w:rPr>
              <w:t>The purchase price paid through the issuance of 13,768,510 shares of the Company is summarized as follows.</w:t>
            </w:r>
          </w:p>
        </w:tc>
        <w:tc>
          <w:tcPr>
            <w:tcW w:w="960" w:type="dxa"/>
            <w:vAlign w:val="bottom"/>
          </w:tcPr>
          <w:p>
            <w:pPr>
              <w:spacing w:after="0"/>
              <w:rPr>
                <w:sz w:val="24"/>
                <w:szCs w:val="24"/>
                <w:color w:val="auto"/>
              </w:rPr>
            </w:pPr>
          </w:p>
        </w:tc>
        <w:tc>
          <w:tcPr>
            <w:tcW w:w="160" w:type="dxa"/>
            <w:vAlign w:val="bottom"/>
          </w:tcPr>
          <w:p>
            <w:pPr>
              <w:spacing w:after="0"/>
              <w:rPr>
                <w:sz w:val="24"/>
                <w:szCs w:val="24"/>
                <w:color w:val="auto"/>
              </w:rPr>
            </w:pPr>
          </w:p>
        </w:tc>
      </w:tr>
      <w:tr>
        <w:trPr>
          <w:trHeight w:val="352"/>
        </w:trPr>
        <w:tc>
          <w:tcPr>
            <w:tcW w:w="620" w:type="dxa"/>
            <w:vAlign w:val="bottom"/>
          </w:tcPr>
          <w:p>
            <w:pPr>
              <w:spacing w:after="0"/>
              <w:rPr>
                <w:sz w:val="24"/>
                <w:szCs w:val="24"/>
                <w:color w:val="auto"/>
              </w:rPr>
            </w:pPr>
          </w:p>
        </w:tc>
        <w:tc>
          <w:tcPr>
            <w:tcW w:w="8000" w:type="dxa"/>
            <w:vAlign w:val="bottom"/>
          </w:tcPr>
          <w:p>
            <w:pPr>
              <w:spacing w:after="0"/>
              <w:rPr>
                <w:sz w:val="24"/>
                <w:szCs w:val="24"/>
                <w:color w:val="auto"/>
              </w:rPr>
            </w:pPr>
          </w:p>
        </w:tc>
        <w:tc>
          <w:tcPr>
            <w:tcW w:w="1120" w:type="dxa"/>
            <w:vAlign w:val="bottom"/>
            <w:gridSpan w:val="2"/>
          </w:tcPr>
          <w:p>
            <w:pPr>
              <w:ind w:left="80"/>
              <w:spacing w:after="0"/>
              <w:rPr>
                <w:sz w:val="20"/>
                <w:szCs w:val="20"/>
                <w:color w:val="auto"/>
              </w:rPr>
            </w:pPr>
            <w:r>
              <w:rPr>
                <w:rFonts w:ascii="Arial" w:cs="Arial" w:eastAsia="Arial" w:hAnsi="Arial"/>
                <w:sz w:val="14"/>
                <w:szCs w:val="14"/>
                <w:b w:val="1"/>
                <w:bCs w:val="1"/>
                <w:color w:val="auto"/>
              </w:rPr>
              <w:t>Shares Issued</w:t>
            </w:r>
          </w:p>
        </w:tc>
      </w:tr>
      <w:tr>
        <w:trPr>
          <w:trHeight w:val="142"/>
        </w:trPr>
        <w:tc>
          <w:tcPr>
            <w:tcW w:w="620" w:type="dxa"/>
            <w:vAlign w:val="bottom"/>
          </w:tcPr>
          <w:p>
            <w:pPr>
              <w:spacing w:after="0"/>
              <w:rPr>
                <w:sz w:val="12"/>
                <w:szCs w:val="12"/>
                <w:color w:val="auto"/>
              </w:rPr>
            </w:pPr>
          </w:p>
        </w:tc>
        <w:tc>
          <w:tcPr>
            <w:tcW w:w="8000" w:type="dxa"/>
            <w:vAlign w:val="bottom"/>
            <w:shd w:val="clear" w:color="auto" w:fill="CCEEFF"/>
          </w:tcPr>
          <w:p>
            <w:pPr>
              <w:ind w:left="200"/>
              <w:spacing w:after="0" w:line="142" w:lineRule="exact"/>
              <w:rPr>
                <w:sz w:val="20"/>
                <w:szCs w:val="20"/>
                <w:color w:val="auto"/>
              </w:rPr>
            </w:pPr>
            <w:r>
              <w:rPr>
                <w:rFonts w:ascii="Arial" w:cs="Arial" w:eastAsia="Arial" w:hAnsi="Arial"/>
                <w:sz w:val="14"/>
                <w:szCs w:val="14"/>
                <w:b w:val="1"/>
                <w:bCs w:val="1"/>
                <w:color w:val="auto"/>
              </w:rPr>
              <w:t>Total Issuance of the Company's Shares for Cumberland Acquisition:</w:t>
            </w:r>
          </w:p>
        </w:tc>
        <w:tc>
          <w:tcPr>
            <w:tcW w:w="960" w:type="dxa"/>
            <w:vAlign w:val="bottom"/>
            <w:tcBorders>
              <w:top w:val="single" w:sz="8" w:color="auto"/>
            </w:tcBorders>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r>
      <w:tr>
        <w:trPr>
          <w:trHeight w:val="149"/>
        </w:trPr>
        <w:tc>
          <w:tcPr>
            <w:tcW w:w="620" w:type="dxa"/>
            <w:vAlign w:val="bottom"/>
          </w:tcPr>
          <w:p>
            <w:pPr>
              <w:spacing w:after="0"/>
              <w:rPr>
                <w:sz w:val="12"/>
                <w:szCs w:val="12"/>
                <w:color w:val="auto"/>
              </w:rPr>
            </w:pPr>
          </w:p>
        </w:tc>
        <w:tc>
          <w:tcPr>
            <w:tcW w:w="8000" w:type="dxa"/>
            <w:vAlign w:val="bottom"/>
          </w:tcPr>
          <w:p>
            <w:pPr>
              <w:ind w:left="200"/>
              <w:spacing w:after="0" w:line="149" w:lineRule="exact"/>
              <w:rPr>
                <w:sz w:val="20"/>
                <w:szCs w:val="20"/>
                <w:color w:val="auto"/>
              </w:rPr>
            </w:pPr>
            <w:r>
              <w:rPr>
                <w:rFonts w:ascii="Arial" w:cs="Arial" w:eastAsia="Arial" w:hAnsi="Arial"/>
                <w:sz w:val="14"/>
                <w:szCs w:val="14"/>
                <w:color w:val="auto"/>
              </w:rPr>
              <w:t>April 16, 2007</w:t>
            </w:r>
          </w:p>
        </w:tc>
        <w:tc>
          <w:tcPr>
            <w:tcW w:w="960" w:type="dxa"/>
            <w:vAlign w:val="bottom"/>
          </w:tcPr>
          <w:p>
            <w:pPr>
              <w:jc w:val="right"/>
              <w:spacing w:after="0" w:line="149" w:lineRule="exact"/>
              <w:rPr>
                <w:sz w:val="20"/>
                <w:szCs w:val="20"/>
                <w:color w:val="auto"/>
              </w:rPr>
            </w:pPr>
            <w:r>
              <w:rPr>
                <w:rFonts w:ascii="Arial" w:cs="Arial" w:eastAsia="Arial" w:hAnsi="Arial"/>
                <w:sz w:val="14"/>
                <w:szCs w:val="14"/>
                <w:color w:val="auto"/>
              </w:rPr>
              <w:t>11,610,074</w:t>
            </w:r>
          </w:p>
        </w:tc>
        <w:tc>
          <w:tcPr>
            <w:tcW w:w="160" w:type="dxa"/>
            <w:vAlign w:val="bottom"/>
          </w:tcPr>
          <w:p>
            <w:pPr>
              <w:spacing w:after="0"/>
              <w:rPr>
                <w:sz w:val="12"/>
                <w:szCs w:val="12"/>
                <w:color w:val="auto"/>
              </w:rPr>
            </w:pPr>
          </w:p>
        </w:tc>
      </w:tr>
      <w:tr>
        <w:trPr>
          <w:trHeight w:val="149"/>
        </w:trPr>
        <w:tc>
          <w:tcPr>
            <w:tcW w:w="620" w:type="dxa"/>
            <w:vAlign w:val="bottom"/>
          </w:tcPr>
          <w:p>
            <w:pPr>
              <w:spacing w:after="0"/>
              <w:rPr>
                <w:sz w:val="12"/>
                <w:szCs w:val="12"/>
                <w:color w:val="auto"/>
              </w:rPr>
            </w:pPr>
          </w:p>
        </w:tc>
        <w:tc>
          <w:tcPr>
            <w:tcW w:w="800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April 30, 2007</w:t>
            </w:r>
          </w:p>
        </w:tc>
        <w:tc>
          <w:tcPr>
            <w:tcW w:w="9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932,958</w:t>
            </w:r>
          </w:p>
        </w:tc>
        <w:tc>
          <w:tcPr>
            <w:tcW w:w="160" w:type="dxa"/>
            <w:vAlign w:val="bottom"/>
            <w:shd w:val="clear" w:color="auto" w:fill="CCEEFF"/>
          </w:tcPr>
          <w:p>
            <w:pPr>
              <w:spacing w:after="0"/>
              <w:rPr>
                <w:sz w:val="12"/>
                <w:szCs w:val="12"/>
                <w:color w:val="auto"/>
              </w:rPr>
            </w:pPr>
          </w:p>
        </w:tc>
      </w:tr>
      <w:tr>
        <w:trPr>
          <w:trHeight w:val="174"/>
        </w:trPr>
        <w:tc>
          <w:tcPr>
            <w:tcW w:w="620" w:type="dxa"/>
            <w:vAlign w:val="bottom"/>
          </w:tcPr>
          <w:p>
            <w:pPr>
              <w:spacing w:after="0"/>
              <w:rPr>
                <w:sz w:val="15"/>
                <w:szCs w:val="15"/>
                <w:color w:val="auto"/>
              </w:rPr>
            </w:pPr>
          </w:p>
        </w:tc>
        <w:tc>
          <w:tcPr>
            <w:tcW w:w="8000" w:type="dxa"/>
            <w:vAlign w:val="bottom"/>
          </w:tcPr>
          <w:p>
            <w:pPr>
              <w:ind w:left="200"/>
              <w:spacing w:after="0"/>
              <w:rPr>
                <w:sz w:val="20"/>
                <w:szCs w:val="20"/>
                <w:color w:val="auto"/>
              </w:rPr>
            </w:pPr>
            <w:r>
              <w:rPr>
                <w:rFonts w:ascii="Arial" w:cs="Arial" w:eastAsia="Arial" w:hAnsi="Arial"/>
                <w:sz w:val="14"/>
                <w:szCs w:val="14"/>
                <w:color w:val="auto"/>
              </w:rPr>
              <w:t>July 9, 2007</w:t>
            </w:r>
          </w:p>
        </w:tc>
        <w:tc>
          <w:tcPr>
            <w:tcW w:w="96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1,225,478</w:t>
            </w:r>
          </w:p>
        </w:tc>
        <w:tc>
          <w:tcPr>
            <w:tcW w:w="160" w:type="dxa"/>
            <w:vAlign w:val="bottom"/>
          </w:tcPr>
          <w:p>
            <w:pPr>
              <w:spacing w:after="0"/>
              <w:rPr>
                <w:sz w:val="15"/>
                <w:szCs w:val="15"/>
                <w:color w:val="auto"/>
              </w:rPr>
            </w:pPr>
          </w:p>
        </w:tc>
      </w:tr>
      <w:tr>
        <w:trPr>
          <w:trHeight w:val="144"/>
        </w:trPr>
        <w:tc>
          <w:tcPr>
            <w:tcW w:w="620" w:type="dxa"/>
            <w:vAlign w:val="bottom"/>
          </w:tcPr>
          <w:p>
            <w:pPr>
              <w:spacing w:after="0"/>
              <w:rPr>
                <w:sz w:val="12"/>
                <w:szCs w:val="12"/>
                <w:color w:val="auto"/>
              </w:rPr>
            </w:pPr>
          </w:p>
        </w:tc>
        <w:tc>
          <w:tcPr>
            <w:tcW w:w="8000" w:type="dxa"/>
            <w:vAlign w:val="bottom"/>
            <w:shd w:val="clear" w:color="auto" w:fill="CCEEFF"/>
          </w:tcPr>
          <w:p>
            <w:pPr>
              <w:ind w:left="200"/>
              <w:spacing w:after="0" w:line="144" w:lineRule="exact"/>
              <w:rPr>
                <w:sz w:val="20"/>
                <w:szCs w:val="20"/>
                <w:color w:val="auto"/>
              </w:rPr>
            </w:pPr>
            <w:r>
              <w:rPr>
                <w:rFonts w:ascii="Arial" w:cs="Arial" w:eastAsia="Arial" w:hAnsi="Arial"/>
                <w:sz w:val="14"/>
                <w:szCs w:val="14"/>
                <w:color w:val="auto"/>
              </w:rPr>
              <w:t>Total shares issued</w:t>
            </w:r>
          </w:p>
        </w:tc>
        <w:tc>
          <w:tcPr>
            <w:tcW w:w="96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13,768,510</w:t>
            </w:r>
          </w:p>
        </w:tc>
        <w:tc>
          <w:tcPr>
            <w:tcW w:w="160" w:type="dxa"/>
            <w:vAlign w:val="bottom"/>
            <w:shd w:val="clear" w:color="auto" w:fill="CCEEFF"/>
          </w:tcPr>
          <w:p>
            <w:pPr>
              <w:spacing w:after="0"/>
              <w:rPr>
                <w:sz w:val="12"/>
                <w:szCs w:val="12"/>
                <w:color w:val="auto"/>
              </w:rPr>
            </w:pPr>
          </w:p>
        </w:tc>
      </w:tr>
      <w:tr>
        <w:trPr>
          <w:trHeight w:val="27"/>
        </w:trPr>
        <w:tc>
          <w:tcPr>
            <w:tcW w:w="620" w:type="dxa"/>
            <w:vAlign w:val="bottom"/>
          </w:tcPr>
          <w:p>
            <w:pPr>
              <w:spacing w:after="0"/>
              <w:rPr>
                <w:sz w:val="2"/>
                <w:szCs w:val="2"/>
                <w:color w:val="auto"/>
              </w:rPr>
            </w:pPr>
          </w:p>
        </w:tc>
        <w:tc>
          <w:tcPr>
            <w:tcW w:w="8000" w:type="dxa"/>
            <w:vAlign w:val="bottom"/>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r>
      <w:tr>
        <w:trPr>
          <w:trHeight w:val="20"/>
        </w:trPr>
        <w:tc>
          <w:tcPr>
            <w:tcW w:w="620" w:type="dxa"/>
            <w:vAlign w:val="bottom"/>
          </w:tcPr>
          <w:p>
            <w:pPr>
              <w:spacing w:after="0" w:line="20" w:lineRule="exact"/>
              <w:rPr>
                <w:sz w:val="1"/>
                <w:szCs w:val="1"/>
                <w:color w:val="auto"/>
              </w:rPr>
            </w:pPr>
          </w:p>
        </w:tc>
        <w:tc>
          <w:tcPr>
            <w:tcW w:w="8000" w:type="dxa"/>
            <w:vAlign w:val="bottom"/>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5" w:lineRule="exact"/>
        <w:rPr>
          <w:sz w:val="20"/>
          <w:szCs w:val="20"/>
          <w:color w:val="auto"/>
        </w:rPr>
      </w:pPr>
    </w:p>
    <w:p>
      <w:pPr>
        <w:jc w:val="both"/>
        <w:ind w:left="540"/>
        <w:spacing w:after="0" w:line="268" w:lineRule="auto"/>
        <w:rPr>
          <w:sz w:val="20"/>
          <w:szCs w:val="20"/>
          <w:color w:val="auto"/>
        </w:rPr>
      </w:pPr>
      <w:r>
        <w:rPr>
          <w:rFonts w:ascii="Arial" w:cs="Arial" w:eastAsia="Arial" w:hAnsi="Arial"/>
          <w:sz w:val="12"/>
          <w:szCs w:val="12"/>
          <w:color w:val="auto"/>
        </w:rPr>
        <w:t>In addition, the Company entered into a series of gold derivative transactions in connection with the take-over bid for Cumberland in February 2007. Prior to announcement of the take-over bid by Agnico-Eagle, Cumberland secured a gold loan facility for up to 420,000 ounces. As part of the condition of the gold loan, Cumberland entered into a series of derivative transactions to secure a minimum monetized value for the gold that was expected to be received under the gold loan. Cumberland entered into a zero-cost collar whereby a gold put option was bought with a strike price of C$605 per ounce. The cost of the put option was financed by the sale of a gold call option with a strike price of $800 per ounce. Both of Cumberland's derivative positions were for 420,000 ounces of gold and matured on September 20, 2007, the expected drawdown date of the loan. As Agnico-Eagle's policy is to not sell forward gold production, Agnico-Eagle entered into a series of transactions to neutralize Cumberland's derivative position. Accordingly, Agnico-Eagle purchased call options and sold put options with the exact same size, strike price and maturity as Cumberland's derivative position for $15.9 million. All derivative positions were closed out in late June 2007.</w:t>
      </w:r>
    </w:p>
    <w:p>
      <w:pPr>
        <w:spacing w:after="0" w:line="177" w:lineRule="exact"/>
        <w:rPr>
          <w:sz w:val="20"/>
          <w:szCs w:val="20"/>
          <w:color w:val="auto"/>
        </w:rPr>
      </w:pPr>
    </w:p>
    <w:p>
      <w:pPr>
        <w:jc w:val="both"/>
        <w:ind w:left="540"/>
        <w:spacing w:after="0" w:line="239" w:lineRule="auto"/>
        <w:rPr>
          <w:sz w:val="20"/>
          <w:szCs w:val="20"/>
          <w:color w:val="auto"/>
        </w:rPr>
      </w:pPr>
      <w:r>
        <w:rPr>
          <w:rFonts w:ascii="Arial" w:cs="Arial" w:eastAsia="Arial" w:hAnsi="Arial"/>
          <w:sz w:val="14"/>
          <w:szCs w:val="14"/>
          <w:color w:val="auto"/>
        </w:rPr>
        <w:t>During 2008 certain tax assets that were not recognized upon the acquisition of Cumberland in 2007 were determined to be more likely than not to be realized. This resulted in a decrease to mineral properties and the future income tax liability of $15 million.</w:t>
      </w:r>
    </w:p>
    <w:p>
      <w:pPr>
        <w:spacing w:after="0" w:line="19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212" w:name="page213"/>
    <w:bookmarkEnd w:id="212"/>
    <w:p>
      <w:pPr>
        <w:jc w:val="center"/>
        <w:spacing w:after="0"/>
        <w:rPr>
          <w:sz w:val="20"/>
          <w:szCs w:val="20"/>
          <w:color w:val="auto"/>
        </w:rPr>
      </w:pPr>
      <w:r>
        <w:rPr>
          <w:rFonts w:ascii="Arial" w:cs="Arial" w:eastAsia="Arial" w:hAnsi="Arial"/>
          <w:sz w:val="18"/>
          <w:szCs w:val="18"/>
          <w:b w:val="1"/>
          <w:bCs w:val="1"/>
          <w:color w:val="auto"/>
        </w:rPr>
        <w:t>AGNICO-EAGLE MINES LIMITED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 (Continued)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(thousands of United States dollars, except per share amounts, unless otherwise indicated)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December 31, 2009</w:t>
      </w:r>
    </w:p>
    <w:p>
      <w:pPr>
        <w:spacing w:after="0" w:line="214" w:lineRule="exact"/>
        <w:rPr>
          <w:sz w:val="20"/>
          <w:szCs w:val="20"/>
          <w:color w:val="auto"/>
        </w:rPr>
      </w:pPr>
    </w:p>
    <w:p>
      <w:pPr>
        <w:ind w:left="280" w:hanging="272"/>
        <w:spacing w:after="0"/>
        <w:tabs>
          <w:tab w:leader="none" w:pos="280" w:val="left"/>
        </w:tabs>
        <w:numPr>
          <w:ilvl w:val="0"/>
          <w:numId w:val="101"/>
        </w:numPr>
        <w:rPr>
          <w:rFonts w:ascii="Arial" w:cs="Arial" w:eastAsia="Arial" w:hAnsi="Arial"/>
          <w:sz w:val="14"/>
          <w:szCs w:val="14"/>
          <w:b w:val="1"/>
          <w:bCs w:val="1"/>
          <w:color w:val="auto"/>
        </w:rPr>
      </w:pPr>
      <w:r>
        <w:rPr>
          <w:rFonts w:ascii="Arial" w:cs="Arial" w:eastAsia="Arial" w:hAnsi="Arial"/>
          <w:sz w:val="14"/>
          <w:szCs w:val="14"/>
          <w:b w:val="1"/>
          <w:bCs w:val="1"/>
          <w:color w:val="auto"/>
        </w:rPr>
        <w:t>ACQUISITIONS (Continued)</w:t>
      </w:r>
    </w:p>
    <w:p>
      <w:pPr>
        <w:spacing w:after="0" w:line="206" w:lineRule="exact"/>
        <w:rPr>
          <w:sz w:val="20"/>
          <w:szCs w:val="20"/>
          <w:color w:val="auto"/>
        </w:rPr>
      </w:pPr>
    </w:p>
    <w:p>
      <w:pPr>
        <w:ind w:left="540"/>
        <w:spacing w:after="0"/>
        <w:rPr>
          <w:sz w:val="20"/>
          <w:szCs w:val="20"/>
          <w:color w:val="auto"/>
        </w:rPr>
      </w:pPr>
      <w:r>
        <w:rPr>
          <w:rFonts w:ascii="Arial" w:cs="Arial" w:eastAsia="Arial" w:hAnsi="Arial"/>
          <w:sz w:val="14"/>
          <w:szCs w:val="14"/>
          <w:color w:val="auto"/>
        </w:rPr>
        <w:t>The allocation of the total purchase price for the 100% of Cumberland interest owned by the Company to the fair values of assets acquired is set forth in the table below:</w:t>
      </w:r>
    </w:p>
    <w:p>
      <w:pPr>
        <w:spacing w:after="0" w:line="202"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160" w:type="dxa"/>
            <w:vAlign w:val="bottom"/>
          </w:tcPr>
          <w:p>
            <w:pPr>
              <w:spacing w:after="0"/>
              <w:rPr>
                <w:sz w:val="14"/>
                <w:szCs w:val="14"/>
                <w:color w:val="auto"/>
              </w:rPr>
            </w:pPr>
          </w:p>
        </w:tc>
        <w:tc>
          <w:tcPr>
            <w:tcW w:w="7500" w:type="dxa"/>
            <w:vAlign w:val="bottom"/>
            <w:shd w:val="clear" w:color="auto" w:fill="CCEEFF"/>
          </w:tcPr>
          <w:p>
            <w:pPr>
              <w:ind w:left="200"/>
              <w:spacing w:after="0"/>
              <w:rPr>
                <w:sz w:val="20"/>
                <w:szCs w:val="20"/>
                <w:color w:val="auto"/>
              </w:rPr>
            </w:pPr>
            <w:r>
              <w:rPr>
                <w:rFonts w:ascii="Arial" w:cs="Arial" w:eastAsia="Arial" w:hAnsi="Arial"/>
                <w:sz w:val="14"/>
                <w:szCs w:val="14"/>
                <w:b w:val="1"/>
                <w:bCs w:val="1"/>
                <w:color w:val="auto"/>
              </w:rPr>
              <w:t>Total Purchase Price:</w:t>
            </w:r>
          </w:p>
        </w:tc>
        <w:tc>
          <w:tcPr>
            <w:tcW w:w="140" w:type="dxa"/>
            <w:vAlign w:val="bottom"/>
            <w:shd w:val="clear" w:color="auto" w:fill="CCEEFF"/>
          </w:tcPr>
          <w:p>
            <w:pPr>
              <w:spacing w:after="0"/>
              <w:rPr>
                <w:sz w:val="14"/>
                <w:szCs w:val="14"/>
                <w:color w:val="auto"/>
              </w:rPr>
            </w:pPr>
          </w:p>
        </w:tc>
        <w:tc>
          <w:tcPr>
            <w:tcW w:w="5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52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7500" w:type="dxa"/>
            <w:vAlign w:val="bottom"/>
          </w:tcPr>
          <w:p>
            <w:pPr>
              <w:ind w:left="200"/>
              <w:spacing w:after="0" w:line="149" w:lineRule="exact"/>
              <w:rPr>
                <w:sz w:val="20"/>
                <w:szCs w:val="20"/>
                <w:color w:val="auto"/>
              </w:rPr>
            </w:pPr>
            <w:r>
              <w:rPr>
                <w:rFonts w:ascii="Arial" w:cs="Arial" w:eastAsia="Arial" w:hAnsi="Arial"/>
                <w:sz w:val="14"/>
                <w:szCs w:val="14"/>
                <w:color w:val="auto"/>
              </w:rPr>
              <w:t>Purchase price</w:t>
            </w:r>
          </w:p>
        </w:tc>
        <w:tc>
          <w:tcPr>
            <w:tcW w:w="1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8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w w:val="76"/>
              </w:rPr>
              <w:t>$</w:t>
            </w:r>
          </w:p>
        </w:tc>
        <w:tc>
          <w:tcPr>
            <w:tcW w:w="520" w:type="dxa"/>
            <w:vAlign w:val="bottom"/>
          </w:tcPr>
          <w:p>
            <w:pPr>
              <w:jc w:val="right"/>
              <w:spacing w:after="0" w:line="149" w:lineRule="exact"/>
              <w:rPr>
                <w:sz w:val="20"/>
                <w:szCs w:val="20"/>
                <w:color w:val="auto"/>
              </w:rPr>
            </w:pPr>
            <w:r>
              <w:rPr>
                <w:rFonts w:ascii="Arial" w:cs="Arial" w:eastAsia="Arial" w:hAnsi="Arial"/>
                <w:sz w:val="14"/>
                <w:szCs w:val="14"/>
                <w:color w:val="auto"/>
                <w:w w:val="98"/>
              </w:rPr>
              <w:t>536,556</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750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Share of Cumberland previously acquired for cash</w:t>
            </w: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9,637</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7500" w:type="dxa"/>
            <w:vAlign w:val="bottom"/>
          </w:tcPr>
          <w:p>
            <w:pPr>
              <w:ind w:left="200"/>
              <w:spacing w:after="0" w:line="149" w:lineRule="exact"/>
              <w:rPr>
                <w:sz w:val="20"/>
                <w:szCs w:val="20"/>
                <w:color w:val="auto"/>
              </w:rPr>
            </w:pPr>
            <w:r>
              <w:rPr>
                <w:rFonts w:ascii="Arial" w:cs="Arial" w:eastAsia="Arial" w:hAnsi="Arial"/>
                <w:sz w:val="14"/>
                <w:szCs w:val="14"/>
                <w:color w:val="auto"/>
              </w:rPr>
              <w:t>Fair value of options and warrants acquired</w:t>
            </w:r>
          </w:p>
        </w:tc>
        <w:tc>
          <w:tcPr>
            <w:tcW w:w="1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20" w:type="dxa"/>
            <w:vAlign w:val="bottom"/>
          </w:tcPr>
          <w:p>
            <w:pPr>
              <w:jc w:val="right"/>
              <w:spacing w:after="0" w:line="149" w:lineRule="exact"/>
              <w:rPr>
                <w:sz w:val="20"/>
                <w:szCs w:val="20"/>
                <w:color w:val="auto"/>
              </w:rPr>
            </w:pPr>
            <w:r>
              <w:rPr>
                <w:rFonts w:ascii="Arial" w:cs="Arial" w:eastAsia="Arial" w:hAnsi="Arial"/>
                <w:sz w:val="14"/>
                <w:szCs w:val="14"/>
                <w:color w:val="auto"/>
              </w:rPr>
              <w:t>18,956</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750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Transaction costs</w:t>
            </w: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11,836</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7"/>
        </w:trPr>
        <w:tc>
          <w:tcPr>
            <w:tcW w:w="1160" w:type="dxa"/>
            <w:vAlign w:val="bottom"/>
          </w:tcPr>
          <w:p>
            <w:pPr>
              <w:spacing w:after="0"/>
              <w:rPr>
                <w:sz w:val="2"/>
                <w:szCs w:val="2"/>
                <w:color w:val="auto"/>
              </w:rPr>
            </w:pPr>
          </w:p>
        </w:tc>
        <w:tc>
          <w:tcPr>
            <w:tcW w:w="7500" w:type="dxa"/>
            <w:vAlign w:val="bottom"/>
            <w:vMerge w:val="restart"/>
          </w:tcPr>
          <w:p>
            <w:pPr>
              <w:ind w:left="200"/>
              <w:spacing w:after="0"/>
              <w:rPr>
                <w:sz w:val="20"/>
                <w:szCs w:val="20"/>
                <w:color w:val="auto"/>
              </w:rPr>
            </w:pPr>
            <w:r>
              <w:rPr>
                <w:rFonts w:ascii="Arial" w:cs="Arial" w:eastAsia="Arial" w:hAnsi="Arial"/>
                <w:sz w:val="14"/>
                <w:szCs w:val="14"/>
                <w:color w:val="auto"/>
              </w:rPr>
              <w:t>Total purchase price to allocate</w:t>
            </w:r>
          </w:p>
        </w:tc>
        <w:tc>
          <w:tcPr>
            <w:tcW w:w="140" w:type="dxa"/>
            <w:vAlign w:val="bottom"/>
          </w:tcPr>
          <w:p>
            <w:pPr>
              <w:spacing w:after="0"/>
              <w:rPr>
                <w:sz w:val="2"/>
                <w:szCs w:val="2"/>
                <w:color w:val="auto"/>
              </w:rPr>
            </w:pPr>
          </w:p>
        </w:tc>
        <w:tc>
          <w:tcPr>
            <w:tcW w:w="520" w:type="dxa"/>
            <w:vAlign w:val="bottom"/>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67"/>
        </w:trPr>
        <w:tc>
          <w:tcPr>
            <w:tcW w:w="1160" w:type="dxa"/>
            <w:vAlign w:val="bottom"/>
          </w:tcPr>
          <w:p>
            <w:pPr>
              <w:spacing w:after="0"/>
              <w:rPr>
                <w:sz w:val="14"/>
                <w:szCs w:val="14"/>
                <w:color w:val="auto"/>
              </w:rPr>
            </w:pPr>
          </w:p>
        </w:tc>
        <w:tc>
          <w:tcPr>
            <w:tcW w:w="7500" w:type="dxa"/>
            <w:vAlign w:val="bottom"/>
            <w:vMerge w:val="continue"/>
          </w:tcPr>
          <w:p>
            <w:pPr>
              <w:spacing w:after="0"/>
              <w:rPr>
                <w:sz w:val="14"/>
                <w:szCs w:val="14"/>
                <w:color w:val="auto"/>
              </w:rPr>
            </w:pPr>
          </w:p>
        </w:tc>
        <w:tc>
          <w:tcPr>
            <w:tcW w:w="14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8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4"/>
                <w:szCs w:val="14"/>
                <w:color w:val="auto"/>
                <w:w w:val="76"/>
              </w:rPr>
              <w:t>$</w:t>
            </w:r>
          </w:p>
        </w:tc>
        <w:tc>
          <w:tcPr>
            <w:tcW w:w="52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w w:val="98"/>
              </w:rPr>
              <w:t>576,985</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1160" w:type="dxa"/>
            <w:vAlign w:val="bottom"/>
          </w:tcPr>
          <w:p>
            <w:pPr>
              <w:spacing w:after="0" w:line="20" w:lineRule="exact"/>
              <w:rPr>
                <w:sz w:val="1"/>
                <w:szCs w:val="1"/>
                <w:color w:val="auto"/>
              </w:rPr>
            </w:pPr>
          </w:p>
        </w:tc>
        <w:tc>
          <w:tcPr>
            <w:tcW w:w="75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06"/>
        </w:trPr>
        <w:tc>
          <w:tcPr>
            <w:tcW w:w="1160" w:type="dxa"/>
            <w:vAlign w:val="bottom"/>
          </w:tcPr>
          <w:p>
            <w:pPr>
              <w:spacing w:after="0"/>
              <w:rPr>
                <w:sz w:val="24"/>
                <w:szCs w:val="24"/>
                <w:color w:val="auto"/>
              </w:rPr>
            </w:pPr>
          </w:p>
        </w:tc>
        <w:tc>
          <w:tcPr>
            <w:tcW w:w="7500" w:type="dxa"/>
            <w:vAlign w:val="bottom"/>
            <w:shd w:val="clear" w:color="auto" w:fill="CCEEFF"/>
          </w:tcPr>
          <w:p>
            <w:pPr>
              <w:ind w:left="200"/>
              <w:spacing w:after="0"/>
              <w:rPr>
                <w:sz w:val="20"/>
                <w:szCs w:val="20"/>
                <w:color w:val="auto"/>
              </w:rPr>
            </w:pPr>
            <w:r>
              <w:rPr>
                <w:rFonts w:ascii="Arial" w:cs="Arial" w:eastAsia="Arial" w:hAnsi="Arial"/>
                <w:sz w:val="14"/>
                <w:szCs w:val="14"/>
                <w:b w:val="1"/>
                <w:bCs w:val="1"/>
                <w:color w:val="auto"/>
              </w:rPr>
              <w:t>Fair Value of Assets Acquired:</w:t>
            </w:r>
          </w:p>
        </w:tc>
        <w:tc>
          <w:tcPr>
            <w:tcW w:w="140" w:type="dxa"/>
            <w:vAlign w:val="bottom"/>
            <w:shd w:val="clear" w:color="auto" w:fill="CCEEFF"/>
          </w:tcPr>
          <w:p>
            <w:pPr>
              <w:spacing w:after="0"/>
              <w:rPr>
                <w:sz w:val="24"/>
                <w:szCs w:val="24"/>
                <w:color w:val="auto"/>
              </w:rPr>
            </w:pPr>
          </w:p>
        </w:tc>
        <w:tc>
          <w:tcPr>
            <w:tcW w:w="52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52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7500" w:type="dxa"/>
            <w:vAlign w:val="bottom"/>
          </w:tcPr>
          <w:p>
            <w:pPr>
              <w:ind w:left="200"/>
              <w:spacing w:after="0" w:line="149" w:lineRule="exact"/>
              <w:rPr>
                <w:sz w:val="20"/>
                <w:szCs w:val="20"/>
                <w:color w:val="auto"/>
              </w:rPr>
            </w:pPr>
            <w:r>
              <w:rPr>
                <w:rFonts w:ascii="Arial" w:cs="Arial" w:eastAsia="Arial" w:hAnsi="Arial"/>
                <w:sz w:val="14"/>
                <w:szCs w:val="14"/>
                <w:color w:val="auto"/>
              </w:rPr>
              <w:t>Net working capital acquired (including cash of $96,043)</w:t>
            </w:r>
          </w:p>
        </w:tc>
        <w:tc>
          <w:tcPr>
            <w:tcW w:w="1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8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w w:val="76"/>
              </w:rPr>
              <w:t>$</w:t>
            </w:r>
          </w:p>
        </w:tc>
        <w:tc>
          <w:tcPr>
            <w:tcW w:w="520" w:type="dxa"/>
            <w:vAlign w:val="bottom"/>
          </w:tcPr>
          <w:p>
            <w:pPr>
              <w:jc w:val="right"/>
              <w:spacing w:after="0" w:line="149" w:lineRule="exact"/>
              <w:rPr>
                <w:sz w:val="20"/>
                <w:szCs w:val="20"/>
                <w:color w:val="auto"/>
              </w:rPr>
            </w:pPr>
            <w:r>
              <w:rPr>
                <w:rFonts w:ascii="Arial" w:cs="Arial" w:eastAsia="Arial" w:hAnsi="Arial"/>
                <w:sz w:val="14"/>
                <w:szCs w:val="14"/>
                <w:color w:val="auto"/>
              </w:rPr>
              <w:t>81,704</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750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Plant and equipment</w:t>
            </w: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40,238</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7500" w:type="dxa"/>
            <w:vAlign w:val="bottom"/>
          </w:tcPr>
          <w:p>
            <w:pPr>
              <w:ind w:left="200"/>
              <w:spacing w:after="0" w:line="149" w:lineRule="exact"/>
              <w:rPr>
                <w:sz w:val="20"/>
                <w:szCs w:val="20"/>
                <w:color w:val="auto"/>
              </w:rPr>
            </w:pPr>
            <w:r>
              <w:rPr>
                <w:rFonts w:ascii="Arial" w:cs="Arial" w:eastAsia="Arial" w:hAnsi="Arial"/>
                <w:sz w:val="14"/>
                <w:szCs w:val="14"/>
                <w:color w:val="auto"/>
              </w:rPr>
              <w:t>Other net liabilities</w:t>
            </w:r>
          </w:p>
        </w:tc>
        <w:tc>
          <w:tcPr>
            <w:tcW w:w="1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(1,399)</w:t>
            </w: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750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Mining properties</w:t>
            </w: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98"/>
              </w:rPr>
              <w:t>736,197</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1160" w:type="dxa"/>
            <w:vAlign w:val="bottom"/>
          </w:tcPr>
          <w:p>
            <w:pPr>
              <w:spacing w:after="0"/>
              <w:rPr>
                <w:sz w:val="15"/>
                <w:szCs w:val="15"/>
                <w:color w:val="auto"/>
              </w:rPr>
            </w:pPr>
          </w:p>
        </w:tc>
        <w:tc>
          <w:tcPr>
            <w:tcW w:w="7500" w:type="dxa"/>
            <w:vAlign w:val="bottom"/>
          </w:tcPr>
          <w:p>
            <w:pPr>
              <w:ind w:left="200"/>
              <w:spacing w:after="0"/>
              <w:rPr>
                <w:sz w:val="20"/>
                <w:szCs w:val="20"/>
                <w:color w:val="auto"/>
              </w:rPr>
            </w:pPr>
            <w:r>
              <w:rPr>
                <w:rFonts w:ascii="Arial" w:cs="Arial" w:eastAsia="Arial" w:hAnsi="Arial"/>
                <w:sz w:val="14"/>
                <w:szCs w:val="14"/>
                <w:color w:val="auto"/>
              </w:rPr>
              <w:t>Future income tax liability</w:t>
            </w:r>
          </w:p>
        </w:tc>
        <w:tc>
          <w:tcPr>
            <w:tcW w:w="140" w:type="dxa"/>
            <w:vAlign w:val="bottom"/>
          </w:tcPr>
          <w:p>
            <w:pPr>
              <w:spacing w:after="0"/>
              <w:rPr>
                <w:sz w:val="15"/>
                <w:szCs w:val="15"/>
                <w:color w:val="auto"/>
              </w:rPr>
            </w:pPr>
          </w:p>
        </w:tc>
        <w:tc>
          <w:tcPr>
            <w:tcW w:w="5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4"/>
                <w:szCs w:val="14"/>
                <w:color w:val="auto"/>
                <w:w w:val="90"/>
              </w:rPr>
              <w:t>(279,755)</w:t>
            </w:r>
          </w:p>
        </w:tc>
        <w:tc>
          <w:tcPr>
            <w:tcW w:w="0" w:type="dxa"/>
            <w:vAlign w:val="bottom"/>
          </w:tcPr>
          <w:p>
            <w:pPr>
              <w:spacing w:after="0"/>
              <w:rPr>
                <w:sz w:val="1"/>
                <w:szCs w:val="1"/>
                <w:color w:val="auto"/>
              </w:rPr>
            </w:pPr>
          </w:p>
        </w:tc>
      </w:tr>
      <w:tr>
        <w:trPr>
          <w:trHeight w:val="144"/>
        </w:trPr>
        <w:tc>
          <w:tcPr>
            <w:tcW w:w="1160" w:type="dxa"/>
            <w:vAlign w:val="bottom"/>
          </w:tcPr>
          <w:p>
            <w:pPr>
              <w:spacing w:after="0"/>
              <w:rPr>
                <w:sz w:val="12"/>
                <w:szCs w:val="12"/>
                <w:color w:val="auto"/>
              </w:rPr>
            </w:pPr>
          </w:p>
        </w:tc>
        <w:tc>
          <w:tcPr>
            <w:tcW w:w="7500" w:type="dxa"/>
            <w:vAlign w:val="bottom"/>
            <w:shd w:val="clear" w:color="auto" w:fill="CCEEFF"/>
          </w:tcPr>
          <w:p>
            <w:pPr>
              <w:ind w:left="200"/>
              <w:spacing w:after="0" w:line="144" w:lineRule="exact"/>
              <w:rPr>
                <w:sz w:val="20"/>
                <w:szCs w:val="20"/>
                <w:color w:val="auto"/>
              </w:rPr>
            </w:pPr>
            <w:r>
              <w:rPr>
                <w:rFonts w:ascii="Arial" w:cs="Arial" w:eastAsia="Arial" w:hAnsi="Arial"/>
                <w:sz w:val="14"/>
                <w:szCs w:val="14"/>
                <w:color w:val="auto"/>
              </w:rPr>
              <w:t>Total purchase price</w:t>
            </w: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80" w:type="dxa"/>
            <w:vAlign w:val="bottom"/>
            <w:tcBorders>
              <w:top w:val="single" w:sz="8" w:color="auto"/>
            </w:tcBorders>
            <w:gridSpan w:val="2"/>
            <w:shd w:val="clear" w:color="auto" w:fill="CCEEFF"/>
          </w:tcPr>
          <w:p>
            <w:pPr>
              <w:jc w:val="right"/>
              <w:ind w:right="100"/>
              <w:spacing w:after="0" w:line="144" w:lineRule="exact"/>
              <w:rPr>
                <w:sz w:val="20"/>
                <w:szCs w:val="20"/>
                <w:color w:val="auto"/>
              </w:rPr>
            </w:pPr>
            <w:r>
              <w:rPr>
                <w:rFonts w:ascii="Arial" w:cs="Arial" w:eastAsia="Arial" w:hAnsi="Arial"/>
                <w:sz w:val="14"/>
                <w:szCs w:val="14"/>
                <w:color w:val="auto"/>
                <w:w w:val="76"/>
              </w:rPr>
              <w:t>$</w:t>
            </w:r>
          </w:p>
        </w:tc>
        <w:tc>
          <w:tcPr>
            <w:tcW w:w="520" w:type="dxa"/>
            <w:vAlign w:val="bottom"/>
            <w:tcBorders>
              <w:top w:val="single" w:sz="8" w:color="auto"/>
            </w:tcBorders>
            <w:shd w:val="clear" w:color="auto" w:fill="CCEEFF"/>
          </w:tcPr>
          <w:p>
            <w:pPr>
              <w:jc w:val="right"/>
              <w:spacing w:after="0" w:line="144" w:lineRule="exact"/>
              <w:rPr>
                <w:sz w:val="20"/>
                <w:szCs w:val="20"/>
                <w:color w:val="auto"/>
              </w:rPr>
            </w:pPr>
            <w:r>
              <w:rPr>
                <w:rFonts w:ascii="Arial" w:cs="Arial" w:eastAsia="Arial" w:hAnsi="Arial"/>
                <w:sz w:val="14"/>
                <w:szCs w:val="14"/>
                <w:color w:val="auto"/>
                <w:w w:val="98"/>
              </w:rPr>
              <w:t>576,985</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7"/>
        </w:trPr>
        <w:tc>
          <w:tcPr>
            <w:tcW w:w="866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10.  ACCOUNTS PAYABLE AND ACCRUED LIABILITIES</w:t>
            </w:r>
          </w:p>
        </w:tc>
        <w:tc>
          <w:tcPr>
            <w:tcW w:w="140" w:type="dxa"/>
            <w:vAlign w:val="bottom"/>
          </w:tcPr>
          <w:p>
            <w:pPr>
              <w:spacing w:after="0"/>
              <w:rPr>
                <w:sz w:val="2"/>
                <w:szCs w:val="2"/>
                <w:color w:val="auto"/>
              </w:rPr>
            </w:pPr>
          </w:p>
        </w:tc>
        <w:tc>
          <w:tcPr>
            <w:tcW w:w="520" w:type="dxa"/>
            <w:vAlign w:val="bottom"/>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8660" w:type="dxa"/>
            <w:vAlign w:val="bottom"/>
            <w:gridSpan w:val="2"/>
            <w:vMerge w:val="continue"/>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8"/>
        </w:trPr>
        <w:tc>
          <w:tcPr>
            <w:tcW w:w="8660" w:type="dxa"/>
            <w:vAlign w:val="bottom"/>
            <w:gridSpan w:val="2"/>
            <w:vMerge w:val="continue"/>
          </w:tcPr>
          <w:p>
            <w:pPr>
              <w:spacing w:after="0"/>
              <w:rPr>
                <w:sz w:val="24"/>
                <w:szCs w:val="24"/>
                <w:color w:val="auto"/>
              </w:rPr>
            </w:pPr>
          </w:p>
        </w:tc>
        <w:tc>
          <w:tcPr>
            <w:tcW w:w="1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52"/>
        </w:trPr>
        <w:tc>
          <w:tcPr>
            <w:tcW w:w="1160" w:type="dxa"/>
            <w:vAlign w:val="bottom"/>
          </w:tcPr>
          <w:p>
            <w:pPr>
              <w:spacing w:after="0"/>
              <w:rPr>
                <w:sz w:val="24"/>
                <w:szCs w:val="24"/>
                <w:color w:val="auto"/>
              </w:rPr>
            </w:pPr>
          </w:p>
        </w:tc>
        <w:tc>
          <w:tcPr>
            <w:tcW w:w="7500" w:type="dxa"/>
            <w:vAlign w:val="bottom"/>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520" w:type="dxa"/>
            <w:vAlign w:val="bottom"/>
            <w:tcBorders>
              <w:bottom w:val="single" w:sz="8" w:color="auto"/>
            </w:tcBorders>
          </w:tcPr>
          <w:p>
            <w:pPr>
              <w:jc w:val="right"/>
              <w:ind w:right="132"/>
              <w:spacing w:after="0"/>
              <w:rPr>
                <w:sz w:val="20"/>
                <w:szCs w:val="20"/>
                <w:color w:val="auto"/>
              </w:rPr>
            </w:pPr>
            <w:r>
              <w:rPr>
                <w:rFonts w:ascii="Arial" w:cs="Arial" w:eastAsia="Arial" w:hAnsi="Arial"/>
                <w:sz w:val="14"/>
                <w:szCs w:val="14"/>
                <w:b w:val="1"/>
                <w:bCs w:val="1"/>
                <w:color w:val="auto"/>
                <w:w w:val="96"/>
              </w:rPr>
              <w:t>2009</w:t>
            </w: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520" w:type="dxa"/>
            <w:vAlign w:val="bottom"/>
            <w:tcBorders>
              <w:bottom w:val="single" w:sz="8" w:color="auto"/>
            </w:tcBorders>
          </w:tcPr>
          <w:p>
            <w:pPr>
              <w:jc w:val="right"/>
              <w:ind w:right="132"/>
              <w:spacing w:after="0"/>
              <w:rPr>
                <w:sz w:val="20"/>
                <w:szCs w:val="20"/>
                <w:color w:val="auto"/>
              </w:rPr>
            </w:pPr>
            <w:r>
              <w:rPr>
                <w:rFonts w:ascii="Arial" w:cs="Arial" w:eastAsia="Arial" w:hAnsi="Arial"/>
                <w:sz w:val="14"/>
                <w:szCs w:val="14"/>
                <w:b w:val="1"/>
                <w:bCs w:val="1"/>
                <w:color w:val="auto"/>
                <w:w w:val="96"/>
              </w:rPr>
              <w:t>2008</w:t>
            </w: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2"/>
        </w:trPr>
        <w:tc>
          <w:tcPr>
            <w:tcW w:w="1160" w:type="dxa"/>
            <w:vAlign w:val="bottom"/>
          </w:tcPr>
          <w:p>
            <w:pPr>
              <w:spacing w:after="0"/>
              <w:rPr>
                <w:sz w:val="12"/>
                <w:szCs w:val="12"/>
                <w:color w:val="auto"/>
              </w:rPr>
            </w:pPr>
          </w:p>
        </w:tc>
        <w:tc>
          <w:tcPr>
            <w:tcW w:w="7500" w:type="dxa"/>
            <w:vAlign w:val="bottom"/>
            <w:shd w:val="clear" w:color="auto" w:fill="CCEEFF"/>
          </w:tcPr>
          <w:p>
            <w:pPr>
              <w:ind w:left="200"/>
              <w:spacing w:after="0" w:line="142" w:lineRule="exact"/>
              <w:rPr>
                <w:sz w:val="20"/>
                <w:szCs w:val="20"/>
                <w:color w:val="auto"/>
              </w:rPr>
            </w:pPr>
            <w:r>
              <w:rPr>
                <w:rFonts w:ascii="Arial" w:cs="Arial" w:eastAsia="Arial" w:hAnsi="Arial"/>
                <w:sz w:val="14"/>
                <w:szCs w:val="14"/>
                <w:color w:val="auto"/>
              </w:rPr>
              <w:t>Trade payables</w:t>
            </w:r>
          </w:p>
        </w:tc>
        <w:tc>
          <w:tcPr>
            <w:tcW w:w="14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5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86,392</w:t>
            </w:r>
          </w:p>
        </w:tc>
        <w:tc>
          <w:tcPr>
            <w:tcW w:w="100" w:type="dxa"/>
            <w:vAlign w:val="bottom"/>
            <w:shd w:val="clear" w:color="auto" w:fill="CCEEFF"/>
          </w:tcPr>
          <w:p>
            <w:pPr>
              <w:spacing w:after="0"/>
              <w:rPr>
                <w:sz w:val="12"/>
                <w:szCs w:val="12"/>
                <w:color w:val="auto"/>
              </w:rPr>
            </w:pPr>
          </w:p>
        </w:tc>
        <w:tc>
          <w:tcPr>
            <w:tcW w:w="180" w:type="dxa"/>
            <w:vAlign w:val="bottom"/>
            <w:gridSpan w:val="2"/>
            <w:shd w:val="clear" w:color="auto" w:fill="CCEEFF"/>
          </w:tcPr>
          <w:p>
            <w:pPr>
              <w:jc w:val="right"/>
              <w:ind w:right="60"/>
              <w:spacing w:after="0" w:line="142" w:lineRule="exact"/>
              <w:rPr>
                <w:sz w:val="20"/>
                <w:szCs w:val="20"/>
                <w:color w:val="auto"/>
              </w:rPr>
            </w:pPr>
            <w:r>
              <w:rPr>
                <w:rFonts w:ascii="Arial" w:cs="Arial" w:eastAsia="Arial" w:hAnsi="Arial"/>
                <w:sz w:val="14"/>
                <w:szCs w:val="14"/>
                <w:color w:val="auto"/>
              </w:rPr>
              <w:t>$</w:t>
            </w:r>
          </w:p>
        </w:tc>
        <w:tc>
          <w:tcPr>
            <w:tcW w:w="5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68,571</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7500" w:type="dxa"/>
            <w:vAlign w:val="bottom"/>
          </w:tcPr>
          <w:p>
            <w:pPr>
              <w:ind w:left="200"/>
              <w:spacing w:after="0" w:line="149" w:lineRule="exact"/>
              <w:rPr>
                <w:sz w:val="20"/>
                <w:szCs w:val="20"/>
                <w:color w:val="auto"/>
              </w:rPr>
            </w:pPr>
            <w:r>
              <w:rPr>
                <w:rFonts w:ascii="Arial" w:cs="Arial" w:eastAsia="Arial" w:hAnsi="Arial"/>
                <w:sz w:val="14"/>
                <w:szCs w:val="14"/>
                <w:color w:val="auto"/>
              </w:rPr>
              <w:t>Wages payable</w:t>
            </w:r>
          </w:p>
        </w:tc>
        <w:tc>
          <w:tcPr>
            <w:tcW w:w="140" w:type="dxa"/>
            <w:vAlign w:val="bottom"/>
          </w:tcPr>
          <w:p>
            <w:pPr>
              <w:spacing w:after="0"/>
              <w:rPr>
                <w:sz w:val="12"/>
                <w:szCs w:val="12"/>
                <w:color w:val="auto"/>
              </w:rPr>
            </w:pPr>
          </w:p>
        </w:tc>
        <w:tc>
          <w:tcPr>
            <w:tcW w:w="520" w:type="dxa"/>
            <w:vAlign w:val="bottom"/>
          </w:tcPr>
          <w:p>
            <w:pPr>
              <w:jc w:val="right"/>
              <w:spacing w:after="0" w:line="149" w:lineRule="exact"/>
              <w:rPr>
                <w:sz w:val="20"/>
                <w:szCs w:val="20"/>
                <w:color w:val="auto"/>
              </w:rPr>
            </w:pPr>
            <w:r>
              <w:rPr>
                <w:rFonts w:ascii="Arial" w:cs="Arial" w:eastAsia="Arial" w:hAnsi="Arial"/>
                <w:sz w:val="14"/>
                <w:szCs w:val="14"/>
                <w:color w:val="auto"/>
              </w:rPr>
              <w:t>14,036</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20" w:type="dxa"/>
            <w:vAlign w:val="bottom"/>
          </w:tcPr>
          <w:p>
            <w:pPr>
              <w:jc w:val="right"/>
              <w:spacing w:after="0" w:line="149" w:lineRule="exact"/>
              <w:rPr>
                <w:sz w:val="20"/>
                <w:szCs w:val="20"/>
                <w:color w:val="auto"/>
              </w:rPr>
            </w:pPr>
            <w:r>
              <w:rPr>
                <w:rFonts w:ascii="Arial" w:cs="Arial" w:eastAsia="Arial" w:hAnsi="Arial"/>
                <w:sz w:val="14"/>
                <w:szCs w:val="14"/>
                <w:color w:val="auto"/>
              </w:rPr>
              <w:t>6,484</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750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Accrued liabilities</w:t>
            </w: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31,924</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32,991</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7500" w:type="dxa"/>
            <w:vAlign w:val="bottom"/>
          </w:tcPr>
          <w:p>
            <w:pPr>
              <w:ind w:left="200"/>
              <w:spacing w:after="0" w:line="149" w:lineRule="exact"/>
              <w:rPr>
                <w:sz w:val="20"/>
                <w:szCs w:val="20"/>
                <w:color w:val="auto"/>
              </w:rPr>
            </w:pPr>
            <w:r>
              <w:rPr>
                <w:rFonts w:ascii="Arial" w:cs="Arial" w:eastAsia="Arial" w:hAnsi="Arial"/>
                <w:sz w:val="14"/>
                <w:szCs w:val="14"/>
                <w:color w:val="auto"/>
              </w:rPr>
              <w:t>Current portion of capital lease obligations</w:t>
            </w:r>
          </w:p>
        </w:tc>
        <w:tc>
          <w:tcPr>
            <w:tcW w:w="140" w:type="dxa"/>
            <w:vAlign w:val="bottom"/>
          </w:tcPr>
          <w:p>
            <w:pPr>
              <w:spacing w:after="0"/>
              <w:rPr>
                <w:sz w:val="12"/>
                <w:szCs w:val="12"/>
                <w:color w:val="auto"/>
              </w:rPr>
            </w:pPr>
          </w:p>
        </w:tc>
        <w:tc>
          <w:tcPr>
            <w:tcW w:w="520" w:type="dxa"/>
            <w:vAlign w:val="bottom"/>
          </w:tcPr>
          <w:p>
            <w:pPr>
              <w:jc w:val="right"/>
              <w:spacing w:after="0" w:line="149" w:lineRule="exact"/>
              <w:rPr>
                <w:sz w:val="20"/>
                <w:szCs w:val="20"/>
                <w:color w:val="auto"/>
              </w:rPr>
            </w:pPr>
            <w:r>
              <w:rPr>
                <w:rFonts w:ascii="Arial" w:cs="Arial" w:eastAsia="Arial" w:hAnsi="Arial"/>
                <w:sz w:val="14"/>
                <w:szCs w:val="14"/>
                <w:color w:val="auto"/>
              </w:rPr>
              <w:t>11,955</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20" w:type="dxa"/>
            <w:vAlign w:val="bottom"/>
          </w:tcPr>
          <w:p>
            <w:pPr>
              <w:jc w:val="right"/>
              <w:spacing w:after="0" w:line="149" w:lineRule="exact"/>
              <w:rPr>
                <w:sz w:val="20"/>
                <w:szCs w:val="20"/>
                <w:color w:val="auto"/>
              </w:rPr>
            </w:pPr>
            <w:r>
              <w:rPr>
                <w:rFonts w:ascii="Arial" w:cs="Arial" w:eastAsia="Arial" w:hAnsi="Arial"/>
                <w:sz w:val="14"/>
                <w:szCs w:val="14"/>
                <w:color w:val="auto"/>
              </w:rPr>
              <w:t>9,792</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750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Other liabilities</w:t>
            </w: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11,125</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21,957</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7"/>
        </w:trPr>
        <w:tc>
          <w:tcPr>
            <w:tcW w:w="1160" w:type="dxa"/>
            <w:vAlign w:val="bottom"/>
          </w:tcPr>
          <w:p>
            <w:pPr>
              <w:spacing w:after="0"/>
              <w:rPr>
                <w:sz w:val="2"/>
                <w:szCs w:val="2"/>
                <w:color w:val="auto"/>
              </w:rPr>
            </w:pPr>
          </w:p>
        </w:tc>
        <w:tc>
          <w:tcPr>
            <w:tcW w:w="750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30"/>
        </w:trPr>
        <w:tc>
          <w:tcPr>
            <w:tcW w:w="1160" w:type="dxa"/>
            <w:vAlign w:val="bottom"/>
          </w:tcPr>
          <w:p>
            <w:pPr>
              <w:spacing w:after="0"/>
              <w:rPr>
                <w:sz w:val="20"/>
                <w:szCs w:val="20"/>
                <w:color w:val="auto"/>
              </w:rPr>
            </w:pPr>
          </w:p>
        </w:tc>
        <w:tc>
          <w:tcPr>
            <w:tcW w:w="7500" w:type="dxa"/>
            <w:vAlign w:val="bottom"/>
          </w:tcPr>
          <w:p>
            <w:pPr>
              <w:spacing w:after="0"/>
              <w:rPr>
                <w:sz w:val="20"/>
                <w:szCs w:val="20"/>
                <w:color w:val="auto"/>
              </w:rPr>
            </w:pPr>
          </w:p>
        </w:tc>
        <w:tc>
          <w:tcPr>
            <w:tcW w:w="140" w:type="dxa"/>
            <w:vAlign w:val="bottom"/>
          </w:tcPr>
          <w:p>
            <w:pPr>
              <w:jc w:val="right"/>
              <w:spacing w:after="0"/>
              <w:rPr>
                <w:sz w:val="20"/>
                <w:szCs w:val="20"/>
                <w:color w:val="auto"/>
              </w:rPr>
            </w:pPr>
            <w:r>
              <w:rPr>
                <w:rFonts w:ascii="Arial" w:cs="Arial" w:eastAsia="Arial" w:hAnsi="Arial"/>
                <w:sz w:val="14"/>
                <w:szCs w:val="14"/>
                <w:color w:val="auto"/>
                <w:w w:val="76"/>
              </w:rPr>
              <w:t>$</w:t>
            </w:r>
          </w:p>
        </w:tc>
        <w:tc>
          <w:tcPr>
            <w:tcW w:w="520" w:type="dxa"/>
            <w:vAlign w:val="bottom"/>
          </w:tcPr>
          <w:p>
            <w:pPr>
              <w:jc w:val="right"/>
              <w:spacing w:after="0"/>
              <w:rPr>
                <w:sz w:val="20"/>
                <w:szCs w:val="20"/>
                <w:color w:val="auto"/>
              </w:rPr>
            </w:pPr>
            <w:r>
              <w:rPr>
                <w:rFonts w:ascii="Arial" w:cs="Arial" w:eastAsia="Arial" w:hAnsi="Arial"/>
                <w:sz w:val="14"/>
                <w:szCs w:val="14"/>
                <w:color w:val="auto"/>
                <w:w w:val="94"/>
              </w:rPr>
              <w:t>155,432</w:t>
            </w:r>
          </w:p>
        </w:tc>
        <w:tc>
          <w:tcPr>
            <w:tcW w:w="100" w:type="dxa"/>
            <w:vAlign w:val="bottom"/>
          </w:tcPr>
          <w:p>
            <w:pPr>
              <w:spacing w:after="0"/>
              <w:rPr>
                <w:sz w:val="20"/>
                <w:szCs w:val="20"/>
                <w:color w:val="auto"/>
              </w:rPr>
            </w:pPr>
          </w:p>
        </w:tc>
        <w:tc>
          <w:tcPr>
            <w:tcW w:w="180" w:type="dxa"/>
            <w:vAlign w:val="bottom"/>
            <w:gridSpan w:val="2"/>
          </w:tcPr>
          <w:p>
            <w:pPr>
              <w:jc w:val="right"/>
              <w:ind w:right="60"/>
              <w:spacing w:after="0"/>
              <w:rPr>
                <w:sz w:val="20"/>
                <w:szCs w:val="20"/>
                <w:color w:val="auto"/>
              </w:rPr>
            </w:pPr>
            <w:r>
              <w:rPr>
                <w:rFonts w:ascii="Arial" w:cs="Arial" w:eastAsia="Arial" w:hAnsi="Arial"/>
                <w:sz w:val="14"/>
                <w:szCs w:val="14"/>
                <w:color w:val="auto"/>
              </w:rPr>
              <w:t>$</w:t>
            </w:r>
          </w:p>
        </w:tc>
        <w:tc>
          <w:tcPr>
            <w:tcW w:w="520" w:type="dxa"/>
            <w:vAlign w:val="bottom"/>
          </w:tcPr>
          <w:p>
            <w:pPr>
              <w:jc w:val="right"/>
              <w:spacing w:after="0"/>
              <w:rPr>
                <w:sz w:val="20"/>
                <w:szCs w:val="20"/>
                <w:color w:val="auto"/>
              </w:rPr>
            </w:pPr>
            <w:r>
              <w:rPr>
                <w:rFonts w:ascii="Arial" w:cs="Arial" w:eastAsia="Arial" w:hAnsi="Arial"/>
                <w:sz w:val="14"/>
                <w:szCs w:val="14"/>
                <w:color w:val="auto"/>
                <w:w w:val="98"/>
              </w:rPr>
              <w:t>139,795</w:t>
            </w:r>
          </w:p>
        </w:tc>
        <w:tc>
          <w:tcPr>
            <w:tcW w:w="1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1160" w:type="dxa"/>
            <w:vAlign w:val="bottom"/>
          </w:tcPr>
          <w:p>
            <w:pPr>
              <w:spacing w:after="0" w:line="20" w:lineRule="exact"/>
              <w:rPr>
                <w:sz w:val="1"/>
                <w:szCs w:val="1"/>
                <w:color w:val="auto"/>
              </w:rPr>
            </w:pPr>
          </w:p>
        </w:tc>
        <w:tc>
          <w:tcPr>
            <w:tcW w:w="750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5" w:lineRule="exact"/>
        <w:rPr>
          <w:sz w:val="20"/>
          <w:szCs w:val="20"/>
          <w:color w:val="auto"/>
        </w:rPr>
      </w:pPr>
    </w:p>
    <w:p>
      <w:pPr>
        <w:ind w:left="540"/>
        <w:spacing w:after="0"/>
        <w:rPr>
          <w:sz w:val="20"/>
          <w:szCs w:val="20"/>
          <w:color w:val="auto"/>
        </w:rPr>
      </w:pPr>
      <w:r>
        <w:rPr>
          <w:rFonts w:ascii="Arial" w:cs="Arial" w:eastAsia="Arial" w:hAnsi="Arial"/>
          <w:sz w:val="14"/>
          <w:szCs w:val="14"/>
          <w:color w:val="auto"/>
        </w:rPr>
        <w:t>Other liabilities mainly consists of the liability portion of the flow-through shares issuance of $6.8 million (2008 — $17.5 million) (note 6(b)).</w:t>
      </w:r>
    </w:p>
    <w:p>
      <w:pPr>
        <w:spacing w:after="0" w:line="202"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11.  RELATED PARTY TRANSACTIONS</w:t>
      </w:r>
    </w:p>
    <w:p>
      <w:pPr>
        <w:spacing w:after="0" w:line="206" w:lineRule="exact"/>
        <w:rPr>
          <w:sz w:val="20"/>
          <w:szCs w:val="20"/>
          <w:color w:val="auto"/>
        </w:rPr>
      </w:pPr>
    </w:p>
    <w:p>
      <w:pPr>
        <w:jc w:val="both"/>
        <w:ind w:left="540"/>
        <w:spacing w:after="0" w:line="288" w:lineRule="auto"/>
        <w:rPr>
          <w:sz w:val="20"/>
          <w:szCs w:val="20"/>
          <w:color w:val="auto"/>
        </w:rPr>
      </w:pPr>
      <w:r>
        <w:rPr>
          <w:rFonts w:ascii="Arial" w:cs="Arial" w:eastAsia="Arial" w:hAnsi="Arial"/>
          <w:sz w:val="12"/>
          <w:szCs w:val="12"/>
          <w:color w:val="auto"/>
        </w:rPr>
        <w:t>Contact Diamond Corporation ("Contact") was a consolidated entity of the Company for the year ended December 31, 2002. As of August 2003, the Company ceased consolidating Contact as the Company's investment no longer represented a "controlling financial interest". The loan was originally advanced for the purpose of funding ongoing exploration and operating activities. The loan was repayable on demand with a rate of interest on the loan of 8% per annum. The Company, however, waived the interest on this loan commencing May 13, 2002.</w:t>
      </w:r>
    </w:p>
    <w:p>
      <w:pPr>
        <w:spacing w:after="0" w:line="165" w:lineRule="exact"/>
        <w:rPr>
          <w:sz w:val="20"/>
          <w:szCs w:val="20"/>
          <w:color w:val="auto"/>
        </w:rPr>
      </w:pPr>
    </w:p>
    <w:p>
      <w:pPr>
        <w:jc w:val="both"/>
        <w:ind w:left="540"/>
        <w:spacing w:after="0" w:line="266" w:lineRule="auto"/>
        <w:rPr>
          <w:sz w:val="20"/>
          <w:szCs w:val="20"/>
          <w:color w:val="auto"/>
        </w:rPr>
      </w:pPr>
      <w:r>
        <w:rPr>
          <w:rFonts w:ascii="Arial" w:cs="Arial" w:eastAsia="Arial" w:hAnsi="Arial"/>
          <w:sz w:val="12"/>
          <w:szCs w:val="12"/>
          <w:color w:val="auto"/>
        </w:rPr>
        <w:t>In 2006, the Company tendered its 13.8 million Contact shares in conjunction with Stornoway Diamond Corporation's ("Stornoway") offer to acquire all of the outstanding shares of Contact. Under the terms of the offer, each share of Contact was exchanged for 0.36 of a Stornoway share resulting in the receipt by the Company of 4,968,747 Stornoway shares. A $4.4 million gain on the exchange of shares was recognized and a gain of $2.9 million was recognized on the write-up of the loan to Contact during 2006. On February 12, 2007, Agnico-Eagle subscribed to a private placement of subscription receipts by Stornoway for a total cost of $19.8 million. Stornoway acquired the debt in full by way of assignment of the note in consideration for the issuance to the Company of 3,207,861 common shares of Stornoway at a deemed value of C$1.25 per share. In addition, on March 16, 2007, the Company purchased from Stornoway C$5 million in unsecured Series A Convertible Debentures and C$5 million in unsecured Series B Convertible Debentures. Both series of debentures matured two years after their date of issue and interest was payable under the debentures quarterly at 12% per annum. At the option of Stornoway, interest payments could be paid in cash or in shares of Stornoway. During 2008, the interest payments to the Company amounted to C$0.7 million and consisted of 1,940,614 shares (2007 — C$0.9 million of which C$0.6 million was received in cash and the rest 302,450 shares) of Stornoway.</w:t>
      </w:r>
    </w:p>
    <w:p>
      <w:pPr>
        <w:spacing w:after="0" w:line="18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2" w:right="239" w:bottom="1440" w:gutter="0" w:footer="0" w:header="0"/>
        </w:sectPr>
      </w:pPr>
    </w:p>
    <w:bookmarkStart w:id="213" w:name="page214"/>
    <w:bookmarkEnd w:id="213"/>
    <w:p>
      <w:pPr>
        <w:jc w:val="center"/>
        <w:spacing w:after="0"/>
        <w:rPr>
          <w:sz w:val="20"/>
          <w:szCs w:val="20"/>
          <w:color w:val="auto"/>
        </w:rPr>
      </w:pPr>
      <w:r>
        <w:rPr>
          <w:rFonts w:ascii="Arial" w:cs="Arial" w:eastAsia="Arial" w:hAnsi="Arial"/>
          <w:sz w:val="18"/>
          <w:szCs w:val="18"/>
          <w:b w:val="1"/>
          <w:bCs w:val="1"/>
          <w:color w:val="auto"/>
        </w:rPr>
        <w:t>AGNICO-EAGLE MINES LIMITED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 (Continued)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(thousands of United States dollars, except per share amounts, unless otherwise indicated)</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December 31, 2009</w:t>
      </w:r>
    </w:p>
    <w:p>
      <w:pPr>
        <w:spacing w:after="0" w:line="214"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11.  RELATED PARTY TRANSACTIONS (Continued)</w:t>
      </w:r>
    </w:p>
    <w:p>
      <w:pPr>
        <w:spacing w:after="0" w:line="206" w:lineRule="exact"/>
        <w:rPr>
          <w:sz w:val="20"/>
          <w:szCs w:val="20"/>
          <w:color w:val="auto"/>
        </w:rPr>
      </w:pPr>
    </w:p>
    <w:p>
      <w:pPr>
        <w:jc w:val="both"/>
        <w:ind w:left="540"/>
        <w:spacing w:after="0" w:line="273" w:lineRule="auto"/>
        <w:rPr>
          <w:sz w:val="20"/>
          <w:szCs w:val="20"/>
          <w:color w:val="auto"/>
        </w:rPr>
      </w:pPr>
      <w:r>
        <w:rPr>
          <w:rFonts w:ascii="Arial" w:cs="Arial" w:eastAsia="Arial" w:hAnsi="Arial"/>
          <w:sz w:val="12"/>
          <w:szCs w:val="12"/>
          <w:color w:val="auto"/>
        </w:rPr>
        <w:t>On July 31, 2008, the Company purchased from treasury 12,222,222 common shares of Stornoway at a price of C$0.90 per common share. Stornoway used the proceeds of the private placement to redeem the C$10 million principal amount of convertible debentures held by the Company and to pay to the Company a C$1 million amendment fee in connection with the amendment of the debentures to permit early redemption. The Company received an additional 527,947 common shares of Stornoway in satisfaction of accrued but unpaid interest on the debentures prior to their redemption. As a result of these transactions, the Company increased its holdings in Stornoway from 27,520,809 common shares (approximately 13.6% of the issued and outstanding common shares) to 40,270,978 common shares (approximately 15.8% of the issued and outstanding common shares).</w:t>
      </w:r>
    </w:p>
    <w:p>
      <w:pPr>
        <w:spacing w:after="0" w:line="174" w:lineRule="exact"/>
        <w:rPr>
          <w:sz w:val="20"/>
          <w:szCs w:val="20"/>
          <w:color w:val="auto"/>
        </w:rPr>
      </w:pPr>
    </w:p>
    <w:p>
      <w:pPr>
        <w:ind w:left="540"/>
        <w:spacing w:after="0"/>
        <w:rPr>
          <w:sz w:val="20"/>
          <w:szCs w:val="20"/>
          <w:color w:val="auto"/>
        </w:rPr>
      </w:pPr>
      <w:r>
        <w:rPr>
          <w:rFonts w:ascii="Arial" w:cs="Arial" w:eastAsia="Arial" w:hAnsi="Arial"/>
          <w:sz w:val="12"/>
          <w:szCs w:val="12"/>
          <w:color w:val="auto"/>
        </w:rPr>
        <w:t>Agnico-Eagle's holdings in Stornoway as at December 31, 2009 remain unchanged at 40,270,978 common shares (approximately 15.3% of the issued and outstanding common shares).</w:t>
      </w:r>
    </w:p>
    <w:p>
      <w:pPr>
        <w:spacing w:after="0" w:line="227" w:lineRule="exact"/>
        <w:rPr>
          <w:sz w:val="20"/>
          <w:szCs w:val="20"/>
          <w:color w:val="auto"/>
        </w:rPr>
      </w:pPr>
    </w:p>
    <w:p>
      <w:pPr>
        <w:ind w:left="540"/>
        <w:spacing w:after="0"/>
        <w:rPr>
          <w:sz w:val="20"/>
          <w:szCs w:val="20"/>
          <w:color w:val="auto"/>
        </w:rPr>
      </w:pPr>
      <w:r>
        <w:rPr>
          <w:rFonts w:ascii="Arial" w:cs="Arial" w:eastAsia="Arial" w:hAnsi="Arial"/>
          <w:sz w:val="14"/>
          <w:szCs w:val="14"/>
          <w:color w:val="auto"/>
        </w:rPr>
        <w:t>Subsequent to year-end, the Company purchased 5.0 million common shares of Stornoway at a price of C$0.50 per common share.</w:t>
      </w:r>
    </w:p>
    <w:p>
      <w:pPr>
        <w:spacing w:after="0" w:line="202"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12.  COMMITMENTS AND CONTINGENCIES</w:t>
      </w:r>
    </w:p>
    <w:p>
      <w:pPr>
        <w:spacing w:after="0" w:line="206" w:lineRule="exact"/>
        <w:rPr>
          <w:sz w:val="20"/>
          <w:szCs w:val="20"/>
          <w:color w:val="auto"/>
        </w:rPr>
      </w:pPr>
    </w:p>
    <w:p>
      <w:pPr>
        <w:jc w:val="both"/>
        <w:ind w:left="540"/>
        <w:spacing w:after="0" w:line="239" w:lineRule="auto"/>
        <w:rPr>
          <w:sz w:val="20"/>
          <w:szCs w:val="20"/>
          <w:color w:val="auto"/>
        </w:rPr>
      </w:pPr>
      <w:r>
        <w:rPr>
          <w:rFonts w:ascii="Arial" w:cs="Arial" w:eastAsia="Arial" w:hAnsi="Arial"/>
          <w:sz w:val="14"/>
          <w:szCs w:val="14"/>
          <w:color w:val="auto"/>
        </w:rPr>
        <w:t>As part of its ongoing business and operations, the Company has been required to provide assurance in the form of letters of credit for environmental and site restoration costs, custom credits, government grants and other general corporate purposes. As at December 31, 2009, the total amount of these guarantees was $85.3 million.</w:t>
      </w:r>
    </w:p>
    <w:p>
      <w:pPr>
        <w:spacing w:after="0" w:line="193" w:lineRule="exact"/>
        <w:rPr>
          <w:sz w:val="20"/>
          <w:szCs w:val="20"/>
          <w:color w:val="auto"/>
        </w:rPr>
      </w:pPr>
    </w:p>
    <w:p>
      <w:pPr>
        <w:ind w:left="540"/>
        <w:spacing w:after="0"/>
        <w:rPr>
          <w:sz w:val="20"/>
          <w:szCs w:val="20"/>
          <w:color w:val="auto"/>
        </w:rPr>
      </w:pPr>
      <w:r>
        <w:rPr>
          <w:rFonts w:ascii="Arial" w:cs="Arial" w:eastAsia="Arial" w:hAnsi="Arial"/>
          <w:sz w:val="14"/>
          <w:szCs w:val="14"/>
          <w:color w:val="auto"/>
        </w:rPr>
        <w:t>Certain of the Company's properties are subject to royalty arrangements. The following are the most significant royalties.</w:t>
      </w:r>
    </w:p>
    <w:p>
      <w:pPr>
        <w:spacing w:after="0" w:line="204" w:lineRule="exact"/>
        <w:rPr>
          <w:sz w:val="20"/>
          <w:szCs w:val="20"/>
          <w:color w:val="auto"/>
        </w:rPr>
      </w:pPr>
    </w:p>
    <w:p>
      <w:pPr>
        <w:jc w:val="both"/>
        <w:ind w:left="540" w:right="20"/>
        <w:spacing w:after="0" w:line="239" w:lineRule="auto"/>
        <w:rPr>
          <w:sz w:val="20"/>
          <w:szCs w:val="20"/>
          <w:color w:val="auto"/>
        </w:rPr>
      </w:pPr>
      <w:r>
        <w:rPr>
          <w:rFonts w:ascii="Arial" w:cs="Arial" w:eastAsia="Arial" w:hAnsi="Arial"/>
          <w:sz w:val="14"/>
          <w:szCs w:val="14"/>
          <w:color w:val="auto"/>
        </w:rPr>
        <w:t>The Company has a royalty agreement with the Finnish government relating to the Kittila Mine. Starting 12 months after the mining operations commence, the Company has to pay 2% on net smelter return, defined as revenue less processing costs. The royalty is paid on a yearly basis the following year.</w:t>
      </w:r>
    </w:p>
    <w:p>
      <w:pPr>
        <w:spacing w:after="0" w:line="193" w:lineRule="exact"/>
        <w:rPr>
          <w:sz w:val="20"/>
          <w:szCs w:val="20"/>
          <w:color w:val="auto"/>
        </w:rPr>
      </w:pPr>
    </w:p>
    <w:p>
      <w:pPr>
        <w:jc w:val="both"/>
        <w:ind w:left="540"/>
        <w:spacing w:after="0" w:line="233" w:lineRule="auto"/>
        <w:rPr>
          <w:sz w:val="20"/>
          <w:szCs w:val="20"/>
          <w:color w:val="auto"/>
        </w:rPr>
      </w:pPr>
      <w:r>
        <w:rPr>
          <w:rFonts w:ascii="Arial" w:cs="Arial" w:eastAsia="Arial" w:hAnsi="Arial"/>
          <w:sz w:val="14"/>
          <w:szCs w:val="14"/>
          <w:color w:val="auto"/>
        </w:rPr>
        <w:t xml:space="preserve">The Company is committed to pay a royalty on future production from the Meadowbank Mine. The Nunavut Tunngavik-administered mineral claims are subject to production leases including a 12% net profits interest royalty from which annual deductions are limited to 85% of gross revenue. Production from Crown mining leases is subject to a royalty of up to 14% of adjusted net profits, as defined in the </w:t>
      </w:r>
      <w:r>
        <w:rPr>
          <w:rFonts w:ascii="Arial" w:cs="Arial" w:eastAsia="Arial" w:hAnsi="Arial"/>
          <w:sz w:val="14"/>
          <w:szCs w:val="14"/>
          <w:i w:val="1"/>
          <w:iCs w:val="1"/>
          <w:color w:val="auto"/>
        </w:rPr>
        <w:t>Northwest Territories and Nunavut Mining Regulations</w:t>
      </w:r>
      <w:r>
        <w:rPr>
          <w:rFonts w:ascii="Arial" w:cs="Arial" w:eastAsia="Arial" w:hAnsi="Arial"/>
          <w:sz w:val="14"/>
          <w:szCs w:val="14"/>
          <w:color w:val="auto"/>
        </w:rPr>
        <w:t xml:space="preserve"> under the </w:t>
      </w:r>
      <w:r>
        <w:rPr>
          <w:rFonts w:ascii="Arial" w:cs="Arial" w:eastAsia="Arial" w:hAnsi="Arial"/>
          <w:sz w:val="14"/>
          <w:szCs w:val="14"/>
          <w:i w:val="1"/>
          <w:iCs w:val="1"/>
          <w:color w:val="auto"/>
        </w:rPr>
        <w:t>Territorial Lands Act</w:t>
      </w:r>
      <w:r>
        <w:rPr>
          <w:rFonts w:ascii="Arial" w:cs="Arial" w:eastAsia="Arial" w:hAnsi="Arial"/>
          <w:sz w:val="14"/>
          <w:szCs w:val="14"/>
          <w:color w:val="auto"/>
        </w:rPr>
        <w:t xml:space="preserve"> (Canada).</w:t>
      </w:r>
    </w:p>
    <w:p>
      <w:pPr>
        <w:spacing w:after="0" w:line="193" w:lineRule="exact"/>
        <w:rPr>
          <w:sz w:val="20"/>
          <w:szCs w:val="20"/>
          <w:color w:val="auto"/>
        </w:rPr>
      </w:pPr>
    </w:p>
    <w:p>
      <w:pPr>
        <w:jc w:val="both"/>
        <w:ind w:left="540"/>
        <w:spacing w:after="0" w:line="239" w:lineRule="auto"/>
        <w:rPr>
          <w:sz w:val="20"/>
          <w:szCs w:val="20"/>
          <w:color w:val="auto"/>
        </w:rPr>
      </w:pPr>
      <w:r>
        <w:rPr>
          <w:rFonts w:ascii="Arial" w:cs="Arial" w:eastAsia="Arial" w:hAnsi="Arial"/>
          <w:sz w:val="14"/>
          <w:szCs w:val="14"/>
          <w:color w:val="auto"/>
        </w:rPr>
        <w:t>The Company is committed to pay a royalty on production from properties in the Abitibi area. The type of royalty agreements include but are not limited to net profits interest royalty and net smelter return royalty with percentages ranging from 0.5% to 5%.</w:t>
      </w:r>
    </w:p>
    <w:p>
      <w:pPr>
        <w:spacing w:after="0" w:line="193" w:lineRule="exact"/>
        <w:rPr>
          <w:sz w:val="20"/>
          <w:szCs w:val="20"/>
          <w:color w:val="auto"/>
        </w:rPr>
      </w:pPr>
    </w:p>
    <w:p>
      <w:pPr>
        <w:jc w:val="both"/>
        <w:ind w:left="540" w:right="20"/>
        <w:spacing w:after="0" w:line="239" w:lineRule="auto"/>
        <w:rPr>
          <w:sz w:val="20"/>
          <w:szCs w:val="20"/>
          <w:color w:val="auto"/>
        </w:rPr>
      </w:pPr>
      <w:r>
        <w:rPr>
          <w:rFonts w:ascii="Arial" w:cs="Arial" w:eastAsia="Arial" w:hAnsi="Arial"/>
          <w:sz w:val="14"/>
          <w:szCs w:val="14"/>
          <w:color w:val="auto"/>
        </w:rPr>
        <w:t>The Company is committed to pay a royalty on production from properties in the Pinos Altos area. The type of royalty agreements include but are not limited to net profits interest royalty and net smelter return royalty with percentages ranging from 2.5% to 3.5%.</w:t>
      </w:r>
    </w:p>
    <w:p>
      <w:pPr>
        <w:spacing w:after="0" w:line="193" w:lineRule="exact"/>
        <w:rPr>
          <w:sz w:val="20"/>
          <w:szCs w:val="20"/>
          <w:color w:val="auto"/>
        </w:rPr>
      </w:pPr>
    </w:p>
    <w:tbl>
      <w:tblPr>
        <w:tblLayout w:type="fixed"/>
        <w:tblInd w:w="540" w:type="dxa"/>
        <w:tblCellMar>
          <w:top w:w="0" w:type="dxa"/>
          <w:left w:w="0" w:type="dxa"/>
          <w:bottom w:w="0" w:type="dxa"/>
          <w:right w:w="0" w:type="dxa"/>
        </w:tblCellMar>
      </w:tblPr>
      <w:tr>
        <w:trPr>
          <w:trHeight w:val="172"/>
        </w:trPr>
        <w:tc>
          <w:tcPr>
            <w:tcW w:w="8020" w:type="dxa"/>
            <w:vAlign w:val="bottom"/>
            <w:gridSpan w:val="2"/>
          </w:tcPr>
          <w:p>
            <w:pPr>
              <w:spacing w:after="0"/>
              <w:rPr>
                <w:sz w:val="20"/>
                <w:szCs w:val="20"/>
                <w:color w:val="auto"/>
              </w:rPr>
            </w:pPr>
            <w:r>
              <w:rPr>
                <w:rFonts w:ascii="Arial" w:cs="Arial" w:eastAsia="Arial" w:hAnsi="Arial"/>
                <w:sz w:val="14"/>
                <w:szCs w:val="14"/>
                <w:color w:val="auto"/>
              </w:rPr>
              <w:t>In addition, the Company has purchase commitments related to the Kittila Mine for oxygen and electricity supplies:</w:t>
            </w:r>
          </w:p>
        </w:tc>
        <w:tc>
          <w:tcPr>
            <w:tcW w:w="80" w:type="dxa"/>
            <w:vAlign w:val="bottom"/>
          </w:tcPr>
          <w:p>
            <w:pPr>
              <w:spacing w:after="0"/>
              <w:rPr>
                <w:sz w:val="14"/>
                <w:szCs w:val="14"/>
                <w:color w:val="auto"/>
              </w:rPr>
            </w:pPr>
          </w:p>
        </w:tc>
        <w:tc>
          <w:tcPr>
            <w:tcW w:w="1480" w:type="dxa"/>
            <w:vAlign w:val="bottom"/>
          </w:tcPr>
          <w:p>
            <w:pPr>
              <w:spacing w:after="0"/>
              <w:rPr>
                <w:sz w:val="14"/>
                <w:szCs w:val="14"/>
                <w:color w:val="auto"/>
              </w:rPr>
            </w:pPr>
          </w:p>
        </w:tc>
        <w:tc>
          <w:tcPr>
            <w:tcW w:w="160" w:type="dxa"/>
            <w:vAlign w:val="bottom"/>
          </w:tcPr>
          <w:p>
            <w:pPr>
              <w:spacing w:after="0"/>
              <w:rPr>
                <w:sz w:val="14"/>
                <w:szCs w:val="14"/>
                <w:color w:val="auto"/>
              </w:rPr>
            </w:pPr>
          </w:p>
        </w:tc>
      </w:tr>
      <w:tr>
        <w:trPr>
          <w:trHeight w:val="352"/>
        </w:trPr>
        <w:tc>
          <w:tcPr>
            <w:tcW w:w="620" w:type="dxa"/>
            <w:vAlign w:val="bottom"/>
          </w:tcPr>
          <w:p>
            <w:pPr>
              <w:spacing w:after="0"/>
              <w:rPr>
                <w:sz w:val="24"/>
                <w:szCs w:val="24"/>
                <w:color w:val="auto"/>
              </w:rPr>
            </w:pPr>
          </w:p>
        </w:tc>
        <w:tc>
          <w:tcPr>
            <w:tcW w:w="74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640" w:type="dxa"/>
            <w:vAlign w:val="bottom"/>
            <w:gridSpan w:val="2"/>
          </w:tcPr>
          <w:p>
            <w:pPr>
              <w:spacing w:after="0"/>
              <w:rPr>
                <w:sz w:val="20"/>
                <w:szCs w:val="20"/>
                <w:color w:val="auto"/>
              </w:rPr>
            </w:pPr>
            <w:r>
              <w:rPr>
                <w:rFonts w:ascii="Arial" w:cs="Arial" w:eastAsia="Arial" w:hAnsi="Arial"/>
                <w:sz w:val="14"/>
                <w:szCs w:val="14"/>
                <w:b w:val="1"/>
                <w:bCs w:val="1"/>
                <w:color w:val="auto"/>
              </w:rPr>
              <w:t>Purchase Commitments</w:t>
            </w:r>
          </w:p>
        </w:tc>
      </w:tr>
      <w:tr>
        <w:trPr>
          <w:trHeight w:val="142"/>
        </w:trPr>
        <w:tc>
          <w:tcPr>
            <w:tcW w:w="620" w:type="dxa"/>
            <w:vAlign w:val="bottom"/>
          </w:tcPr>
          <w:p>
            <w:pPr>
              <w:spacing w:after="0"/>
              <w:rPr>
                <w:sz w:val="12"/>
                <w:szCs w:val="12"/>
                <w:color w:val="auto"/>
              </w:rPr>
            </w:pPr>
          </w:p>
        </w:tc>
        <w:tc>
          <w:tcPr>
            <w:tcW w:w="7400" w:type="dxa"/>
            <w:vAlign w:val="bottom"/>
            <w:shd w:val="clear" w:color="auto" w:fill="CCEEFF"/>
          </w:tcPr>
          <w:p>
            <w:pPr>
              <w:ind w:left="200"/>
              <w:spacing w:after="0" w:line="142" w:lineRule="exact"/>
              <w:rPr>
                <w:sz w:val="20"/>
                <w:szCs w:val="20"/>
                <w:color w:val="auto"/>
              </w:rPr>
            </w:pPr>
            <w:r>
              <w:rPr>
                <w:rFonts w:ascii="Arial" w:cs="Arial" w:eastAsia="Arial" w:hAnsi="Arial"/>
                <w:sz w:val="14"/>
                <w:szCs w:val="14"/>
                <w:color w:val="auto"/>
              </w:rPr>
              <w:t>2010</w:t>
            </w:r>
          </w:p>
        </w:tc>
        <w:tc>
          <w:tcPr>
            <w:tcW w:w="8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148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9,987</w:t>
            </w:r>
          </w:p>
        </w:tc>
        <w:tc>
          <w:tcPr>
            <w:tcW w:w="160" w:type="dxa"/>
            <w:vAlign w:val="bottom"/>
            <w:shd w:val="clear" w:color="auto" w:fill="CCEEFF"/>
          </w:tcPr>
          <w:p>
            <w:pPr>
              <w:spacing w:after="0"/>
              <w:rPr>
                <w:sz w:val="12"/>
                <w:szCs w:val="12"/>
                <w:color w:val="auto"/>
              </w:rPr>
            </w:pPr>
          </w:p>
        </w:tc>
      </w:tr>
      <w:tr>
        <w:trPr>
          <w:trHeight w:val="149"/>
        </w:trPr>
        <w:tc>
          <w:tcPr>
            <w:tcW w:w="620" w:type="dxa"/>
            <w:vAlign w:val="bottom"/>
          </w:tcPr>
          <w:p>
            <w:pPr>
              <w:spacing w:after="0"/>
              <w:rPr>
                <w:sz w:val="12"/>
                <w:szCs w:val="12"/>
                <w:color w:val="auto"/>
              </w:rPr>
            </w:pPr>
          </w:p>
        </w:tc>
        <w:tc>
          <w:tcPr>
            <w:tcW w:w="7400" w:type="dxa"/>
            <w:vAlign w:val="bottom"/>
          </w:tcPr>
          <w:p>
            <w:pPr>
              <w:ind w:left="200"/>
              <w:spacing w:after="0" w:line="149" w:lineRule="exact"/>
              <w:rPr>
                <w:sz w:val="20"/>
                <w:szCs w:val="20"/>
                <w:color w:val="auto"/>
              </w:rPr>
            </w:pPr>
            <w:r>
              <w:rPr>
                <w:rFonts w:ascii="Arial" w:cs="Arial" w:eastAsia="Arial" w:hAnsi="Arial"/>
                <w:sz w:val="14"/>
                <w:szCs w:val="14"/>
                <w:color w:val="auto"/>
              </w:rPr>
              <w:t>2011</w:t>
            </w:r>
          </w:p>
        </w:tc>
        <w:tc>
          <w:tcPr>
            <w:tcW w:w="80" w:type="dxa"/>
            <w:vAlign w:val="bottom"/>
          </w:tcPr>
          <w:p>
            <w:pPr>
              <w:spacing w:after="0"/>
              <w:rPr>
                <w:sz w:val="12"/>
                <w:szCs w:val="12"/>
                <w:color w:val="auto"/>
              </w:rPr>
            </w:pPr>
          </w:p>
        </w:tc>
        <w:tc>
          <w:tcPr>
            <w:tcW w:w="1480" w:type="dxa"/>
            <w:vAlign w:val="bottom"/>
          </w:tcPr>
          <w:p>
            <w:pPr>
              <w:jc w:val="right"/>
              <w:spacing w:after="0" w:line="149" w:lineRule="exact"/>
              <w:rPr>
                <w:sz w:val="20"/>
                <w:szCs w:val="20"/>
                <w:color w:val="auto"/>
              </w:rPr>
            </w:pPr>
            <w:r>
              <w:rPr>
                <w:rFonts w:ascii="Arial" w:cs="Arial" w:eastAsia="Arial" w:hAnsi="Arial"/>
                <w:sz w:val="14"/>
                <w:szCs w:val="14"/>
                <w:color w:val="auto"/>
              </w:rPr>
              <w:t>6,156</w:t>
            </w:r>
          </w:p>
        </w:tc>
        <w:tc>
          <w:tcPr>
            <w:tcW w:w="160" w:type="dxa"/>
            <w:vAlign w:val="bottom"/>
          </w:tcPr>
          <w:p>
            <w:pPr>
              <w:spacing w:after="0"/>
              <w:rPr>
                <w:sz w:val="12"/>
                <w:szCs w:val="12"/>
                <w:color w:val="auto"/>
              </w:rPr>
            </w:pPr>
          </w:p>
        </w:tc>
      </w:tr>
      <w:tr>
        <w:trPr>
          <w:trHeight w:val="149"/>
        </w:trPr>
        <w:tc>
          <w:tcPr>
            <w:tcW w:w="620" w:type="dxa"/>
            <w:vAlign w:val="bottom"/>
          </w:tcPr>
          <w:p>
            <w:pPr>
              <w:spacing w:after="0"/>
              <w:rPr>
                <w:sz w:val="12"/>
                <w:szCs w:val="12"/>
                <w:color w:val="auto"/>
              </w:rPr>
            </w:pPr>
          </w:p>
        </w:tc>
        <w:tc>
          <w:tcPr>
            <w:tcW w:w="740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2012</w:t>
            </w:r>
          </w:p>
        </w:tc>
        <w:tc>
          <w:tcPr>
            <w:tcW w:w="80" w:type="dxa"/>
            <w:vAlign w:val="bottom"/>
            <w:shd w:val="clear" w:color="auto" w:fill="CCEEFF"/>
          </w:tcPr>
          <w:p>
            <w:pPr>
              <w:spacing w:after="0"/>
              <w:rPr>
                <w:sz w:val="12"/>
                <w:szCs w:val="12"/>
                <w:color w:val="auto"/>
              </w:rPr>
            </w:pPr>
          </w:p>
        </w:tc>
        <w:tc>
          <w:tcPr>
            <w:tcW w:w="14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3,994</w:t>
            </w:r>
          </w:p>
        </w:tc>
        <w:tc>
          <w:tcPr>
            <w:tcW w:w="160" w:type="dxa"/>
            <w:vAlign w:val="bottom"/>
            <w:shd w:val="clear" w:color="auto" w:fill="CCEEFF"/>
          </w:tcPr>
          <w:p>
            <w:pPr>
              <w:spacing w:after="0"/>
              <w:rPr>
                <w:sz w:val="12"/>
                <w:szCs w:val="12"/>
                <w:color w:val="auto"/>
              </w:rPr>
            </w:pPr>
          </w:p>
        </w:tc>
      </w:tr>
      <w:tr>
        <w:trPr>
          <w:trHeight w:val="149"/>
        </w:trPr>
        <w:tc>
          <w:tcPr>
            <w:tcW w:w="620" w:type="dxa"/>
            <w:vAlign w:val="bottom"/>
          </w:tcPr>
          <w:p>
            <w:pPr>
              <w:spacing w:after="0"/>
              <w:rPr>
                <w:sz w:val="12"/>
                <w:szCs w:val="12"/>
                <w:color w:val="auto"/>
              </w:rPr>
            </w:pPr>
          </w:p>
        </w:tc>
        <w:tc>
          <w:tcPr>
            <w:tcW w:w="7400" w:type="dxa"/>
            <w:vAlign w:val="bottom"/>
          </w:tcPr>
          <w:p>
            <w:pPr>
              <w:ind w:left="200"/>
              <w:spacing w:after="0" w:line="149" w:lineRule="exact"/>
              <w:rPr>
                <w:sz w:val="20"/>
                <w:szCs w:val="20"/>
                <w:color w:val="auto"/>
              </w:rPr>
            </w:pPr>
            <w:r>
              <w:rPr>
                <w:rFonts w:ascii="Arial" w:cs="Arial" w:eastAsia="Arial" w:hAnsi="Arial"/>
                <w:sz w:val="14"/>
                <w:szCs w:val="14"/>
                <w:color w:val="auto"/>
              </w:rPr>
              <w:t>2013</w:t>
            </w:r>
          </w:p>
        </w:tc>
        <w:tc>
          <w:tcPr>
            <w:tcW w:w="80" w:type="dxa"/>
            <w:vAlign w:val="bottom"/>
          </w:tcPr>
          <w:p>
            <w:pPr>
              <w:spacing w:after="0"/>
              <w:rPr>
                <w:sz w:val="12"/>
                <w:szCs w:val="12"/>
                <w:color w:val="auto"/>
              </w:rPr>
            </w:pPr>
          </w:p>
        </w:tc>
        <w:tc>
          <w:tcPr>
            <w:tcW w:w="1480" w:type="dxa"/>
            <w:vAlign w:val="bottom"/>
          </w:tcPr>
          <w:p>
            <w:pPr>
              <w:jc w:val="right"/>
              <w:spacing w:after="0" w:line="149" w:lineRule="exact"/>
              <w:rPr>
                <w:sz w:val="20"/>
                <w:szCs w:val="20"/>
                <w:color w:val="auto"/>
              </w:rPr>
            </w:pPr>
            <w:r>
              <w:rPr>
                <w:rFonts w:ascii="Arial" w:cs="Arial" w:eastAsia="Arial" w:hAnsi="Arial"/>
                <w:sz w:val="14"/>
                <w:szCs w:val="14"/>
                <w:color w:val="auto"/>
              </w:rPr>
              <w:t>3,457</w:t>
            </w:r>
          </w:p>
        </w:tc>
        <w:tc>
          <w:tcPr>
            <w:tcW w:w="160" w:type="dxa"/>
            <w:vAlign w:val="bottom"/>
          </w:tcPr>
          <w:p>
            <w:pPr>
              <w:spacing w:after="0"/>
              <w:rPr>
                <w:sz w:val="12"/>
                <w:szCs w:val="12"/>
                <w:color w:val="auto"/>
              </w:rPr>
            </w:pPr>
          </w:p>
        </w:tc>
      </w:tr>
      <w:tr>
        <w:trPr>
          <w:trHeight w:val="149"/>
        </w:trPr>
        <w:tc>
          <w:tcPr>
            <w:tcW w:w="620" w:type="dxa"/>
            <w:vAlign w:val="bottom"/>
          </w:tcPr>
          <w:p>
            <w:pPr>
              <w:spacing w:after="0"/>
              <w:rPr>
                <w:sz w:val="12"/>
                <w:szCs w:val="12"/>
                <w:color w:val="auto"/>
              </w:rPr>
            </w:pPr>
          </w:p>
        </w:tc>
        <w:tc>
          <w:tcPr>
            <w:tcW w:w="740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2014</w:t>
            </w:r>
          </w:p>
        </w:tc>
        <w:tc>
          <w:tcPr>
            <w:tcW w:w="80" w:type="dxa"/>
            <w:vAlign w:val="bottom"/>
            <w:shd w:val="clear" w:color="auto" w:fill="CCEEFF"/>
          </w:tcPr>
          <w:p>
            <w:pPr>
              <w:spacing w:after="0"/>
              <w:rPr>
                <w:sz w:val="12"/>
                <w:szCs w:val="12"/>
                <w:color w:val="auto"/>
              </w:rPr>
            </w:pPr>
          </w:p>
        </w:tc>
        <w:tc>
          <w:tcPr>
            <w:tcW w:w="14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3,457</w:t>
            </w:r>
          </w:p>
        </w:tc>
        <w:tc>
          <w:tcPr>
            <w:tcW w:w="160" w:type="dxa"/>
            <w:vAlign w:val="bottom"/>
            <w:shd w:val="clear" w:color="auto" w:fill="CCEEFF"/>
          </w:tcPr>
          <w:p>
            <w:pPr>
              <w:spacing w:after="0"/>
              <w:rPr>
                <w:sz w:val="12"/>
                <w:szCs w:val="12"/>
                <w:color w:val="auto"/>
              </w:rPr>
            </w:pPr>
          </w:p>
        </w:tc>
      </w:tr>
      <w:tr>
        <w:trPr>
          <w:trHeight w:val="174"/>
        </w:trPr>
        <w:tc>
          <w:tcPr>
            <w:tcW w:w="620" w:type="dxa"/>
            <w:vAlign w:val="bottom"/>
          </w:tcPr>
          <w:p>
            <w:pPr>
              <w:spacing w:after="0"/>
              <w:rPr>
                <w:sz w:val="15"/>
                <w:szCs w:val="15"/>
                <w:color w:val="auto"/>
              </w:rPr>
            </w:pPr>
          </w:p>
        </w:tc>
        <w:tc>
          <w:tcPr>
            <w:tcW w:w="7400" w:type="dxa"/>
            <w:vAlign w:val="bottom"/>
          </w:tcPr>
          <w:p>
            <w:pPr>
              <w:ind w:left="200"/>
              <w:spacing w:after="0"/>
              <w:rPr>
                <w:sz w:val="20"/>
                <w:szCs w:val="20"/>
                <w:color w:val="auto"/>
              </w:rPr>
            </w:pPr>
            <w:r>
              <w:rPr>
                <w:rFonts w:ascii="Arial" w:cs="Arial" w:eastAsia="Arial" w:hAnsi="Arial"/>
                <w:sz w:val="14"/>
                <w:szCs w:val="14"/>
                <w:color w:val="auto"/>
              </w:rPr>
              <w:t>Later years</w:t>
            </w:r>
          </w:p>
        </w:tc>
        <w:tc>
          <w:tcPr>
            <w:tcW w:w="80" w:type="dxa"/>
            <w:vAlign w:val="bottom"/>
            <w:tcBorders>
              <w:bottom w:val="single" w:sz="8" w:color="auto"/>
            </w:tcBorders>
          </w:tcPr>
          <w:p>
            <w:pPr>
              <w:spacing w:after="0"/>
              <w:rPr>
                <w:sz w:val="15"/>
                <w:szCs w:val="15"/>
                <w:color w:val="auto"/>
              </w:rPr>
            </w:pPr>
          </w:p>
        </w:tc>
        <w:tc>
          <w:tcPr>
            <w:tcW w:w="148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34,576</w:t>
            </w:r>
          </w:p>
        </w:tc>
        <w:tc>
          <w:tcPr>
            <w:tcW w:w="160" w:type="dxa"/>
            <w:vAlign w:val="bottom"/>
          </w:tcPr>
          <w:p>
            <w:pPr>
              <w:spacing w:after="0"/>
              <w:rPr>
                <w:sz w:val="15"/>
                <w:szCs w:val="15"/>
                <w:color w:val="auto"/>
              </w:rPr>
            </w:pPr>
          </w:p>
        </w:tc>
      </w:tr>
      <w:tr>
        <w:trPr>
          <w:trHeight w:val="144"/>
        </w:trPr>
        <w:tc>
          <w:tcPr>
            <w:tcW w:w="620" w:type="dxa"/>
            <w:vAlign w:val="bottom"/>
          </w:tcPr>
          <w:p>
            <w:pPr>
              <w:spacing w:after="0"/>
              <w:rPr>
                <w:sz w:val="12"/>
                <w:szCs w:val="12"/>
                <w:color w:val="auto"/>
              </w:rPr>
            </w:pPr>
          </w:p>
        </w:tc>
        <w:tc>
          <w:tcPr>
            <w:tcW w:w="7400" w:type="dxa"/>
            <w:vAlign w:val="bottom"/>
            <w:shd w:val="clear" w:color="auto" w:fill="CCEEFF"/>
          </w:tcPr>
          <w:p>
            <w:pPr>
              <w:ind w:left="200"/>
              <w:spacing w:after="0" w:line="144" w:lineRule="exact"/>
              <w:rPr>
                <w:sz w:val="20"/>
                <w:szCs w:val="20"/>
                <w:color w:val="auto"/>
              </w:rPr>
            </w:pPr>
            <w:r>
              <w:rPr>
                <w:rFonts w:ascii="Arial" w:cs="Arial" w:eastAsia="Arial" w:hAnsi="Arial"/>
                <w:sz w:val="14"/>
                <w:szCs w:val="14"/>
                <w:color w:val="auto"/>
              </w:rPr>
              <w:t>Total</w:t>
            </w:r>
          </w:p>
        </w:tc>
        <w:tc>
          <w:tcPr>
            <w:tcW w:w="8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w w:val="76"/>
              </w:rPr>
              <w:t>$</w:t>
            </w:r>
          </w:p>
        </w:tc>
        <w:tc>
          <w:tcPr>
            <w:tcW w:w="148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61,627</w:t>
            </w:r>
          </w:p>
        </w:tc>
        <w:tc>
          <w:tcPr>
            <w:tcW w:w="160" w:type="dxa"/>
            <w:vAlign w:val="bottom"/>
            <w:shd w:val="clear" w:color="auto" w:fill="CCEEFF"/>
          </w:tcPr>
          <w:p>
            <w:pPr>
              <w:spacing w:after="0"/>
              <w:rPr>
                <w:sz w:val="12"/>
                <w:szCs w:val="12"/>
                <w:color w:val="auto"/>
              </w:rPr>
            </w:pPr>
          </w:p>
        </w:tc>
      </w:tr>
      <w:tr>
        <w:trPr>
          <w:trHeight w:val="27"/>
        </w:trPr>
        <w:tc>
          <w:tcPr>
            <w:tcW w:w="620" w:type="dxa"/>
            <w:vAlign w:val="bottom"/>
          </w:tcPr>
          <w:p>
            <w:pPr>
              <w:spacing w:after="0"/>
              <w:rPr>
                <w:sz w:val="2"/>
                <w:szCs w:val="2"/>
                <w:color w:val="auto"/>
              </w:rPr>
            </w:pPr>
          </w:p>
        </w:tc>
        <w:tc>
          <w:tcPr>
            <w:tcW w:w="740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48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r>
      <w:tr>
        <w:trPr>
          <w:trHeight w:val="20"/>
        </w:trPr>
        <w:tc>
          <w:tcPr>
            <w:tcW w:w="620" w:type="dxa"/>
            <w:vAlign w:val="bottom"/>
          </w:tcPr>
          <w:p>
            <w:pPr>
              <w:spacing w:after="0" w:line="20" w:lineRule="exact"/>
              <w:rPr>
                <w:sz w:val="1"/>
                <w:szCs w:val="1"/>
                <w:color w:val="auto"/>
              </w:rPr>
            </w:pPr>
          </w:p>
        </w:tc>
        <w:tc>
          <w:tcPr>
            <w:tcW w:w="74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4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214" w:name="page215"/>
    <w:bookmarkEnd w:id="214"/>
    <w:p>
      <w:pPr>
        <w:jc w:val="center"/>
        <w:spacing w:after="0"/>
        <w:rPr>
          <w:sz w:val="20"/>
          <w:szCs w:val="20"/>
          <w:color w:val="auto"/>
        </w:rPr>
      </w:pPr>
      <w:r>
        <w:rPr>
          <w:rFonts w:ascii="Arial" w:cs="Arial" w:eastAsia="Arial" w:hAnsi="Arial"/>
          <w:sz w:val="18"/>
          <w:szCs w:val="18"/>
          <w:b w:val="1"/>
          <w:bCs w:val="1"/>
          <w:color w:val="auto"/>
        </w:rPr>
        <w:t>AGNICO-EAGLE MINES LIMITED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 (Continued)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(thousands of United States dollars, except per share amounts, unless otherwise indicated)</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December 31, 2009</w:t>
      </w:r>
    </w:p>
    <w:p>
      <w:pPr>
        <w:spacing w:after="0" w:line="214" w:lineRule="exact"/>
        <w:rPr>
          <w:sz w:val="20"/>
          <w:szCs w:val="20"/>
          <w:color w:val="auto"/>
        </w:rPr>
      </w:pPr>
    </w:p>
    <w:p>
      <w:pPr>
        <w:ind w:left="280" w:hanging="272"/>
        <w:spacing w:after="0"/>
        <w:tabs>
          <w:tab w:leader="none" w:pos="280" w:val="left"/>
        </w:tabs>
        <w:numPr>
          <w:ilvl w:val="0"/>
          <w:numId w:val="102"/>
        </w:numPr>
        <w:rPr>
          <w:rFonts w:ascii="Arial" w:cs="Arial" w:eastAsia="Arial" w:hAnsi="Arial"/>
          <w:sz w:val="14"/>
          <w:szCs w:val="14"/>
          <w:b w:val="1"/>
          <w:bCs w:val="1"/>
          <w:color w:val="auto"/>
        </w:rPr>
      </w:pPr>
      <w:r>
        <w:rPr>
          <w:rFonts w:ascii="Arial" w:cs="Arial" w:eastAsia="Arial" w:hAnsi="Arial"/>
          <w:sz w:val="14"/>
          <w:szCs w:val="14"/>
          <w:b w:val="1"/>
          <w:bCs w:val="1"/>
          <w:color w:val="auto"/>
        </w:rPr>
        <w:t>LEASES</w:t>
      </w:r>
    </w:p>
    <w:p>
      <w:pPr>
        <w:spacing w:after="0" w:line="192" w:lineRule="exact"/>
        <w:rPr>
          <w:rFonts w:ascii="Arial" w:cs="Arial" w:eastAsia="Arial" w:hAnsi="Arial"/>
          <w:sz w:val="14"/>
          <w:szCs w:val="14"/>
          <w:b w:val="1"/>
          <w:bCs w:val="1"/>
          <w:color w:val="auto"/>
        </w:rPr>
      </w:pPr>
    </w:p>
    <w:p>
      <w:pPr>
        <w:ind w:left="1080" w:hanging="532"/>
        <w:spacing w:after="0"/>
        <w:tabs>
          <w:tab w:leader="none" w:pos="1080" w:val="left"/>
        </w:tabs>
        <w:numPr>
          <w:ilvl w:val="1"/>
          <w:numId w:val="102"/>
        </w:numPr>
        <w:rPr>
          <w:rFonts w:ascii="Arial" w:cs="Arial" w:eastAsia="Arial" w:hAnsi="Arial"/>
          <w:sz w:val="14"/>
          <w:szCs w:val="14"/>
          <w:b w:val="1"/>
          <w:bCs w:val="1"/>
          <w:i w:val="1"/>
          <w:iCs w:val="1"/>
          <w:color w:val="auto"/>
        </w:rPr>
      </w:pPr>
      <w:r>
        <w:rPr>
          <w:rFonts w:ascii="Arial" w:cs="Arial" w:eastAsia="Arial" w:hAnsi="Arial"/>
          <w:sz w:val="14"/>
          <w:szCs w:val="14"/>
          <w:b w:val="1"/>
          <w:bCs w:val="1"/>
          <w:i w:val="1"/>
          <w:iCs w:val="1"/>
          <w:color w:val="auto"/>
        </w:rPr>
        <w:t>Capital Leases</w:t>
      </w:r>
    </w:p>
    <w:p>
      <w:pPr>
        <w:spacing w:after="0" w:line="203" w:lineRule="exact"/>
        <w:rPr>
          <w:rFonts w:ascii="Arial" w:cs="Arial" w:eastAsia="Arial" w:hAnsi="Arial"/>
          <w:sz w:val="14"/>
          <w:szCs w:val="14"/>
          <w:b w:val="1"/>
          <w:bCs w:val="1"/>
          <w:i w:val="1"/>
          <w:iCs w:val="1"/>
          <w:color w:val="auto"/>
        </w:rPr>
      </w:pPr>
    </w:p>
    <w:p>
      <w:pPr>
        <w:ind w:left="1080"/>
        <w:spacing w:after="0" w:line="318" w:lineRule="auto"/>
        <w:rPr>
          <w:rFonts w:ascii="Arial" w:cs="Arial" w:eastAsia="Arial" w:hAnsi="Arial"/>
          <w:sz w:val="14"/>
          <w:szCs w:val="14"/>
          <w:b w:val="1"/>
          <w:bCs w:val="1"/>
          <w:i w:val="1"/>
          <w:iCs w:val="1"/>
          <w:color w:val="auto"/>
        </w:rPr>
      </w:pPr>
      <w:r>
        <w:rPr>
          <w:rFonts w:ascii="Arial" w:cs="Arial" w:eastAsia="Arial" w:hAnsi="Arial"/>
          <w:sz w:val="12"/>
          <w:szCs w:val="12"/>
          <w:color w:val="auto"/>
        </w:rPr>
        <w:t>In 2009, the Company entered into five sale-leaseback agreements with third-parties for various fixed and mobile equipment within Canada. These arrangements represent sale-leaseback transactions in accordance with ASC 840-40 — Sale-Leaseback Transactions. The following table provides summarized information related to these transactions:</w:t>
      </w:r>
    </w:p>
    <w:p>
      <w:pPr>
        <w:spacing w:after="0" w:line="146" w:lineRule="exact"/>
        <w:rPr>
          <w:sz w:val="20"/>
          <w:szCs w:val="20"/>
          <w:color w:val="auto"/>
        </w:rPr>
      </w:pPr>
    </w:p>
    <w:tbl>
      <w:tblPr>
        <w:tblLayout w:type="fixed"/>
        <w:tblInd w:w="1160" w:type="dxa"/>
        <w:tblCellMar>
          <w:top w:w="0" w:type="dxa"/>
          <w:left w:w="0" w:type="dxa"/>
          <w:bottom w:w="0" w:type="dxa"/>
          <w:right w:w="0" w:type="dxa"/>
        </w:tblCellMar>
      </w:tblPr>
      <w:tr>
        <w:trPr>
          <w:trHeight w:val="161"/>
        </w:trPr>
        <w:tc>
          <w:tcPr>
            <w:tcW w:w="5800" w:type="dxa"/>
            <w:vAlign w:val="bottom"/>
          </w:tcPr>
          <w:p>
            <w:pPr>
              <w:spacing w:after="0"/>
              <w:rPr>
                <w:sz w:val="14"/>
                <w:szCs w:val="14"/>
                <w:color w:val="auto"/>
              </w:rPr>
            </w:pPr>
          </w:p>
        </w:tc>
        <w:tc>
          <w:tcPr>
            <w:tcW w:w="1960" w:type="dxa"/>
            <w:vAlign w:val="bottom"/>
            <w:tcBorders>
              <w:bottom w:val="single" w:sz="8" w:color="auto"/>
            </w:tcBorders>
          </w:tcPr>
          <w:p>
            <w:pPr>
              <w:jc w:val="right"/>
              <w:ind w:right="32"/>
              <w:spacing w:after="0"/>
              <w:rPr>
                <w:sz w:val="20"/>
                <w:szCs w:val="20"/>
                <w:color w:val="auto"/>
              </w:rPr>
            </w:pPr>
            <w:r>
              <w:rPr>
                <w:rFonts w:ascii="Arial" w:cs="Arial" w:eastAsia="Arial" w:hAnsi="Arial"/>
                <w:sz w:val="14"/>
                <w:szCs w:val="14"/>
                <w:b w:val="1"/>
                <w:bCs w:val="1"/>
                <w:color w:val="auto"/>
                <w:w w:val="92"/>
              </w:rPr>
              <w:t>Effective Annual Interest Rate</w:t>
            </w:r>
          </w:p>
        </w:tc>
        <w:tc>
          <w:tcPr>
            <w:tcW w:w="160" w:type="dxa"/>
            <w:vAlign w:val="bottom"/>
          </w:tcPr>
          <w:p>
            <w:pPr>
              <w:spacing w:after="0"/>
              <w:rPr>
                <w:sz w:val="14"/>
                <w:szCs w:val="14"/>
                <w:color w:val="auto"/>
              </w:rPr>
            </w:pPr>
          </w:p>
        </w:tc>
        <w:tc>
          <w:tcPr>
            <w:tcW w:w="120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Length of Contract</w:t>
            </w:r>
          </w:p>
        </w:tc>
      </w:tr>
      <w:tr>
        <w:trPr>
          <w:trHeight w:val="142"/>
        </w:trPr>
        <w:tc>
          <w:tcPr>
            <w:tcW w:w="5800" w:type="dxa"/>
            <w:vAlign w:val="bottom"/>
            <w:shd w:val="clear" w:color="auto" w:fill="CCEEFF"/>
          </w:tcPr>
          <w:p>
            <w:pPr>
              <w:ind w:left="420"/>
              <w:spacing w:after="0" w:line="142" w:lineRule="exact"/>
              <w:rPr>
                <w:sz w:val="20"/>
                <w:szCs w:val="20"/>
                <w:color w:val="auto"/>
              </w:rPr>
            </w:pPr>
            <w:r>
              <w:rPr>
                <w:rFonts w:ascii="Arial" w:cs="Arial" w:eastAsia="Arial" w:hAnsi="Arial"/>
                <w:sz w:val="14"/>
                <w:szCs w:val="14"/>
                <w:color w:val="auto"/>
              </w:rPr>
              <w:t>Sale-leaseback #1</w:t>
            </w:r>
          </w:p>
        </w:tc>
        <w:tc>
          <w:tcPr>
            <w:tcW w:w="1960" w:type="dxa"/>
            <w:vAlign w:val="bottom"/>
            <w:shd w:val="clear" w:color="auto" w:fill="CCEEFF"/>
          </w:tcPr>
          <w:p>
            <w:pPr>
              <w:jc w:val="right"/>
              <w:ind w:right="692"/>
              <w:spacing w:after="0" w:line="142" w:lineRule="exact"/>
              <w:rPr>
                <w:sz w:val="20"/>
                <w:szCs w:val="20"/>
                <w:color w:val="auto"/>
              </w:rPr>
            </w:pPr>
            <w:r>
              <w:rPr>
                <w:rFonts w:ascii="Arial" w:cs="Arial" w:eastAsia="Arial" w:hAnsi="Arial"/>
                <w:sz w:val="14"/>
                <w:szCs w:val="14"/>
                <w:color w:val="auto"/>
              </w:rPr>
              <w:t>5.95%</w:t>
            </w:r>
          </w:p>
        </w:tc>
        <w:tc>
          <w:tcPr>
            <w:tcW w:w="160" w:type="dxa"/>
            <w:vAlign w:val="bottom"/>
            <w:shd w:val="clear" w:color="auto" w:fill="CCEEFF"/>
          </w:tcPr>
          <w:p>
            <w:pPr>
              <w:spacing w:after="0"/>
              <w:rPr>
                <w:sz w:val="12"/>
                <w:szCs w:val="12"/>
                <w:color w:val="auto"/>
              </w:rPr>
            </w:pPr>
          </w:p>
        </w:tc>
        <w:tc>
          <w:tcPr>
            <w:tcW w:w="1200" w:type="dxa"/>
            <w:vAlign w:val="bottom"/>
            <w:shd w:val="clear" w:color="auto" w:fill="CCEEFF"/>
          </w:tcPr>
          <w:p>
            <w:pPr>
              <w:jc w:val="center"/>
              <w:spacing w:after="0" w:line="142" w:lineRule="exact"/>
              <w:rPr>
                <w:sz w:val="20"/>
                <w:szCs w:val="20"/>
                <w:color w:val="auto"/>
              </w:rPr>
            </w:pPr>
            <w:r>
              <w:rPr>
                <w:rFonts w:ascii="Arial" w:cs="Arial" w:eastAsia="Arial" w:hAnsi="Arial"/>
                <w:sz w:val="14"/>
                <w:szCs w:val="14"/>
                <w:color w:val="auto"/>
                <w:w w:val="87"/>
              </w:rPr>
              <w:t>5 years</w:t>
            </w:r>
          </w:p>
        </w:tc>
      </w:tr>
      <w:tr>
        <w:trPr>
          <w:trHeight w:val="149"/>
        </w:trPr>
        <w:tc>
          <w:tcPr>
            <w:tcW w:w="5800" w:type="dxa"/>
            <w:vAlign w:val="bottom"/>
          </w:tcPr>
          <w:p>
            <w:pPr>
              <w:ind w:left="420"/>
              <w:spacing w:after="0" w:line="149" w:lineRule="exact"/>
              <w:rPr>
                <w:sz w:val="20"/>
                <w:szCs w:val="20"/>
                <w:color w:val="auto"/>
              </w:rPr>
            </w:pPr>
            <w:r>
              <w:rPr>
                <w:rFonts w:ascii="Arial" w:cs="Arial" w:eastAsia="Arial" w:hAnsi="Arial"/>
                <w:sz w:val="14"/>
                <w:szCs w:val="14"/>
                <w:color w:val="auto"/>
              </w:rPr>
              <w:t>Sale-leaseback #2</w:t>
            </w:r>
          </w:p>
        </w:tc>
        <w:tc>
          <w:tcPr>
            <w:tcW w:w="1960" w:type="dxa"/>
            <w:vAlign w:val="bottom"/>
          </w:tcPr>
          <w:p>
            <w:pPr>
              <w:jc w:val="right"/>
              <w:ind w:right="692"/>
              <w:spacing w:after="0" w:line="149" w:lineRule="exact"/>
              <w:rPr>
                <w:sz w:val="20"/>
                <w:szCs w:val="20"/>
                <w:color w:val="auto"/>
              </w:rPr>
            </w:pPr>
            <w:r>
              <w:rPr>
                <w:rFonts w:ascii="Arial" w:cs="Arial" w:eastAsia="Arial" w:hAnsi="Arial"/>
                <w:sz w:val="14"/>
                <w:szCs w:val="14"/>
                <w:color w:val="auto"/>
              </w:rPr>
              <w:t>5.95%</w:t>
            </w:r>
          </w:p>
        </w:tc>
        <w:tc>
          <w:tcPr>
            <w:tcW w:w="160" w:type="dxa"/>
            <w:vAlign w:val="bottom"/>
          </w:tcPr>
          <w:p>
            <w:pPr>
              <w:spacing w:after="0"/>
              <w:rPr>
                <w:sz w:val="12"/>
                <w:szCs w:val="12"/>
                <w:color w:val="auto"/>
              </w:rPr>
            </w:pPr>
          </w:p>
        </w:tc>
        <w:tc>
          <w:tcPr>
            <w:tcW w:w="1200" w:type="dxa"/>
            <w:vAlign w:val="bottom"/>
          </w:tcPr>
          <w:p>
            <w:pPr>
              <w:jc w:val="center"/>
              <w:spacing w:after="0" w:line="149" w:lineRule="exact"/>
              <w:rPr>
                <w:sz w:val="20"/>
                <w:szCs w:val="20"/>
                <w:color w:val="auto"/>
              </w:rPr>
            </w:pPr>
            <w:r>
              <w:rPr>
                <w:rFonts w:ascii="Arial" w:cs="Arial" w:eastAsia="Arial" w:hAnsi="Arial"/>
                <w:sz w:val="14"/>
                <w:szCs w:val="14"/>
                <w:color w:val="auto"/>
                <w:w w:val="87"/>
              </w:rPr>
              <w:t>4 years</w:t>
            </w:r>
          </w:p>
        </w:tc>
      </w:tr>
      <w:tr>
        <w:trPr>
          <w:trHeight w:val="149"/>
        </w:trPr>
        <w:tc>
          <w:tcPr>
            <w:tcW w:w="580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Sale-leaseback #3</w:t>
            </w:r>
          </w:p>
        </w:tc>
        <w:tc>
          <w:tcPr>
            <w:tcW w:w="1960" w:type="dxa"/>
            <w:vAlign w:val="bottom"/>
            <w:shd w:val="clear" w:color="auto" w:fill="CCEEFF"/>
          </w:tcPr>
          <w:p>
            <w:pPr>
              <w:jc w:val="right"/>
              <w:ind w:right="692"/>
              <w:spacing w:after="0" w:line="149" w:lineRule="exact"/>
              <w:rPr>
                <w:sz w:val="20"/>
                <w:szCs w:val="20"/>
                <w:color w:val="auto"/>
              </w:rPr>
            </w:pPr>
            <w:r>
              <w:rPr>
                <w:rFonts w:ascii="Arial" w:cs="Arial" w:eastAsia="Arial" w:hAnsi="Arial"/>
                <w:sz w:val="14"/>
                <w:szCs w:val="14"/>
                <w:color w:val="auto"/>
              </w:rPr>
              <w:t>6.10%</w:t>
            </w:r>
          </w:p>
        </w:tc>
        <w:tc>
          <w:tcPr>
            <w:tcW w:w="160" w:type="dxa"/>
            <w:vAlign w:val="bottom"/>
            <w:shd w:val="clear" w:color="auto" w:fill="CCEEFF"/>
          </w:tcPr>
          <w:p>
            <w:pPr>
              <w:spacing w:after="0"/>
              <w:rPr>
                <w:sz w:val="12"/>
                <w:szCs w:val="12"/>
                <w:color w:val="auto"/>
              </w:rPr>
            </w:pPr>
          </w:p>
        </w:tc>
        <w:tc>
          <w:tcPr>
            <w:tcW w:w="1200" w:type="dxa"/>
            <w:vAlign w:val="bottom"/>
            <w:shd w:val="clear" w:color="auto" w:fill="CCEEFF"/>
          </w:tcPr>
          <w:p>
            <w:pPr>
              <w:jc w:val="center"/>
              <w:spacing w:after="0" w:line="149" w:lineRule="exact"/>
              <w:rPr>
                <w:sz w:val="20"/>
                <w:szCs w:val="20"/>
                <w:color w:val="auto"/>
              </w:rPr>
            </w:pPr>
            <w:r>
              <w:rPr>
                <w:rFonts w:ascii="Arial" w:cs="Arial" w:eastAsia="Arial" w:hAnsi="Arial"/>
                <w:sz w:val="14"/>
                <w:szCs w:val="14"/>
                <w:color w:val="auto"/>
                <w:w w:val="87"/>
              </w:rPr>
              <w:t>4 years</w:t>
            </w:r>
          </w:p>
        </w:tc>
      </w:tr>
      <w:tr>
        <w:trPr>
          <w:trHeight w:val="149"/>
        </w:trPr>
        <w:tc>
          <w:tcPr>
            <w:tcW w:w="5800" w:type="dxa"/>
            <w:vAlign w:val="bottom"/>
          </w:tcPr>
          <w:p>
            <w:pPr>
              <w:ind w:left="420"/>
              <w:spacing w:after="0" w:line="149" w:lineRule="exact"/>
              <w:rPr>
                <w:sz w:val="20"/>
                <w:szCs w:val="20"/>
                <w:color w:val="auto"/>
              </w:rPr>
            </w:pPr>
            <w:r>
              <w:rPr>
                <w:rFonts w:ascii="Arial" w:cs="Arial" w:eastAsia="Arial" w:hAnsi="Arial"/>
                <w:sz w:val="14"/>
                <w:szCs w:val="14"/>
                <w:color w:val="auto"/>
              </w:rPr>
              <w:t>Sale-leaseback #4</w:t>
            </w:r>
          </w:p>
        </w:tc>
        <w:tc>
          <w:tcPr>
            <w:tcW w:w="1960" w:type="dxa"/>
            <w:vAlign w:val="bottom"/>
          </w:tcPr>
          <w:p>
            <w:pPr>
              <w:jc w:val="right"/>
              <w:ind w:right="692"/>
              <w:spacing w:after="0" w:line="149" w:lineRule="exact"/>
              <w:rPr>
                <w:sz w:val="20"/>
                <w:szCs w:val="20"/>
                <w:color w:val="auto"/>
              </w:rPr>
            </w:pPr>
            <w:r>
              <w:rPr>
                <w:rFonts w:ascii="Arial" w:cs="Arial" w:eastAsia="Arial" w:hAnsi="Arial"/>
                <w:sz w:val="14"/>
                <w:szCs w:val="14"/>
                <w:color w:val="auto"/>
              </w:rPr>
              <w:t>6.06%</w:t>
            </w:r>
          </w:p>
        </w:tc>
        <w:tc>
          <w:tcPr>
            <w:tcW w:w="160" w:type="dxa"/>
            <w:vAlign w:val="bottom"/>
          </w:tcPr>
          <w:p>
            <w:pPr>
              <w:spacing w:after="0"/>
              <w:rPr>
                <w:sz w:val="12"/>
                <w:szCs w:val="12"/>
                <w:color w:val="auto"/>
              </w:rPr>
            </w:pPr>
          </w:p>
        </w:tc>
        <w:tc>
          <w:tcPr>
            <w:tcW w:w="1200" w:type="dxa"/>
            <w:vAlign w:val="bottom"/>
          </w:tcPr>
          <w:p>
            <w:pPr>
              <w:jc w:val="center"/>
              <w:spacing w:after="0" w:line="149" w:lineRule="exact"/>
              <w:rPr>
                <w:sz w:val="20"/>
                <w:szCs w:val="20"/>
                <w:color w:val="auto"/>
              </w:rPr>
            </w:pPr>
            <w:r>
              <w:rPr>
                <w:rFonts w:ascii="Arial" w:cs="Arial" w:eastAsia="Arial" w:hAnsi="Arial"/>
                <w:sz w:val="14"/>
                <w:szCs w:val="14"/>
                <w:color w:val="auto"/>
                <w:w w:val="87"/>
              </w:rPr>
              <w:t>4 years</w:t>
            </w:r>
          </w:p>
        </w:tc>
      </w:tr>
      <w:tr>
        <w:trPr>
          <w:trHeight w:val="149"/>
        </w:trPr>
        <w:tc>
          <w:tcPr>
            <w:tcW w:w="580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Sale-leaseback #5</w:t>
            </w:r>
          </w:p>
        </w:tc>
        <w:tc>
          <w:tcPr>
            <w:tcW w:w="1960" w:type="dxa"/>
            <w:vAlign w:val="bottom"/>
            <w:shd w:val="clear" w:color="auto" w:fill="CCEEFF"/>
          </w:tcPr>
          <w:p>
            <w:pPr>
              <w:jc w:val="right"/>
              <w:ind w:right="692"/>
              <w:spacing w:after="0" w:line="149" w:lineRule="exact"/>
              <w:rPr>
                <w:sz w:val="20"/>
                <w:szCs w:val="20"/>
                <w:color w:val="auto"/>
              </w:rPr>
            </w:pPr>
            <w:r>
              <w:rPr>
                <w:rFonts w:ascii="Arial" w:cs="Arial" w:eastAsia="Arial" w:hAnsi="Arial"/>
                <w:sz w:val="14"/>
                <w:szCs w:val="14"/>
                <w:color w:val="auto"/>
              </w:rPr>
              <w:t>6.06%</w:t>
            </w:r>
          </w:p>
        </w:tc>
        <w:tc>
          <w:tcPr>
            <w:tcW w:w="160" w:type="dxa"/>
            <w:vAlign w:val="bottom"/>
            <w:shd w:val="clear" w:color="auto" w:fill="CCEEFF"/>
          </w:tcPr>
          <w:p>
            <w:pPr>
              <w:spacing w:after="0"/>
              <w:rPr>
                <w:sz w:val="12"/>
                <w:szCs w:val="12"/>
                <w:color w:val="auto"/>
              </w:rPr>
            </w:pPr>
          </w:p>
        </w:tc>
        <w:tc>
          <w:tcPr>
            <w:tcW w:w="1200" w:type="dxa"/>
            <w:vAlign w:val="bottom"/>
            <w:shd w:val="clear" w:color="auto" w:fill="CCEEFF"/>
          </w:tcPr>
          <w:p>
            <w:pPr>
              <w:jc w:val="center"/>
              <w:spacing w:after="0" w:line="149" w:lineRule="exact"/>
              <w:rPr>
                <w:sz w:val="20"/>
                <w:szCs w:val="20"/>
                <w:color w:val="auto"/>
              </w:rPr>
            </w:pPr>
            <w:r>
              <w:rPr>
                <w:rFonts w:ascii="Arial" w:cs="Arial" w:eastAsia="Arial" w:hAnsi="Arial"/>
                <w:sz w:val="14"/>
                <w:szCs w:val="14"/>
                <w:color w:val="auto"/>
                <w:w w:val="87"/>
              </w:rPr>
              <w:t>4 years</w:t>
            </w:r>
          </w:p>
        </w:tc>
      </w:tr>
    </w:tbl>
    <w:p>
      <w:pPr>
        <w:spacing w:after="0" w:line="205" w:lineRule="exact"/>
        <w:rPr>
          <w:sz w:val="20"/>
          <w:szCs w:val="20"/>
          <w:color w:val="auto"/>
        </w:rPr>
      </w:pPr>
    </w:p>
    <w:p>
      <w:pPr>
        <w:jc w:val="both"/>
        <w:ind w:left="1080"/>
        <w:spacing w:after="0" w:line="239" w:lineRule="auto"/>
        <w:rPr>
          <w:sz w:val="20"/>
          <w:szCs w:val="20"/>
          <w:color w:val="auto"/>
        </w:rPr>
      </w:pPr>
      <w:r>
        <w:rPr>
          <w:rFonts w:ascii="Arial" w:cs="Arial" w:eastAsia="Arial" w:hAnsi="Arial"/>
          <w:sz w:val="14"/>
          <w:szCs w:val="14"/>
          <w:color w:val="auto"/>
        </w:rPr>
        <w:t>All of the sale-leaseback agreements have end of lease clauses that qualify as bargain purchase options that the Company expects to execute. The total gross amount of assets recorded under sales-leaseback capital leases amount to $21.0 million (2008 — nil).</w:t>
      </w:r>
    </w:p>
    <w:p>
      <w:pPr>
        <w:spacing w:after="0" w:line="193" w:lineRule="exact"/>
        <w:rPr>
          <w:sz w:val="20"/>
          <w:szCs w:val="20"/>
          <w:color w:val="auto"/>
        </w:rPr>
      </w:pPr>
    </w:p>
    <w:p>
      <w:pPr>
        <w:jc w:val="both"/>
        <w:ind w:left="1080"/>
        <w:spacing w:after="0" w:line="230" w:lineRule="auto"/>
        <w:rPr>
          <w:sz w:val="20"/>
          <w:szCs w:val="20"/>
          <w:color w:val="auto"/>
        </w:rPr>
      </w:pPr>
      <w:r>
        <w:rPr>
          <w:rFonts w:ascii="Arial" w:cs="Arial" w:eastAsia="Arial" w:hAnsi="Arial"/>
          <w:sz w:val="14"/>
          <w:szCs w:val="14"/>
          <w:color w:val="auto"/>
        </w:rPr>
        <w:t>The Company has agreements with third-party providers of mobile equipment for the development of the Meadowbank Mine and the Kittila Mine. These arrangements represent capital leases in accordance with the guidance in ASC 840-30 — Capital Leases. The leases for mobile equipment at the Kittila Mine are for five years and the leases for mobile equipment at the Meadowbank Mine are for three years. The effective annual interest rate on the lease for mobile equipment at Meadowbank is 3.15%. The effective annual interest rate on the lease for mobile equipment at Kittila is 4.99%.</w:t>
      </w:r>
    </w:p>
    <w:p>
      <w:pPr>
        <w:spacing w:after="0" w:line="193" w:lineRule="exact"/>
        <w:rPr>
          <w:sz w:val="20"/>
          <w:szCs w:val="20"/>
          <w:color w:val="auto"/>
        </w:rPr>
      </w:pPr>
    </w:p>
    <w:p>
      <w:pPr>
        <w:ind w:left="1080"/>
        <w:spacing w:after="0"/>
        <w:rPr>
          <w:sz w:val="20"/>
          <w:szCs w:val="20"/>
          <w:color w:val="auto"/>
        </w:rPr>
      </w:pPr>
      <w:r>
        <w:rPr>
          <w:rFonts w:ascii="Arial" w:cs="Arial" w:eastAsia="Arial" w:hAnsi="Arial"/>
          <w:sz w:val="12"/>
          <w:szCs w:val="12"/>
          <w:color w:val="auto"/>
        </w:rPr>
        <w:t>The following is a schedule of future minimum lease payments under capital leases together with the present value of the net minimum lease payments as at December 31, 2009.</w:t>
      </w:r>
    </w:p>
    <w:p>
      <w:pPr>
        <w:spacing w:after="0" w:line="225" w:lineRule="exact"/>
        <w:rPr>
          <w:sz w:val="20"/>
          <w:szCs w:val="20"/>
          <w:color w:val="auto"/>
        </w:rPr>
      </w:pPr>
    </w:p>
    <w:tbl>
      <w:tblPr>
        <w:tblLayout w:type="fixed"/>
        <w:tblInd w:w="1080" w:type="dxa"/>
        <w:tblCellMar>
          <w:top w:w="0" w:type="dxa"/>
          <w:left w:w="0" w:type="dxa"/>
          <w:bottom w:w="0" w:type="dxa"/>
          <w:right w:w="0" w:type="dxa"/>
        </w:tblCellMar>
      </w:tblPr>
      <w:tr>
        <w:trPr>
          <w:trHeight w:val="161"/>
        </w:trPr>
        <w:tc>
          <w:tcPr>
            <w:tcW w:w="8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60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w w:val="89"/>
              </w:rPr>
              <w:t>Year ending December 31:</w:t>
            </w:r>
          </w:p>
        </w:tc>
        <w:tc>
          <w:tcPr>
            <w:tcW w:w="56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80" w:type="dxa"/>
            <w:vAlign w:val="bottom"/>
          </w:tcPr>
          <w:p>
            <w:pPr>
              <w:spacing w:after="0"/>
              <w:rPr>
                <w:sz w:val="12"/>
                <w:szCs w:val="12"/>
                <w:color w:val="auto"/>
              </w:rPr>
            </w:pPr>
          </w:p>
        </w:tc>
        <w:tc>
          <w:tcPr>
            <w:tcW w:w="2020" w:type="dxa"/>
            <w:vAlign w:val="bottom"/>
            <w:gridSpan w:val="2"/>
            <w:shd w:val="clear" w:color="auto" w:fill="CCEEFF"/>
          </w:tcPr>
          <w:p>
            <w:pPr>
              <w:ind w:left="420"/>
              <w:spacing w:after="0" w:line="142" w:lineRule="exact"/>
              <w:rPr>
                <w:sz w:val="20"/>
                <w:szCs w:val="20"/>
                <w:color w:val="auto"/>
              </w:rPr>
            </w:pPr>
            <w:r>
              <w:rPr>
                <w:rFonts w:ascii="Arial" w:cs="Arial" w:eastAsia="Arial" w:hAnsi="Arial"/>
                <w:sz w:val="14"/>
                <w:szCs w:val="14"/>
                <w:color w:val="auto"/>
              </w:rPr>
              <w:t>2010</w:t>
            </w:r>
          </w:p>
        </w:tc>
        <w:tc>
          <w:tcPr>
            <w:tcW w:w="56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46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13,457</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80" w:type="dxa"/>
            <w:vAlign w:val="bottom"/>
          </w:tcPr>
          <w:p>
            <w:pPr>
              <w:spacing w:after="0"/>
              <w:rPr>
                <w:sz w:val="12"/>
                <w:szCs w:val="12"/>
                <w:color w:val="auto"/>
              </w:rPr>
            </w:pPr>
          </w:p>
        </w:tc>
        <w:tc>
          <w:tcPr>
            <w:tcW w:w="2020" w:type="dxa"/>
            <w:vAlign w:val="bottom"/>
            <w:gridSpan w:val="2"/>
          </w:tcPr>
          <w:p>
            <w:pPr>
              <w:ind w:left="420"/>
              <w:spacing w:after="0" w:line="149" w:lineRule="exact"/>
              <w:rPr>
                <w:sz w:val="20"/>
                <w:szCs w:val="20"/>
                <w:color w:val="auto"/>
              </w:rPr>
            </w:pPr>
            <w:r>
              <w:rPr>
                <w:rFonts w:ascii="Arial" w:cs="Arial" w:eastAsia="Arial" w:hAnsi="Arial"/>
                <w:sz w:val="14"/>
                <w:szCs w:val="14"/>
                <w:color w:val="auto"/>
              </w:rPr>
              <w:t>2011</w:t>
            </w:r>
          </w:p>
        </w:tc>
        <w:tc>
          <w:tcPr>
            <w:tcW w:w="56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60" w:type="dxa"/>
            <w:vAlign w:val="bottom"/>
          </w:tcPr>
          <w:p>
            <w:pPr>
              <w:jc w:val="right"/>
              <w:spacing w:after="0" w:line="149" w:lineRule="exact"/>
              <w:rPr>
                <w:sz w:val="20"/>
                <w:szCs w:val="20"/>
                <w:color w:val="auto"/>
              </w:rPr>
            </w:pPr>
            <w:r>
              <w:rPr>
                <w:rFonts w:ascii="Arial" w:cs="Arial" w:eastAsia="Arial" w:hAnsi="Arial"/>
                <w:sz w:val="14"/>
                <w:szCs w:val="14"/>
                <w:color w:val="auto"/>
              </w:rPr>
              <w:t>6,529</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80" w:type="dxa"/>
            <w:vAlign w:val="bottom"/>
          </w:tcPr>
          <w:p>
            <w:pPr>
              <w:spacing w:after="0"/>
              <w:rPr>
                <w:sz w:val="12"/>
                <w:szCs w:val="12"/>
                <w:color w:val="auto"/>
              </w:rPr>
            </w:pPr>
          </w:p>
        </w:tc>
        <w:tc>
          <w:tcPr>
            <w:tcW w:w="2020" w:type="dxa"/>
            <w:vAlign w:val="bottom"/>
            <w:gridSpan w:val="2"/>
            <w:shd w:val="clear" w:color="auto" w:fill="CCEEFF"/>
          </w:tcPr>
          <w:p>
            <w:pPr>
              <w:ind w:left="420"/>
              <w:spacing w:after="0" w:line="149" w:lineRule="exact"/>
              <w:rPr>
                <w:sz w:val="20"/>
                <w:szCs w:val="20"/>
                <w:color w:val="auto"/>
              </w:rPr>
            </w:pPr>
            <w:r>
              <w:rPr>
                <w:rFonts w:ascii="Arial" w:cs="Arial" w:eastAsia="Arial" w:hAnsi="Arial"/>
                <w:sz w:val="14"/>
                <w:szCs w:val="14"/>
                <w:color w:val="auto"/>
              </w:rPr>
              <w:t>2012</w:t>
            </w:r>
          </w:p>
        </w:tc>
        <w:tc>
          <w:tcPr>
            <w:tcW w:w="56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7,499</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80" w:type="dxa"/>
            <w:vAlign w:val="bottom"/>
          </w:tcPr>
          <w:p>
            <w:pPr>
              <w:spacing w:after="0"/>
              <w:rPr>
                <w:sz w:val="12"/>
                <w:szCs w:val="12"/>
                <w:color w:val="auto"/>
              </w:rPr>
            </w:pPr>
          </w:p>
        </w:tc>
        <w:tc>
          <w:tcPr>
            <w:tcW w:w="2020" w:type="dxa"/>
            <w:vAlign w:val="bottom"/>
            <w:gridSpan w:val="2"/>
          </w:tcPr>
          <w:p>
            <w:pPr>
              <w:ind w:left="420"/>
              <w:spacing w:after="0" w:line="149" w:lineRule="exact"/>
              <w:rPr>
                <w:sz w:val="20"/>
                <w:szCs w:val="20"/>
                <w:color w:val="auto"/>
              </w:rPr>
            </w:pPr>
            <w:r>
              <w:rPr>
                <w:rFonts w:ascii="Arial" w:cs="Arial" w:eastAsia="Arial" w:hAnsi="Arial"/>
                <w:sz w:val="14"/>
                <w:szCs w:val="14"/>
                <w:color w:val="auto"/>
              </w:rPr>
              <w:t>2013</w:t>
            </w:r>
          </w:p>
        </w:tc>
        <w:tc>
          <w:tcPr>
            <w:tcW w:w="56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60" w:type="dxa"/>
            <w:vAlign w:val="bottom"/>
          </w:tcPr>
          <w:p>
            <w:pPr>
              <w:jc w:val="right"/>
              <w:spacing w:after="0" w:line="149" w:lineRule="exact"/>
              <w:rPr>
                <w:sz w:val="20"/>
                <w:szCs w:val="20"/>
                <w:color w:val="auto"/>
              </w:rPr>
            </w:pPr>
            <w:r>
              <w:rPr>
                <w:rFonts w:ascii="Arial" w:cs="Arial" w:eastAsia="Arial" w:hAnsi="Arial"/>
                <w:sz w:val="14"/>
                <w:szCs w:val="14"/>
                <w:color w:val="auto"/>
              </w:rPr>
              <w:t>8,185</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80" w:type="dxa"/>
            <w:vAlign w:val="bottom"/>
          </w:tcPr>
          <w:p>
            <w:pPr>
              <w:spacing w:after="0"/>
              <w:rPr>
                <w:sz w:val="12"/>
                <w:szCs w:val="12"/>
                <w:color w:val="auto"/>
              </w:rPr>
            </w:pPr>
          </w:p>
        </w:tc>
        <w:tc>
          <w:tcPr>
            <w:tcW w:w="2020" w:type="dxa"/>
            <w:vAlign w:val="bottom"/>
            <w:gridSpan w:val="2"/>
            <w:shd w:val="clear" w:color="auto" w:fill="CCEEFF"/>
          </w:tcPr>
          <w:p>
            <w:pPr>
              <w:ind w:left="420"/>
              <w:spacing w:after="0" w:line="149" w:lineRule="exact"/>
              <w:rPr>
                <w:sz w:val="20"/>
                <w:szCs w:val="20"/>
                <w:color w:val="auto"/>
              </w:rPr>
            </w:pPr>
            <w:r>
              <w:rPr>
                <w:rFonts w:ascii="Arial" w:cs="Arial" w:eastAsia="Arial" w:hAnsi="Arial"/>
                <w:sz w:val="14"/>
                <w:szCs w:val="14"/>
                <w:color w:val="auto"/>
              </w:rPr>
              <w:t>2014</w:t>
            </w:r>
          </w:p>
        </w:tc>
        <w:tc>
          <w:tcPr>
            <w:tcW w:w="56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2,092</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80" w:type="dxa"/>
            <w:vAlign w:val="bottom"/>
          </w:tcPr>
          <w:p>
            <w:pPr>
              <w:spacing w:after="0"/>
              <w:rPr>
                <w:sz w:val="15"/>
                <w:szCs w:val="15"/>
                <w:color w:val="auto"/>
              </w:rPr>
            </w:pPr>
          </w:p>
        </w:tc>
        <w:tc>
          <w:tcPr>
            <w:tcW w:w="7640" w:type="dxa"/>
            <w:vAlign w:val="bottom"/>
            <w:gridSpan w:val="3"/>
          </w:tcPr>
          <w:p>
            <w:pPr>
              <w:ind w:left="420"/>
              <w:spacing w:after="0"/>
              <w:rPr>
                <w:sz w:val="20"/>
                <w:szCs w:val="20"/>
                <w:color w:val="auto"/>
              </w:rPr>
            </w:pPr>
            <w:r>
              <w:rPr>
                <w:rFonts w:ascii="Arial" w:cs="Arial" w:eastAsia="Arial" w:hAnsi="Arial"/>
                <w:sz w:val="14"/>
                <w:szCs w:val="14"/>
                <w:color w:val="auto"/>
              </w:rPr>
              <w:t>Thereafter</w:t>
            </w:r>
          </w:p>
        </w:tc>
        <w:tc>
          <w:tcPr>
            <w:tcW w:w="12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20" w:type="dxa"/>
            <w:vAlign w:val="bottom"/>
            <w:gridSpan w:val="2"/>
          </w:tcPr>
          <w:p>
            <w:pPr>
              <w:jc w:val="right"/>
              <w:ind w:right="160"/>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4"/>
        </w:trPr>
        <w:tc>
          <w:tcPr>
            <w:tcW w:w="80" w:type="dxa"/>
            <w:vAlign w:val="bottom"/>
          </w:tcPr>
          <w:p>
            <w:pPr>
              <w:spacing w:after="0"/>
              <w:rPr>
                <w:sz w:val="12"/>
                <w:szCs w:val="12"/>
                <w:color w:val="auto"/>
              </w:rPr>
            </w:pPr>
          </w:p>
        </w:tc>
        <w:tc>
          <w:tcPr>
            <w:tcW w:w="7640" w:type="dxa"/>
            <w:vAlign w:val="bottom"/>
            <w:gridSpan w:val="3"/>
            <w:shd w:val="clear" w:color="auto" w:fill="CCEEFF"/>
          </w:tcPr>
          <w:p>
            <w:pPr>
              <w:ind w:left="420"/>
              <w:spacing w:after="0" w:line="144" w:lineRule="exact"/>
              <w:rPr>
                <w:sz w:val="20"/>
                <w:szCs w:val="20"/>
                <w:color w:val="auto"/>
              </w:rPr>
            </w:pPr>
            <w:r>
              <w:rPr>
                <w:rFonts w:ascii="Arial" w:cs="Arial" w:eastAsia="Arial" w:hAnsi="Arial"/>
                <w:sz w:val="14"/>
                <w:szCs w:val="14"/>
                <w:color w:val="auto"/>
              </w:rPr>
              <w:t>Total minimum lease payments</w:t>
            </w:r>
          </w:p>
        </w:tc>
        <w:tc>
          <w:tcPr>
            <w:tcW w:w="12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spacing w:after="0"/>
              <w:rPr>
                <w:sz w:val="12"/>
                <w:szCs w:val="12"/>
                <w:color w:val="auto"/>
              </w:rPr>
            </w:pPr>
          </w:p>
        </w:tc>
        <w:tc>
          <w:tcPr>
            <w:tcW w:w="460" w:type="dxa"/>
            <w:vAlign w:val="bottom"/>
            <w:tcBorders>
              <w:top w:val="single" w:sz="8" w:color="auto"/>
            </w:tcBorders>
            <w:shd w:val="clear" w:color="auto" w:fill="CCEEFF"/>
          </w:tcPr>
          <w:p>
            <w:pPr>
              <w:jc w:val="right"/>
              <w:spacing w:after="0" w:line="144" w:lineRule="exact"/>
              <w:rPr>
                <w:sz w:val="20"/>
                <w:szCs w:val="20"/>
                <w:color w:val="auto"/>
              </w:rPr>
            </w:pPr>
            <w:r>
              <w:rPr>
                <w:rFonts w:ascii="Arial" w:cs="Arial" w:eastAsia="Arial" w:hAnsi="Arial"/>
                <w:sz w:val="14"/>
                <w:szCs w:val="14"/>
                <w:color w:val="auto"/>
              </w:rPr>
              <w:t>37,762</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80" w:type="dxa"/>
            <w:vAlign w:val="bottom"/>
          </w:tcPr>
          <w:p>
            <w:pPr>
              <w:spacing w:after="0"/>
              <w:rPr>
                <w:sz w:val="15"/>
                <w:szCs w:val="15"/>
                <w:color w:val="auto"/>
              </w:rPr>
            </w:pPr>
          </w:p>
        </w:tc>
        <w:tc>
          <w:tcPr>
            <w:tcW w:w="7640" w:type="dxa"/>
            <w:vAlign w:val="bottom"/>
            <w:gridSpan w:val="3"/>
          </w:tcPr>
          <w:p>
            <w:pPr>
              <w:ind w:left="420"/>
              <w:spacing w:after="0"/>
              <w:rPr>
                <w:sz w:val="20"/>
                <w:szCs w:val="20"/>
                <w:color w:val="auto"/>
              </w:rPr>
            </w:pPr>
            <w:r>
              <w:rPr>
                <w:rFonts w:ascii="Arial" w:cs="Arial" w:eastAsia="Arial" w:hAnsi="Arial"/>
                <w:sz w:val="14"/>
                <w:szCs w:val="14"/>
                <w:color w:val="auto"/>
              </w:rPr>
              <w:t>Less amount representing interest</w:t>
            </w:r>
          </w:p>
        </w:tc>
        <w:tc>
          <w:tcPr>
            <w:tcW w:w="12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20" w:type="dxa"/>
            <w:vAlign w:val="bottom"/>
            <w:tcBorders>
              <w:bottom w:val="single" w:sz="8" w:color="auto"/>
            </w:tcBorders>
          </w:tcPr>
          <w:p>
            <w:pPr>
              <w:spacing w:after="0"/>
              <w:rPr>
                <w:sz w:val="15"/>
                <w:szCs w:val="15"/>
                <w:color w:val="auto"/>
              </w:rPr>
            </w:pPr>
          </w:p>
        </w:tc>
        <w:tc>
          <w:tcPr>
            <w:tcW w:w="46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3,826</w:t>
            </w: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44"/>
        </w:trPr>
        <w:tc>
          <w:tcPr>
            <w:tcW w:w="80" w:type="dxa"/>
            <w:vAlign w:val="bottom"/>
          </w:tcPr>
          <w:p>
            <w:pPr>
              <w:spacing w:after="0"/>
              <w:rPr>
                <w:sz w:val="12"/>
                <w:szCs w:val="12"/>
                <w:color w:val="auto"/>
              </w:rPr>
            </w:pPr>
          </w:p>
        </w:tc>
        <w:tc>
          <w:tcPr>
            <w:tcW w:w="7640" w:type="dxa"/>
            <w:vAlign w:val="bottom"/>
            <w:gridSpan w:val="3"/>
            <w:shd w:val="clear" w:color="auto" w:fill="CCEEFF"/>
          </w:tcPr>
          <w:p>
            <w:pPr>
              <w:ind w:left="420"/>
              <w:spacing w:after="0" w:line="144" w:lineRule="exact"/>
              <w:rPr>
                <w:sz w:val="20"/>
                <w:szCs w:val="20"/>
                <w:color w:val="auto"/>
              </w:rPr>
            </w:pPr>
            <w:r>
              <w:rPr>
                <w:rFonts w:ascii="Arial" w:cs="Arial" w:eastAsia="Arial" w:hAnsi="Arial"/>
                <w:sz w:val="14"/>
                <w:szCs w:val="14"/>
                <w:color w:val="auto"/>
              </w:rPr>
              <w:t>Present value of net minimum lease payments</w:t>
            </w:r>
          </w:p>
        </w:tc>
        <w:tc>
          <w:tcPr>
            <w:tcW w:w="12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w w:val="76"/>
              </w:rPr>
              <w:t>$</w:t>
            </w:r>
          </w:p>
        </w:tc>
        <w:tc>
          <w:tcPr>
            <w:tcW w:w="46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33,936</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7"/>
        </w:trPr>
        <w:tc>
          <w:tcPr>
            <w:tcW w:w="7720" w:type="dxa"/>
            <w:vAlign w:val="bottom"/>
            <w:gridSpan w:val="4"/>
            <w:vMerge w:val="restart"/>
          </w:tcPr>
          <w:p>
            <w:pPr>
              <w:spacing w:after="0"/>
              <w:rPr>
                <w:sz w:val="20"/>
                <w:szCs w:val="20"/>
                <w:color w:val="auto"/>
              </w:rPr>
            </w:pPr>
            <w:r>
              <w:rPr>
                <w:rFonts w:ascii="Arial" w:cs="Arial" w:eastAsia="Arial" w:hAnsi="Arial"/>
                <w:sz w:val="14"/>
                <w:szCs w:val="14"/>
                <w:color w:val="auto"/>
              </w:rPr>
              <w:t>The Company's capital lease obligations at December 31 are comprised as follows:</w:t>
            </w:r>
          </w:p>
        </w:tc>
        <w:tc>
          <w:tcPr>
            <w:tcW w:w="120" w:type="dxa"/>
            <w:vAlign w:val="bottom"/>
          </w:tcPr>
          <w:p>
            <w:pPr>
              <w:spacing w:after="0"/>
              <w:rPr>
                <w:sz w:val="2"/>
                <w:szCs w:val="2"/>
                <w:color w:val="auto"/>
              </w:rPr>
            </w:pPr>
          </w:p>
        </w:tc>
        <w:tc>
          <w:tcPr>
            <w:tcW w:w="460" w:type="dxa"/>
            <w:vAlign w:val="bottom"/>
          </w:tcPr>
          <w:p>
            <w:pPr>
              <w:spacing w:after="0"/>
              <w:rPr>
                <w:sz w:val="2"/>
                <w:szCs w:val="2"/>
                <w:color w:val="auto"/>
              </w:rPr>
            </w:pPr>
          </w:p>
        </w:tc>
        <w:tc>
          <w:tcPr>
            <w:tcW w:w="16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7720" w:type="dxa"/>
            <w:vAlign w:val="bottom"/>
            <w:gridSpan w:val="4"/>
            <w:vMerge w:val="continue"/>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8"/>
        </w:trPr>
        <w:tc>
          <w:tcPr>
            <w:tcW w:w="7720" w:type="dxa"/>
            <w:vAlign w:val="bottom"/>
            <w:gridSpan w:val="4"/>
            <w:vMerge w:val="continue"/>
          </w:tcPr>
          <w:p>
            <w:pPr>
              <w:spacing w:after="0"/>
              <w:rPr>
                <w:sz w:val="24"/>
                <w:szCs w:val="24"/>
                <w:color w:val="auto"/>
              </w:rPr>
            </w:pPr>
          </w:p>
        </w:tc>
        <w:tc>
          <w:tcPr>
            <w:tcW w:w="1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52"/>
        </w:trPr>
        <w:tc>
          <w:tcPr>
            <w:tcW w:w="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600" w:type="dxa"/>
            <w:vAlign w:val="bottom"/>
          </w:tcPr>
          <w:p>
            <w:pPr>
              <w:spacing w:after="0"/>
              <w:rPr>
                <w:sz w:val="24"/>
                <w:szCs w:val="24"/>
                <w:color w:val="auto"/>
              </w:rPr>
            </w:pPr>
          </w:p>
        </w:tc>
        <w:tc>
          <w:tcPr>
            <w:tcW w:w="562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jc w:val="right"/>
              <w:ind w:right="92"/>
              <w:spacing w:after="0"/>
              <w:rPr>
                <w:sz w:val="20"/>
                <w:szCs w:val="20"/>
                <w:color w:val="auto"/>
              </w:rPr>
            </w:pPr>
            <w:r>
              <w:rPr>
                <w:rFonts w:ascii="Arial" w:cs="Arial" w:eastAsia="Arial" w:hAnsi="Arial"/>
                <w:sz w:val="14"/>
                <w:szCs w:val="14"/>
                <w:b w:val="1"/>
                <w:bCs w:val="1"/>
                <w:color w:val="auto"/>
                <w:w w:val="89"/>
              </w:rPr>
              <w:t>2009</w:t>
            </w:r>
          </w:p>
        </w:tc>
        <w:tc>
          <w:tcPr>
            <w:tcW w:w="16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jc w:val="right"/>
              <w:ind w:right="92"/>
              <w:spacing w:after="0"/>
              <w:rPr>
                <w:sz w:val="20"/>
                <w:szCs w:val="20"/>
                <w:color w:val="auto"/>
              </w:rPr>
            </w:pPr>
            <w:r>
              <w:rPr>
                <w:rFonts w:ascii="Arial" w:cs="Arial" w:eastAsia="Arial" w:hAnsi="Arial"/>
                <w:sz w:val="14"/>
                <w:szCs w:val="14"/>
                <w:b w:val="1"/>
                <w:bCs w:val="1"/>
                <w:color w:val="auto"/>
                <w:w w:val="89"/>
              </w:rPr>
              <w:t>2008</w:t>
            </w: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2"/>
        </w:trPr>
        <w:tc>
          <w:tcPr>
            <w:tcW w:w="80" w:type="dxa"/>
            <w:vAlign w:val="bottom"/>
          </w:tcPr>
          <w:p>
            <w:pPr>
              <w:spacing w:after="0"/>
              <w:rPr>
                <w:sz w:val="12"/>
                <w:szCs w:val="12"/>
                <w:color w:val="auto"/>
              </w:rPr>
            </w:pPr>
          </w:p>
        </w:tc>
        <w:tc>
          <w:tcPr>
            <w:tcW w:w="7640" w:type="dxa"/>
            <w:vAlign w:val="bottom"/>
            <w:gridSpan w:val="3"/>
            <w:shd w:val="clear" w:color="auto" w:fill="CCEEFF"/>
          </w:tcPr>
          <w:p>
            <w:pPr>
              <w:ind w:left="420"/>
              <w:spacing w:after="0" w:line="142" w:lineRule="exact"/>
              <w:rPr>
                <w:sz w:val="20"/>
                <w:szCs w:val="20"/>
                <w:color w:val="auto"/>
              </w:rPr>
            </w:pPr>
            <w:r>
              <w:rPr>
                <w:rFonts w:ascii="Arial" w:cs="Arial" w:eastAsia="Arial" w:hAnsi="Arial"/>
                <w:sz w:val="14"/>
                <w:szCs w:val="14"/>
                <w:color w:val="auto"/>
              </w:rPr>
              <w:t>Total future lease payments</w:t>
            </w:r>
          </w:p>
        </w:tc>
        <w:tc>
          <w:tcPr>
            <w:tcW w:w="1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46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37,762</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46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23,370</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80" w:type="dxa"/>
            <w:vAlign w:val="bottom"/>
          </w:tcPr>
          <w:p>
            <w:pPr>
              <w:spacing w:after="0"/>
              <w:rPr>
                <w:sz w:val="15"/>
                <w:szCs w:val="15"/>
                <w:color w:val="auto"/>
              </w:rPr>
            </w:pPr>
          </w:p>
        </w:tc>
        <w:tc>
          <w:tcPr>
            <w:tcW w:w="7640" w:type="dxa"/>
            <w:vAlign w:val="bottom"/>
            <w:gridSpan w:val="3"/>
          </w:tcPr>
          <w:p>
            <w:pPr>
              <w:ind w:left="420"/>
              <w:spacing w:after="0"/>
              <w:rPr>
                <w:sz w:val="20"/>
                <w:szCs w:val="20"/>
                <w:color w:val="auto"/>
              </w:rPr>
            </w:pPr>
            <w:r>
              <w:rPr>
                <w:rFonts w:ascii="Arial" w:cs="Arial" w:eastAsia="Arial" w:hAnsi="Arial"/>
                <w:sz w:val="14"/>
                <w:szCs w:val="14"/>
                <w:color w:val="auto"/>
              </w:rPr>
              <w:t>Less: interest</w:t>
            </w:r>
          </w:p>
        </w:tc>
        <w:tc>
          <w:tcPr>
            <w:tcW w:w="120" w:type="dxa"/>
            <w:vAlign w:val="bottom"/>
            <w:tcBorders>
              <w:bottom w:val="single" w:sz="8" w:color="auto"/>
            </w:tcBorders>
          </w:tcPr>
          <w:p>
            <w:pPr>
              <w:spacing w:after="0"/>
              <w:rPr>
                <w:sz w:val="15"/>
                <w:szCs w:val="15"/>
                <w:color w:val="auto"/>
              </w:rPr>
            </w:pPr>
          </w:p>
        </w:tc>
        <w:tc>
          <w:tcPr>
            <w:tcW w:w="46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3,826</w:t>
            </w:r>
          </w:p>
        </w:tc>
        <w:tc>
          <w:tcPr>
            <w:tcW w:w="160" w:type="dxa"/>
            <w:vAlign w:val="bottom"/>
          </w:tcPr>
          <w:p>
            <w:pPr>
              <w:spacing w:after="0"/>
              <w:rPr>
                <w:sz w:val="15"/>
                <w:szCs w:val="15"/>
                <w:color w:val="auto"/>
              </w:rPr>
            </w:pPr>
          </w:p>
        </w:tc>
        <w:tc>
          <w:tcPr>
            <w:tcW w:w="120" w:type="dxa"/>
            <w:vAlign w:val="bottom"/>
            <w:tcBorders>
              <w:bottom w:val="single" w:sz="8" w:color="auto"/>
            </w:tcBorders>
          </w:tcPr>
          <w:p>
            <w:pPr>
              <w:spacing w:after="0"/>
              <w:rPr>
                <w:sz w:val="15"/>
                <w:szCs w:val="15"/>
                <w:color w:val="auto"/>
              </w:rPr>
            </w:pPr>
          </w:p>
        </w:tc>
        <w:tc>
          <w:tcPr>
            <w:tcW w:w="46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1,499</w:t>
            </w: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11"/>
        </w:trPr>
        <w:tc>
          <w:tcPr>
            <w:tcW w:w="80" w:type="dxa"/>
            <w:vAlign w:val="bottom"/>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56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33,936</w:t>
            </w: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21,871</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80" w:type="dxa"/>
            <w:vAlign w:val="bottom"/>
          </w:tcPr>
          <w:p>
            <w:pPr>
              <w:spacing w:after="0"/>
              <w:rPr>
                <w:sz w:val="2"/>
                <w:szCs w:val="2"/>
                <w:color w:val="auto"/>
              </w:rPr>
            </w:pPr>
          </w:p>
        </w:tc>
        <w:tc>
          <w:tcPr>
            <w:tcW w:w="7640" w:type="dxa"/>
            <w:vAlign w:val="bottom"/>
            <w:gridSpan w:val="3"/>
            <w:vMerge w:val="restart"/>
          </w:tcPr>
          <w:p>
            <w:pPr>
              <w:ind w:left="420"/>
              <w:spacing w:after="0"/>
              <w:rPr>
                <w:sz w:val="20"/>
                <w:szCs w:val="20"/>
                <w:color w:val="auto"/>
              </w:rPr>
            </w:pPr>
            <w:r>
              <w:rPr>
                <w:rFonts w:ascii="Arial" w:cs="Arial" w:eastAsia="Arial" w:hAnsi="Arial"/>
                <w:sz w:val="14"/>
                <w:szCs w:val="14"/>
                <w:color w:val="auto"/>
              </w:rPr>
              <w:t>Less: current portion</w:t>
            </w:r>
          </w:p>
        </w:tc>
        <w:tc>
          <w:tcPr>
            <w:tcW w:w="12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67"/>
        </w:trPr>
        <w:tc>
          <w:tcPr>
            <w:tcW w:w="80" w:type="dxa"/>
            <w:vAlign w:val="bottom"/>
          </w:tcPr>
          <w:p>
            <w:pPr>
              <w:spacing w:after="0"/>
              <w:rPr>
                <w:sz w:val="14"/>
                <w:szCs w:val="14"/>
                <w:color w:val="auto"/>
              </w:rPr>
            </w:pPr>
          </w:p>
        </w:tc>
        <w:tc>
          <w:tcPr>
            <w:tcW w:w="7640" w:type="dxa"/>
            <w:vAlign w:val="bottom"/>
            <w:gridSpan w:val="3"/>
            <w:vMerge w:val="continue"/>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46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11,955</w:t>
            </w:r>
          </w:p>
        </w:tc>
        <w:tc>
          <w:tcPr>
            <w:tcW w:w="16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46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9,792</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4"/>
        </w:trPr>
        <w:tc>
          <w:tcPr>
            <w:tcW w:w="80" w:type="dxa"/>
            <w:vAlign w:val="bottom"/>
          </w:tcPr>
          <w:p>
            <w:pPr>
              <w:spacing w:after="0"/>
              <w:rPr>
                <w:sz w:val="12"/>
                <w:szCs w:val="12"/>
                <w:color w:val="auto"/>
              </w:rPr>
            </w:pPr>
          </w:p>
        </w:tc>
        <w:tc>
          <w:tcPr>
            <w:tcW w:w="7640" w:type="dxa"/>
            <w:vAlign w:val="bottom"/>
            <w:gridSpan w:val="3"/>
            <w:shd w:val="clear" w:color="auto" w:fill="CCEEFF"/>
          </w:tcPr>
          <w:p>
            <w:pPr>
              <w:ind w:left="420"/>
              <w:spacing w:after="0" w:line="144" w:lineRule="exact"/>
              <w:rPr>
                <w:sz w:val="20"/>
                <w:szCs w:val="20"/>
                <w:color w:val="auto"/>
              </w:rPr>
            </w:pPr>
            <w:r>
              <w:rPr>
                <w:rFonts w:ascii="Arial" w:cs="Arial" w:eastAsia="Arial" w:hAnsi="Arial"/>
                <w:sz w:val="14"/>
                <w:szCs w:val="14"/>
                <w:color w:val="auto"/>
              </w:rPr>
              <w:t>Long-term portion of capital leases</w:t>
            </w:r>
          </w:p>
        </w:tc>
        <w:tc>
          <w:tcPr>
            <w:tcW w:w="1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w w:val="76"/>
              </w:rPr>
              <w:t>$</w:t>
            </w:r>
          </w:p>
        </w:tc>
        <w:tc>
          <w:tcPr>
            <w:tcW w:w="46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21,981</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w w:val="76"/>
              </w:rPr>
              <w:t>$</w:t>
            </w:r>
          </w:p>
        </w:tc>
        <w:tc>
          <w:tcPr>
            <w:tcW w:w="46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12,079</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7"/>
        </w:trPr>
        <w:tc>
          <w:tcPr>
            <w:tcW w:w="80" w:type="dxa"/>
            <w:vAlign w:val="bottom"/>
          </w:tcPr>
          <w:p>
            <w:pPr>
              <w:spacing w:after="0"/>
              <w:rPr>
                <w:sz w:val="2"/>
                <w:szCs w:val="2"/>
                <w:color w:val="auto"/>
              </w:rPr>
            </w:pPr>
          </w:p>
        </w:tc>
        <w:tc>
          <w:tcPr>
            <w:tcW w:w="420" w:type="dxa"/>
            <w:vAlign w:val="bottom"/>
          </w:tcPr>
          <w:p>
            <w:pPr>
              <w:spacing w:after="0"/>
              <w:rPr>
                <w:sz w:val="2"/>
                <w:szCs w:val="2"/>
                <w:color w:val="auto"/>
              </w:rPr>
            </w:pPr>
          </w:p>
        </w:tc>
        <w:tc>
          <w:tcPr>
            <w:tcW w:w="1600" w:type="dxa"/>
            <w:vAlign w:val="bottom"/>
          </w:tcPr>
          <w:p>
            <w:pPr>
              <w:spacing w:after="0"/>
              <w:rPr>
                <w:sz w:val="2"/>
                <w:szCs w:val="2"/>
                <w:color w:val="auto"/>
              </w:rPr>
            </w:pPr>
          </w:p>
        </w:tc>
        <w:tc>
          <w:tcPr>
            <w:tcW w:w="562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8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600" w:type="dxa"/>
            <w:vAlign w:val="bottom"/>
          </w:tcPr>
          <w:p>
            <w:pPr>
              <w:spacing w:after="0" w:line="20" w:lineRule="exact"/>
              <w:rPr>
                <w:sz w:val="1"/>
                <w:szCs w:val="1"/>
                <w:color w:val="auto"/>
              </w:rPr>
            </w:pPr>
          </w:p>
        </w:tc>
        <w:tc>
          <w:tcPr>
            <w:tcW w:w="56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5" w:lineRule="exact"/>
        <w:rPr>
          <w:sz w:val="20"/>
          <w:szCs w:val="20"/>
          <w:color w:val="auto"/>
        </w:rPr>
      </w:pPr>
    </w:p>
    <w:p>
      <w:pPr>
        <w:jc w:val="both"/>
        <w:ind w:left="1080"/>
        <w:spacing w:after="0" w:line="233" w:lineRule="auto"/>
        <w:rPr>
          <w:sz w:val="20"/>
          <w:szCs w:val="20"/>
          <w:color w:val="auto"/>
        </w:rPr>
      </w:pPr>
      <w:r>
        <w:rPr>
          <w:rFonts w:ascii="Arial" w:cs="Arial" w:eastAsia="Arial" w:hAnsi="Arial"/>
          <w:sz w:val="14"/>
          <w:szCs w:val="14"/>
          <w:color w:val="auto"/>
        </w:rPr>
        <w:t>At the end of 2009, the gross amount of assets recorded under capital leases, including sale-leaseback capital leases was $51.7 million (2008 — $30.7 million; 2007 — $16.1 million). The charge to income resulting from amortization of assets recorded under capital leases is included in the amortization of plant and equipment component of the Consolidated Statements of Income.</w:t>
      </w:r>
    </w:p>
    <w:p>
      <w:pPr>
        <w:spacing w:after="0" w:line="19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215" w:name="page216"/>
    <w:bookmarkEnd w:id="215"/>
    <w:p>
      <w:pPr>
        <w:jc w:val="center"/>
        <w:spacing w:after="0"/>
        <w:rPr>
          <w:sz w:val="20"/>
          <w:szCs w:val="20"/>
          <w:color w:val="auto"/>
        </w:rPr>
      </w:pPr>
      <w:r>
        <w:rPr>
          <w:rFonts w:ascii="Arial" w:cs="Arial" w:eastAsia="Arial" w:hAnsi="Arial"/>
          <w:sz w:val="18"/>
          <w:szCs w:val="18"/>
          <w:b w:val="1"/>
          <w:bCs w:val="1"/>
          <w:color w:val="auto"/>
        </w:rPr>
        <w:t>AGNICO-EAGLE MINES LIMITED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 (Continued)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(thousands of United States dollars, except per share amounts, unless otherwise indicated)</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December 31, 2009</w:t>
      </w:r>
    </w:p>
    <w:p>
      <w:pPr>
        <w:spacing w:after="0" w:line="214" w:lineRule="exact"/>
        <w:rPr>
          <w:sz w:val="20"/>
          <w:szCs w:val="20"/>
          <w:color w:val="auto"/>
        </w:rPr>
      </w:pPr>
    </w:p>
    <w:p>
      <w:pPr>
        <w:ind w:left="280" w:hanging="272"/>
        <w:spacing w:after="0"/>
        <w:tabs>
          <w:tab w:leader="none" w:pos="280" w:val="left"/>
        </w:tabs>
        <w:numPr>
          <w:ilvl w:val="0"/>
          <w:numId w:val="103"/>
        </w:numPr>
        <w:rPr>
          <w:rFonts w:ascii="Arial" w:cs="Arial" w:eastAsia="Arial" w:hAnsi="Arial"/>
          <w:sz w:val="14"/>
          <w:szCs w:val="14"/>
          <w:b w:val="1"/>
          <w:bCs w:val="1"/>
          <w:color w:val="auto"/>
        </w:rPr>
      </w:pPr>
      <w:r>
        <w:rPr>
          <w:rFonts w:ascii="Arial" w:cs="Arial" w:eastAsia="Arial" w:hAnsi="Arial"/>
          <w:sz w:val="14"/>
          <w:szCs w:val="14"/>
          <w:b w:val="1"/>
          <w:bCs w:val="1"/>
          <w:color w:val="auto"/>
        </w:rPr>
        <w:t>LEASES (Continued)</w:t>
      </w:r>
    </w:p>
    <w:p>
      <w:pPr>
        <w:spacing w:after="0" w:line="192" w:lineRule="exact"/>
        <w:rPr>
          <w:rFonts w:ascii="Arial" w:cs="Arial" w:eastAsia="Arial" w:hAnsi="Arial"/>
          <w:sz w:val="14"/>
          <w:szCs w:val="14"/>
          <w:b w:val="1"/>
          <w:bCs w:val="1"/>
          <w:color w:val="auto"/>
        </w:rPr>
      </w:pPr>
    </w:p>
    <w:p>
      <w:pPr>
        <w:ind w:left="1080" w:hanging="532"/>
        <w:spacing w:after="0"/>
        <w:tabs>
          <w:tab w:leader="none" w:pos="1080" w:val="left"/>
        </w:tabs>
        <w:numPr>
          <w:ilvl w:val="1"/>
          <w:numId w:val="103"/>
        </w:numPr>
        <w:rPr>
          <w:rFonts w:ascii="Arial" w:cs="Arial" w:eastAsia="Arial" w:hAnsi="Arial"/>
          <w:sz w:val="14"/>
          <w:szCs w:val="14"/>
          <w:b w:val="1"/>
          <w:bCs w:val="1"/>
          <w:i w:val="1"/>
          <w:iCs w:val="1"/>
          <w:color w:val="auto"/>
        </w:rPr>
      </w:pPr>
      <w:r>
        <w:rPr>
          <w:rFonts w:ascii="Arial" w:cs="Arial" w:eastAsia="Arial" w:hAnsi="Arial"/>
          <w:sz w:val="14"/>
          <w:szCs w:val="14"/>
          <w:b w:val="1"/>
          <w:bCs w:val="1"/>
          <w:i w:val="1"/>
          <w:iCs w:val="1"/>
          <w:color w:val="auto"/>
        </w:rPr>
        <w:t>Operating Leases</w:t>
      </w:r>
    </w:p>
    <w:p>
      <w:pPr>
        <w:spacing w:after="0" w:line="203" w:lineRule="exact"/>
        <w:rPr>
          <w:rFonts w:ascii="Arial" w:cs="Arial" w:eastAsia="Arial" w:hAnsi="Arial"/>
          <w:sz w:val="14"/>
          <w:szCs w:val="14"/>
          <w:b w:val="1"/>
          <w:bCs w:val="1"/>
          <w:i w:val="1"/>
          <w:iCs w:val="1"/>
          <w:color w:val="auto"/>
        </w:rPr>
      </w:pPr>
    </w:p>
    <w:p>
      <w:pPr>
        <w:jc w:val="both"/>
        <w:ind w:left="1080"/>
        <w:spacing w:after="0" w:line="233" w:lineRule="auto"/>
        <w:rPr>
          <w:rFonts w:ascii="Arial" w:cs="Arial" w:eastAsia="Arial" w:hAnsi="Arial"/>
          <w:sz w:val="14"/>
          <w:szCs w:val="14"/>
          <w:b w:val="1"/>
          <w:bCs w:val="1"/>
          <w:i w:val="1"/>
          <w:iCs w:val="1"/>
          <w:color w:val="auto"/>
        </w:rPr>
      </w:pPr>
      <w:r>
        <w:rPr>
          <w:rFonts w:ascii="Arial" w:cs="Arial" w:eastAsia="Arial" w:hAnsi="Arial"/>
          <w:sz w:val="14"/>
          <w:szCs w:val="14"/>
          <w:color w:val="auto"/>
        </w:rPr>
        <w:t>The Company has a number of operating lease agreements involving office space. Some of the leases for office facilities contain escalation clauses for increases in operating costs and property taxes. Future minimum lease payments required to meet obligations that have initial or remaining non-cancellable lease terms in excess of one year as at December 31, 2009 are as follows:</w:t>
      </w:r>
    </w:p>
    <w:p>
      <w:pPr>
        <w:spacing w:after="0" w:line="192" w:lineRule="exact"/>
        <w:rPr>
          <w:rFonts w:ascii="Arial" w:cs="Arial" w:eastAsia="Arial" w:hAnsi="Arial"/>
          <w:sz w:val="14"/>
          <w:szCs w:val="14"/>
          <w:b w:val="1"/>
          <w:bCs w:val="1"/>
          <w:i w:val="1"/>
          <w:iCs w:val="1"/>
          <w:color w:val="auto"/>
        </w:rPr>
      </w:pPr>
    </w:p>
    <w:p>
      <w:pPr>
        <w:ind w:left="1080"/>
        <w:spacing w:after="0"/>
        <w:rPr>
          <w:rFonts w:ascii="Arial" w:cs="Arial" w:eastAsia="Arial" w:hAnsi="Arial"/>
          <w:sz w:val="14"/>
          <w:szCs w:val="14"/>
          <w:b w:val="1"/>
          <w:bCs w:val="1"/>
          <w:i w:val="1"/>
          <w:iCs w:val="1"/>
          <w:color w:val="auto"/>
        </w:rPr>
      </w:pPr>
      <w:r>
        <w:rPr>
          <w:rFonts w:ascii="Arial" w:cs="Arial" w:eastAsia="Arial" w:hAnsi="Arial"/>
          <w:sz w:val="14"/>
          <w:szCs w:val="14"/>
          <w:color w:val="auto"/>
        </w:rPr>
        <w:t>Minimum lease payments:</w:t>
      </w:r>
    </w:p>
    <w:p>
      <w:pPr>
        <w:spacing w:after="0" w:line="202" w:lineRule="exact"/>
        <w:rPr>
          <w:sz w:val="20"/>
          <w:szCs w:val="20"/>
          <w:color w:val="auto"/>
        </w:rPr>
      </w:pPr>
    </w:p>
    <w:tbl>
      <w:tblPr>
        <w:tblLayout w:type="fixed"/>
        <w:tblInd w:w="1160" w:type="dxa"/>
        <w:tblCellMar>
          <w:top w:w="0" w:type="dxa"/>
          <w:left w:w="0" w:type="dxa"/>
          <w:bottom w:w="0" w:type="dxa"/>
          <w:right w:w="0" w:type="dxa"/>
        </w:tblCellMar>
      </w:tblPr>
      <w:tr>
        <w:trPr>
          <w:trHeight w:val="161"/>
        </w:trPr>
        <w:tc>
          <w:tcPr>
            <w:tcW w:w="8380" w:type="dxa"/>
            <w:vAlign w:val="bottom"/>
            <w:shd w:val="clear" w:color="auto" w:fill="CCEEFF"/>
          </w:tcPr>
          <w:p>
            <w:pPr>
              <w:ind w:left="420"/>
              <w:spacing w:after="0"/>
              <w:rPr>
                <w:sz w:val="20"/>
                <w:szCs w:val="20"/>
                <w:color w:val="auto"/>
              </w:rPr>
            </w:pPr>
            <w:r>
              <w:rPr>
                <w:rFonts w:ascii="Arial" w:cs="Arial" w:eastAsia="Arial" w:hAnsi="Arial"/>
                <w:sz w:val="14"/>
                <w:szCs w:val="14"/>
                <w:color w:val="auto"/>
              </w:rPr>
              <w:t>2010</w:t>
            </w:r>
          </w:p>
        </w:tc>
        <w:tc>
          <w:tcPr>
            <w:tcW w:w="14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2,552</w:t>
            </w:r>
          </w:p>
        </w:tc>
        <w:tc>
          <w:tcPr>
            <w:tcW w:w="160" w:type="dxa"/>
            <w:vAlign w:val="bottom"/>
            <w:shd w:val="clear" w:color="auto" w:fill="CCEEFF"/>
          </w:tcPr>
          <w:p>
            <w:pPr>
              <w:spacing w:after="0"/>
              <w:rPr>
                <w:sz w:val="14"/>
                <w:szCs w:val="14"/>
                <w:color w:val="auto"/>
              </w:rPr>
            </w:pPr>
          </w:p>
        </w:tc>
      </w:tr>
      <w:tr>
        <w:trPr>
          <w:trHeight w:val="149"/>
        </w:trPr>
        <w:tc>
          <w:tcPr>
            <w:tcW w:w="8380" w:type="dxa"/>
            <w:vAlign w:val="bottom"/>
          </w:tcPr>
          <w:p>
            <w:pPr>
              <w:ind w:left="420"/>
              <w:spacing w:after="0" w:line="149" w:lineRule="exact"/>
              <w:rPr>
                <w:sz w:val="20"/>
                <w:szCs w:val="20"/>
                <w:color w:val="auto"/>
              </w:rPr>
            </w:pPr>
            <w:r>
              <w:rPr>
                <w:rFonts w:ascii="Arial" w:cs="Arial" w:eastAsia="Arial" w:hAnsi="Arial"/>
                <w:sz w:val="14"/>
                <w:szCs w:val="14"/>
                <w:color w:val="auto"/>
              </w:rPr>
              <w:t>2011</w:t>
            </w:r>
          </w:p>
        </w:tc>
        <w:tc>
          <w:tcPr>
            <w:tcW w:w="140" w:type="dxa"/>
            <w:vAlign w:val="bottom"/>
          </w:tcPr>
          <w:p>
            <w:pPr>
              <w:spacing w:after="0"/>
              <w:rPr>
                <w:sz w:val="12"/>
                <w:szCs w:val="12"/>
                <w:color w:val="auto"/>
              </w:rPr>
            </w:pPr>
          </w:p>
        </w:tc>
        <w:tc>
          <w:tcPr>
            <w:tcW w:w="440" w:type="dxa"/>
            <w:vAlign w:val="bottom"/>
          </w:tcPr>
          <w:p>
            <w:pPr>
              <w:jc w:val="right"/>
              <w:spacing w:after="0" w:line="149" w:lineRule="exact"/>
              <w:rPr>
                <w:sz w:val="20"/>
                <w:szCs w:val="20"/>
                <w:color w:val="auto"/>
              </w:rPr>
            </w:pPr>
            <w:r>
              <w:rPr>
                <w:rFonts w:ascii="Arial" w:cs="Arial" w:eastAsia="Arial" w:hAnsi="Arial"/>
                <w:sz w:val="14"/>
                <w:szCs w:val="14"/>
                <w:color w:val="auto"/>
              </w:rPr>
              <w:t>1,847</w:t>
            </w:r>
          </w:p>
        </w:tc>
        <w:tc>
          <w:tcPr>
            <w:tcW w:w="160" w:type="dxa"/>
            <w:vAlign w:val="bottom"/>
          </w:tcPr>
          <w:p>
            <w:pPr>
              <w:spacing w:after="0"/>
              <w:rPr>
                <w:sz w:val="12"/>
                <w:szCs w:val="12"/>
                <w:color w:val="auto"/>
              </w:rPr>
            </w:pPr>
          </w:p>
        </w:tc>
      </w:tr>
      <w:tr>
        <w:trPr>
          <w:trHeight w:val="149"/>
        </w:trPr>
        <w:tc>
          <w:tcPr>
            <w:tcW w:w="838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2012</w:t>
            </w:r>
          </w:p>
        </w:tc>
        <w:tc>
          <w:tcPr>
            <w:tcW w:w="14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1,890</w:t>
            </w:r>
          </w:p>
        </w:tc>
        <w:tc>
          <w:tcPr>
            <w:tcW w:w="160" w:type="dxa"/>
            <w:vAlign w:val="bottom"/>
            <w:shd w:val="clear" w:color="auto" w:fill="CCEEFF"/>
          </w:tcPr>
          <w:p>
            <w:pPr>
              <w:spacing w:after="0"/>
              <w:rPr>
                <w:sz w:val="12"/>
                <w:szCs w:val="12"/>
                <w:color w:val="auto"/>
              </w:rPr>
            </w:pPr>
          </w:p>
        </w:tc>
      </w:tr>
      <w:tr>
        <w:trPr>
          <w:trHeight w:val="149"/>
        </w:trPr>
        <w:tc>
          <w:tcPr>
            <w:tcW w:w="8380" w:type="dxa"/>
            <w:vAlign w:val="bottom"/>
          </w:tcPr>
          <w:p>
            <w:pPr>
              <w:ind w:left="420"/>
              <w:spacing w:after="0" w:line="149" w:lineRule="exact"/>
              <w:rPr>
                <w:sz w:val="20"/>
                <w:szCs w:val="20"/>
                <w:color w:val="auto"/>
              </w:rPr>
            </w:pPr>
            <w:r>
              <w:rPr>
                <w:rFonts w:ascii="Arial" w:cs="Arial" w:eastAsia="Arial" w:hAnsi="Arial"/>
                <w:sz w:val="14"/>
                <w:szCs w:val="14"/>
                <w:color w:val="auto"/>
              </w:rPr>
              <w:t>2013</w:t>
            </w:r>
          </w:p>
        </w:tc>
        <w:tc>
          <w:tcPr>
            <w:tcW w:w="140" w:type="dxa"/>
            <w:vAlign w:val="bottom"/>
          </w:tcPr>
          <w:p>
            <w:pPr>
              <w:spacing w:after="0"/>
              <w:rPr>
                <w:sz w:val="12"/>
                <w:szCs w:val="12"/>
                <w:color w:val="auto"/>
              </w:rPr>
            </w:pPr>
          </w:p>
        </w:tc>
        <w:tc>
          <w:tcPr>
            <w:tcW w:w="440" w:type="dxa"/>
            <w:vAlign w:val="bottom"/>
          </w:tcPr>
          <w:p>
            <w:pPr>
              <w:jc w:val="right"/>
              <w:spacing w:after="0" w:line="149" w:lineRule="exact"/>
              <w:rPr>
                <w:sz w:val="20"/>
                <w:szCs w:val="20"/>
                <w:color w:val="auto"/>
              </w:rPr>
            </w:pPr>
            <w:r>
              <w:rPr>
                <w:rFonts w:ascii="Arial" w:cs="Arial" w:eastAsia="Arial" w:hAnsi="Arial"/>
                <w:sz w:val="14"/>
                <w:szCs w:val="14"/>
                <w:color w:val="auto"/>
              </w:rPr>
              <w:t>1,416</w:t>
            </w:r>
          </w:p>
        </w:tc>
        <w:tc>
          <w:tcPr>
            <w:tcW w:w="160" w:type="dxa"/>
            <w:vAlign w:val="bottom"/>
          </w:tcPr>
          <w:p>
            <w:pPr>
              <w:spacing w:after="0"/>
              <w:rPr>
                <w:sz w:val="12"/>
                <w:szCs w:val="12"/>
                <w:color w:val="auto"/>
              </w:rPr>
            </w:pPr>
          </w:p>
        </w:tc>
      </w:tr>
      <w:tr>
        <w:trPr>
          <w:trHeight w:val="149"/>
        </w:trPr>
        <w:tc>
          <w:tcPr>
            <w:tcW w:w="838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2014</w:t>
            </w:r>
          </w:p>
        </w:tc>
        <w:tc>
          <w:tcPr>
            <w:tcW w:w="14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1,415</w:t>
            </w:r>
          </w:p>
        </w:tc>
        <w:tc>
          <w:tcPr>
            <w:tcW w:w="160" w:type="dxa"/>
            <w:vAlign w:val="bottom"/>
            <w:shd w:val="clear" w:color="auto" w:fill="CCEEFF"/>
          </w:tcPr>
          <w:p>
            <w:pPr>
              <w:spacing w:after="0"/>
              <w:rPr>
                <w:sz w:val="12"/>
                <w:szCs w:val="12"/>
                <w:color w:val="auto"/>
              </w:rPr>
            </w:pPr>
          </w:p>
        </w:tc>
      </w:tr>
      <w:tr>
        <w:trPr>
          <w:trHeight w:val="174"/>
        </w:trPr>
        <w:tc>
          <w:tcPr>
            <w:tcW w:w="8380" w:type="dxa"/>
            <w:vAlign w:val="bottom"/>
          </w:tcPr>
          <w:p>
            <w:pPr>
              <w:ind w:left="420"/>
              <w:spacing w:after="0"/>
              <w:rPr>
                <w:sz w:val="20"/>
                <w:szCs w:val="20"/>
                <w:color w:val="auto"/>
              </w:rPr>
            </w:pPr>
            <w:r>
              <w:rPr>
                <w:rFonts w:ascii="Arial" w:cs="Arial" w:eastAsia="Arial" w:hAnsi="Arial"/>
                <w:sz w:val="14"/>
                <w:szCs w:val="14"/>
                <w:color w:val="auto"/>
              </w:rPr>
              <w:t>Thereafter</w:t>
            </w:r>
          </w:p>
        </w:tc>
        <w:tc>
          <w:tcPr>
            <w:tcW w:w="140" w:type="dxa"/>
            <w:vAlign w:val="bottom"/>
            <w:tcBorders>
              <w:bottom w:val="single" w:sz="8" w:color="auto"/>
            </w:tcBorders>
          </w:tcPr>
          <w:p>
            <w:pPr>
              <w:spacing w:after="0"/>
              <w:rPr>
                <w:sz w:val="15"/>
                <w:szCs w:val="15"/>
                <w:color w:val="auto"/>
              </w:rPr>
            </w:pPr>
          </w:p>
        </w:tc>
        <w:tc>
          <w:tcPr>
            <w:tcW w:w="44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w w:val="97"/>
              </w:rPr>
              <w:t>11,273</w:t>
            </w:r>
          </w:p>
        </w:tc>
        <w:tc>
          <w:tcPr>
            <w:tcW w:w="160" w:type="dxa"/>
            <w:vAlign w:val="bottom"/>
          </w:tcPr>
          <w:p>
            <w:pPr>
              <w:spacing w:after="0"/>
              <w:rPr>
                <w:sz w:val="15"/>
                <w:szCs w:val="15"/>
                <w:color w:val="auto"/>
              </w:rPr>
            </w:pPr>
          </w:p>
        </w:tc>
      </w:tr>
      <w:tr>
        <w:trPr>
          <w:trHeight w:val="144"/>
        </w:trPr>
        <w:tc>
          <w:tcPr>
            <w:tcW w:w="8380" w:type="dxa"/>
            <w:vAlign w:val="bottom"/>
            <w:shd w:val="clear" w:color="auto" w:fill="CCEEFF"/>
          </w:tcPr>
          <w:p>
            <w:pPr>
              <w:ind w:left="420"/>
              <w:spacing w:after="0" w:line="144" w:lineRule="exact"/>
              <w:rPr>
                <w:sz w:val="20"/>
                <w:szCs w:val="20"/>
                <w:color w:val="auto"/>
              </w:rPr>
            </w:pPr>
            <w:r>
              <w:rPr>
                <w:rFonts w:ascii="Arial" w:cs="Arial" w:eastAsia="Arial" w:hAnsi="Arial"/>
                <w:sz w:val="14"/>
                <w:szCs w:val="14"/>
                <w:color w:val="auto"/>
              </w:rPr>
              <w:t>Total</w:t>
            </w:r>
          </w:p>
        </w:tc>
        <w:tc>
          <w:tcPr>
            <w:tcW w:w="14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w w:val="76"/>
              </w:rPr>
              <w:t>$</w:t>
            </w:r>
          </w:p>
        </w:tc>
        <w:tc>
          <w:tcPr>
            <w:tcW w:w="44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w w:val="97"/>
              </w:rPr>
              <w:t>20,393</w:t>
            </w:r>
          </w:p>
        </w:tc>
        <w:tc>
          <w:tcPr>
            <w:tcW w:w="160" w:type="dxa"/>
            <w:vAlign w:val="bottom"/>
            <w:shd w:val="clear" w:color="auto" w:fill="CCEEFF"/>
          </w:tcPr>
          <w:p>
            <w:pPr>
              <w:spacing w:after="0"/>
              <w:rPr>
                <w:sz w:val="12"/>
                <w:szCs w:val="12"/>
                <w:color w:val="auto"/>
              </w:rPr>
            </w:pPr>
          </w:p>
        </w:tc>
      </w:tr>
      <w:tr>
        <w:trPr>
          <w:trHeight w:val="27"/>
        </w:trPr>
        <w:tc>
          <w:tcPr>
            <w:tcW w:w="838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r>
      <w:tr>
        <w:trPr>
          <w:trHeight w:val="20"/>
        </w:trPr>
        <w:tc>
          <w:tcPr>
            <w:tcW w:w="83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5" w:lineRule="exact"/>
        <w:rPr>
          <w:sz w:val="20"/>
          <w:szCs w:val="20"/>
          <w:color w:val="auto"/>
        </w:rPr>
      </w:pPr>
    </w:p>
    <w:p>
      <w:pPr>
        <w:ind w:left="1080"/>
        <w:spacing w:after="0"/>
        <w:rPr>
          <w:sz w:val="20"/>
          <w:szCs w:val="20"/>
          <w:color w:val="auto"/>
        </w:rPr>
      </w:pPr>
      <w:r>
        <w:rPr>
          <w:rFonts w:ascii="Arial" w:cs="Arial" w:eastAsia="Arial" w:hAnsi="Arial"/>
          <w:sz w:val="14"/>
          <w:szCs w:val="14"/>
          <w:color w:val="auto"/>
        </w:rPr>
        <w:t>Total rental expense for operating leases was $3.7 million in 2009 (2008 — $3.1 million; 2007 — $1.4 million).</w:t>
      </w:r>
    </w:p>
    <w:p>
      <w:pPr>
        <w:spacing w:after="0" w:line="202"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14.  RESTRICTED CASH</w:t>
      </w:r>
    </w:p>
    <w:p>
      <w:pPr>
        <w:spacing w:after="0" w:line="206" w:lineRule="exact"/>
        <w:rPr>
          <w:sz w:val="20"/>
          <w:szCs w:val="20"/>
          <w:color w:val="auto"/>
        </w:rPr>
      </w:pPr>
    </w:p>
    <w:p>
      <w:pPr>
        <w:jc w:val="both"/>
        <w:ind w:left="540"/>
        <w:spacing w:after="0" w:line="230" w:lineRule="auto"/>
        <w:rPr>
          <w:sz w:val="20"/>
          <w:szCs w:val="20"/>
          <w:color w:val="auto"/>
        </w:rPr>
      </w:pPr>
      <w:r>
        <w:rPr>
          <w:rFonts w:ascii="Arial" w:cs="Arial" w:eastAsia="Arial" w:hAnsi="Arial"/>
          <w:sz w:val="14"/>
          <w:szCs w:val="14"/>
          <w:color w:val="auto"/>
        </w:rPr>
        <w:t>In 2008, the Company raised approximately $43.5 million through the issuance of 779,250 flow-through common shares. To comply with the flow-through share agreements, the Company was obligated to incur $31 million of eligible Canadian exploration expenditures in 2009 related to the expenditures renounced in 2008 (note 6(b)). The amount of cash the Company was obligated to spend was designated as restricted cash as at December 31, 2008. In 2009, the Company incurred the full amount of its Canadian exploration expenditures obligation required under the flow-through share agreements.</w:t>
      </w:r>
    </w:p>
    <w:p>
      <w:pPr>
        <w:spacing w:after="0" w:line="193" w:lineRule="exact"/>
        <w:rPr>
          <w:sz w:val="20"/>
          <w:szCs w:val="20"/>
          <w:color w:val="auto"/>
        </w:rPr>
      </w:pPr>
    </w:p>
    <w:p>
      <w:pPr>
        <w:jc w:val="both"/>
        <w:ind w:left="540"/>
        <w:spacing w:after="0" w:line="318" w:lineRule="auto"/>
        <w:rPr>
          <w:sz w:val="20"/>
          <w:szCs w:val="20"/>
          <w:color w:val="auto"/>
        </w:rPr>
      </w:pPr>
      <w:r>
        <w:rPr>
          <w:rFonts w:ascii="Arial" w:cs="Arial" w:eastAsia="Arial" w:hAnsi="Arial"/>
          <w:sz w:val="12"/>
          <w:szCs w:val="12"/>
          <w:color w:val="auto"/>
        </w:rPr>
        <w:t>In 2009, the Company raised approximately $25.9 million through the issuance of 358,900 flow-through common shares. By December 31, 2009, the Company had incurred all required expenditures on eligible Canadian exploration expenditures related to the 2009 flow-through common share issuance (note 6(b)) and the balance of restricted cash was nil at December 31, 2009.</w:t>
      </w:r>
    </w:p>
    <w:p>
      <w:pPr>
        <w:spacing w:after="0" w:line="146"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15.  FINANCIAL INSTRUMENTS</w:t>
      </w:r>
    </w:p>
    <w:p>
      <w:pPr>
        <w:spacing w:after="0" w:line="206" w:lineRule="exact"/>
        <w:rPr>
          <w:sz w:val="20"/>
          <w:szCs w:val="20"/>
          <w:color w:val="auto"/>
        </w:rPr>
      </w:pPr>
    </w:p>
    <w:p>
      <w:pPr>
        <w:jc w:val="both"/>
        <w:ind w:left="540" w:right="20"/>
        <w:spacing w:after="0" w:line="239" w:lineRule="auto"/>
        <w:rPr>
          <w:sz w:val="20"/>
          <w:szCs w:val="20"/>
          <w:color w:val="auto"/>
        </w:rPr>
      </w:pPr>
      <w:r>
        <w:rPr>
          <w:rFonts w:ascii="Arial" w:cs="Arial" w:eastAsia="Arial" w:hAnsi="Arial"/>
          <w:sz w:val="14"/>
          <w:szCs w:val="14"/>
          <w:color w:val="auto"/>
        </w:rPr>
        <w:t>From time to time, Agnico-Eagle has entered into financial instruments with a number of financial institutions in order to hedge underlying cash flow and fair value exposures arising from changes in commodity prices, interest rates, equity prices or foreign currency exchange rates.</w:t>
      </w:r>
    </w:p>
    <w:p>
      <w:pPr>
        <w:spacing w:after="0" w:line="193" w:lineRule="exact"/>
        <w:rPr>
          <w:sz w:val="20"/>
          <w:szCs w:val="20"/>
          <w:color w:val="auto"/>
        </w:rPr>
      </w:pPr>
    </w:p>
    <w:p>
      <w:pPr>
        <w:jc w:val="both"/>
        <w:ind w:left="540"/>
        <w:spacing w:after="0" w:line="233" w:lineRule="auto"/>
        <w:rPr>
          <w:sz w:val="20"/>
          <w:szCs w:val="20"/>
          <w:color w:val="auto"/>
        </w:rPr>
      </w:pPr>
      <w:r>
        <w:rPr>
          <w:rFonts w:ascii="Arial" w:cs="Arial" w:eastAsia="Arial" w:hAnsi="Arial"/>
          <w:sz w:val="14"/>
          <w:szCs w:val="14"/>
          <w:color w:val="auto"/>
        </w:rPr>
        <w:t>In 2008 and 2009, financial instruments which have subjected Agnico-Eagle to market risk and concentration of credit risk consisted primarily of cash, cash equivalents and short-term investments. Agnico-Eagle places its cash and cash equivalents and short-term investments in high quality securities issued by government agencies, financial institutions and major corporations and limits the amount of credit exposure by diversifying its holdings.</w:t>
      </w:r>
    </w:p>
    <w:p>
      <w:pPr>
        <w:spacing w:after="0" w:line="193" w:lineRule="exact"/>
        <w:rPr>
          <w:sz w:val="20"/>
          <w:szCs w:val="20"/>
          <w:color w:val="auto"/>
        </w:rPr>
      </w:pPr>
    </w:p>
    <w:p>
      <w:pPr>
        <w:jc w:val="both"/>
        <w:ind w:left="540"/>
        <w:spacing w:after="0" w:line="239" w:lineRule="auto"/>
        <w:rPr>
          <w:sz w:val="20"/>
          <w:szCs w:val="20"/>
          <w:color w:val="auto"/>
        </w:rPr>
      </w:pPr>
      <w:r>
        <w:rPr>
          <w:rFonts w:ascii="Arial" w:cs="Arial" w:eastAsia="Arial" w:hAnsi="Arial"/>
          <w:sz w:val="14"/>
          <w:szCs w:val="14"/>
          <w:color w:val="auto"/>
        </w:rPr>
        <w:t>Agnico-Eagle generates almost all of its revenues in US dollars. The Company's Canadian operations, which include the LaRonde Mine, the Goldex Mine, the Lapa Mine, and the Meadowbank Mine, have Canadian dollar requirements for capital, operating and exploration expenditures.</w:t>
      </w:r>
    </w:p>
    <w:p>
      <w:pPr>
        <w:spacing w:after="0" w:line="193" w:lineRule="exact"/>
        <w:rPr>
          <w:sz w:val="20"/>
          <w:szCs w:val="20"/>
          <w:color w:val="auto"/>
        </w:rPr>
      </w:pPr>
    </w:p>
    <w:p>
      <w:pPr>
        <w:jc w:val="both"/>
        <w:ind w:left="540"/>
        <w:spacing w:after="0" w:line="270" w:lineRule="auto"/>
        <w:rPr>
          <w:sz w:val="20"/>
          <w:szCs w:val="20"/>
          <w:color w:val="auto"/>
        </w:rPr>
      </w:pPr>
      <w:r>
        <w:rPr>
          <w:rFonts w:ascii="Arial" w:cs="Arial" w:eastAsia="Arial" w:hAnsi="Arial"/>
          <w:sz w:val="12"/>
          <w:szCs w:val="12"/>
          <w:color w:val="auto"/>
        </w:rPr>
        <w:t>In 2008, to mitigate the risks associated with fluctuating foreign exchange rates, the Company entered into three zero cost collars to hedge the functional currency equivalent cash flows associated with the Canadian dollar denominated capital expenditures related to the Meadowbank Mine. In March 2009, the Company entered into another zero cost collar for the same purpose. The purchase of US dollar put options has been financed through selling US dollar call options at a higher level such that the net premium payable to the different counterparties by the Company is nil. The hedged items represents monthly unhedged forecast Canadian dollar cash outflows during 2009. At December 31, 2008, the three zero cost collars hedged $180 million of 2009 expenditures and the additional zero cost collar entered in 2009 hedged $45 million of 2009 expenditures. The cash flow hedging relationship meets all requirements per ASC 815 to be perfectly effective, and unrealized gains and losses is recognized within other comprehensive income ("OCI").</w:t>
      </w:r>
    </w:p>
    <w:p>
      <w:pPr>
        <w:spacing w:after="0" w:line="176" w:lineRule="exact"/>
        <w:rPr>
          <w:sz w:val="20"/>
          <w:szCs w:val="20"/>
          <w:color w:val="auto"/>
        </w:rPr>
      </w:pPr>
    </w:p>
    <w:p>
      <w:pPr>
        <w:jc w:val="both"/>
        <w:ind w:left="540"/>
        <w:spacing w:after="0" w:line="318" w:lineRule="auto"/>
        <w:rPr>
          <w:sz w:val="20"/>
          <w:szCs w:val="20"/>
          <w:color w:val="auto"/>
        </w:rPr>
      </w:pPr>
      <w:r>
        <w:rPr>
          <w:rFonts w:ascii="Arial" w:cs="Arial" w:eastAsia="Arial" w:hAnsi="Arial"/>
          <w:sz w:val="12"/>
          <w:szCs w:val="12"/>
          <w:color w:val="auto"/>
        </w:rPr>
        <w:t>Gains and losses deferred in accumulated other comprehensive income ("AOCI") are recognized into income as amortization (or depreciation) of the hedged capital asset occurs. Amounts transferred out of accumulated OCI are recorded in the Property, Plant and Mine development line item in the balance sheet and are amortized into income over the same period as the hedged capital asset.</w:t>
      </w:r>
    </w:p>
    <w:p>
      <w:pPr>
        <w:spacing w:after="0" w:line="15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216" w:name="page217"/>
    <w:bookmarkEnd w:id="216"/>
    <w:p>
      <w:pPr>
        <w:jc w:val="center"/>
        <w:spacing w:after="0"/>
        <w:rPr>
          <w:sz w:val="20"/>
          <w:szCs w:val="20"/>
          <w:color w:val="auto"/>
        </w:rPr>
      </w:pPr>
      <w:r>
        <w:rPr>
          <w:rFonts w:ascii="Arial" w:cs="Arial" w:eastAsia="Arial" w:hAnsi="Arial"/>
          <w:sz w:val="18"/>
          <w:szCs w:val="18"/>
          <w:b w:val="1"/>
          <w:bCs w:val="1"/>
          <w:color w:val="auto"/>
        </w:rPr>
        <w:t>AGNICO-EAGLE MINES LIMITED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 (Continued)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(thousands of United States dollars, except per share amounts, unless otherwise indicated)</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December 31, 2009</w:t>
      </w:r>
    </w:p>
    <w:p>
      <w:pPr>
        <w:spacing w:after="0" w:line="214"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15.  FINANCIAL INSTRUMENTS (Continued)</w:t>
      </w:r>
    </w:p>
    <w:p>
      <w:pPr>
        <w:spacing w:after="0" w:line="206" w:lineRule="exact"/>
        <w:rPr>
          <w:sz w:val="20"/>
          <w:szCs w:val="20"/>
          <w:color w:val="auto"/>
        </w:rPr>
      </w:pPr>
    </w:p>
    <w:p>
      <w:pPr>
        <w:jc w:val="both"/>
        <w:ind w:left="540"/>
        <w:spacing w:after="0" w:line="233" w:lineRule="auto"/>
        <w:rPr>
          <w:sz w:val="20"/>
          <w:szCs w:val="20"/>
          <w:color w:val="auto"/>
        </w:rPr>
      </w:pPr>
      <w:r>
        <w:rPr>
          <w:rFonts w:ascii="Arial" w:cs="Arial" w:eastAsia="Arial" w:hAnsi="Arial"/>
          <w:sz w:val="14"/>
          <w:szCs w:val="14"/>
          <w:color w:val="auto"/>
        </w:rPr>
        <w:t>In 2009, all of the effective hedges matured and a total of $7.4 million was reclassified from OCI to the balance sheet as a credit to Property, Plant, and mine development line item. The total amount of unrealized loss on the hedges was nil as at December 31, 2009 (2008 — $8.9 million). The Company expects approximately $0.6 million to be reclassified into earnings in 2010 as the net gain is amortized in relation to the hedged capital asset.</w:t>
      </w:r>
    </w:p>
    <w:p>
      <w:pPr>
        <w:spacing w:after="0" w:line="193" w:lineRule="exact"/>
        <w:rPr>
          <w:sz w:val="20"/>
          <w:szCs w:val="20"/>
          <w:color w:val="auto"/>
        </w:rPr>
      </w:pPr>
    </w:p>
    <w:p>
      <w:pPr>
        <w:jc w:val="both"/>
        <w:ind w:left="540"/>
        <w:spacing w:after="0" w:line="233" w:lineRule="auto"/>
        <w:rPr>
          <w:sz w:val="20"/>
          <w:szCs w:val="20"/>
          <w:color w:val="auto"/>
        </w:rPr>
      </w:pPr>
      <w:r>
        <w:rPr>
          <w:rFonts w:ascii="Arial" w:cs="Arial" w:eastAsia="Arial" w:hAnsi="Arial"/>
          <w:sz w:val="14"/>
          <w:szCs w:val="14"/>
          <w:color w:val="auto"/>
        </w:rPr>
        <w:t>The following table shows the changes in the AOCI balances recorded in the consolidated financial statements pertaining to the foreign exchange hedging activities. The fair values, based on Black-Scholes calculated mark-to-market valuations, of recorded derivative related assets and liabilities and their corresponding entries to AOCI reflect the netting of the fair values of individual derivative financial instruments.</w:t>
      </w:r>
    </w:p>
    <w:p>
      <w:pPr>
        <w:spacing w:after="0" w:line="191" w:lineRule="exact"/>
        <w:rPr>
          <w:sz w:val="20"/>
          <w:szCs w:val="20"/>
          <w:color w:val="auto"/>
        </w:rPr>
      </w:pPr>
    </w:p>
    <w:tbl>
      <w:tblPr>
        <w:tblLayout w:type="fixed"/>
        <w:tblInd w:w="1160" w:type="dxa"/>
        <w:tblCellMar>
          <w:top w:w="0" w:type="dxa"/>
          <w:left w:w="0" w:type="dxa"/>
          <w:bottom w:w="0" w:type="dxa"/>
          <w:right w:w="0" w:type="dxa"/>
        </w:tblCellMar>
      </w:tblPr>
      <w:tr>
        <w:trPr>
          <w:trHeight w:val="161"/>
        </w:trPr>
        <w:tc>
          <w:tcPr>
            <w:tcW w:w="766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480" w:type="dxa"/>
            <w:vAlign w:val="bottom"/>
            <w:tcBorders>
              <w:bottom w:val="single" w:sz="8" w:color="auto"/>
            </w:tcBorders>
          </w:tcPr>
          <w:p>
            <w:pPr>
              <w:jc w:val="right"/>
              <w:ind w:right="92"/>
              <w:spacing w:after="0"/>
              <w:rPr>
                <w:sz w:val="20"/>
                <w:szCs w:val="20"/>
                <w:color w:val="auto"/>
              </w:rPr>
            </w:pPr>
            <w:r>
              <w:rPr>
                <w:rFonts w:ascii="Arial" w:cs="Arial" w:eastAsia="Arial" w:hAnsi="Arial"/>
                <w:sz w:val="14"/>
                <w:szCs w:val="14"/>
                <w:b w:val="1"/>
                <w:bCs w:val="1"/>
                <w:color w:val="auto"/>
                <w:w w:val="96"/>
              </w:rPr>
              <w:t>2009</w:t>
            </w:r>
          </w:p>
        </w:tc>
        <w:tc>
          <w:tcPr>
            <w:tcW w:w="16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460" w:type="dxa"/>
            <w:vAlign w:val="bottom"/>
            <w:tcBorders>
              <w:bottom w:val="single" w:sz="8" w:color="auto"/>
            </w:tcBorders>
          </w:tcPr>
          <w:p>
            <w:pPr>
              <w:ind w:left="40"/>
              <w:spacing w:after="0"/>
              <w:rPr>
                <w:sz w:val="20"/>
                <w:szCs w:val="20"/>
                <w:color w:val="auto"/>
              </w:rPr>
            </w:pPr>
            <w:r>
              <w:rPr>
                <w:rFonts w:ascii="Arial" w:cs="Arial" w:eastAsia="Arial" w:hAnsi="Arial"/>
                <w:sz w:val="14"/>
                <w:szCs w:val="14"/>
                <w:b w:val="1"/>
                <w:bCs w:val="1"/>
                <w:color w:val="auto"/>
              </w:rPr>
              <w:t>2008</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7660" w:type="dxa"/>
            <w:vAlign w:val="bottom"/>
            <w:shd w:val="clear" w:color="auto" w:fill="CCEEFF"/>
          </w:tcPr>
          <w:p>
            <w:pPr>
              <w:ind w:left="200"/>
              <w:spacing w:after="0" w:line="142" w:lineRule="exact"/>
              <w:rPr>
                <w:sz w:val="20"/>
                <w:szCs w:val="20"/>
                <w:color w:val="auto"/>
              </w:rPr>
            </w:pPr>
            <w:r>
              <w:rPr>
                <w:rFonts w:ascii="Arial" w:cs="Arial" w:eastAsia="Arial" w:hAnsi="Arial"/>
                <w:sz w:val="14"/>
                <w:szCs w:val="14"/>
                <w:color w:val="auto"/>
              </w:rPr>
              <w:t>AOCI, beginning of year</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640" w:type="dxa"/>
            <w:vAlign w:val="bottom"/>
            <w:gridSpan w:val="2"/>
            <w:shd w:val="clear" w:color="auto" w:fill="CCEEFF"/>
          </w:tcPr>
          <w:p>
            <w:pPr>
              <w:jc w:val="right"/>
              <w:ind w:right="120"/>
              <w:spacing w:after="0" w:line="142" w:lineRule="exact"/>
              <w:rPr>
                <w:sz w:val="20"/>
                <w:szCs w:val="20"/>
                <w:color w:val="auto"/>
              </w:rPr>
            </w:pPr>
            <w:r>
              <w:rPr>
                <w:rFonts w:ascii="Arial" w:cs="Arial" w:eastAsia="Arial" w:hAnsi="Arial"/>
                <w:sz w:val="14"/>
                <w:szCs w:val="14"/>
                <w:color w:val="auto"/>
              </w:rPr>
              <w:t>(8,888)</w:t>
            </w:r>
          </w:p>
        </w:tc>
        <w:tc>
          <w:tcPr>
            <w:tcW w:w="10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620" w:type="dxa"/>
            <w:vAlign w:val="bottom"/>
            <w:gridSpan w:val="2"/>
            <w:shd w:val="clear" w:color="auto" w:fill="CCEEFF"/>
          </w:tcPr>
          <w:p>
            <w:pPr>
              <w:ind w:left="140"/>
              <w:spacing w:after="0" w:line="142"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7660" w:type="dxa"/>
            <w:vAlign w:val="bottom"/>
          </w:tcPr>
          <w:p>
            <w:pPr>
              <w:ind w:left="200"/>
              <w:spacing w:after="0" w:line="149" w:lineRule="exact"/>
              <w:rPr>
                <w:sz w:val="20"/>
                <w:szCs w:val="20"/>
                <w:color w:val="auto"/>
              </w:rPr>
            </w:pPr>
            <w:r>
              <w:rPr>
                <w:rFonts w:ascii="Arial" w:cs="Arial" w:eastAsia="Arial" w:hAnsi="Arial"/>
                <w:sz w:val="14"/>
                <w:szCs w:val="14"/>
                <w:color w:val="auto"/>
              </w:rPr>
              <w:t>Gain reclassified from AOCI into project development costs</w:t>
            </w:r>
          </w:p>
        </w:tc>
        <w:tc>
          <w:tcPr>
            <w:tcW w:w="100" w:type="dxa"/>
            <w:vAlign w:val="bottom"/>
          </w:tcPr>
          <w:p>
            <w:pPr>
              <w:spacing w:after="0"/>
              <w:rPr>
                <w:sz w:val="12"/>
                <w:szCs w:val="12"/>
                <w:color w:val="auto"/>
              </w:rPr>
            </w:pPr>
          </w:p>
        </w:tc>
        <w:tc>
          <w:tcPr>
            <w:tcW w:w="6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(7,399)</w:t>
            </w:r>
          </w:p>
        </w:tc>
        <w:tc>
          <w:tcPr>
            <w:tcW w:w="100" w:type="dxa"/>
            <w:vAlign w:val="bottom"/>
          </w:tcPr>
          <w:p>
            <w:pPr>
              <w:spacing w:after="0"/>
              <w:rPr>
                <w:sz w:val="12"/>
                <w:szCs w:val="12"/>
                <w:color w:val="auto"/>
              </w:rPr>
            </w:pPr>
          </w:p>
        </w:tc>
        <w:tc>
          <w:tcPr>
            <w:tcW w:w="620" w:type="dxa"/>
            <w:vAlign w:val="bottom"/>
            <w:gridSpan w:val="2"/>
          </w:tcPr>
          <w:p>
            <w:pPr>
              <w:ind w:left="14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76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Gain (loss) recognized in OCI</w:t>
            </w:r>
          </w:p>
        </w:tc>
        <w:tc>
          <w:tcPr>
            <w:tcW w:w="100" w:type="dxa"/>
            <w:vAlign w:val="bottom"/>
            <w:shd w:val="clear" w:color="auto" w:fill="CCEEFF"/>
          </w:tcPr>
          <w:p>
            <w:pPr>
              <w:spacing w:after="0"/>
              <w:rPr>
                <w:sz w:val="12"/>
                <w:szCs w:val="12"/>
                <w:color w:val="auto"/>
              </w:rPr>
            </w:pPr>
          </w:p>
        </w:tc>
        <w:tc>
          <w:tcPr>
            <w:tcW w:w="4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16,287</w:t>
            </w: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20" w:type="dxa"/>
            <w:vAlign w:val="bottom"/>
            <w:gridSpan w:val="2"/>
            <w:shd w:val="clear" w:color="auto" w:fill="CCEEFF"/>
          </w:tcPr>
          <w:p>
            <w:pPr>
              <w:ind w:left="100"/>
              <w:spacing w:after="0" w:line="149" w:lineRule="exact"/>
              <w:rPr>
                <w:sz w:val="20"/>
                <w:szCs w:val="20"/>
                <w:color w:val="auto"/>
              </w:rPr>
            </w:pPr>
            <w:r>
              <w:rPr>
                <w:rFonts w:ascii="Arial" w:cs="Arial" w:eastAsia="Arial" w:hAnsi="Arial"/>
                <w:sz w:val="14"/>
                <w:szCs w:val="14"/>
                <w:color w:val="auto"/>
              </w:rPr>
              <w:t>(8,888)</w:t>
            </w:r>
          </w:p>
        </w:tc>
        <w:tc>
          <w:tcPr>
            <w:tcW w:w="0" w:type="dxa"/>
            <w:vAlign w:val="bottom"/>
          </w:tcPr>
          <w:p>
            <w:pPr>
              <w:spacing w:after="0"/>
              <w:rPr>
                <w:sz w:val="1"/>
                <w:szCs w:val="1"/>
                <w:color w:val="auto"/>
              </w:rPr>
            </w:pPr>
          </w:p>
        </w:tc>
      </w:tr>
      <w:tr>
        <w:trPr>
          <w:trHeight w:val="27"/>
        </w:trPr>
        <w:tc>
          <w:tcPr>
            <w:tcW w:w="7660" w:type="dxa"/>
            <w:vAlign w:val="bottom"/>
            <w:vMerge w:val="restart"/>
          </w:tcPr>
          <w:p>
            <w:pPr>
              <w:ind w:left="200"/>
              <w:spacing w:after="0"/>
              <w:rPr>
                <w:sz w:val="20"/>
                <w:szCs w:val="20"/>
                <w:color w:val="auto"/>
              </w:rPr>
            </w:pPr>
            <w:r>
              <w:rPr>
                <w:rFonts w:ascii="Arial" w:cs="Arial" w:eastAsia="Arial" w:hAnsi="Arial"/>
                <w:sz w:val="14"/>
                <w:szCs w:val="14"/>
                <w:color w:val="auto"/>
              </w:rPr>
              <w:t>AOCI, end of year</w:t>
            </w:r>
          </w:p>
        </w:tc>
        <w:tc>
          <w:tcPr>
            <w:tcW w:w="100" w:type="dxa"/>
            <w:vAlign w:val="bottom"/>
          </w:tcPr>
          <w:p>
            <w:pPr>
              <w:spacing w:after="0"/>
              <w:rPr>
                <w:sz w:val="2"/>
                <w:szCs w:val="2"/>
                <w:color w:val="auto"/>
              </w:rPr>
            </w:pPr>
          </w:p>
        </w:tc>
        <w:tc>
          <w:tcPr>
            <w:tcW w:w="640" w:type="dxa"/>
            <w:vAlign w:val="bottom"/>
            <w:gridSpan w:val="2"/>
          </w:tcPr>
          <w:p>
            <w:pPr>
              <w:spacing w:after="0"/>
              <w:rPr>
                <w:sz w:val="2"/>
                <w:szCs w:val="2"/>
                <w:color w:val="auto"/>
              </w:rPr>
            </w:pPr>
          </w:p>
        </w:tc>
        <w:tc>
          <w:tcPr>
            <w:tcW w:w="100" w:type="dxa"/>
            <w:vAlign w:val="bottom"/>
          </w:tcPr>
          <w:p>
            <w:pPr>
              <w:spacing w:after="0"/>
              <w:rPr>
                <w:sz w:val="2"/>
                <w:szCs w:val="2"/>
                <w:color w:val="auto"/>
              </w:rPr>
            </w:pPr>
          </w:p>
        </w:tc>
        <w:tc>
          <w:tcPr>
            <w:tcW w:w="620" w:type="dxa"/>
            <w:vAlign w:val="bottom"/>
            <w:gridSpan w:val="2"/>
          </w:tcPr>
          <w:p>
            <w:pPr>
              <w:spacing w:after="0"/>
              <w:rPr>
                <w:sz w:val="2"/>
                <w:szCs w:val="2"/>
                <w:color w:val="auto"/>
              </w:rPr>
            </w:pPr>
          </w:p>
        </w:tc>
        <w:tc>
          <w:tcPr>
            <w:tcW w:w="0" w:type="dxa"/>
            <w:vAlign w:val="bottom"/>
          </w:tcPr>
          <w:p>
            <w:pPr>
              <w:spacing w:after="0"/>
              <w:rPr>
                <w:sz w:val="1"/>
                <w:szCs w:val="1"/>
                <w:color w:val="auto"/>
              </w:rPr>
            </w:pPr>
          </w:p>
        </w:tc>
      </w:tr>
      <w:tr>
        <w:trPr>
          <w:trHeight w:val="167"/>
        </w:trPr>
        <w:tc>
          <w:tcPr>
            <w:tcW w:w="7660" w:type="dxa"/>
            <w:vAlign w:val="bottom"/>
            <w:vMerge w:val="continue"/>
          </w:tcPr>
          <w:p>
            <w:pPr>
              <w:spacing w:after="0"/>
              <w:rPr>
                <w:sz w:val="14"/>
                <w:szCs w:val="14"/>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480" w:type="dxa"/>
            <w:vAlign w:val="bottom"/>
            <w:tcBorders>
              <w:top w:val="single" w:sz="8" w:color="auto"/>
              <w:bottom w:val="single" w:sz="8" w:color="auto"/>
            </w:tcBorders>
          </w:tcPr>
          <w:p>
            <w:pPr>
              <w:jc w:val="right"/>
              <w:ind w:right="132"/>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4"/>
                <w:szCs w:val="14"/>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4"/>
                <w:szCs w:val="14"/>
                <w:color w:val="auto"/>
                <w:w w:val="76"/>
              </w:rPr>
              <w:t>$</w:t>
            </w:r>
          </w:p>
        </w:tc>
        <w:tc>
          <w:tcPr>
            <w:tcW w:w="460" w:type="dxa"/>
            <w:vAlign w:val="bottom"/>
            <w:tcBorders>
              <w:top w:val="single" w:sz="8" w:color="auto"/>
              <w:bottom w:val="single" w:sz="8" w:color="auto"/>
            </w:tcBorders>
          </w:tcPr>
          <w:p>
            <w:pPr>
              <w:ind w:left="100"/>
              <w:spacing w:after="0"/>
              <w:rPr>
                <w:sz w:val="20"/>
                <w:szCs w:val="20"/>
                <w:color w:val="auto"/>
              </w:rPr>
            </w:pPr>
            <w:r>
              <w:rPr>
                <w:rFonts w:ascii="Arial" w:cs="Arial" w:eastAsia="Arial" w:hAnsi="Arial"/>
                <w:sz w:val="14"/>
                <w:szCs w:val="14"/>
                <w:color w:val="auto"/>
                <w:w w:val="76"/>
              </w:rPr>
              <w:t>(8,888)</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76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5" w:lineRule="exact"/>
        <w:rPr>
          <w:sz w:val="20"/>
          <w:szCs w:val="20"/>
          <w:color w:val="auto"/>
        </w:rPr>
      </w:pPr>
    </w:p>
    <w:p>
      <w:pPr>
        <w:jc w:val="both"/>
        <w:ind w:left="540"/>
        <w:spacing w:after="0" w:line="270" w:lineRule="auto"/>
        <w:rPr>
          <w:sz w:val="20"/>
          <w:szCs w:val="20"/>
          <w:color w:val="auto"/>
        </w:rPr>
      </w:pPr>
      <w:r>
        <w:rPr>
          <w:rFonts w:ascii="Arial" w:cs="Arial" w:eastAsia="Arial" w:hAnsi="Arial"/>
          <w:sz w:val="12"/>
          <w:szCs w:val="12"/>
          <w:color w:val="auto"/>
        </w:rPr>
        <w:t>As at December 31, 2009, the Company had unmatured covered call options on available-for-sale securities with a premium of $1.1 million (2008 — $3.1 million) and a Black-Scholes calculated mark-to-market gain (loss) of $0.5 million (2008 — $(0.8) million). Premiums received on the sale of covered call options are recorded as a liability in the fair value of derivative financial instrument component of the consolidated balance sheets until they mature or the position is closed. Gains or losses as a result of mark-to-market valuations are taken into income in the period incurred. The Company sold these call options against the shares and warrants of Goldcorp Inc. ("Goldcorp") to reduce its price exposure to the Goldcorp shares and warrants it acquired in connection with Goldcorp's acquisition of Gold Eagle Mines Ltd. During 2009, the Company continued to write covered call options on the shares and warrants of Goldcorp as they expire and/or were repurchased. The amount of $0.6 million (2008 — 3.9 million) recorded as a liability as at December 31, 2009, is expected to be recognized through the consolidated statements of income in 2010.</w:t>
      </w:r>
    </w:p>
    <w:p>
      <w:pPr>
        <w:spacing w:after="0" w:line="176" w:lineRule="exact"/>
        <w:rPr>
          <w:sz w:val="20"/>
          <w:szCs w:val="20"/>
          <w:color w:val="auto"/>
        </w:rPr>
      </w:pPr>
    </w:p>
    <w:p>
      <w:pPr>
        <w:jc w:val="both"/>
        <w:ind w:left="540"/>
        <w:spacing w:after="0" w:line="239" w:lineRule="auto"/>
        <w:rPr>
          <w:sz w:val="20"/>
          <w:szCs w:val="20"/>
          <w:color w:val="auto"/>
        </w:rPr>
      </w:pPr>
      <w:r>
        <w:rPr>
          <w:rFonts w:ascii="Arial" w:cs="Arial" w:eastAsia="Arial" w:hAnsi="Arial"/>
          <w:sz w:val="14"/>
          <w:szCs w:val="14"/>
          <w:color w:val="auto"/>
        </w:rPr>
        <w:t>During the year-ended December 31, 2009, the Company recognized a net gain of $10.5 million (2008 — $(0.8) million) in the interest and sundry income component of the consolidated statements of income related to the written call options of Goldcorp shares and warrants.</w:t>
      </w:r>
    </w:p>
    <w:p>
      <w:pPr>
        <w:spacing w:after="0" w:line="193" w:lineRule="exact"/>
        <w:rPr>
          <w:sz w:val="20"/>
          <w:szCs w:val="20"/>
          <w:color w:val="auto"/>
        </w:rPr>
      </w:pPr>
    </w:p>
    <w:p>
      <w:pPr>
        <w:jc w:val="both"/>
        <w:ind w:left="540"/>
        <w:spacing w:after="0" w:line="288" w:lineRule="auto"/>
        <w:rPr>
          <w:sz w:val="20"/>
          <w:szCs w:val="20"/>
          <w:color w:val="auto"/>
        </w:rPr>
      </w:pPr>
      <w:r>
        <w:rPr>
          <w:rFonts w:ascii="Arial" w:cs="Arial" w:eastAsia="Arial" w:hAnsi="Arial"/>
          <w:sz w:val="12"/>
          <w:szCs w:val="12"/>
          <w:color w:val="auto"/>
        </w:rPr>
        <w:t>During the third quarter of 2009, the Company sold its 0.8 million shares of Goldcorp shares but continued to write call options on the 0.8 million warrants it continues to hold. Cash provided by operating activities in the consolidated statements of cash flows are adjusted for gains realized on the consolidated statements of income through the loss (gain) on sale of securities component. Premiums received are a component of proceeds on sale of available-for-sale securities and other within the cash used in investing activities section of the consolidated statements of cash flows.</w:t>
      </w:r>
    </w:p>
    <w:p>
      <w:pPr>
        <w:spacing w:after="0" w:line="165" w:lineRule="exact"/>
        <w:rPr>
          <w:sz w:val="20"/>
          <w:szCs w:val="20"/>
          <w:color w:val="auto"/>
        </w:rPr>
      </w:pPr>
    </w:p>
    <w:p>
      <w:pPr>
        <w:ind w:left="540"/>
        <w:spacing w:after="0"/>
        <w:rPr>
          <w:sz w:val="20"/>
          <w:szCs w:val="20"/>
          <w:color w:val="auto"/>
        </w:rPr>
      </w:pPr>
      <w:r>
        <w:rPr>
          <w:rFonts w:ascii="Arial" w:cs="Arial" w:eastAsia="Arial" w:hAnsi="Arial"/>
          <w:sz w:val="14"/>
          <w:szCs w:val="14"/>
          <w:color w:val="auto"/>
        </w:rPr>
        <w:t>As at December 31, 2009 and 2008, there were no metal derivative positions.</w:t>
      </w:r>
    </w:p>
    <w:p>
      <w:pPr>
        <w:spacing w:after="0" w:line="204" w:lineRule="exact"/>
        <w:rPr>
          <w:sz w:val="20"/>
          <w:szCs w:val="20"/>
          <w:color w:val="auto"/>
        </w:rPr>
      </w:pPr>
    </w:p>
    <w:p>
      <w:pPr>
        <w:ind w:left="540"/>
        <w:spacing w:after="0"/>
        <w:rPr>
          <w:sz w:val="20"/>
          <w:szCs w:val="20"/>
          <w:color w:val="auto"/>
        </w:rPr>
      </w:pPr>
      <w:r>
        <w:rPr>
          <w:rFonts w:ascii="Arial" w:cs="Arial" w:eastAsia="Arial" w:hAnsi="Arial"/>
          <w:sz w:val="14"/>
          <w:szCs w:val="14"/>
          <w:color w:val="auto"/>
        </w:rPr>
        <w:t>Other required derivative disclosures can be found in note 6(f), "Accumulated other comprehensive income (loss)".</w:t>
      </w:r>
    </w:p>
    <w:p>
      <w:pPr>
        <w:spacing w:after="0" w:line="204" w:lineRule="exact"/>
        <w:rPr>
          <w:sz w:val="20"/>
          <w:szCs w:val="20"/>
          <w:color w:val="auto"/>
        </w:rPr>
      </w:pPr>
    </w:p>
    <w:p>
      <w:pPr>
        <w:jc w:val="both"/>
        <w:ind w:left="540"/>
        <w:spacing w:after="0" w:line="318" w:lineRule="auto"/>
        <w:rPr>
          <w:sz w:val="20"/>
          <w:szCs w:val="20"/>
          <w:color w:val="auto"/>
        </w:rPr>
      </w:pPr>
      <w:r>
        <w:rPr>
          <w:rFonts w:ascii="Arial" w:cs="Arial" w:eastAsia="Arial" w:hAnsi="Arial"/>
          <w:sz w:val="12"/>
          <w:szCs w:val="12"/>
          <w:color w:val="auto"/>
        </w:rPr>
        <w:t>Agnico-Eagle's exposure to interest rate risk at December 31, 2009 relates to its cash and cash equivalents, short-term investments and restricted cash totalling $163.6 million (2008 — $99.4 million) and its credit facilities. The Company's short-term investments and cash equivalents have a fixed weighted average interest rate of 0.59% (2008 — 3.21%).</w:t>
      </w:r>
    </w:p>
    <w:p>
      <w:pPr>
        <w:spacing w:after="0" w:line="148" w:lineRule="exact"/>
        <w:rPr>
          <w:sz w:val="20"/>
          <w:szCs w:val="20"/>
          <w:color w:val="auto"/>
        </w:rPr>
      </w:pPr>
    </w:p>
    <w:p>
      <w:pPr>
        <w:ind w:left="540"/>
        <w:spacing w:after="0"/>
        <w:rPr>
          <w:sz w:val="20"/>
          <w:szCs w:val="20"/>
          <w:color w:val="auto"/>
        </w:rPr>
      </w:pPr>
      <w:r>
        <w:rPr>
          <w:rFonts w:ascii="Arial" w:cs="Arial" w:eastAsia="Arial" w:hAnsi="Arial"/>
          <w:sz w:val="14"/>
          <w:szCs w:val="14"/>
          <w:color w:val="auto"/>
        </w:rPr>
        <w:t>The fair values of Agnico-Eagle's current financial assets and liabilities approximate their carrying values as at December 31, 2009.</w:t>
      </w:r>
    </w:p>
    <w:p>
      <w:pPr>
        <w:spacing w:after="0" w:line="204" w:lineRule="exact"/>
        <w:rPr>
          <w:sz w:val="20"/>
          <w:szCs w:val="20"/>
          <w:color w:val="auto"/>
        </w:rPr>
      </w:pPr>
    </w:p>
    <w:p>
      <w:pPr>
        <w:jc w:val="both"/>
        <w:ind w:left="540"/>
        <w:spacing w:after="0" w:line="273" w:lineRule="auto"/>
        <w:rPr>
          <w:sz w:val="20"/>
          <w:szCs w:val="20"/>
          <w:color w:val="auto"/>
        </w:rPr>
      </w:pPr>
      <w:r>
        <w:rPr>
          <w:rFonts w:ascii="Arial" w:cs="Arial" w:eastAsia="Arial" w:hAnsi="Arial"/>
          <w:sz w:val="12"/>
          <w:szCs w:val="12"/>
          <w:color w:val="auto"/>
        </w:rPr>
        <w:t>In September 2006, the FASB issued ASC 820 — Fair Value Measurement and Disclosure (Prior authoritative literature: FASB Statement No. 157, "Fair Value Measurements" ("FAS 157")). ASC 820 defines fair value, establishes a framework for measuring fair value in US GAAP, and expands required disclosures about fair value measurements. The provisions of ASC 820 were adopted January 1, 2008. In February 2008, FASB modified ASC 820 (Prior authoritative literature: FASB Staff Position No. 157-2, "Effective Date of FASB Statement No. 157" that delayed the effective date of ASC 820 for nonfinancial assets and nonfinancial liabilities, except for items that are recognized or disclosed at fair value in the financial statements on a recurring basis (at least annually). The new provisions of ASC 820 were effective for the Company's fiscal year beginning January 1, 2009.</w:t>
      </w:r>
    </w:p>
    <w:p>
      <w:pPr>
        <w:spacing w:after="0" w:line="174" w:lineRule="exact"/>
        <w:rPr>
          <w:sz w:val="20"/>
          <w:szCs w:val="20"/>
          <w:color w:val="auto"/>
        </w:rPr>
      </w:pPr>
    </w:p>
    <w:p>
      <w:pPr>
        <w:jc w:val="both"/>
        <w:ind w:left="540" w:right="20"/>
        <w:spacing w:after="0" w:line="239" w:lineRule="auto"/>
        <w:rPr>
          <w:sz w:val="20"/>
          <w:szCs w:val="20"/>
          <w:color w:val="auto"/>
        </w:rPr>
      </w:pPr>
      <w:r>
        <w:rPr>
          <w:rFonts w:ascii="Arial" w:cs="Arial" w:eastAsia="Arial" w:hAnsi="Arial"/>
          <w:sz w:val="14"/>
          <w:szCs w:val="14"/>
          <w:color w:val="auto"/>
        </w:rPr>
        <w:t>Fair value is the value at which a financial instrument could be closed out or sold in a transaction with a willing and knowledgeable counterparty over a period of time consistent with the Company's investment strategy. Fair value is based on quoted market prices,</w:t>
      </w:r>
    </w:p>
    <w:p>
      <w:pPr>
        <w:spacing w:after="0" w:line="19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217" w:name="page218"/>
    <w:bookmarkEnd w:id="217"/>
    <w:p>
      <w:pPr>
        <w:jc w:val="center"/>
        <w:spacing w:after="0"/>
        <w:rPr>
          <w:sz w:val="20"/>
          <w:szCs w:val="20"/>
          <w:color w:val="auto"/>
        </w:rPr>
      </w:pPr>
      <w:r>
        <w:rPr>
          <w:rFonts w:ascii="Arial" w:cs="Arial" w:eastAsia="Arial" w:hAnsi="Arial"/>
          <w:sz w:val="18"/>
          <w:szCs w:val="18"/>
          <w:b w:val="1"/>
          <w:bCs w:val="1"/>
          <w:color w:val="auto"/>
        </w:rPr>
        <w:t>AGNICO-EAGLE MINES LIMITED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 (Continued)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(thousands of United States dollars, except per share amounts, unless otherwise indicated)</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December 31, 2009</w:t>
      </w:r>
    </w:p>
    <w:p>
      <w:pPr>
        <w:spacing w:after="0" w:line="214"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15.  FINANCIAL INSTRUMENTS (Continued)</w:t>
      </w: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ind w:left="540"/>
        <w:spacing w:after="0" w:line="239" w:lineRule="auto"/>
        <w:rPr>
          <w:sz w:val="20"/>
          <w:szCs w:val="20"/>
          <w:color w:val="auto"/>
        </w:rPr>
      </w:pPr>
      <w:r>
        <w:rPr>
          <w:rFonts w:ascii="Arial" w:cs="Arial" w:eastAsia="Arial" w:hAnsi="Arial"/>
          <w:sz w:val="14"/>
          <w:szCs w:val="14"/>
          <w:color w:val="auto"/>
        </w:rPr>
        <w:t>where available. If market quotes are not available, fair value is based on internally developed models that use market-based or independent information as inputs. These models could produce a fair value that may not be reflective of future fair value.</w:t>
      </w:r>
    </w:p>
    <w:p>
      <w:pPr>
        <w:spacing w:after="0" w:line="193" w:lineRule="exact"/>
        <w:rPr>
          <w:sz w:val="20"/>
          <w:szCs w:val="20"/>
          <w:color w:val="auto"/>
        </w:rPr>
      </w:pPr>
    </w:p>
    <w:p>
      <w:pPr>
        <w:ind w:left="540"/>
        <w:spacing w:after="0"/>
        <w:rPr>
          <w:sz w:val="20"/>
          <w:szCs w:val="20"/>
          <w:color w:val="auto"/>
        </w:rPr>
      </w:pPr>
      <w:r>
        <w:rPr>
          <w:rFonts w:ascii="Arial" w:cs="Arial" w:eastAsia="Arial" w:hAnsi="Arial"/>
          <w:sz w:val="14"/>
          <w:szCs w:val="14"/>
          <w:color w:val="auto"/>
        </w:rPr>
        <w:t>The three levels of the fair value hierarchy under ASC 820 are:</w:t>
      </w:r>
    </w:p>
    <w:p>
      <w:pPr>
        <w:spacing w:after="0" w:line="204" w:lineRule="exact"/>
        <w:rPr>
          <w:sz w:val="20"/>
          <w:szCs w:val="20"/>
          <w:color w:val="auto"/>
        </w:rPr>
      </w:pPr>
    </w:p>
    <w:p>
      <w:pPr>
        <w:ind w:left="1080"/>
        <w:spacing w:after="0"/>
        <w:rPr>
          <w:sz w:val="20"/>
          <w:szCs w:val="20"/>
          <w:color w:val="auto"/>
        </w:rPr>
      </w:pPr>
      <w:r>
        <w:rPr>
          <w:rFonts w:ascii="Arial" w:cs="Arial" w:eastAsia="Arial" w:hAnsi="Arial"/>
          <w:sz w:val="14"/>
          <w:szCs w:val="14"/>
          <w:color w:val="auto"/>
        </w:rPr>
        <w:t>Level 1 — Unadjusted quoted prices in active markets that are accessible at the measurement date for identical, unrestricted assets or liabilities;</w:t>
      </w:r>
    </w:p>
    <w:p>
      <w:pPr>
        <w:spacing w:after="0" w:line="204" w:lineRule="exact"/>
        <w:rPr>
          <w:sz w:val="20"/>
          <w:szCs w:val="20"/>
          <w:color w:val="auto"/>
        </w:rPr>
      </w:pPr>
    </w:p>
    <w:p>
      <w:pPr>
        <w:jc w:val="center"/>
        <w:ind w:right="20"/>
        <w:spacing w:after="0"/>
        <w:rPr>
          <w:sz w:val="20"/>
          <w:szCs w:val="20"/>
          <w:color w:val="auto"/>
        </w:rPr>
      </w:pPr>
      <w:r>
        <w:rPr>
          <w:rFonts w:ascii="Arial" w:cs="Arial" w:eastAsia="Arial" w:hAnsi="Arial"/>
          <w:sz w:val="14"/>
          <w:szCs w:val="14"/>
          <w:color w:val="auto"/>
        </w:rPr>
        <w:t>Level 2 — Quoted prices in markets that are not active, or inputs that are observable, either directly or indirectly, for substantially the full term of the asset or liability; and</w:t>
      </w:r>
    </w:p>
    <w:p>
      <w:pPr>
        <w:spacing w:after="0" w:line="204" w:lineRule="exact"/>
        <w:rPr>
          <w:sz w:val="20"/>
          <w:szCs w:val="20"/>
          <w:color w:val="auto"/>
        </w:rPr>
      </w:pPr>
    </w:p>
    <w:p>
      <w:pPr>
        <w:ind w:left="1080"/>
        <w:spacing w:after="0"/>
        <w:rPr>
          <w:sz w:val="20"/>
          <w:szCs w:val="20"/>
          <w:color w:val="auto"/>
        </w:rPr>
      </w:pPr>
      <w:r>
        <w:rPr>
          <w:rFonts w:ascii="Arial" w:cs="Arial" w:eastAsia="Arial" w:hAnsi="Arial"/>
          <w:sz w:val="12"/>
          <w:szCs w:val="12"/>
          <w:color w:val="auto"/>
        </w:rPr>
        <w:t>Level 3 — Prices or valuation techniques that require inputs that are both significant to the fair value measurement and unobservable (supported by little or no market activity).</w:t>
      </w:r>
    </w:p>
    <w:p>
      <w:pPr>
        <w:spacing w:after="0" w:line="227" w:lineRule="exact"/>
        <w:rPr>
          <w:sz w:val="20"/>
          <w:szCs w:val="20"/>
          <w:color w:val="auto"/>
        </w:rPr>
      </w:pPr>
    </w:p>
    <w:p>
      <w:pPr>
        <w:ind w:left="540"/>
        <w:spacing w:after="0"/>
        <w:rPr>
          <w:sz w:val="20"/>
          <w:szCs w:val="20"/>
          <w:color w:val="auto"/>
        </w:rPr>
      </w:pPr>
      <w:r>
        <w:rPr>
          <w:rFonts w:ascii="Arial" w:cs="Arial" w:eastAsia="Arial" w:hAnsi="Arial"/>
          <w:sz w:val="14"/>
          <w:szCs w:val="14"/>
          <w:color w:val="auto"/>
        </w:rPr>
        <w:t>The following table sets out the Company's financial assets and liabilities measured at fair value within the fair value hierarchy.</w:t>
      </w:r>
    </w:p>
    <w:p>
      <w:pPr>
        <w:spacing w:after="0" w:line="202" w:lineRule="exact"/>
        <w:rPr>
          <w:sz w:val="20"/>
          <w:szCs w:val="20"/>
          <w:color w:val="auto"/>
        </w:rPr>
      </w:pPr>
    </w:p>
    <w:tbl>
      <w:tblPr>
        <w:tblLayout w:type="fixed"/>
        <w:tblInd w:w="1160" w:type="dxa"/>
        <w:tblCellMar>
          <w:top w:w="0" w:type="dxa"/>
          <w:left w:w="0" w:type="dxa"/>
          <w:bottom w:w="0" w:type="dxa"/>
          <w:right w:w="0" w:type="dxa"/>
        </w:tblCellMar>
      </w:tblPr>
      <w:tr>
        <w:trPr>
          <w:trHeight w:val="161"/>
        </w:trPr>
        <w:tc>
          <w:tcPr>
            <w:tcW w:w="1260" w:type="dxa"/>
            <w:vAlign w:val="bottom"/>
          </w:tcPr>
          <w:p>
            <w:pPr>
              <w:spacing w:after="0"/>
              <w:rPr>
                <w:sz w:val="14"/>
                <w:szCs w:val="14"/>
                <w:color w:val="auto"/>
              </w:rPr>
            </w:pPr>
          </w:p>
        </w:tc>
        <w:tc>
          <w:tcPr>
            <w:tcW w:w="47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40" w:type="dxa"/>
            <w:vAlign w:val="bottom"/>
          </w:tcPr>
          <w:p>
            <w:pPr>
              <w:jc w:val="right"/>
              <w:ind w:right="112"/>
              <w:spacing w:after="0"/>
              <w:rPr>
                <w:sz w:val="20"/>
                <w:szCs w:val="20"/>
                <w:color w:val="auto"/>
              </w:rPr>
            </w:pPr>
            <w:r>
              <w:rPr>
                <w:rFonts w:ascii="Arial" w:cs="Arial" w:eastAsia="Arial" w:hAnsi="Arial"/>
                <w:sz w:val="14"/>
                <w:szCs w:val="14"/>
                <w:b w:val="1"/>
                <w:bCs w:val="1"/>
                <w:color w:val="auto"/>
              </w:rPr>
              <w:t>Total</w:t>
            </w: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60" w:type="dxa"/>
            <w:vAlign w:val="bottom"/>
          </w:tcPr>
          <w:p>
            <w:pPr>
              <w:jc w:val="right"/>
              <w:ind w:right="52"/>
              <w:spacing w:after="0"/>
              <w:rPr>
                <w:sz w:val="20"/>
                <w:szCs w:val="20"/>
                <w:color w:val="auto"/>
              </w:rPr>
            </w:pPr>
            <w:r>
              <w:rPr>
                <w:rFonts w:ascii="Arial" w:cs="Arial" w:eastAsia="Arial" w:hAnsi="Arial"/>
                <w:sz w:val="14"/>
                <w:szCs w:val="14"/>
                <w:b w:val="1"/>
                <w:bCs w:val="1"/>
                <w:color w:val="auto"/>
                <w:w w:val="88"/>
              </w:rPr>
              <w:t>Level 1</w:t>
            </w: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60" w:type="dxa"/>
            <w:vAlign w:val="bottom"/>
          </w:tcPr>
          <w:p>
            <w:pPr>
              <w:jc w:val="right"/>
              <w:ind w:right="52"/>
              <w:spacing w:after="0"/>
              <w:rPr>
                <w:sz w:val="20"/>
                <w:szCs w:val="20"/>
                <w:color w:val="auto"/>
              </w:rPr>
            </w:pPr>
            <w:r>
              <w:rPr>
                <w:rFonts w:ascii="Arial" w:cs="Arial" w:eastAsia="Arial" w:hAnsi="Arial"/>
                <w:sz w:val="14"/>
                <w:szCs w:val="14"/>
                <w:b w:val="1"/>
                <w:bCs w:val="1"/>
                <w:color w:val="auto"/>
                <w:w w:val="88"/>
              </w:rPr>
              <w:t>Level 2</w:t>
            </w:r>
          </w:p>
        </w:tc>
        <w:tc>
          <w:tcPr>
            <w:tcW w:w="160" w:type="dxa"/>
            <w:vAlign w:val="bottom"/>
          </w:tcPr>
          <w:p>
            <w:pPr>
              <w:spacing w:after="0"/>
              <w:rPr>
                <w:sz w:val="14"/>
                <w:szCs w:val="14"/>
                <w:color w:val="auto"/>
              </w:rPr>
            </w:pPr>
          </w:p>
        </w:tc>
        <w:tc>
          <w:tcPr>
            <w:tcW w:w="720" w:type="dxa"/>
            <w:vAlign w:val="bottom"/>
            <w:gridSpan w:val="2"/>
          </w:tcPr>
          <w:p>
            <w:pPr>
              <w:ind w:left="60"/>
              <w:spacing w:after="0"/>
              <w:rPr>
                <w:sz w:val="20"/>
                <w:szCs w:val="20"/>
                <w:color w:val="auto"/>
              </w:rPr>
            </w:pPr>
            <w:r>
              <w:rPr>
                <w:rFonts w:ascii="Arial" w:cs="Arial" w:eastAsia="Arial" w:hAnsi="Arial"/>
                <w:sz w:val="14"/>
                <w:szCs w:val="14"/>
                <w:b w:val="1"/>
                <w:bCs w:val="1"/>
                <w:color w:val="auto"/>
              </w:rPr>
              <w:t>Level 3</w:t>
            </w:r>
          </w:p>
        </w:tc>
        <w:tc>
          <w:tcPr>
            <w:tcW w:w="0" w:type="dxa"/>
            <w:vAlign w:val="bottom"/>
          </w:tcPr>
          <w:p>
            <w:pPr>
              <w:spacing w:after="0"/>
              <w:rPr>
                <w:sz w:val="1"/>
                <w:szCs w:val="1"/>
                <w:color w:val="auto"/>
              </w:rPr>
            </w:pPr>
          </w:p>
        </w:tc>
      </w:tr>
      <w:tr>
        <w:trPr>
          <w:trHeight w:val="142"/>
        </w:trPr>
        <w:tc>
          <w:tcPr>
            <w:tcW w:w="5960" w:type="dxa"/>
            <w:vAlign w:val="bottom"/>
            <w:gridSpan w:val="2"/>
            <w:shd w:val="clear" w:color="auto" w:fill="CCEEFF"/>
          </w:tcPr>
          <w:p>
            <w:pPr>
              <w:ind w:left="200"/>
              <w:spacing w:after="0" w:line="142" w:lineRule="exact"/>
              <w:rPr>
                <w:sz w:val="20"/>
                <w:szCs w:val="20"/>
                <w:color w:val="auto"/>
              </w:rPr>
            </w:pPr>
            <w:r>
              <w:rPr>
                <w:rFonts w:ascii="Arial" w:cs="Arial" w:eastAsia="Arial" w:hAnsi="Arial"/>
                <w:sz w:val="14"/>
                <w:szCs w:val="14"/>
                <w:b w:val="1"/>
                <w:bCs w:val="1"/>
                <w:color w:val="auto"/>
              </w:rPr>
              <w:t>Financial assets:</w:t>
            </w:r>
          </w:p>
        </w:tc>
        <w:tc>
          <w:tcPr>
            <w:tcW w:w="120" w:type="dxa"/>
            <w:vAlign w:val="bottom"/>
            <w:tcBorders>
              <w:top w:val="single" w:sz="8" w:color="auto"/>
            </w:tcBorders>
            <w:shd w:val="clear" w:color="auto" w:fill="CCEEFF"/>
          </w:tcPr>
          <w:p>
            <w:pPr>
              <w:spacing w:after="0"/>
              <w:rPr>
                <w:sz w:val="12"/>
                <w:szCs w:val="12"/>
                <w:color w:val="auto"/>
              </w:rPr>
            </w:pPr>
          </w:p>
        </w:tc>
        <w:tc>
          <w:tcPr>
            <w:tcW w:w="540" w:type="dxa"/>
            <w:vAlign w:val="bottom"/>
            <w:tcBorders>
              <w:top w:val="single" w:sz="8" w:color="auto"/>
            </w:tcBorders>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spacing w:after="0"/>
              <w:rPr>
                <w:sz w:val="12"/>
                <w:szCs w:val="12"/>
                <w:color w:val="auto"/>
              </w:rPr>
            </w:pPr>
          </w:p>
        </w:tc>
        <w:tc>
          <w:tcPr>
            <w:tcW w:w="560" w:type="dxa"/>
            <w:vAlign w:val="bottom"/>
            <w:tcBorders>
              <w:top w:val="single" w:sz="8" w:color="auto"/>
            </w:tcBorders>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0" w:type="dxa"/>
            <w:vAlign w:val="bottom"/>
            <w:tcBorders>
              <w:top w:val="single" w:sz="8" w:color="auto"/>
            </w:tcBorders>
            <w:shd w:val="clear" w:color="auto" w:fill="CCEEFF"/>
          </w:tcPr>
          <w:p>
            <w:pPr>
              <w:spacing w:after="0"/>
              <w:rPr>
                <w:sz w:val="12"/>
                <w:szCs w:val="12"/>
                <w:color w:val="auto"/>
              </w:rPr>
            </w:pPr>
          </w:p>
        </w:tc>
        <w:tc>
          <w:tcPr>
            <w:tcW w:w="560" w:type="dxa"/>
            <w:vAlign w:val="bottom"/>
            <w:tcBorders>
              <w:top w:val="single" w:sz="8" w:color="auto"/>
            </w:tcBorders>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560" w:type="dxa"/>
            <w:vAlign w:val="bottom"/>
            <w:tcBorders>
              <w:top w:val="single" w:sz="8" w:color="auto"/>
            </w:tcBorders>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6"/>
        </w:trPr>
        <w:tc>
          <w:tcPr>
            <w:tcW w:w="5960" w:type="dxa"/>
            <w:vAlign w:val="bottom"/>
            <w:gridSpan w:val="2"/>
          </w:tcPr>
          <w:p>
            <w:pPr>
              <w:ind w:left="200"/>
              <w:spacing w:after="0" w:line="176" w:lineRule="exact"/>
              <w:rPr>
                <w:sz w:val="20"/>
                <w:szCs w:val="20"/>
                <w:color w:val="auto"/>
              </w:rPr>
            </w:pPr>
            <w:r>
              <w:rPr>
                <w:rFonts w:ascii="Arial" w:cs="Arial" w:eastAsia="Arial" w:hAnsi="Arial"/>
                <w:sz w:val="13"/>
                <w:szCs w:val="13"/>
                <w:color w:val="auto"/>
              </w:rPr>
              <w:t>Cash and cash equivalents</w:t>
            </w:r>
            <w:r>
              <w:rPr>
                <w:rFonts w:ascii="Arial" w:cs="Arial" w:eastAsia="Arial" w:hAnsi="Arial"/>
                <w:sz w:val="20"/>
                <w:szCs w:val="20"/>
                <w:color w:val="auto"/>
                <w:vertAlign w:val="superscript"/>
              </w:rPr>
              <w:t>(1)</w:t>
            </w:r>
          </w:p>
        </w:tc>
        <w:tc>
          <w:tcPr>
            <w:tcW w:w="120" w:type="dxa"/>
            <w:vAlign w:val="bottom"/>
          </w:tcPr>
          <w:p>
            <w:pPr>
              <w:jc w:val="right"/>
              <w:spacing w:after="0"/>
              <w:rPr>
                <w:sz w:val="20"/>
                <w:szCs w:val="20"/>
                <w:color w:val="auto"/>
              </w:rPr>
            </w:pPr>
            <w:r>
              <w:rPr>
                <w:rFonts w:ascii="Arial" w:cs="Arial" w:eastAsia="Arial" w:hAnsi="Arial"/>
                <w:sz w:val="14"/>
                <w:szCs w:val="14"/>
                <w:color w:val="auto"/>
                <w:w w:val="76"/>
              </w:rPr>
              <w:t>$</w:t>
            </w:r>
          </w:p>
        </w:tc>
        <w:tc>
          <w:tcPr>
            <w:tcW w:w="540" w:type="dxa"/>
            <w:vAlign w:val="bottom"/>
          </w:tcPr>
          <w:p>
            <w:pPr>
              <w:jc w:val="right"/>
              <w:spacing w:after="0"/>
              <w:rPr>
                <w:sz w:val="20"/>
                <w:szCs w:val="20"/>
                <w:color w:val="auto"/>
              </w:rPr>
            </w:pPr>
            <w:r>
              <w:rPr>
                <w:rFonts w:ascii="Arial" w:cs="Arial" w:eastAsia="Arial" w:hAnsi="Arial"/>
                <w:sz w:val="14"/>
                <w:szCs w:val="14"/>
                <w:color w:val="auto"/>
                <w:w w:val="98"/>
              </w:rPr>
              <w:t>160,280</w:t>
            </w:r>
          </w:p>
        </w:tc>
        <w:tc>
          <w:tcPr>
            <w:tcW w:w="240" w:type="dxa"/>
            <w:vAlign w:val="bottom"/>
            <w:gridSpan w:val="2"/>
          </w:tcPr>
          <w:p>
            <w:pPr>
              <w:jc w:val="right"/>
              <w:ind w:right="20"/>
              <w:spacing w:after="0"/>
              <w:rPr>
                <w:sz w:val="20"/>
                <w:szCs w:val="20"/>
                <w:color w:val="auto"/>
              </w:rPr>
            </w:pPr>
            <w:r>
              <w:rPr>
                <w:rFonts w:ascii="Arial" w:cs="Arial" w:eastAsia="Arial" w:hAnsi="Arial"/>
                <w:sz w:val="14"/>
                <w:szCs w:val="14"/>
                <w:color w:val="auto"/>
              </w:rPr>
              <w:t>$</w:t>
            </w:r>
          </w:p>
        </w:tc>
        <w:tc>
          <w:tcPr>
            <w:tcW w:w="560" w:type="dxa"/>
            <w:vAlign w:val="bottom"/>
          </w:tcPr>
          <w:p>
            <w:pPr>
              <w:jc w:val="right"/>
              <w:spacing w:after="0"/>
              <w:rPr>
                <w:sz w:val="20"/>
                <w:szCs w:val="20"/>
                <w:color w:val="auto"/>
              </w:rPr>
            </w:pPr>
            <w:r>
              <w:rPr>
                <w:rFonts w:ascii="Arial" w:cs="Arial" w:eastAsia="Arial" w:hAnsi="Arial"/>
                <w:sz w:val="14"/>
                <w:szCs w:val="14"/>
                <w:color w:val="auto"/>
              </w:rPr>
              <w:t>158,240</w:t>
            </w:r>
          </w:p>
        </w:tc>
        <w:tc>
          <w:tcPr>
            <w:tcW w:w="260" w:type="dxa"/>
            <w:vAlign w:val="bottom"/>
            <w:gridSpan w:val="2"/>
          </w:tcPr>
          <w:p>
            <w:pPr>
              <w:jc w:val="right"/>
              <w:ind w:right="20"/>
              <w:spacing w:after="0"/>
              <w:rPr>
                <w:sz w:val="20"/>
                <w:szCs w:val="20"/>
                <w:color w:val="auto"/>
              </w:rPr>
            </w:pPr>
            <w:r>
              <w:rPr>
                <w:rFonts w:ascii="Arial" w:cs="Arial" w:eastAsia="Arial" w:hAnsi="Arial"/>
                <w:sz w:val="14"/>
                <w:szCs w:val="14"/>
                <w:color w:val="auto"/>
              </w:rPr>
              <w:t>$</w:t>
            </w:r>
          </w:p>
        </w:tc>
        <w:tc>
          <w:tcPr>
            <w:tcW w:w="560" w:type="dxa"/>
            <w:vAlign w:val="bottom"/>
          </w:tcPr>
          <w:p>
            <w:pPr>
              <w:jc w:val="right"/>
              <w:spacing w:after="0"/>
              <w:rPr>
                <w:sz w:val="20"/>
                <w:szCs w:val="20"/>
                <w:color w:val="auto"/>
              </w:rPr>
            </w:pPr>
            <w:r>
              <w:rPr>
                <w:rFonts w:ascii="Arial" w:cs="Arial" w:eastAsia="Arial" w:hAnsi="Arial"/>
                <w:sz w:val="14"/>
                <w:szCs w:val="14"/>
                <w:color w:val="auto"/>
              </w:rPr>
              <w:t>2,040</w:t>
            </w:r>
          </w:p>
        </w:tc>
        <w:tc>
          <w:tcPr>
            <w:tcW w:w="160" w:type="dxa"/>
            <w:vAlign w:val="bottom"/>
          </w:tcPr>
          <w:p>
            <w:pPr>
              <w:spacing w:after="0"/>
              <w:rPr>
                <w:sz w:val="15"/>
                <w:szCs w:val="15"/>
                <w:color w:val="auto"/>
              </w:rPr>
            </w:pPr>
          </w:p>
        </w:tc>
        <w:tc>
          <w:tcPr>
            <w:tcW w:w="720" w:type="dxa"/>
            <w:vAlign w:val="bottom"/>
            <w:gridSpan w:val="2"/>
          </w:tcPr>
          <w:p>
            <w:pPr>
              <w:ind w:left="420"/>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76"/>
        </w:trPr>
        <w:tc>
          <w:tcPr>
            <w:tcW w:w="5960" w:type="dxa"/>
            <w:vAlign w:val="bottom"/>
            <w:gridSpan w:val="2"/>
            <w:shd w:val="clear" w:color="auto" w:fill="CCEEFF"/>
          </w:tcPr>
          <w:p>
            <w:pPr>
              <w:ind w:left="200"/>
              <w:spacing w:after="0" w:line="176" w:lineRule="exact"/>
              <w:rPr>
                <w:sz w:val="20"/>
                <w:szCs w:val="20"/>
                <w:color w:val="auto"/>
              </w:rPr>
            </w:pPr>
            <w:r>
              <w:rPr>
                <w:rFonts w:ascii="Arial" w:cs="Arial" w:eastAsia="Arial" w:hAnsi="Arial"/>
                <w:sz w:val="13"/>
                <w:szCs w:val="13"/>
                <w:color w:val="auto"/>
              </w:rPr>
              <w:t>Available-for-sale securities</w:t>
            </w:r>
            <w:r>
              <w:rPr>
                <w:rFonts w:ascii="Arial" w:cs="Arial" w:eastAsia="Arial" w:hAnsi="Arial"/>
                <w:sz w:val="20"/>
                <w:szCs w:val="20"/>
                <w:color w:val="auto"/>
                <w:vertAlign w:val="superscript"/>
              </w:rPr>
              <w:t>(2)(3)</w:t>
            </w:r>
          </w:p>
        </w:tc>
        <w:tc>
          <w:tcPr>
            <w:tcW w:w="120" w:type="dxa"/>
            <w:vAlign w:val="bottom"/>
            <w:shd w:val="clear" w:color="auto" w:fill="CCEEFF"/>
          </w:tcPr>
          <w:p>
            <w:pPr>
              <w:spacing w:after="0"/>
              <w:rPr>
                <w:sz w:val="15"/>
                <w:szCs w:val="15"/>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4"/>
                <w:szCs w:val="14"/>
                <w:color w:val="auto"/>
                <w:w w:val="98"/>
              </w:rPr>
              <w:t>111,967</w:t>
            </w:r>
          </w:p>
        </w:tc>
        <w:tc>
          <w:tcPr>
            <w:tcW w:w="1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101,907</w:t>
            </w:r>
          </w:p>
        </w:tc>
        <w:tc>
          <w:tcPr>
            <w:tcW w:w="16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10,060</w:t>
            </w:r>
          </w:p>
        </w:tc>
        <w:tc>
          <w:tcPr>
            <w:tcW w:w="160" w:type="dxa"/>
            <w:vAlign w:val="bottom"/>
            <w:shd w:val="clear" w:color="auto" w:fill="CCEEFF"/>
          </w:tcPr>
          <w:p>
            <w:pPr>
              <w:spacing w:after="0"/>
              <w:rPr>
                <w:sz w:val="15"/>
                <w:szCs w:val="15"/>
                <w:color w:val="auto"/>
              </w:rPr>
            </w:pPr>
          </w:p>
        </w:tc>
        <w:tc>
          <w:tcPr>
            <w:tcW w:w="720" w:type="dxa"/>
            <w:vAlign w:val="bottom"/>
            <w:gridSpan w:val="2"/>
            <w:shd w:val="clear" w:color="auto" w:fill="CCEEFF"/>
          </w:tcPr>
          <w:p>
            <w:pPr>
              <w:ind w:left="420"/>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76"/>
        </w:trPr>
        <w:tc>
          <w:tcPr>
            <w:tcW w:w="5960" w:type="dxa"/>
            <w:vAlign w:val="bottom"/>
            <w:gridSpan w:val="2"/>
          </w:tcPr>
          <w:p>
            <w:pPr>
              <w:ind w:left="200"/>
              <w:spacing w:after="0" w:line="176" w:lineRule="exact"/>
              <w:rPr>
                <w:sz w:val="20"/>
                <w:szCs w:val="20"/>
                <w:color w:val="auto"/>
              </w:rPr>
            </w:pPr>
            <w:r>
              <w:rPr>
                <w:rFonts w:ascii="Arial" w:cs="Arial" w:eastAsia="Arial" w:hAnsi="Arial"/>
                <w:sz w:val="13"/>
                <w:szCs w:val="13"/>
                <w:color w:val="auto"/>
              </w:rPr>
              <w:t>Accounts receivable</w:t>
            </w:r>
            <w:r>
              <w:rPr>
                <w:rFonts w:ascii="Arial" w:cs="Arial" w:eastAsia="Arial" w:hAnsi="Arial"/>
                <w:sz w:val="20"/>
                <w:szCs w:val="20"/>
                <w:color w:val="auto"/>
                <w:vertAlign w:val="superscript"/>
              </w:rPr>
              <w:t>(1)</w:t>
            </w:r>
          </w:p>
        </w:tc>
        <w:tc>
          <w:tcPr>
            <w:tcW w:w="120" w:type="dxa"/>
            <w:vAlign w:val="bottom"/>
          </w:tcPr>
          <w:p>
            <w:pPr>
              <w:spacing w:after="0"/>
              <w:rPr>
                <w:sz w:val="15"/>
                <w:szCs w:val="15"/>
                <w:color w:val="auto"/>
              </w:rPr>
            </w:pPr>
          </w:p>
        </w:tc>
        <w:tc>
          <w:tcPr>
            <w:tcW w:w="540" w:type="dxa"/>
            <w:vAlign w:val="bottom"/>
          </w:tcPr>
          <w:p>
            <w:pPr>
              <w:jc w:val="right"/>
              <w:spacing w:after="0"/>
              <w:rPr>
                <w:sz w:val="20"/>
                <w:szCs w:val="20"/>
                <w:color w:val="auto"/>
              </w:rPr>
            </w:pPr>
            <w:r>
              <w:rPr>
                <w:rFonts w:ascii="Arial" w:cs="Arial" w:eastAsia="Arial" w:hAnsi="Arial"/>
                <w:sz w:val="14"/>
                <w:szCs w:val="14"/>
                <w:color w:val="auto"/>
              </w:rPr>
              <w:t>93,571</w:t>
            </w:r>
          </w:p>
        </w:tc>
        <w:tc>
          <w:tcPr>
            <w:tcW w:w="1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560" w:type="dxa"/>
            <w:vAlign w:val="bottom"/>
          </w:tcPr>
          <w:p>
            <w:pPr>
              <w:jc w:val="right"/>
              <w:spacing w:after="0"/>
              <w:rPr>
                <w:sz w:val="20"/>
                <w:szCs w:val="20"/>
                <w:color w:val="auto"/>
              </w:rPr>
            </w:pPr>
            <w:r>
              <w:rPr>
                <w:rFonts w:ascii="Arial" w:cs="Arial" w:eastAsia="Arial" w:hAnsi="Arial"/>
                <w:sz w:val="14"/>
                <w:szCs w:val="14"/>
                <w:color w:val="auto"/>
              </w:rPr>
              <w:t>93,571</w:t>
            </w:r>
          </w:p>
        </w:tc>
        <w:tc>
          <w:tcPr>
            <w:tcW w:w="160" w:type="dxa"/>
            <w:vAlign w:val="bottom"/>
          </w:tcPr>
          <w:p>
            <w:pPr>
              <w:spacing w:after="0"/>
              <w:rPr>
                <w:sz w:val="15"/>
                <w:szCs w:val="15"/>
                <w:color w:val="auto"/>
              </w:rPr>
            </w:pPr>
          </w:p>
        </w:tc>
        <w:tc>
          <w:tcPr>
            <w:tcW w:w="720" w:type="dxa"/>
            <w:vAlign w:val="bottom"/>
            <w:gridSpan w:val="2"/>
          </w:tcPr>
          <w:p>
            <w:pPr>
              <w:ind w:left="420"/>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76"/>
        </w:trPr>
        <w:tc>
          <w:tcPr>
            <w:tcW w:w="5960" w:type="dxa"/>
            <w:vAlign w:val="bottom"/>
            <w:gridSpan w:val="2"/>
            <w:shd w:val="clear" w:color="auto" w:fill="CCEEFF"/>
          </w:tcPr>
          <w:p>
            <w:pPr>
              <w:ind w:left="200"/>
              <w:spacing w:after="0" w:line="176" w:lineRule="exact"/>
              <w:rPr>
                <w:sz w:val="20"/>
                <w:szCs w:val="20"/>
                <w:color w:val="auto"/>
              </w:rPr>
            </w:pPr>
            <w:r>
              <w:rPr>
                <w:rFonts w:ascii="Arial" w:cs="Arial" w:eastAsia="Arial" w:hAnsi="Arial"/>
                <w:sz w:val="13"/>
                <w:szCs w:val="13"/>
                <w:color w:val="auto"/>
              </w:rPr>
              <w:t>Short-term investments</w:t>
            </w:r>
            <w:r>
              <w:rPr>
                <w:rFonts w:ascii="Arial" w:cs="Arial" w:eastAsia="Arial" w:hAnsi="Arial"/>
                <w:sz w:val="20"/>
                <w:szCs w:val="20"/>
                <w:color w:val="auto"/>
                <w:vertAlign w:val="superscript"/>
              </w:rPr>
              <w:t>(1)</w:t>
            </w:r>
          </w:p>
        </w:tc>
        <w:tc>
          <w:tcPr>
            <w:tcW w:w="120" w:type="dxa"/>
            <w:vAlign w:val="bottom"/>
            <w:shd w:val="clear" w:color="auto" w:fill="CCEEFF"/>
          </w:tcPr>
          <w:p>
            <w:pPr>
              <w:spacing w:after="0"/>
              <w:rPr>
                <w:sz w:val="15"/>
                <w:szCs w:val="15"/>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3,313</w:t>
            </w:r>
          </w:p>
        </w:tc>
        <w:tc>
          <w:tcPr>
            <w:tcW w:w="1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3,313</w:t>
            </w:r>
          </w:p>
        </w:tc>
        <w:tc>
          <w:tcPr>
            <w:tcW w:w="160" w:type="dxa"/>
            <w:vAlign w:val="bottom"/>
            <w:shd w:val="clear" w:color="auto" w:fill="CCEEFF"/>
          </w:tcPr>
          <w:p>
            <w:pPr>
              <w:spacing w:after="0"/>
              <w:rPr>
                <w:sz w:val="15"/>
                <w:szCs w:val="15"/>
                <w:color w:val="auto"/>
              </w:rPr>
            </w:pPr>
          </w:p>
        </w:tc>
        <w:tc>
          <w:tcPr>
            <w:tcW w:w="720" w:type="dxa"/>
            <w:vAlign w:val="bottom"/>
            <w:gridSpan w:val="2"/>
            <w:shd w:val="clear" w:color="auto" w:fill="CCEEFF"/>
          </w:tcPr>
          <w:p>
            <w:pPr>
              <w:ind w:left="420"/>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03"/>
        </w:trPr>
        <w:tc>
          <w:tcPr>
            <w:tcW w:w="5960" w:type="dxa"/>
            <w:vAlign w:val="bottom"/>
            <w:gridSpan w:val="2"/>
          </w:tcPr>
          <w:p>
            <w:pPr>
              <w:ind w:left="200"/>
              <w:spacing w:after="0" w:line="203" w:lineRule="exact"/>
              <w:rPr>
                <w:sz w:val="20"/>
                <w:szCs w:val="20"/>
                <w:color w:val="auto"/>
              </w:rPr>
            </w:pPr>
            <w:r>
              <w:rPr>
                <w:rFonts w:ascii="Arial" w:cs="Arial" w:eastAsia="Arial" w:hAnsi="Arial"/>
                <w:sz w:val="14"/>
                <w:szCs w:val="14"/>
                <w:color w:val="auto"/>
              </w:rPr>
              <w:t>Fair value of defined benefit pension plan assets</w:t>
            </w:r>
            <w:r>
              <w:rPr>
                <w:rFonts w:ascii="Arial" w:cs="Arial" w:eastAsia="Arial" w:hAnsi="Arial"/>
                <w:sz w:val="22"/>
                <w:szCs w:val="22"/>
                <w:color w:val="auto"/>
                <w:vertAlign w:val="superscript"/>
              </w:rPr>
              <w:t>(4)</w:t>
            </w:r>
          </w:p>
        </w:tc>
        <w:tc>
          <w:tcPr>
            <w:tcW w:w="120" w:type="dxa"/>
            <w:vAlign w:val="bottom"/>
            <w:tcBorders>
              <w:bottom w:val="single" w:sz="8" w:color="auto"/>
            </w:tcBorders>
          </w:tcPr>
          <w:p>
            <w:pPr>
              <w:spacing w:after="0"/>
              <w:rPr>
                <w:sz w:val="17"/>
                <w:szCs w:val="17"/>
                <w:color w:val="auto"/>
              </w:rPr>
            </w:pPr>
          </w:p>
        </w:tc>
        <w:tc>
          <w:tcPr>
            <w:tcW w:w="54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1,635</w:t>
            </w:r>
          </w:p>
        </w:tc>
        <w:tc>
          <w:tcPr>
            <w:tcW w:w="160" w:type="dxa"/>
            <w:vAlign w:val="bottom"/>
          </w:tcPr>
          <w:p>
            <w:pPr>
              <w:spacing w:after="0"/>
              <w:rPr>
                <w:sz w:val="17"/>
                <w:szCs w:val="17"/>
                <w:color w:val="auto"/>
              </w:rPr>
            </w:pPr>
          </w:p>
        </w:tc>
        <w:tc>
          <w:tcPr>
            <w:tcW w:w="80" w:type="dxa"/>
            <w:vAlign w:val="bottom"/>
            <w:tcBorders>
              <w:bottom w:val="single" w:sz="8" w:color="auto"/>
            </w:tcBorders>
          </w:tcPr>
          <w:p>
            <w:pPr>
              <w:spacing w:after="0"/>
              <w:rPr>
                <w:sz w:val="17"/>
                <w:szCs w:val="17"/>
                <w:color w:val="auto"/>
              </w:rPr>
            </w:pP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1,635</w:t>
            </w:r>
          </w:p>
        </w:tc>
        <w:tc>
          <w:tcPr>
            <w:tcW w:w="160" w:type="dxa"/>
            <w:vAlign w:val="bottom"/>
          </w:tcPr>
          <w:p>
            <w:pPr>
              <w:spacing w:after="0"/>
              <w:rPr>
                <w:sz w:val="17"/>
                <w:szCs w:val="17"/>
                <w:color w:val="auto"/>
              </w:rPr>
            </w:pPr>
          </w:p>
        </w:tc>
        <w:tc>
          <w:tcPr>
            <w:tcW w:w="100" w:type="dxa"/>
            <w:vAlign w:val="bottom"/>
            <w:tcBorders>
              <w:bottom w:val="single" w:sz="8" w:color="auto"/>
            </w:tcBorders>
          </w:tcPr>
          <w:p>
            <w:pPr>
              <w:spacing w:after="0"/>
              <w:rPr>
                <w:sz w:val="17"/>
                <w:szCs w:val="17"/>
                <w:color w:val="auto"/>
              </w:rPr>
            </w:pP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7"/>
                <w:szCs w:val="17"/>
                <w:color w:val="auto"/>
              </w:rPr>
            </w:pPr>
          </w:p>
        </w:tc>
        <w:tc>
          <w:tcPr>
            <w:tcW w:w="560" w:type="dxa"/>
            <w:vAlign w:val="bottom"/>
            <w:tcBorders>
              <w:bottom w:val="single" w:sz="8" w:color="auto"/>
            </w:tcBorders>
          </w:tcPr>
          <w:p>
            <w:pPr>
              <w:ind w:left="420"/>
              <w:spacing w:after="0"/>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1260" w:type="dxa"/>
            <w:vAlign w:val="bottom"/>
            <w:shd w:val="clear" w:color="auto" w:fill="CCEEFF"/>
          </w:tcPr>
          <w:p>
            <w:pPr>
              <w:spacing w:after="0"/>
              <w:rPr>
                <w:sz w:val="18"/>
                <w:szCs w:val="18"/>
                <w:color w:val="auto"/>
              </w:rPr>
            </w:pPr>
          </w:p>
        </w:tc>
        <w:tc>
          <w:tcPr>
            <w:tcW w:w="4700" w:type="dxa"/>
            <w:vAlign w:val="bottom"/>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540" w:type="dxa"/>
            <w:vAlign w:val="bottom"/>
            <w:shd w:val="clear" w:color="auto" w:fill="CCEEFF"/>
          </w:tcPr>
          <w:p>
            <w:pPr>
              <w:jc w:val="right"/>
              <w:spacing w:after="0"/>
              <w:rPr>
                <w:sz w:val="20"/>
                <w:szCs w:val="20"/>
                <w:color w:val="auto"/>
              </w:rPr>
            </w:pPr>
            <w:r>
              <w:rPr>
                <w:rFonts w:ascii="Arial" w:cs="Arial" w:eastAsia="Arial" w:hAnsi="Arial"/>
                <w:sz w:val="14"/>
                <w:szCs w:val="14"/>
                <w:color w:val="auto"/>
                <w:w w:val="98"/>
              </w:rPr>
              <w:t>370,766</w:t>
            </w:r>
          </w:p>
        </w:tc>
        <w:tc>
          <w:tcPr>
            <w:tcW w:w="240" w:type="dxa"/>
            <w:vAlign w:val="bottom"/>
            <w:gridSpan w:val="2"/>
            <w:shd w:val="clear" w:color="auto" w:fill="CCEEFF"/>
          </w:tcPr>
          <w:p>
            <w:pPr>
              <w:jc w:val="right"/>
              <w:ind w:right="20"/>
              <w:spacing w:after="0"/>
              <w:rPr>
                <w:sz w:val="20"/>
                <w:szCs w:val="20"/>
                <w:color w:val="auto"/>
              </w:rPr>
            </w:pPr>
            <w:r>
              <w:rPr>
                <w:rFonts w:ascii="Arial" w:cs="Arial" w:eastAsia="Arial" w:hAnsi="Arial"/>
                <w:sz w:val="14"/>
                <w:szCs w:val="14"/>
                <w:color w:val="auto"/>
              </w:rPr>
              <w:t>$</w:t>
            </w:r>
          </w:p>
        </w:tc>
        <w:tc>
          <w:tcPr>
            <w:tcW w:w="5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261,782</w:t>
            </w:r>
          </w:p>
        </w:tc>
        <w:tc>
          <w:tcPr>
            <w:tcW w:w="260" w:type="dxa"/>
            <w:vAlign w:val="bottom"/>
            <w:gridSpan w:val="2"/>
            <w:shd w:val="clear" w:color="auto" w:fill="CCEEFF"/>
          </w:tcPr>
          <w:p>
            <w:pPr>
              <w:jc w:val="right"/>
              <w:ind w:right="20"/>
              <w:spacing w:after="0"/>
              <w:rPr>
                <w:sz w:val="20"/>
                <w:szCs w:val="20"/>
                <w:color w:val="auto"/>
              </w:rPr>
            </w:pPr>
            <w:r>
              <w:rPr>
                <w:rFonts w:ascii="Arial" w:cs="Arial" w:eastAsia="Arial" w:hAnsi="Arial"/>
                <w:sz w:val="14"/>
                <w:szCs w:val="14"/>
                <w:color w:val="auto"/>
              </w:rPr>
              <w:t>$</w:t>
            </w:r>
          </w:p>
        </w:tc>
        <w:tc>
          <w:tcPr>
            <w:tcW w:w="5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108,984</w:t>
            </w:r>
          </w:p>
        </w:tc>
        <w:tc>
          <w:tcPr>
            <w:tcW w:w="160" w:type="dxa"/>
            <w:vAlign w:val="bottom"/>
            <w:shd w:val="clear" w:color="auto" w:fill="CCEEFF"/>
          </w:tcPr>
          <w:p>
            <w:pPr>
              <w:spacing w:after="0"/>
              <w:rPr>
                <w:sz w:val="18"/>
                <w:szCs w:val="18"/>
                <w:color w:val="auto"/>
              </w:rPr>
            </w:pPr>
          </w:p>
        </w:tc>
        <w:tc>
          <w:tcPr>
            <w:tcW w:w="720" w:type="dxa"/>
            <w:vAlign w:val="bottom"/>
            <w:gridSpan w:val="2"/>
            <w:shd w:val="clear" w:color="auto" w:fill="CCEEFF"/>
          </w:tcPr>
          <w:p>
            <w:pPr>
              <w:ind w:left="420"/>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7"/>
        </w:trPr>
        <w:tc>
          <w:tcPr>
            <w:tcW w:w="5960" w:type="dxa"/>
            <w:vAlign w:val="bottom"/>
            <w:gridSpan w:val="2"/>
            <w:vMerge w:val="restart"/>
          </w:tcPr>
          <w:p>
            <w:pPr>
              <w:ind w:left="200"/>
              <w:spacing w:after="0"/>
              <w:rPr>
                <w:sz w:val="20"/>
                <w:szCs w:val="20"/>
                <w:color w:val="auto"/>
              </w:rPr>
            </w:pPr>
            <w:r>
              <w:rPr>
                <w:rFonts w:ascii="Arial" w:cs="Arial" w:eastAsia="Arial" w:hAnsi="Arial"/>
                <w:sz w:val="14"/>
                <w:szCs w:val="14"/>
                <w:b w:val="1"/>
                <w:bCs w:val="1"/>
                <w:color w:val="auto"/>
              </w:rPr>
              <w:t>Financial liabilities:</w:t>
            </w:r>
          </w:p>
        </w:tc>
        <w:tc>
          <w:tcPr>
            <w:tcW w:w="120" w:type="dxa"/>
            <w:vAlign w:val="bottom"/>
            <w:tcBorders>
              <w:bottom w:val="single" w:sz="8" w:color="auto"/>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5960" w:type="dxa"/>
            <w:vAlign w:val="bottom"/>
            <w:gridSpan w:val="2"/>
            <w:vMerge w:val="continue"/>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05"/>
        </w:trPr>
        <w:tc>
          <w:tcPr>
            <w:tcW w:w="5960" w:type="dxa"/>
            <w:vAlign w:val="bottom"/>
            <w:gridSpan w:val="2"/>
            <w:vMerge w:val="continue"/>
          </w:tcPr>
          <w:p>
            <w:pPr>
              <w:spacing w:after="0"/>
              <w:rPr>
                <w:sz w:val="24"/>
                <w:szCs w:val="24"/>
                <w:color w:val="auto"/>
              </w:rPr>
            </w:pPr>
          </w:p>
        </w:tc>
        <w:tc>
          <w:tcPr>
            <w:tcW w:w="12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76"/>
        </w:trPr>
        <w:tc>
          <w:tcPr>
            <w:tcW w:w="5960" w:type="dxa"/>
            <w:vAlign w:val="bottom"/>
            <w:gridSpan w:val="2"/>
            <w:shd w:val="clear" w:color="auto" w:fill="CCEEFF"/>
          </w:tcPr>
          <w:p>
            <w:pPr>
              <w:ind w:left="200"/>
              <w:spacing w:after="0" w:line="176" w:lineRule="exact"/>
              <w:rPr>
                <w:sz w:val="20"/>
                <w:szCs w:val="20"/>
                <w:color w:val="auto"/>
              </w:rPr>
            </w:pPr>
            <w:r>
              <w:rPr>
                <w:rFonts w:ascii="Arial" w:cs="Arial" w:eastAsia="Arial" w:hAnsi="Arial"/>
                <w:sz w:val="13"/>
                <w:szCs w:val="13"/>
                <w:color w:val="auto"/>
              </w:rPr>
              <w:t>Bank debt</w:t>
            </w:r>
            <w:r>
              <w:rPr>
                <w:rFonts w:ascii="Arial" w:cs="Arial" w:eastAsia="Arial" w:hAnsi="Arial"/>
                <w:sz w:val="20"/>
                <w:szCs w:val="20"/>
                <w:color w:val="auto"/>
                <w:vertAlign w:val="superscript"/>
              </w:rPr>
              <w:t>(5)</w:t>
            </w:r>
          </w:p>
        </w:tc>
        <w:tc>
          <w:tcPr>
            <w:tcW w:w="12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540" w:type="dxa"/>
            <w:vAlign w:val="bottom"/>
            <w:shd w:val="clear" w:color="auto" w:fill="CCEEFF"/>
          </w:tcPr>
          <w:p>
            <w:pPr>
              <w:jc w:val="right"/>
              <w:spacing w:after="0"/>
              <w:rPr>
                <w:sz w:val="20"/>
                <w:szCs w:val="20"/>
                <w:color w:val="auto"/>
              </w:rPr>
            </w:pPr>
            <w:r>
              <w:rPr>
                <w:rFonts w:ascii="Arial" w:cs="Arial" w:eastAsia="Arial" w:hAnsi="Arial"/>
                <w:sz w:val="14"/>
                <w:szCs w:val="14"/>
                <w:color w:val="auto"/>
                <w:w w:val="98"/>
              </w:rPr>
              <w:t>716,666</w:t>
            </w:r>
          </w:p>
        </w:tc>
        <w:tc>
          <w:tcPr>
            <w:tcW w:w="240" w:type="dxa"/>
            <w:vAlign w:val="bottom"/>
            <w:gridSpan w:val="2"/>
            <w:shd w:val="clear" w:color="auto" w:fill="CCEEFF"/>
          </w:tcPr>
          <w:p>
            <w:pPr>
              <w:jc w:val="right"/>
              <w:ind w:right="20"/>
              <w:spacing w:after="0"/>
              <w:rPr>
                <w:sz w:val="20"/>
                <w:szCs w:val="20"/>
                <w:color w:val="auto"/>
              </w:rPr>
            </w:pPr>
            <w:r>
              <w:rPr>
                <w:rFonts w:ascii="Arial" w:cs="Arial" w:eastAsia="Arial" w:hAnsi="Arial"/>
                <w:sz w:val="14"/>
                <w:szCs w:val="14"/>
                <w:color w:val="auto"/>
              </w:rPr>
              <w:t>$</w:t>
            </w:r>
          </w:p>
        </w:tc>
        <w:tc>
          <w:tcPr>
            <w:tcW w:w="5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260" w:type="dxa"/>
            <w:vAlign w:val="bottom"/>
            <w:gridSpan w:val="2"/>
            <w:shd w:val="clear" w:color="auto" w:fill="CCEEFF"/>
          </w:tcPr>
          <w:p>
            <w:pPr>
              <w:jc w:val="right"/>
              <w:ind w:right="20"/>
              <w:spacing w:after="0"/>
              <w:rPr>
                <w:sz w:val="20"/>
                <w:szCs w:val="20"/>
                <w:color w:val="auto"/>
              </w:rPr>
            </w:pPr>
            <w:r>
              <w:rPr>
                <w:rFonts w:ascii="Arial" w:cs="Arial" w:eastAsia="Arial" w:hAnsi="Arial"/>
                <w:sz w:val="14"/>
                <w:szCs w:val="14"/>
                <w:color w:val="auto"/>
              </w:rPr>
              <w:t>$</w:t>
            </w:r>
          </w:p>
        </w:tc>
        <w:tc>
          <w:tcPr>
            <w:tcW w:w="5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716,666</w:t>
            </w:r>
          </w:p>
        </w:tc>
        <w:tc>
          <w:tcPr>
            <w:tcW w:w="160" w:type="dxa"/>
            <w:vAlign w:val="bottom"/>
            <w:shd w:val="clear" w:color="auto" w:fill="CCEEFF"/>
          </w:tcPr>
          <w:p>
            <w:pPr>
              <w:spacing w:after="0"/>
              <w:rPr>
                <w:sz w:val="15"/>
                <w:szCs w:val="15"/>
                <w:color w:val="auto"/>
              </w:rPr>
            </w:pPr>
          </w:p>
        </w:tc>
        <w:tc>
          <w:tcPr>
            <w:tcW w:w="720" w:type="dxa"/>
            <w:vAlign w:val="bottom"/>
            <w:gridSpan w:val="2"/>
            <w:shd w:val="clear" w:color="auto" w:fill="CCEEFF"/>
          </w:tcPr>
          <w:p>
            <w:pPr>
              <w:ind w:left="420"/>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76"/>
        </w:trPr>
        <w:tc>
          <w:tcPr>
            <w:tcW w:w="5960" w:type="dxa"/>
            <w:vAlign w:val="bottom"/>
            <w:gridSpan w:val="2"/>
          </w:tcPr>
          <w:p>
            <w:pPr>
              <w:ind w:left="200"/>
              <w:spacing w:after="0" w:line="176" w:lineRule="exact"/>
              <w:rPr>
                <w:sz w:val="20"/>
                <w:szCs w:val="20"/>
                <w:color w:val="auto"/>
              </w:rPr>
            </w:pPr>
            <w:r>
              <w:rPr>
                <w:rFonts w:ascii="Arial" w:cs="Arial" w:eastAsia="Arial" w:hAnsi="Arial"/>
                <w:sz w:val="13"/>
                <w:szCs w:val="13"/>
                <w:color w:val="auto"/>
              </w:rPr>
              <w:t>Accounts payable and accrued liabilities</w:t>
            </w:r>
            <w:r>
              <w:rPr>
                <w:rFonts w:ascii="Arial" w:cs="Arial" w:eastAsia="Arial" w:hAnsi="Arial"/>
                <w:sz w:val="20"/>
                <w:szCs w:val="20"/>
                <w:color w:val="auto"/>
                <w:vertAlign w:val="superscript"/>
              </w:rPr>
              <w:t>(1)</w:t>
            </w:r>
          </w:p>
        </w:tc>
        <w:tc>
          <w:tcPr>
            <w:tcW w:w="120" w:type="dxa"/>
            <w:vAlign w:val="bottom"/>
          </w:tcPr>
          <w:p>
            <w:pPr>
              <w:spacing w:after="0"/>
              <w:rPr>
                <w:sz w:val="15"/>
                <w:szCs w:val="15"/>
                <w:color w:val="auto"/>
              </w:rPr>
            </w:pPr>
          </w:p>
        </w:tc>
        <w:tc>
          <w:tcPr>
            <w:tcW w:w="540" w:type="dxa"/>
            <w:vAlign w:val="bottom"/>
          </w:tcPr>
          <w:p>
            <w:pPr>
              <w:jc w:val="right"/>
              <w:spacing w:after="0"/>
              <w:rPr>
                <w:sz w:val="20"/>
                <w:szCs w:val="20"/>
                <w:color w:val="auto"/>
              </w:rPr>
            </w:pPr>
            <w:r>
              <w:rPr>
                <w:rFonts w:ascii="Arial" w:cs="Arial" w:eastAsia="Arial" w:hAnsi="Arial"/>
                <w:sz w:val="14"/>
                <w:szCs w:val="14"/>
                <w:color w:val="auto"/>
                <w:w w:val="98"/>
              </w:rPr>
              <w:t>136,677</w:t>
            </w:r>
          </w:p>
        </w:tc>
        <w:tc>
          <w:tcPr>
            <w:tcW w:w="1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560" w:type="dxa"/>
            <w:vAlign w:val="bottom"/>
          </w:tcPr>
          <w:p>
            <w:pPr>
              <w:jc w:val="right"/>
              <w:spacing w:after="0"/>
              <w:rPr>
                <w:sz w:val="20"/>
                <w:szCs w:val="20"/>
                <w:color w:val="auto"/>
              </w:rPr>
            </w:pPr>
            <w:r>
              <w:rPr>
                <w:rFonts w:ascii="Arial" w:cs="Arial" w:eastAsia="Arial" w:hAnsi="Arial"/>
                <w:sz w:val="14"/>
                <w:szCs w:val="14"/>
                <w:color w:val="auto"/>
              </w:rPr>
              <w:t>136,677</w:t>
            </w:r>
          </w:p>
        </w:tc>
        <w:tc>
          <w:tcPr>
            <w:tcW w:w="160" w:type="dxa"/>
            <w:vAlign w:val="bottom"/>
          </w:tcPr>
          <w:p>
            <w:pPr>
              <w:spacing w:after="0"/>
              <w:rPr>
                <w:sz w:val="15"/>
                <w:szCs w:val="15"/>
                <w:color w:val="auto"/>
              </w:rPr>
            </w:pPr>
          </w:p>
        </w:tc>
        <w:tc>
          <w:tcPr>
            <w:tcW w:w="720" w:type="dxa"/>
            <w:vAlign w:val="bottom"/>
            <w:gridSpan w:val="2"/>
          </w:tcPr>
          <w:p>
            <w:pPr>
              <w:ind w:left="420"/>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76"/>
        </w:trPr>
        <w:tc>
          <w:tcPr>
            <w:tcW w:w="5960" w:type="dxa"/>
            <w:vAlign w:val="bottom"/>
            <w:gridSpan w:val="2"/>
            <w:shd w:val="clear" w:color="auto" w:fill="CCEEFF"/>
          </w:tcPr>
          <w:p>
            <w:pPr>
              <w:ind w:left="200"/>
              <w:spacing w:after="0" w:line="176" w:lineRule="exact"/>
              <w:rPr>
                <w:sz w:val="20"/>
                <w:szCs w:val="20"/>
                <w:color w:val="auto"/>
              </w:rPr>
            </w:pPr>
            <w:r>
              <w:rPr>
                <w:rFonts w:ascii="Arial" w:cs="Arial" w:eastAsia="Arial" w:hAnsi="Arial"/>
                <w:sz w:val="13"/>
                <w:szCs w:val="13"/>
                <w:color w:val="auto"/>
              </w:rPr>
              <w:t>Dividends Payable</w:t>
            </w:r>
            <w:r>
              <w:rPr>
                <w:rFonts w:ascii="Arial" w:cs="Arial" w:eastAsia="Arial" w:hAnsi="Arial"/>
                <w:sz w:val="20"/>
                <w:szCs w:val="20"/>
                <w:color w:val="auto"/>
                <w:vertAlign w:val="superscript"/>
              </w:rPr>
              <w:t>(1)</w:t>
            </w:r>
          </w:p>
        </w:tc>
        <w:tc>
          <w:tcPr>
            <w:tcW w:w="120" w:type="dxa"/>
            <w:vAlign w:val="bottom"/>
            <w:shd w:val="clear" w:color="auto" w:fill="CCEEFF"/>
          </w:tcPr>
          <w:p>
            <w:pPr>
              <w:spacing w:after="0"/>
              <w:rPr>
                <w:sz w:val="15"/>
                <w:szCs w:val="15"/>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28,199</w:t>
            </w:r>
          </w:p>
        </w:tc>
        <w:tc>
          <w:tcPr>
            <w:tcW w:w="1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28,199</w:t>
            </w:r>
          </w:p>
        </w:tc>
        <w:tc>
          <w:tcPr>
            <w:tcW w:w="16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5"/>
                <w:szCs w:val="15"/>
                <w:color w:val="auto"/>
              </w:rPr>
            </w:pPr>
          </w:p>
        </w:tc>
        <w:tc>
          <w:tcPr>
            <w:tcW w:w="720" w:type="dxa"/>
            <w:vAlign w:val="bottom"/>
            <w:gridSpan w:val="2"/>
            <w:shd w:val="clear" w:color="auto" w:fill="CCEEFF"/>
          </w:tcPr>
          <w:p>
            <w:pPr>
              <w:ind w:left="420"/>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03"/>
        </w:trPr>
        <w:tc>
          <w:tcPr>
            <w:tcW w:w="5960" w:type="dxa"/>
            <w:vAlign w:val="bottom"/>
            <w:gridSpan w:val="2"/>
          </w:tcPr>
          <w:p>
            <w:pPr>
              <w:ind w:left="200"/>
              <w:spacing w:after="0" w:line="203" w:lineRule="exact"/>
              <w:rPr>
                <w:sz w:val="20"/>
                <w:szCs w:val="20"/>
                <w:color w:val="auto"/>
              </w:rPr>
            </w:pPr>
            <w:r>
              <w:rPr>
                <w:rFonts w:ascii="Arial" w:cs="Arial" w:eastAsia="Arial" w:hAnsi="Arial"/>
                <w:sz w:val="14"/>
                <w:szCs w:val="14"/>
                <w:color w:val="auto"/>
              </w:rPr>
              <w:t>Derivative liabilities</w:t>
            </w:r>
            <w:r>
              <w:rPr>
                <w:rFonts w:ascii="Arial" w:cs="Arial" w:eastAsia="Arial" w:hAnsi="Arial"/>
                <w:sz w:val="22"/>
                <w:szCs w:val="22"/>
                <w:color w:val="auto"/>
                <w:vertAlign w:val="superscript"/>
              </w:rPr>
              <w:t>(3)</w:t>
            </w:r>
          </w:p>
        </w:tc>
        <w:tc>
          <w:tcPr>
            <w:tcW w:w="120" w:type="dxa"/>
            <w:vAlign w:val="bottom"/>
            <w:tcBorders>
              <w:bottom w:val="single" w:sz="8" w:color="auto"/>
            </w:tcBorders>
          </w:tcPr>
          <w:p>
            <w:pPr>
              <w:spacing w:after="0"/>
              <w:rPr>
                <w:sz w:val="17"/>
                <w:szCs w:val="17"/>
                <w:color w:val="auto"/>
              </w:rPr>
            </w:pPr>
          </w:p>
        </w:tc>
        <w:tc>
          <w:tcPr>
            <w:tcW w:w="54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662</w:t>
            </w:r>
          </w:p>
        </w:tc>
        <w:tc>
          <w:tcPr>
            <w:tcW w:w="160" w:type="dxa"/>
            <w:vAlign w:val="bottom"/>
          </w:tcPr>
          <w:p>
            <w:pPr>
              <w:spacing w:after="0"/>
              <w:rPr>
                <w:sz w:val="17"/>
                <w:szCs w:val="17"/>
                <w:color w:val="auto"/>
              </w:rPr>
            </w:pPr>
          </w:p>
        </w:tc>
        <w:tc>
          <w:tcPr>
            <w:tcW w:w="80" w:type="dxa"/>
            <w:vAlign w:val="bottom"/>
            <w:tcBorders>
              <w:bottom w:val="single" w:sz="8" w:color="auto"/>
            </w:tcBorders>
          </w:tcPr>
          <w:p>
            <w:pPr>
              <w:spacing w:after="0"/>
              <w:rPr>
                <w:sz w:val="17"/>
                <w:szCs w:val="17"/>
                <w:color w:val="auto"/>
              </w:rPr>
            </w:pP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7"/>
                <w:szCs w:val="17"/>
                <w:color w:val="auto"/>
              </w:rPr>
            </w:pPr>
          </w:p>
        </w:tc>
        <w:tc>
          <w:tcPr>
            <w:tcW w:w="100" w:type="dxa"/>
            <w:vAlign w:val="bottom"/>
            <w:tcBorders>
              <w:bottom w:val="single" w:sz="8" w:color="auto"/>
            </w:tcBorders>
          </w:tcPr>
          <w:p>
            <w:pPr>
              <w:spacing w:after="0"/>
              <w:rPr>
                <w:sz w:val="17"/>
                <w:szCs w:val="17"/>
                <w:color w:val="auto"/>
              </w:rPr>
            </w:pP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662</w:t>
            </w:r>
          </w:p>
        </w:tc>
        <w:tc>
          <w:tcPr>
            <w:tcW w:w="160" w:type="dxa"/>
            <w:vAlign w:val="bottom"/>
          </w:tcPr>
          <w:p>
            <w:pPr>
              <w:spacing w:after="0"/>
              <w:rPr>
                <w:sz w:val="17"/>
                <w:szCs w:val="17"/>
                <w:color w:val="auto"/>
              </w:rPr>
            </w:pPr>
          </w:p>
        </w:tc>
        <w:tc>
          <w:tcPr>
            <w:tcW w:w="560" w:type="dxa"/>
            <w:vAlign w:val="bottom"/>
            <w:tcBorders>
              <w:bottom w:val="single" w:sz="8" w:color="auto"/>
            </w:tcBorders>
          </w:tcPr>
          <w:p>
            <w:pPr>
              <w:ind w:left="420"/>
              <w:spacing w:after="0"/>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1260" w:type="dxa"/>
            <w:vAlign w:val="bottom"/>
            <w:shd w:val="clear" w:color="auto" w:fill="CCEEFF"/>
          </w:tcPr>
          <w:p>
            <w:pPr>
              <w:spacing w:after="0"/>
              <w:rPr>
                <w:sz w:val="18"/>
                <w:szCs w:val="18"/>
                <w:color w:val="auto"/>
              </w:rPr>
            </w:pPr>
          </w:p>
        </w:tc>
        <w:tc>
          <w:tcPr>
            <w:tcW w:w="4700" w:type="dxa"/>
            <w:vAlign w:val="bottom"/>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540" w:type="dxa"/>
            <w:vAlign w:val="bottom"/>
            <w:shd w:val="clear" w:color="auto" w:fill="CCEEFF"/>
          </w:tcPr>
          <w:p>
            <w:pPr>
              <w:jc w:val="right"/>
              <w:spacing w:after="0"/>
              <w:rPr>
                <w:sz w:val="20"/>
                <w:szCs w:val="20"/>
                <w:color w:val="auto"/>
              </w:rPr>
            </w:pPr>
            <w:r>
              <w:rPr>
                <w:rFonts w:ascii="Arial" w:cs="Arial" w:eastAsia="Arial" w:hAnsi="Arial"/>
                <w:sz w:val="14"/>
                <w:szCs w:val="14"/>
                <w:color w:val="auto"/>
                <w:w w:val="98"/>
              </w:rPr>
              <w:t>882,204</w:t>
            </w:r>
          </w:p>
        </w:tc>
        <w:tc>
          <w:tcPr>
            <w:tcW w:w="240" w:type="dxa"/>
            <w:vAlign w:val="bottom"/>
            <w:gridSpan w:val="2"/>
            <w:shd w:val="clear" w:color="auto" w:fill="CCEEFF"/>
          </w:tcPr>
          <w:p>
            <w:pPr>
              <w:jc w:val="right"/>
              <w:ind w:right="20"/>
              <w:spacing w:after="0"/>
              <w:rPr>
                <w:sz w:val="20"/>
                <w:szCs w:val="20"/>
                <w:color w:val="auto"/>
              </w:rPr>
            </w:pPr>
            <w:r>
              <w:rPr>
                <w:rFonts w:ascii="Arial" w:cs="Arial" w:eastAsia="Arial" w:hAnsi="Arial"/>
                <w:sz w:val="14"/>
                <w:szCs w:val="14"/>
                <w:color w:val="auto"/>
              </w:rPr>
              <w:t>$</w:t>
            </w:r>
          </w:p>
        </w:tc>
        <w:tc>
          <w:tcPr>
            <w:tcW w:w="5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28,199</w:t>
            </w:r>
          </w:p>
        </w:tc>
        <w:tc>
          <w:tcPr>
            <w:tcW w:w="260" w:type="dxa"/>
            <w:vAlign w:val="bottom"/>
            <w:gridSpan w:val="2"/>
            <w:shd w:val="clear" w:color="auto" w:fill="CCEEFF"/>
          </w:tcPr>
          <w:p>
            <w:pPr>
              <w:jc w:val="right"/>
              <w:ind w:right="20"/>
              <w:spacing w:after="0"/>
              <w:rPr>
                <w:sz w:val="20"/>
                <w:szCs w:val="20"/>
                <w:color w:val="auto"/>
              </w:rPr>
            </w:pPr>
            <w:r>
              <w:rPr>
                <w:rFonts w:ascii="Arial" w:cs="Arial" w:eastAsia="Arial" w:hAnsi="Arial"/>
                <w:sz w:val="14"/>
                <w:szCs w:val="14"/>
                <w:color w:val="auto"/>
              </w:rPr>
              <w:t>$</w:t>
            </w:r>
          </w:p>
        </w:tc>
        <w:tc>
          <w:tcPr>
            <w:tcW w:w="5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854,005</w:t>
            </w:r>
          </w:p>
        </w:tc>
        <w:tc>
          <w:tcPr>
            <w:tcW w:w="160" w:type="dxa"/>
            <w:vAlign w:val="bottom"/>
            <w:shd w:val="clear" w:color="auto" w:fill="CCEEFF"/>
          </w:tcPr>
          <w:p>
            <w:pPr>
              <w:spacing w:after="0"/>
              <w:rPr>
                <w:sz w:val="18"/>
                <w:szCs w:val="18"/>
                <w:color w:val="auto"/>
              </w:rPr>
            </w:pPr>
          </w:p>
        </w:tc>
        <w:tc>
          <w:tcPr>
            <w:tcW w:w="720" w:type="dxa"/>
            <w:vAlign w:val="bottom"/>
            <w:gridSpan w:val="2"/>
            <w:shd w:val="clear" w:color="auto" w:fill="CCEEFF"/>
          </w:tcPr>
          <w:p>
            <w:pPr>
              <w:ind w:left="420"/>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7"/>
        </w:trPr>
        <w:tc>
          <w:tcPr>
            <w:tcW w:w="1260" w:type="dxa"/>
            <w:vAlign w:val="bottom"/>
          </w:tcPr>
          <w:p>
            <w:pPr>
              <w:spacing w:after="0"/>
              <w:rPr>
                <w:sz w:val="2"/>
                <w:szCs w:val="2"/>
                <w:color w:val="auto"/>
              </w:rPr>
            </w:pPr>
          </w:p>
        </w:tc>
        <w:tc>
          <w:tcPr>
            <w:tcW w:w="470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1260" w:type="dxa"/>
            <w:vAlign w:val="bottom"/>
          </w:tcPr>
          <w:p>
            <w:pPr>
              <w:spacing w:after="0" w:line="20" w:lineRule="exact"/>
              <w:rPr>
                <w:sz w:val="1"/>
                <w:szCs w:val="1"/>
                <w:color w:val="auto"/>
              </w:rPr>
            </w:pPr>
          </w:p>
        </w:tc>
        <w:tc>
          <w:tcPr>
            <w:tcW w:w="470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89"/>
        </w:trPr>
        <w:tc>
          <w:tcPr>
            <w:tcW w:w="1260" w:type="dxa"/>
            <w:vAlign w:val="bottom"/>
            <w:tcBorders>
              <w:bottom w:val="single" w:sz="8" w:color="auto"/>
            </w:tcBorders>
          </w:tcPr>
          <w:p>
            <w:pPr>
              <w:spacing w:after="0"/>
              <w:rPr>
                <w:sz w:val="7"/>
                <w:szCs w:val="7"/>
                <w:color w:val="auto"/>
              </w:rPr>
            </w:pPr>
          </w:p>
        </w:tc>
        <w:tc>
          <w:tcPr>
            <w:tcW w:w="4700" w:type="dxa"/>
            <w:vAlign w:val="bottom"/>
          </w:tcPr>
          <w:p>
            <w:pPr>
              <w:spacing w:after="0"/>
              <w:rPr>
                <w:sz w:val="7"/>
                <w:szCs w:val="7"/>
                <w:color w:val="auto"/>
              </w:rPr>
            </w:pPr>
          </w:p>
        </w:tc>
        <w:tc>
          <w:tcPr>
            <w:tcW w:w="120" w:type="dxa"/>
            <w:vAlign w:val="bottom"/>
          </w:tcPr>
          <w:p>
            <w:pPr>
              <w:spacing w:after="0"/>
              <w:rPr>
                <w:sz w:val="7"/>
                <w:szCs w:val="7"/>
                <w:color w:val="auto"/>
              </w:rPr>
            </w:pPr>
          </w:p>
        </w:tc>
        <w:tc>
          <w:tcPr>
            <w:tcW w:w="540" w:type="dxa"/>
            <w:vAlign w:val="bottom"/>
          </w:tcPr>
          <w:p>
            <w:pPr>
              <w:spacing w:after="0"/>
              <w:rPr>
                <w:sz w:val="7"/>
                <w:szCs w:val="7"/>
                <w:color w:val="auto"/>
              </w:rPr>
            </w:pPr>
          </w:p>
        </w:tc>
        <w:tc>
          <w:tcPr>
            <w:tcW w:w="160" w:type="dxa"/>
            <w:vAlign w:val="bottom"/>
          </w:tcPr>
          <w:p>
            <w:pPr>
              <w:spacing w:after="0"/>
              <w:rPr>
                <w:sz w:val="7"/>
                <w:szCs w:val="7"/>
                <w:color w:val="auto"/>
              </w:rPr>
            </w:pPr>
          </w:p>
        </w:tc>
        <w:tc>
          <w:tcPr>
            <w:tcW w:w="80" w:type="dxa"/>
            <w:vAlign w:val="bottom"/>
          </w:tcPr>
          <w:p>
            <w:pPr>
              <w:spacing w:after="0"/>
              <w:rPr>
                <w:sz w:val="7"/>
                <w:szCs w:val="7"/>
                <w:color w:val="auto"/>
              </w:rPr>
            </w:pPr>
          </w:p>
        </w:tc>
        <w:tc>
          <w:tcPr>
            <w:tcW w:w="560" w:type="dxa"/>
            <w:vAlign w:val="bottom"/>
          </w:tcPr>
          <w:p>
            <w:pPr>
              <w:spacing w:after="0"/>
              <w:rPr>
                <w:sz w:val="7"/>
                <w:szCs w:val="7"/>
                <w:color w:val="auto"/>
              </w:rPr>
            </w:pPr>
          </w:p>
        </w:tc>
        <w:tc>
          <w:tcPr>
            <w:tcW w:w="160" w:type="dxa"/>
            <w:vAlign w:val="bottom"/>
          </w:tcPr>
          <w:p>
            <w:pPr>
              <w:spacing w:after="0"/>
              <w:rPr>
                <w:sz w:val="7"/>
                <w:szCs w:val="7"/>
                <w:color w:val="auto"/>
              </w:rPr>
            </w:pPr>
          </w:p>
        </w:tc>
        <w:tc>
          <w:tcPr>
            <w:tcW w:w="100" w:type="dxa"/>
            <w:vAlign w:val="bottom"/>
          </w:tcPr>
          <w:p>
            <w:pPr>
              <w:spacing w:after="0"/>
              <w:rPr>
                <w:sz w:val="7"/>
                <w:szCs w:val="7"/>
                <w:color w:val="auto"/>
              </w:rPr>
            </w:pPr>
          </w:p>
        </w:tc>
        <w:tc>
          <w:tcPr>
            <w:tcW w:w="560" w:type="dxa"/>
            <w:vAlign w:val="bottom"/>
          </w:tcPr>
          <w:p>
            <w:pPr>
              <w:spacing w:after="0"/>
              <w:rPr>
                <w:sz w:val="7"/>
                <w:szCs w:val="7"/>
                <w:color w:val="auto"/>
              </w:rPr>
            </w:pPr>
          </w:p>
        </w:tc>
        <w:tc>
          <w:tcPr>
            <w:tcW w:w="160" w:type="dxa"/>
            <w:vAlign w:val="bottom"/>
          </w:tcPr>
          <w:p>
            <w:pPr>
              <w:spacing w:after="0"/>
              <w:rPr>
                <w:sz w:val="7"/>
                <w:szCs w:val="7"/>
                <w:color w:val="auto"/>
              </w:rPr>
            </w:pPr>
          </w:p>
        </w:tc>
        <w:tc>
          <w:tcPr>
            <w:tcW w:w="560" w:type="dxa"/>
            <w:vAlign w:val="bottom"/>
          </w:tcPr>
          <w:p>
            <w:pPr>
              <w:spacing w:after="0"/>
              <w:rPr>
                <w:sz w:val="7"/>
                <w:szCs w:val="7"/>
                <w:color w:val="auto"/>
              </w:rPr>
            </w:pPr>
          </w:p>
        </w:tc>
        <w:tc>
          <w:tcPr>
            <w:tcW w:w="16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p>
    <w:p>
      <w:pPr>
        <w:ind w:left="2220" w:hanging="531"/>
        <w:spacing w:after="0"/>
        <w:tabs>
          <w:tab w:leader="none" w:pos="2220" w:val="left"/>
        </w:tabs>
        <w:numPr>
          <w:ilvl w:val="0"/>
          <w:numId w:val="104"/>
        </w:numPr>
        <w:rPr>
          <w:rFonts w:ascii="Arial" w:cs="Arial" w:eastAsia="Arial" w:hAnsi="Arial"/>
          <w:sz w:val="14"/>
          <w:szCs w:val="14"/>
          <w:color w:val="auto"/>
        </w:rPr>
      </w:pPr>
      <w:r>
        <w:rPr>
          <w:rFonts w:ascii="Arial" w:cs="Arial" w:eastAsia="Arial" w:hAnsi="Arial"/>
          <w:sz w:val="14"/>
          <w:szCs w:val="14"/>
          <w:color w:val="auto"/>
        </w:rPr>
        <w:t>Fair value approximates the carrying amounts due to the short-term nature.</w:t>
      </w:r>
    </w:p>
    <w:p>
      <w:pPr>
        <w:spacing w:after="0" w:line="122" w:lineRule="exact"/>
        <w:rPr>
          <w:rFonts w:ascii="Arial" w:cs="Arial" w:eastAsia="Arial" w:hAnsi="Arial"/>
          <w:sz w:val="14"/>
          <w:szCs w:val="14"/>
          <w:color w:val="auto"/>
        </w:rPr>
      </w:pPr>
    </w:p>
    <w:p>
      <w:pPr>
        <w:ind w:left="2220" w:hanging="531"/>
        <w:spacing w:after="0"/>
        <w:tabs>
          <w:tab w:leader="none" w:pos="2220" w:val="left"/>
        </w:tabs>
        <w:numPr>
          <w:ilvl w:val="0"/>
          <w:numId w:val="104"/>
        </w:numPr>
        <w:rPr>
          <w:rFonts w:ascii="Arial" w:cs="Arial" w:eastAsia="Arial" w:hAnsi="Arial"/>
          <w:sz w:val="14"/>
          <w:szCs w:val="14"/>
          <w:color w:val="auto"/>
        </w:rPr>
      </w:pPr>
      <w:r>
        <w:rPr>
          <w:rFonts w:ascii="Arial" w:cs="Arial" w:eastAsia="Arial" w:hAnsi="Arial"/>
          <w:sz w:val="14"/>
          <w:szCs w:val="14"/>
          <w:color w:val="auto"/>
        </w:rPr>
        <w:t>Recorded at fair value using quoted market prices.</w:t>
      </w:r>
    </w:p>
    <w:p>
      <w:pPr>
        <w:spacing w:after="0" w:line="122" w:lineRule="exact"/>
        <w:rPr>
          <w:rFonts w:ascii="Arial" w:cs="Arial" w:eastAsia="Arial" w:hAnsi="Arial"/>
          <w:sz w:val="14"/>
          <w:szCs w:val="14"/>
          <w:color w:val="auto"/>
        </w:rPr>
      </w:pPr>
    </w:p>
    <w:p>
      <w:pPr>
        <w:ind w:left="2220" w:hanging="531"/>
        <w:spacing w:after="0"/>
        <w:tabs>
          <w:tab w:leader="none" w:pos="2220" w:val="left"/>
        </w:tabs>
        <w:numPr>
          <w:ilvl w:val="0"/>
          <w:numId w:val="104"/>
        </w:numPr>
        <w:rPr>
          <w:rFonts w:ascii="Arial" w:cs="Arial" w:eastAsia="Arial" w:hAnsi="Arial"/>
          <w:sz w:val="14"/>
          <w:szCs w:val="14"/>
          <w:color w:val="auto"/>
        </w:rPr>
      </w:pPr>
      <w:r>
        <w:rPr>
          <w:rFonts w:ascii="Arial" w:cs="Arial" w:eastAsia="Arial" w:hAnsi="Arial"/>
          <w:sz w:val="14"/>
          <w:szCs w:val="14"/>
          <w:color w:val="auto"/>
        </w:rPr>
        <w:t>Recorded at fair value based on broker-dealer quotations.</w:t>
      </w:r>
    </w:p>
    <w:p>
      <w:pPr>
        <w:spacing w:after="0" w:line="122" w:lineRule="exact"/>
        <w:rPr>
          <w:rFonts w:ascii="Arial" w:cs="Arial" w:eastAsia="Arial" w:hAnsi="Arial"/>
          <w:sz w:val="14"/>
          <w:szCs w:val="14"/>
          <w:color w:val="auto"/>
        </w:rPr>
      </w:pPr>
    </w:p>
    <w:p>
      <w:pPr>
        <w:ind w:left="2220" w:hanging="531"/>
        <w:spacing w:after="0" w:line="239" w:lineRule="auto"/>
        <w:tabs>
          <w:tab w:leader="none" w:pos="2220" w:val="left"/>
        </w:tabs>
        <w:numPr>
          <w:ilvl w:val="0"/>
          <w:numId w:val="104"/>
        </w:numPr>
        <w:rPr>
          <w:rFonts w:ascii="Arial" w:cs="Arial" w:eastAsia="Arial" w:hAnsi="Arial"/>
          <w:sz w:val="14"/>
          <w:szCs w:val="14"/>
          <w:color w:val="auto"/>
        </w:rPr>
      </w:pPr>
      <w:r>
        <w:rPr>
          <w:rFonts w:ascii="Arial" w:cs="Arial" w:eastAsia="Arial" w:hAnsi="Arial"/>
          <w:sz w:val="14"/>
          <w:szCs w:val="14"/>
          <w:color w:val="auto"/>
        </w:rPr>
        <w:t>Assets for the defined benefit pension plan consists of deposits on hand with regulatory authorities which are refundable when benefit payments are made or on the ultimate wind-up of the plan.</w:t>
      </w:r>
    </w:p>
    <w:p>
      <w:pPr>
        <w:spacing w:after="0" w:line="111" w:lineRule="exact"/>
        <w:rPr>
          <w:rFonts w:ascii="Arial" w:cs="Arial" w:eastAsia="Arial" w:hAnsi="Arial"/>
          <w:sz w:val="14"/>
          <w:szCs w:val="14"/>
          <w:color w:val="auto"/>
        </w:rPr>
      </w:pPr>
    </w:p>
    <w:p>
      <w:pPr>
        <w:ind w:left="2220" w:hanging="531"/>
        <w:spacing w:after="0"/>
        <w:tabs>
          <w:tab w:leader="none" w:pos="2220" w:val="left"/>
        </w:tabs>
        <w:numPr>
          <w:ilvl w:val="0"/>
          <w:numId w:val="104"/>
        </w:numPr>
        <w:rPr>
          <w:rFonts w:ascii="Arial" w:cs="Arial" w:eastAsia="Arial" w:hAnsi="Arial"/>
          <w:sz w:val="14"/>
          <w:szCs w:val="14"/>
          <w:color w:val="auto"/>
        </w:rPr>
      </w:pPr>
      <w:r>
        <w:rPr>
          <w:rFonts w:ascii="Arial" w:cs="Arial" w:eastAsia="Arial" w:hAnsi="Arial"/>
          <w:sz w:val="14"/>
          <w:szCs w:val="14"/>
          <w:color w:val="auto"/>
        </w:rPr>
        <w:t>Recorded at cost. This line item also includes accrued interest.</w:t>
      </w:r>
    </w:p>
    <w:p>
      <w:pPr>
        <w:spacing w:after="0" w:line="204" w:lineRule="exact"/>
        <w:rPr>
          <w:sz w:val="20"/>
          <w:szCs w:val="20"/>
          <w:color w:val="auto"/>
        </w:rPr>
      </w:pPr>
    </w:p>
    <w:p>
      <w:pPr>
        <w:jc w:val="both"/>
        <w:ind w:left="540"/>
        <w:spacing w:after="0" w:line="233" w:lineRule="auto"/>
        <w:rPr>
          <w:sz w:val="20"/>
          <w:szCs w:val="20"/>
          <w:color w:val="auto"/>
        </w:rPr>
      </w:pPr>
      <w:r>
        <w:rPr>
          <w:rFonts w:ascii="Arial" w:cs="Arial" w:eastAsia="Arial" w:hAnsi="Arial"/>
          <w:sz w:val="14"/>
          <w:szCs w:val="14"/>
          <w:color w:val="auto"/>
        </w:rPr>
        <w:t>Cash equivalents and short-term investments are classified as Level 2 of the fair value hierarchy because they are held to maturity and valued using interest rates observable at commonly quoted intervals. Cash equivalents are market securities with remaining maturities of three months or less at the date of purchase. The short-term investments are market securities with remaining maturities of over three months at the date of purchase.</w:t>
      </w:r>
    </w:p>
    <w:p>
      <w:pPr>
        <w:spacing w:after="0" w:line="193" w:lineRule="exact"/>
        <w:rPr>
          <w:sz w:val="20"/>
          <w:szCs w:val="20"/>
          <w:color w:val="auto"/>
        </w:rPr>
      </w:pPr>
    </w:p>
    <w:p>
      <w:pPr>
        <w:jc w:val="both"/>
        <w:ind w:left="540"/>
        <w:spacing w:after="0" w:line="288" w:lineRule="auto"/>
        <w:rPr>
          <w:sz w:val="20"/>
          <w:szCs w:val="20"/>
          <w:color w:val="auto"/>
        </w:rPr>
      </w:pPr>
      <w:r>
        <w:rPr>
          <w:rFonts w:ascii="Arial" w:cs="Arial" w:eastAsia="Arial" w:hAnsi="Arial"/>
          <w:sz w:val="12"/>
          <w:szCs w:val="12"/>
          <w:color w:val="auto"/>
        </w:rPr>
        <w:t>The Company's available-for-sale equity securities valued using quoted market prices in active markets are classified as Level 1 of the fair value hierarchy. The fair value of these securities are calculated as the quoted market price of the security multiplied by the quantity of shares held by the Company. The Company's available-for-sale securities classified as Level 2 of the fair value hierarchy consist of equity warrants. The fair value of these Level 2 securities are calculated based on the broker-dealer quotation multiplied by the quantity of equity warrants held by the Company.</w:t>
      </w:r>
    </w:p>
    <w:p>
      <w:pPr>
        <w:spacing w:after="0" w:line="165" w:lineRule="exact"/>
        <w:rPr>
          <w:sz w:val="20"/>
          <w:szCs w:val="20"/>
          <w:color w:val="auto"/>
        </w:rPr>
      </w:pPr>
    </w:p>
    <w:p>
      <w:pPr>
        <w:jc w:val="both"/>
        <w:ind w:left="540"/>
        <w:spacing w:after="0" w:line="318" w:lineRule="auto"/>
        <w:rPr>
          <w:sz w:val="20"/>
          <w:szCs w:val="20"/>
          <w:color w:val="auto"/>
        </w:rPr>
      </w:pPr>
      <w:r>
        <w:rPr>
          <w:rFonts w:ascii="Arial" w:cs="Arial" w:eastAsia="Arial" w:hAnsi="Arial"/>
          <w:sz w:val="12"/>
          <w:szCs w:val="12"/>
          <w:color w:val="auto"/>
        </w:rPr>
        <w:t>In the event that a decline in the fair value of an investment occurs and the decline in value is considered to be other-than-temporary, an impairment charge is recorded in the consolidated statement of income and a new cost basis for the investment is established. The Company assesses whether a decline in value is considered to be other-than-temporary by considering available evidence, including</w:t>
      </w:r>
    </w:p>
    <w:p>
      <w:pPr>
        <w:spacing w:after="0" w:line="15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2" w:right="239" w:bottom="1440" w:gutter="0" w:footer="0" w:header="0"/>
        </w:sectPr>
      </w:pPr>
    </w:p>
    <w:bookmarkStart w:id="218" w:name="page219"/>
    <w:bookmarkEnd w:id="218"/>
    <w:p>
      <w:pPr>
        <w:jc w:val="center"/>
        <w:ind w:right="-19"/>
        <w:spacing w:after="0"/>
        <w:rPr>
          <w:sz w:val="20"/>
          <w:szCs w:val="20"/>
          <w:color w:val="auto"/>
        </w:rPr>
      </w:pPr>
      <w:r>
        <w:rPr>
          <w:rFonts w:ascii="Arial" w:cs="Arial" w:eastAsia="Arial" w:hAnsi="Arial"/>
          <w:sz w:val="18"/>
          <w:szCs w:val="18"/>
          <w:b w:val="1"/>
          <w:bCs w:val="1"/>
          <w:color w:val="auto"/>
        </w:rPr>
        <w:t>AGNICO-EAGLE MINES LIMITED</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 (Continued)</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(thousands of United States dollars, except per share amounts, unless otherwise indicated)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December 31, 2009</w:t>
      </w:r>
    </w:p>
    <w:p>
      <w:pPr>
        <w:spacing w:after="0" w:line="214"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15.  FINANCIAL INSTRUMENTS (Continued)</w:t>
      </w: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jc w:val="both"/>
        <w:ind w:left="540"/>
        <w:spacing w:after="0" w:line="233" w:lineRule="auto"/>
        <w:rPr>
          <w:sz w:val="20"/>
          <w:szCs w:val="20"/>
          <w:color w:val="auto"/>
        </w:rPr>
      </w:pPr>
      <w:r>
        <w:rPr>
          <w:rFonts w:ascii="Arial" w:cs="Arial" w:eastAsia="Arial" w:hAnsi="Arial"/>
          <w:sz w:val="14"/>
          <w:szCs w:val="14"/>
          <w:color w:val="auto"/>
        </w:rPr>
        <w:t>changes in general market conditions, specific industry and individual company data, the length of time and the extent to which the fair value has been less than cost, the financial condition and the near-term prospects of the individual investment. New evidence could become available in future periods which would affect this assessment and thus could result in material impairment charges with respect to those investments for which the cost basis exceeds its fair value.</w:t>
      </w:r>
    </w:p>
    <w:p>
      <w:pPr>
        <w:spacing w:after="0" w:line="191"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16.  SEGMENTED INFORMATION</w:t>
      </w:r>
    </w:p>
    <w:p>
      <w:pPr>
        <w:spacing w:after="0" w:line="206" w:lineRule="exact"/>
        <w:rPr>
          <w:sz w:val="20"/>
          <w:szCs w:val="20"/>
          <w:color w:val="auto"/>
        </w:rPr>
      </w:pPr>
    </w:p>
    <w:p>
      <w:pPr>
        <w:jc w:val="both"/>
        <w:ind w:left="540"/>
        <w:spacing w:after="0" w:line="278" w:lineRule="auto"/>
        <w:rPr>
          <w:sz w:val="20"/>
          <w:szCs w:val="20"/>
          <w:color w:val="auto"/>
        </w:rPr>
      </w:pPr>
      <w:r>
        <w:rPr>
          <w:rFonts w:ascii="Arial" w:cs="Arial" w:eastAsia="Arial" w:hAnsi="Arial"/>
          <w:sz w:val="12"/>
          <w:szCs w:val="12"/>
          <w:color w:val="auto"/>
        </w:rPr>
        <w:t>Agnico-Eagle predominantly operates in a single industry, namely exploration for and production of gold. Based on the internal reporting structure and the nature of the Company's activities, the Company identifies its reportable segments as those consolidated mining operations or functional groups that represent more than 10% of the combined revenue, profit or loss or total assets of all reported operating segments. Consolidated mining operations or functional groups not meeting this threshold are aggregated at the applicable geographic region for segment reporting purposes. This structure reflects how the Company manages its business and how it classifies its operations for planning and measuring performance:</w:t>
      </w:r>
    </w:p>
    <w:p>
      <w:pPr>
        <w:sectPr>
          <w:pgSz w:w="11900" w:h="16838" w:orient="portrait"/>
          <w:cols w:equalWidth="0" w:num="1">
            <w:col w:w="11420"/>
          </w:cols>
          <w:pgMar w:left="240" w:top="341" w:right="239" w:bottom="1440" w:gutter="0" w:footer="0" w:header="0"/>
        </w:sectPr>
      </w:pPr>
    </w:p>
    <w:p>
      <w:pPr>
        <w:spacing w:after="0" w:line="171" w:lineRule="exact"/>
        <w:rPr>
          <w:sz w:val="20"/>
          <w:szCs w:val="20"/>
          <w:color w:val="auto"/>
        </w:rPr>
      </w:pPr>
    </w:p>
    <w:p>
      <w:pPr>
        <w:ind w:left="1360"/>
        <w:spacing w:after="0"/>
        <w:rPr>
          <w:sz w:val="20"/>
          <w:szCs w:val="20"/>
          <w:color w:val="auto"/>
        </w:rPr>
      </w:pPr>
      <w:r>
        <w:rPr>
          <w:rFonts w:ascii="Arial" w:cs="Arial" w:eastAsia="Arial" w:hAnsi="Arial"/>
          <w:sz w:val="11"/>
          <w:szCs w:val="11"/>
          <w:color w:val="auto"/>
        </w:rPr>
        <w:t>Canada:</w:t>
      </w:r>
    </w:p>
    <w:p>
      <w:pPr>
        <w:spacing w:after="0" w:line="20" w:lineRule="exact"/>
        <w:rPr>
          <w:sz w:val="20"/>
          <w:szCs w:val="20"/>
          <w:color w:val="auto"/>
        </w:rPr>
      </w:pPr>
      <w:r>
        <w:rPr>
          <w:sz w:val="20"/>
          <w:szCs w:val="20"/>
          <w:color w:val="auto"/>
        </w:rPr>
        <w:br w:type="column"/>
      </w:r>
    </w:p>
    <w:p>
      <w:pPr>
        <w:spacing w:after="0" w:line="151" w:lineRule="exact"/>
        <w:rPr>
          <w:sz w:val="20"/>
          <w:szCs w:val="20"/>
          <w:color w:val="auto"/>
        </w:rPr>
      </w:pPr>
    </w:p>
    <w:p>
      <w:pPr>
        <w:spacing w:after="0"/>
        <w:rPr>
          <w:sz w:val="20"/>
          <w:szCs w:val="20"/>
          <w:color w:val="auto"/>
        </w:rPr>
      </w:pPr>
      <w:r>
        <w:rPr>
          <w:rFonts w:ascii="Arial" w:cs="Arial" w:eastAsia="Arial" w:hAnsi="Arial"/>
          <w:sz w:val="12"/>
          <w:szCs w:val="12"/>
          <w:color w:val="auto"/>
        </w:rPr>
        <w:t>LaRonde Mine, Lapa Mine, Goldex Mine, Meadowbank Mine, and the Regional Office</w:t>
      </w:r>
    </w:p>
    <w:p>
      <w:pPr>
        <w:spacing w:after="0" w:line="186" w:lineRule="exact"/>
        <w:rPr>
          <w:sz w:val="20"/>
          <w:szCs w:val="20"/>
          <w:color w:val="auto"/>
        </w:rPr>
      </w:pPr>
    </w:p>
    <w:p>
      <w:pPr>
        <w:sectPr>
          <w:pgSz w:w="11900" w:h="16838" w:orient="portrait"/>
          <w:cols w:equalWidth="0" w:num="2">
            <w:col w:w="1800" w:space="680"/>
            <w:col w:w="8940"/>
          </w:cols>
          <w:pgMar w:left="240" w:top="341" w:right="239" w:bottom="1440" w:gutter="0" w:footer="0" w:header="0"/>
          <w:type w:val="continuous"/>
        </w:sectPr>
      </w:pPr>
    </w:p>
    <w:p>
      <w:pPr>
        <w:ind w:left="1360"/>
        <w:spacing w:after="0"/>
        <w:rPr>
          <w:sz w:val="20"/>
          <w:szCs w:val="20"/>
          <w:color w:val="auto"/>
        </w:rPr>
      </w:pPr>
      <w:r>
        <w:rPr>
          <w:rFonts w:ascii="Arial" w:cs="Arial" w:eastAsia="Arial" w:hAnsi="Arial"/>
          <w:sz w:val="12"/>
          <w:szCs w:val="12"/>
          <w:color w:val="auto"/>
        </w:rPr>
        <w:t>Europe:</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2"/>
          <w:szCs w:val="12"/>
          <w:color w:val="auto"/>
        </w:rPr>
        <w:t>Kittila Mine</w:t>
      </w:r>
    </w:p>
    <w:p>
      <w:pPr>
        <w:spacing w:after="0" w:line="186" w:lineRule="exact"/>
        <w:rPr>
          <w:sz w:val="20"/>
          <w:szCs w:val="20"/>
          <w:color w:val="auto"/>
        </w:rPr>
      </w:pPr>
    </w:p>
    <w:p>
      <w:pPr>
        <w:sectPr>
          <w:pgSz w:w="11900" w:h="16838" w:orient="portrait"/>
          <w:cols w:equalWidth="0" w:num="2">
            <w:col w:w="1800" w:space="680"/>
            <w:col w:w="8940"/>
          </w:cols>
          <w:pgMar w:left="240" w:top="341" w:right="239" w:bottom="1440" w:gutter="0" w:footer="0" w:header="0"/>
          <w:type w:val="continuous"/>
        </w:sectPr>
      </w:pPr>
    </w:p>
    <w:p>
      <w:pPr>
        <w:ind w:left="1360"/>
        <w:spacing w:after="0"/>
        <w:rPr>
          <w:sz w:val="20"/>
          <w:szCs w:val="20"/>
          <w:color w:val="auto"/>
        </w:rPr>
      </w:pPr>
      <w:r>
        <w:rPr>
          <w:rFonts w:ascii="Arial" w:cs="Arial" w:eastAsia="Arial" w:hAnsi="Arial"/>
          <w:sz w:val="12"/>
          <w:szCs w:val="12"/>
          <w:color w:val="auto"/>
        </w:rPr>
        <w:t>Latin America:</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2"/>
          <w:szCs w:val="12"/>
          <w:color w:val="auto"/>
        </w:rPr>
        <w:t>Pinos Altos Mine</w:t>
      </w:r>
    </w:p>
    <w:p>
      <w:pPr>
        <w:spacing w:after="0" w:line="186" w:lineRule="exact"/>
        <w:rPr>
          <w:sz w:val="20"/>
          <w:szCs w:val="20"/>
          <w:color w:val="auto"/>
        </w:rPr>
      </w:pPr>
    </w:p>
    <w:p>
      <w:pPr>
        <w:sectPr>
          <w:pgSz w:w="11900" w:h="16838" w:orient="portrait"/>
          <w:cols w:equalWidth="0" w:num="2">
            <w:col w:w="2180" w:space="300"/>
            <w:col w:w="8940"/>
          </w:cols>
          <w:pgMar w:left="240" w:top="341" w:right="239" w:bottom="1440" w:gutter="0" w:footer="0" w:header="0"/>
          <w:type w:val="continuous"/>
        </w:sectPr>
      </w:pPr>
    </w:p>
    <w:p>
      <w:pPr>
        <w:ind w:left="1360"/>
        <w:spacing w:after="0"/>
        <w:rPr>
          <w:sz w:val="20"/>
          <w:szCs w:val="20"/>
          <w:color w:val="auto"/>
        </w:rPr>
      </w:pPr>
      <w:r>
        <w:rPr>
          <w:rFonts w:ascii="Arial" w:cs="Arial" w:eastAsia="Arial" w:hAnsi="Arial"/>
          <w:sz w:val="12"/>
          <w:szCs w:val="12"/>
          <w:color w:val="auto"/>
        </w:rPr>
        <w:t>USA:</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2"/>
          <w:szCs w:val="12"/>
          <w:color w:val="auto"/>
        </w:rPr>
        <w:t>USA Exploration office, Europe Exploration office, Canada Exploration office, and the Latin America Exploration office</w:t>
      </w:r>
    </w:p>
    <w:p>
      <w:pPr>
        <w:spacing w:after="0" w:line="200" w:lineRule="exact"/>
        <w:rPr>
          <w:sz w:val="20"/>
          <w:szCs w:val="20"/>
          <w:color w:val="auto"/>
        </w:rPr>
      </w:pPr>
    </w:p>
    <w:p>
      <w:pPr>
        <w:sectPr>
          <w:pgSz w:w="11900" w:h="16838" w:orient="portrait"/>
          <w:cols w:equalWidth="0" w:num="2">
            <w:col w:w="1760" w:space="720"/>
            <w:col w:w="8940"/>
          </w:cols>
          <w:pgMar w:left="240" w:top="341" w:right="239" w:bottom="1440" w:gutter="0" w:footer="0" w:header="0"/>
          <w:type w:val="continuous"/>
        </w:sectPr>
      </w:pPr>
    </w:p>
    <w:p>
      <w:pPr>
        <w:spacing w:after="0" w:line="27" w:lineRule="exact"/>
        <w:rPr>
          <w:sz w:val="20"/>
          <w:szCs w:val="20"/>
          <w:color w:val="auto"/>
        </w:rPr>
      </w:pPr>
    </w:p>
    <w:p>
      <w:pPr>
        <w:ind w:left="540"/>
        <w:spacing w:after="0"/>
        <w:rPr>
          <w:sz w:val="20"/>
          <w:szCs w:val="20"/>
          <w:color w:val="auto"/>
        </w:rPr>
      </w:pPr>
      <w:r>
        <w:rPr>
          <w:rFonts w:ascii="Arial" w:cs="Arial" w:eastAsia="Arial" w:hAnsi="Arial"/>
          <w:sz w:val="14"/>
          <w:szCs w:val="14"/>
          <w:color w:val="auto"/>
        </w:rPr>
        <w:t>Corporate Head Office assets are included in the Canada category and specific corporate income and expense items are noted separately below.</w:t>
      </w:r>
    </w:p>
    <w:p>
      <w:pPr>
        <w:spacing w:after="0" w:line="204" w:lineRule="exact"/>
        <w:rPr>
          <w:sz w:val="20"/>
          <w:szCs w:val="20"/>
          <w:color w:val="auto"/>
        </w:rPr>
      </w:pPr>
    </w:p>
    <w:p>
      <w:pPr>
        <w:ind w:left="540"/>
        <w:spacing w:after="0" w:line="239" w:lineRule="auto"/>
        <w:rPr>
          <w:sz w:val="20"/>
          <w:szCs w:val="20"/>
          <w:color w:val="auto"/>
        </w:rPr>
      </w:pPr>
      <w:r>
        <w:rPr>
          <w:rFonts w:ascii="Arial" w:cs="Arial" w:eastAsia="Arial" w:hAnsi="Arial"/>
          <w:sz w:val="14"/>
          <w:szCs w:val="14"/>
          <w:color w:val="auto"/>
        </w:rPr>
        <w:t>On May 1, 2009, both the Lapa Mine and Kittila Mine achieved commercial production. The Pinos Altos Mine achieved commercial production on November 1, 2009. The Goldex Mine achieved commercial production August 1, 2008. The Meadowbank Mine is expected to achieve commercial production in the first quarter of 2010.</w:t>
      </w:r>
    </w:p>
    <w:p>
      <w:pPr>
        <w:spacing w:after="0" w:line="178" w:lineRule="exact"/>
        <w:rPr>
          <w:sz w:val="20"/>
          <w:szCs w:val="20"/>
          <w:color w:val="auto"/>
        </w:rPr>
      </w:pPr>
    </w:p>
    <w:tbl>
      <w:tblPr>
        <w:tblLayout w:type="fixed"/>
        <w:tblInd w:w="1160" w:type="dxa"/>
        <w:tblCellMar>
          <w:top w:w="0" w:type="dxa"/>
          <w:left w:w="0" w:type="dxa"/>
          <w:bottom w:w="0" w:type="dxa"/>
          <w:right w:w="0" w:type="dxa"/>
        </w:tblCellMar>
      </w:tblPr>
      <w:tr>
        <w:trPr>
          <w:trHeight w:val="161"/>
        </w:trPr>
        <w:tc>
          <w:tcPr>
            <w:tcW w:w="220" w:type="dxa"/>
            <w:vAlign w:val="bottom"/>
          </w:tcPr>
          <w:p>
            <w:pPr>
              <w:spacing w:after="0"/>
              <w:rPr>
                <w:sz w:val="14"/>
                <w:szCs w:val="14"/>
                <w:color w:val="auto"/>
              </w:rPr>
            </w:pPr>
          </w:p>
        </w:tc>
        <w:tc>
          <w:tcPr>
            <w:tcW w:w="1400" w:type="dxa"/>
            <w:vAlign w:val="bottom"/>
          </w:tcPr>
          <w:p>
            <w:pPr>
              <w:spacing w:after="0"/>
              <w:rPr>
                <w:sz w:val="14"/>
                <w:szCs w:val="14"/>
                <w:color w:val="auto"/>
              </w:rPr>
            </w:pPr>
          </w:p>
        </w:tc>
        <w:tc>
          <w:tcPr>
            <w:tcW w:w="14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00" w:type="dxa"/>
            <w:vAlign w:val="bottom"/>
          </w:tcPr>
          <w:p>
            <w:pPr>
              <w:jc w:val="center"/>
              <w:ind w:right="52"/>
              <w:spacing w:after="0"/>
              <w:rPr>
                <w:sz w:val="20"/>
                <w:szCs w:val="20"/>
                <w:color w:val="auto"/>
              </w:rPr>
            </w:pPr>
            <w:r>
              <w:rPr>
                <w:rFonts w:ascii="Arial" w:cs="Arial" w:eastAsia="Arial" w:hAnsi="Arial"/>
                <w:sz w:val="14"/>
                <w:szCs w:val="14"/>
                <w:b w:val="1"/>
                <w:bCs w:val="1"/>
                <w:color w:val="auto"/>
                <w:w w:val="81"/>
              </w:rPr>
              <w:t>Revenues</w:t>
            </w: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20" w:type="dxa"/>
            <w:vAlign w:val="bottom"/>
          </w:tcPr>
          <w:p>
            <w:pPr>
              <w:spacing w:after="0"/>
              <w:rPr>
                <w:sz w:val="12"/>
                <w:szCs w:val="12"/>
                <w:color w:val="auto"/>
              </w:rPr>
            </w:pPr>
          </w:p>
        </w:tc>
        <w:tc>
          <w:tcPr>
            <w:tcW w:w="1400" w:type="dxa"/>
            <w:vAlign w:val="bottom"/>
          </w:tcPr>
          <w:p>
            <w:pPr>
              <w:spacing w:after="0"/>
              <w:rPr>
                <w:sz w:val="12"/>
                <w:szCs w:val="12"/>
                <w:color w:val="auto"/>
              </w:rPr>
            </w:pPr>
          </w:p>
        </w:tc>
        <w:tc>
          <w:tcPr>
            <w:tcW w:w="14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00" w:type="dxa"/>
            <w:vAlign w:val="bottom"/>
          </w:tcPr>
          <w:p>
            <w:pPr>
              <w:jc w:val="center"/>
              <w:ind w:right="72"/>
              <w:spacing w:after="0" w:line="149" w:lineRule="exact"/>
              <w:rPr>
                <w:sz w:val="20"/>
                <w:szCs w:val="20"/>
                <w:color w:val="auto"/>
              </w:rPr>
            </w:pPr>
            <w:r>
              <w:rPr>
                <w:rFonts w:ascii="Arial" w:cs="Arial" w:eastAsia="Arial" w:hAnsi="Arial"/>
                <w:sz w:val="14"/>
                <w:szCs w:val="14"/>
                <w:b w:val="1"/>
                <w:bCs w:val="1"/>
                <w:color w:val="auto"/>
                <w:w w:val="89"/>
              </w:rPr>
              <w:t>from</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jc w:val="center"/>
              <w:ind w:right="32"/>
              <w:spacing w:after="0" w:line="149" w:lineRule="exact"/>
              <w:rPr>
                <w:sz w:val="20"/>
                <w:szCs w:val="20"/>
                <w:color w:val="auto"/>
              </w:rPr>
            </w:pPr>
            <w:r>
              <w:rPr>
                <w:rFonts w:ascii="Arial" w:cs="Arial" w:eastAsia="Arial" w:hAnsi="Arial"/>
                <w:sz w:val="14"/>
                <w:szCs w:val="14"/>
                <w:b w:val="1"/>
                <w:bCs w:val="1"/>
                <w:color w:val="auto"/>
                <w:w w:val="88"/>
              </w:rPr>
              <w:t>Exploration</w:t>
            </w:r>
          </w:p>
        </w:tc>
        <w:tc>
          <w:tcPr>
            <w:tcW w:w="160" w:type="dxa"/>
            <w:vAlign w:val="bottom"/>
          </w:tcPr>
          <w:p>
            <w:pPr>
              <w:spacing w:after="0"/>
              <w:rPr>
                <w:sz w:val="12"/>
                <w:szCs w:val="12"/>
                <w:color w:val="auto"/>
              </w:rPr>
            </w:pPr>
          </w:p>
        </w:tc>
        <w:tc>
          <w:tcPr>
            <w:tcW w:w="1340" w:type="dxa"/>
            <w:vAlign w:val="bottom"/>
            <w:gridSpan w:val="3"/>
          </w:tcPr>
          <w:p>
            <w:pPr>
              <w:jc w:val="center"/>
              <w:ind w:right="180"/>
              <w:spacing w:after="0" w:line="149" w:lineRule="exact"/>
              <w:rPr>
                <w:sz w:val="20"/>
                <w:szCs w:val="20"/>
                <w:color w:val="auto"/>
              </w:rPr>
            </w:pPr>
            <w:r>
              <w:rPr>
                <w:rFonts w:ascii="Arial" w:cs="Arial" w:eastAsia="Arial" w:hAnsi="Arial"/>
                <w:sz w:val="14"/>
                <w:szCs w:val="14"/>
                <w:b w:val="1"/>
                <w:bCs w:val="1"/>
                <w:color w:val="auto"/>
                <w:w w:val="89"/>
              </w:rPr>
              <w:t>Foreign Currency</w:t>
            </w:r>
          </w:p>
        </w:tc>
        <w:tc>
          <w:tcPr>
            <w:tcW w:w="820" w:type="dxa"/>
            <w:vAlign w:val="bottom"/>
            <w:gridSpan w:val="3"/>
          </w:tcPr>
          <w:p>
            <w:pPr>
              <w:jc w:val="center"/>
              <w:ind w:right="180"/>
              <w:spacing w:after="0" w:line="149" w:lineRule="exact"/>
              <w:rPr>
                <w:sz w:val="20"/>
                <w:szCs w:val="20"/>
                <w:color w:val="auto"/>
              </w:rPr>
            </w:pPr>
            <w:r>
              <w:rPr>
                <w:rFonts w:ascii="Arial" w:cs="Arial" w:eastAsia="Arial" w:hAnsi="Arial"/>
                <w:sz w:val="14"/>
                <w:szCs w:val="14"/>
                <w:b w:val="1"/>
                <w:bCs w:val="1"/>
                <w:color w:val="auto"/>
                <w:w w:val="81"/>
              </w:rPr>
              <w:t>Segment</w:t>
            </w:r>
          </w:p>
        </w:tc>
        <w:tc>
          <w:tcPr>
            <w:tcW w:w="0" w:type="dxa"/>
            <w:vAlign w:val="bottom"/>
          </w:tcPr>
          <w:p>
            <w:pPr>
              <w:spacing w:after="0"/>
              <w:rPr>
                <w:sz w:val="1"/>
                <w:szCs w:val="1"/>
                <w:color w:val="auto"/>
              </w:rPr>
            </w:pPr>
          </w:p>
        </w:tc>
      </w:tr>
      <w:tr>
        <w:trPr>
          <w:trHeight w:val="149"/>
        </w:trPr>
        <w:tc>
          <w:tcPr>
            <w:tcW w:w="3040" w:type="dxa"/>
            <w:vAlign w:val="bottom"/>
            <w:gridSpan w:val="3"/>
          </w:tcPr>
          <w:p>
            <w:pPr>
              <w:ind w:left="200"/>
              <w:spacing w:after="0" w:line="149" w:lineRule="exact"/>
              <w:rPr>
                <w:sz w:val="20"/>
                <w:szCs w:val="20"/>
                <w:color w:val="auto"/>
              </w:rPr>
            </w:pPr>
            <w:r>
              <w:rPr>
                <w:rFonts w:ascii="Arial" w:cs="Arial" w:eastAsia="Arial" w:hAnsi="Arial"/>
                <w:sz w:val="14"/>
                <w:szCs w:val="14"/>
                <w:b w:val="1"/>
                <w:bCs w:val="1"/>
                <w:color w:val="auto"/>
              </w:rPr>
              <w:t>Twelve Months Ended</w:t>
            </w:r>
          </w:p>
        </w:tc>
        <w:tc>
          <w:tcPr>
            <w:tcW w:w="100" w:type="dxa"/>
            <w:vAlign w:val="bottom"/>
          </w:tcPr>
          <w:p>
            <w:pPr>
              <w:spacing w:after="0"/>
              <w:rPr>
                <w:sz w:val="12"/>
                <w:szCs w:val="12"/>
                <w:color w:val="auto"/>
              </w:rPr>
            </w:pPr>
          </w:p>
        </w:tc>
        <w:tc>
          <w:tcPr>
            <w:tcW w:w="700" w:type="dxa"/>
            <w:vAlign w:val="bottom"/>
          </w:tcPr>
          <w:p>
            <w:pPr>
              <w:jc w:val="center"/>
              <w:ind w:right="52"/>
              <w:spacing w:after="0" w:line="149" w:lineRule="exact"/>
              <w:rPr>
                <w:sz w:val="20"/>
                <w:szCs w:val="20"/>
                <w:color w:val="auto"/>
              </w:rPr>
            </w:pPr>
            <w:r>
              <w:rPr>
                <w:rFonts w:ascii="Arial" w:cs="Arial" w:eastAsia="Arial" w:hAnsi="Arial"/>
                <w:sz w:val="14"/>
                <w:szCs w:val="14"/>
                <w:b w:val="1"/>
                <w:bCs w:val="1"/>
                <w:color w:val="auto"/>
                <w:w w:val="93"/>
              </w:rPr>
              <w:t>Mining</w:t>
            </w:r>
          </w:p>
        </w:tc>
        <w:tc>
          <w:tcPr>
            <w:tcW w:w="160" w:type="dxa"/>
            <w:vAlign w:val="bottom"/>
          </w:tcPr>
          <w:p>
            <w:pPr>
              <w:spacing w:after="0"/>
              <w:rPr>
                <w:sz w:val="12"/>
                <w:szCs w:val="12"/>
                <w:color w:val="auto"/>
              </w:rPr>
            </w:pPr>
          </w:p>
        </w:tc>
        <w:tc>
          <w:tcPr>
            <w:tcW w:w="800" w:type="dxa"/>
            <w:vAlign w:val="bottom"/>
            <w:gridSpan w:val="2"/>
          </w:tcPr>
          <w:p>
            <w:pPr>
              <w:jc w:val="right"/>
              <w:ind w:right="32"/>
              <w:spacing w:after="0" w:line="149" w:lineRule="exact"/>
              <w:rPr>
                <w:sz w:val="20"/>
                <w:szCs w:val="20"/>
                <w:color w:val="auto"/>
              </w:rPr>
            </w:pPr>
            <w:r>
              <w:rPr>
                <w:rFonts w:ascii="Arial" w:cs="Arial" w:eastAsia="Arial" w:hAnsi="Arial"/>
                <w:sz w:val="14"/>
                <w:szCs w:val="14"/>
                <w:b w:val="1"/>
                <w:bCs w:val="1"/>
                <w:color w:val="auto"/>
                <w:w w:val="91"/>
              </w:rPr>
              <w:t>Production</w:t>
            </w:r>
          </w:p>
        </w:tc>
        <w:tc>
          <w:tcPr>
            <w:tcW w:w="16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00" w:type="dxa"/>
            <w:vAlign w:val="bottom"/>
            <w:gridSpan w:val="2"/>
          </w:tcPr>
          <w:p>
            <w:pPr>
              <w:jc w:val="center"/>
              <w:spacing w:after="0" w:line="149" w:lineRule="exact"/>
              <w:rPr>
                <w:sz w:val="20"/>
                <w:szCs w:val="20"/>
                <w:color w:val="auto"/>
              </w:rPr>
            </w:pPr>
            <w:r>
              <w:rPr>
                <w:rFonts w:ascii="Arial" w:cs="Arial" w:eastAsia="Arial" w:hAnsi="Arial"/>
                <w:sz w:val="14"/>
                <w:szCs w:val="14"/>
                <w:b w:val="1"/>
                <w:bCs w:val="1"/>
                <w:color w:val="auto"/>
                <w:w w:val="93"/>
              </w:rPr>
              <w:t>&amp; Corporate</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6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5"/>
              </w:rPr>
              <w:t>Translation Loss</w:t>
            </w:r>
          </w:p>
        </w:tc>
        <w:tc>
          <w:tcPr>
            <w:tcW w:w="100" w:type="dxa"/>
            <w:vAlign w:val="bottom"/>
          </w:tcPr>
          <w:p>
            <w:pPr>
              <w:spacing w:after="0"/>
              <w:rPr>
                <w:sz w:val="12"/>
                <w:szCs w:val="12"/>
                <w:color w:val="auto"/>
              </w:rPr>
            </w:pPr>
          </w:p>
        </w:tc>
        <w:tc>
          <w:tcPr>
            <w:tcW w:w="720" w:type="dxa"/>
            <w:vAlign w:val="bottom"/>
            <w:gridSpan w:val="2"/>
          </w:tcPr>
          <w:p>
            <w:pPr>
              <w:jc w:val="center"/>
              <w:ind w:right="280"/>
              <w:spacing w:after="0" w:line="149" w:lineRule="exact"/>
              <w:rPr>
                <w:sz w:val="20"/>
                <w:szCs w:val="20"/>
                <w:color w:val="auto"/>
              </w:rPr>
            </w:pPr>
            <w:r>
              <w:rPr>
                <w:rFonts w:ascii="Arial" w:cs="Arial" w:eastAsia="Arial" w:hAnsi="Arial"/>
                <w:sz w:val="14"/>
                <w:szCs w:val="14"/>
                <w:b w:val="1"/>
                <w:bCs w:val="1"/>
                <w:color w:val="auto"/>
                <w:w w:val="89"/>
              </w:rPr>
              <w:t>Income</w:t>
            </w:r>
          </w:p>
        </w:tc>
        <w:tc>
          <w:tcPr>
            <w:tcW w:w="0" w:type="dxa"/>
            <w:vAlign w:val="bottom"/>
          </w:tcPr>
          <w:p>
            <w:pPr>
              <w:spacing w:after="0"/>
              <w:rPr>
                <w:sz w:val="1"/>
                <w:szCs w:val="1"/>
                <w:color w:val="auto"/>
              </w:rPr>
            </w:pPr>
          </w:p>
        </w:tc>
      </w:tr>
      <w:tr>
        <w:trPr>
          <w:trHeight w:val="161"/>
        </w:trPr>
        <w:tc>
          <w:tcPr>
            <w:tcW w:w="3040" w:type="dxa"/>
            <w:vAlign w:val="bottom"/>
            <w:gridSpan w:val="3"/>
          </w:tcPr>
          <w:p>
            <w:pPr>
              <w:ind w:left="200"/>
              <w:spacing w:after="0"/>
              <w:rPr>
                <w:sz w:val="20"/>
                <w:szCs w:val="20"/>
                <w:color w:val="auto"/>
              </w:rPr>
            </w:pPr>
            <w:r>
              <w:rPr>
                <w:rFonts w:ascii="Arial" w:cs="Arial" w:eastAsia="Arial" w:hAnsi="Arial"/>
                <w:sz w:val="14"/>
                <w:szCs w:val="14"/>
                <w:b w:val="1"/>
                <w:bCs w:val="1"/>
                <w:color w:val="auto"/>
              </w:rPr>
              <w:t>December 31, 2009</w:t>
            </w:r>
          </w:p>
        </w:tc>
        <w:tc>
          <w:tcPr>
            <w:tcW w:w="800" w:type="dxa"/>
            <w:vAlign w:val="bottom"/>
            <w:gridSpan w:val="2"/>
          </w:tcPr>
          <w:p>
            <w:pPr>
              <w:jc w:val="center"/>
              <w:spacing w:after="0"/>
              <w:rPr>
                <w:sz w:val="20"/>
                <w:szCs w:val="20"/>
                <w:color w:val="auto"/>
              </w:rPr>
            </w:pPr>
            <w:r>
              <w:rPr>
                <w:rFonts w:ascii="Arial" w:cs="Arial" w:eastAsia="Arial" w:hAnsi="Arial"/>
                <w:sz w:val="14"/>
                <w:szCs w:val="14"/>
                <w:b w:val="1"/>
                <w:bCs w:val="1"/>
                <w:color w:val="auto"/>
                <w:w w:val="86"/>
              </w:rPr>
              <w:t>Operations</w:t>
            </w: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60" w:type="dxa"/>
            <w:vAlign w:val="bottom"/>
          </w:tcPr>
          <w:p>
            <w:pPr>
              <w:jc w:val="right"/>
              <w:ind w:right="192"/>
              <w:spacing w:after="0"/>
              <w:rPr>
                <w:sz w:val="20"/>
                <w:szCs w:val="20"/>
                <w:color w:val="auto"/>
              </w:rPr>
            </w:pPr>
            <w:r>
              <w:rPr>
                <w:rFonts w:ascii="Arial" w:cs="Arial" w:eastAsia="Arial" w:hAnsi="Arial"/>
                <w:sz w:val="14"/>
                <w:szCs w:val="14"/>
                <w:b w:val="1"/>
                <w:bCs w:val="1"/>
                <w:color w:val="auto"/>
                <w:w w:val="97"/>
              </w:rPr>
              <w:t>Costs</w:t>
            </w:r>
          </w:p>
        </w:tc>
        <w:tc>
          <w:tcPr>
            <w:tcW w:w="160" w:type="dxa"/>
            <w:vAlign w:val="bottom"/>
          </w:tcPr>
          <w:p>
            <w:pPr>
              <w:spacing w:after="0"/>
              <w:rPr>
                <w:sz w:val="14"/>
                <w:szCs w:val="14"/>
                <w:color w:val="auto"/>
              </w:rPr>
            </w:pPr>
          </w:p>
        </w:tc>
        <w:tc>
          <w:tcPr>
            <w:tcW w:w="900" w:type="dxa"/>
            <w:vAlign w:val="bottom"/>
            <w:gridSpan w:val="2"/>
          </w:tcPr>
          <w:p>
            <w:pPr>
              <w:jc w:val="right"/>
              <w:ind w:right="12"/>
              <w:spacing w:after="0"/>
              <w:rPr>
                <w:sz w:val="20"/>
                <w:szCs w:val="20"/>
                <w:color w:val="auto"/>
              </w:rPr>
            </w:pPr>
            <w:r>
              <w:rPr>
                <w:rFonts w:ascii="Arial" w:cs="Arial" w:eastAsia="Arial" w:hAnsi="Arial"/>
                <w:sz w:val="14"/>
                <w:szCs w:val="14"/>
                <w:b w:val="1"/>
                <w:bCs w:val="1"/>
                <w:color w:val="auto"/>
                <w:w w:val="93"/>
              </w:rPr>
              <w:t>Amortization</w:t>
            </w:r>
          </w:p>
        </w:tc>
        <w:tc>
          <w:tcPr>
            <w:tcW w:w="160" w:type="dxa"/>
            <w:vAlign w:val="bottom"/>
          </w:tcPr>
          <w:p>
            <w:pPr>
              <w:spacing w:after="0"/>
              <w:rPr>
                <w:sz w:val="14"/>
                <w:szCs w:val="14"/>
                <w:color w:val="auto"/>
              </w:rPr>
            </w:pPr>
          </w:p>
        </w:tc>
        <w:tc>
          <w:tcPr>
            <w:tcW w:w="900" w:type="dxa"/>
            <w:vAlign w:val="bottom"/>
            <w:gridSpan w:val="2"/>
          </w:tcPr>
          <w:p>
            <w:pPr>
              <w:jc w:val="center"/>
              <w:spacing w:after="0"/>
              <w:rPr>
                <w:sz w:val="20"/>
                <w:szCs w:val="20"/>
                <w:color w:val="auto"/>
              </w:rPr>
            </w:pPr>
            <w:r>
              <w:rPr>
                <w:rFonts w:ascii="Arial" w:cs="Arial" w:eastAsia="Arial" w:hAnsi="Arial"/>
                <w:sz w:val="14"/>
                <w:szCs w:val="14"/>
                <w:b w:val="1"/>
                <w:bCs w:val="1"/>
                <w:color w:val="auto"/>
                <w:w w:val="86"/>
              </w:rPr>
              <w:t>Development</w:t>
            </w: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26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8"/>
              </w:rPr>
              <w:t>(Gain)</w:t>
            </w:r>
          </w:p>
        </w:tc>
        <w:tc>
          <w:tcPr>
            <w:tcW w:w="100" w:type="dxa"/>
            <w:vAlign w:val="bottom"/>
          </w:tcPr>
          <w:p>
            <w:pPr>
              <w:spacing w:after="0"/>
              <w:rPr>
                <w:sz w:val="14"/>
                <w:szCs w:val="14"/>
                <w:color w:val="auto"/>
              </w:rPr>
            </w:pPr>
          </w:p>
        </w:tc>
        <w:tc>
          <w:tcPr>
            <w:tcW w:w="72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5"/>
              </w:rPr>
              <w:t>(Loss)</w:t>
            </w:r>
          </w:p>
        </w:tc>
        <w:tc>
          <w:tcPr>
            <w:tcW w:w="0" w:type="dxa"/>
            <w:vAlign w:val="bottom"/>
          </w:tcPr>
          <w:p>
            <w:pPr>
              <w:spacing w:after="0"/>
              <w:rPr>
                <w:sz w:val="1"/>
                <w:szCs w:val="1"/>
                <w:color w:val="auto"/>
              </w:rPr>
            </w:pPr>
          </w:p>
        </w:tc>
      </w:tr>
      <w:tr>
        <w:trPr>
          <w:trHeight w:val="20"/>
        </w:trPr>
        <w:tc>
          <w:tcPr>
            <w:tcW w:w="220" w:type="dxa"/>
            <w:vAlign w:val="bottom"/>
          </w:tcPr>
          <w:p>
            <w:pPr>
              <w:spacing w:after="0" w:line="20" w:lineRule="exact"/>
              <w:rPr>
                <w:sz w:val="1"/>
                <w:szCs w:val="1"/>
                <w:color w:val="auto"/>
              </w:rPr>
            </w:pPr>
          </w:p>
        </w:tc>
        <w:tc>
          <w:tcPr>
            <w:tcW w:w="1400" w:type="dxa"/>
            <w:vAlign w:val="bottom"/>
            <w:shd w:val="clear" w:color="auto" w:fill="000000"/>
          </w:tcPr>
          <w:p>
            <w:pPr>
              <w:spacing w:after="0" w:line="20" w:lineRule="exact"/>
              <w:rPr>
                <w:sz w:val="1"/>
                <w:szCs w:val="1"/>
                <w:color w:val="auto"/>
              </w:rPr>
            </w:pPr>
          </w:p>
        </w:tc>
        <w:tc>
          <w:tcPr>
            <w:tcW w:w="142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1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2"/>
        </w:trPr>
        <w:tc>
          <w:tcPr>
            <w:tcW w:w="3040" w:type="dxa"/>
            <w:vAlign w:val="bottom"/>
            <w:gridSpan w:val="3"/>
            <w:shd w:val="clear" w:color="auto" w:fill="CCEEFF"/>
          </w:tcPr>
          <w:p>
            <w:pPr>
              <w:ind w:left="200"/>
              <w:spacing w:after="0" w:line="142" w:lineRule="exact"/>
              <w:rPr>
                <w:sz w:val="20"/>
                <w:szCs w:val="20"/>
                <w:color w:val="auto"/>
              </w:rPr>
            </w:pPr>
            <w:r>
              <w:rPr>
                <w:rFonts w:ascii="Arial" w:cs="Arial" w:eastAsia="Arial" w:hAnsi="Arial"/>
                <w:sz w:val="14"/>
                <w:szCs w:val="14"/>
                <w:color w:val="auto"/>
              </w:rPr>
              <w:t>Canada</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70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538,123</w:t>
            </w:r>
          </w:p>
        </w:tc>
        <w:tc>
          <w:tcPr>
            <w:tcW w:w="300" w:type="dxa"/>
            <w:vAlign w:val="bottom"/>
            <w:gridSpan w:val="2"/>
            <w:shd w:val="clear" w:color="auto" w:fill="CCEEFF"/>
          </w:tcPr>
          <w:p>
            <w:pPr>
              <w:jc w:val="right"/>
              <w:ind w:right="21"/>
              <w:spacing w:after="0" w:line="142" w:lineRule="exact"/>
              <w:rPr>
                <w:sz w:val="20"/>
                <w:szCs w:val="20"/>
                <w:color w:val="auto"/>
              </w:rPr>
            </w:pPr>
            <w:r>
              <w:rPr>
                <w:rFonts w:ascii="Arial" w:cs="Arial" w:eastAsia="Arial" w:hAnsi="Arial"/>
                <w:sz w:val="14"/>
                <w:szCs w:val="14"/>
                <w:color w:val="auto"/>
              </w:rPr>
              <w:t>$</w:t>
            </w:r>
          </w:p>
        </w:tc>
        <w:tc>
          <w:tcPr>
            <w:tcW w:w="66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252,035</w:t>
            </w:r>
          </w:p>
        </w:tc>
        <w:tc>
          <w:tcPr>
            <w:tcW w:w="460" w:type="dxa"/>
            <w:vAlign w:val="bottom"/>
            <w:gridSpan w:val="2"/>
            <w:shd w:val="clear" w:color="auto" w:fill="CCEEFF"/>
          </w:tcPr>
          <w:p>
            <w:pPr>
              <w:jc w:val="right"/>
              <w:ind w:right="172"/>
              <w:spacing w:after="0" w:line="142" w:lineRule="exact"/>
              <w:rPr>
                <w:sz w:val="20"/>
                <w:szCs w:val="20"/>
                <w:color w:val="auto"/>
              </w:rPr>
            </w:pPr>
            <w:r>
              <w:rPr>
                <w:rFonts w:ascii="Arial" w:cs="Arial" w:eastAsia="Arial" w:hAnsi="Arial"/>
                <w:sz w:val="14"/>
                <w:szCs w:val="14"/>
                <w:color w:val="auto"/>
              </w:rPr>
              <w:t>$</w:t>
            </w:r>
          </w:p>
        </w:tc>
        <w:tc>
          <w:tcPr>
            <w:tcW w:w="60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60,028</w:t>
            </w:r>
          </w:p>
        </w:tc>
        <w:tc>
          <w:tcPr>
            <w:tcW w:w="24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8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24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110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36,499</w:t>
            </w: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56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189,561</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3040" w:type="dxa"/>
            <w:vAlign w:val="bottom"/>
            <w:gridSpan w:val="3"/>
          </w:tcPr>
          <w:p>
            <w:pPr>
              <w:ind w:left="200"/>
              <w:spacing w:after="0" w:line="149" w:lineRule="exact"/>
              <w:rPr>
                <w:sz w:val="20"/>
                <w:szCs w:val="20"/>
                <w:color w:val="auto"/>
              </w:rPr>
            </w:pPr>
            <w:r>
              <w:rPr>
                <w:rFonts w:ascii="Arial" w:cs="Arial" w:eastAsia="Arial" w:hAnsi="Arial"/>
                <w:sz w:val="14"/>
                <w:szCs w:val="14"/>
                <w:color w:val="auto"/>
              </w:rPr>
              <w:t>Europe</w:t>
            </w:r>
          </w:p>
        </w:tc>
        <w:tc>
          <w:tcPr>
            <w:tcW w:w="100" w:type="dxa"/>
            <w:vAlign w:val="bottom"/>
          </w:tcPr>
          <w:p>
            <w:pPr>
              <w:spacing w:after="0"/>
              <w:rPr>
                <w:sz w:val="12"/>
                <w:szCs w:val="12"/>
                <w:color w:val="auto"/>
              </w:rPr>
            </w:pPr>
          </w:p>
        </w:tc>
        <w:tc>
          <w:tcPr>
            <w:tcW w:w="700" w:type="dxa"/>
            <w:vAlign w:val="bottom"/>
          </w:tcPr>
          <w:p>
            <w:pPr>
              <w:jc w:val="right"/>
              <w:spacing w:after="0" w:line="149" w:lineRule="exact"/>
              <w:rPr>
                <w:sz w:val="20"/>
                <w:szCs w:val="20"/>
                <w:color w:val="auto"/>
              </w:rPr>
            </w:pPr>
            <w:r>
              <w:rPr>
                <w:rFonts w:ascii="Arial" w:cs="Arial" w:eastAsia="Arial" w:hAnsi="Arial"/>
                <w:sz w:val="14"/>
                <w:szCs w:val="14"/>
                <w:color w:val="auto"/>
              </w:rPr>
              <w:t>61,457</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42,464</w:t>
            </w:r>
          </w:p>
        </w:tc>
        <w:tc>
          <w:tcPr>
            <w:tcW w:w="16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00" w:type="dxa"/>
            <w:vAlign w:val="bottom"/>
          </w:tcPr>
          <w:p>
            <w:pPr>
              <w:jc w:val="right"/>
              <w:spacing w:after="0" w:line="149" w:lineRule="exact"/>
              <w:rPr>
                <w:sz w:val="20"/>
                <w:szCs w:val="20"/>
                <w:color w:val="auto"/>
              </w:rPr>
            </w:pPr>
            <w:r>
              <w:rPr>
                <w:rFonts w:ascii="Arial" w:cs="Arial" w:eastAsia="Arial" w:hAnsi="Arial"/>
                <w:sz w:val="14"/>
                <w:szCs w:val="14"/>
                <w:color w:val="auto"/>
              </w:rPr>
              <w:t>10,909</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00" w:type="dxa"/>
            <w:vAlign w:val="bottom"/>
          </w:tcPr>
          <w:p>
            <w:pPr>
              <w:jc w:val="right"/>
              <w:spacing w:after="0" w:line="149" w:lineRule="exact"/>
              <w:rPr>
                <w:sz w:val="20"/>
                <w:szCs w:val="20"/>
                <w:color w:val="auto"/>
              </w:rPr>
            </w:pPr>
            <w:r>
              <w:rPr>
                <w:rFonts w:ascii="Arial" w:cs="Arial" w:eastAsia="Arial" w:hAnsi="Arial"/>
                <w:sz w:val="14"/>
                <w:szCs w:val="14"/>
                <w:color w:val="auto"/>
              </w:rPr>
              <w:t>3,582</w:t>
            </w: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4,502</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3040" w:type="dxa"/>
            <w:vAlign w:val="bottom"/>
            <w:gridSpan w:val="3"/>
            <w:shd w:val="clear" w:color="auto" w:fill="CCEEFF"/>
          </w:tcPr>
          <w:p>
            <w:pPr>
              <w:ind w:left="200"/>
              <w:spacing w:after="0" w:line="149" w:lineRule="exact"/>
              <w:rPr>
                <w:sz w:val="20"/>
                <w:szCs w:val="20"/>
                <w:color w:val="auto"/>
              </w:rPr>
            </w:pPr>
            <w:r>
              <w:rPr>
                <w:rFonts w:ascii="Arial" w:cs="Arial" w:eastAsia="Arial" w:hAnsi="Arial"/>
                <w:sz w:val="14"/>
                <w:szCs w:val="14"/>
                <w:color w:val="auto"/>
              </w:rPr>
              <w:t>Latin America</w:t>
            </w:r>
          </w:p>
        </w:tc>
        <w:tc>
          <w:tcPr>
            <w:tcW w:w="10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14,182</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11,819</w:t>
            </w:r>
          </w:p>
        </w:tc>
        <w:tc>
          <w:tcPr>
            <w:tcW w:w="16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1,524</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26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(250)</w:t>
            </w: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1,089</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3040" w:type="dxa"/>
            <w:vAlign w:val="bottom"/>
            <w:gridSpan w:val="3"/>
          </w:tcPr>
          <w:p>
            <w:pPr>
              <w:ind w:left="200"/>
              <w:spacing w:after="0"/>
              <w:rPr>
                <w:sz w:val="20"/>
                <w:szCs w:val="20"/>
                <w:color w:val="auto"/>
              </w:rPr>
            </w:pPr>
            <w:r>
              <w:rPr>
                <w:rFonts w:ascii="Arial" w:cs="Arial" w:eastAsia="Arial" w:hAnsi="Arial"/>
                <w:sz w:val="14"/>
                <w:szCs w:val="14"/>
                <w:color w:val="auto"/>
              </w:rPr>
              <w:t>Exploration</w:t>
            </w:r>
          </w:p>
        </w:tc>
        <w:tc>
          <w:tcPr>
            <w:tcW w:w="100" w:type="dxa"/>
            <w:vAlign w:val="bottom"/>
          </w:tcPr>
          <w:p>
            <w:pPr>
              <w:spacing w:after="0"/>
              <w:rPr>
                <w:sz w:val="15"/>
                <w:szCs w:val="15"/>
                <w:color w:val="auto"/>
              </w:rPr>
            </w:pPr>
          </w:p>
        </w:tc>
        <w:tc>
          <w:tcPr>
            <w:tcW w:w="70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6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60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20" w:type="dxa"/>
            <w:vAlign w:val="bottom"/>
          </w:tcPr>
          <w:p>
            <w:pPr>
              <w:jc w:val="right"/>
              <w:spacing w:after="0"/>
              <w:rPr>
                <w:sz w:val="20"/>
                <w:szCs w:val="20"/>
                <w:color w:val="auto"/>
              </w:rPr>
            </w:pPr>
            <w:r>
              <w:rPr>
                <w:rFonts w:ascii="Arial" w:cs="Arial" w:eastAsia="Arial" w:hAnsi="Arial"/>
                <w:sz w:val="14"/>
                <w:szCs w:val="14"/>
                <w:color w:val="auto"/>
              </w:rPr>
              <w:t>36,279</w:t>
            </w:r>
          </w:p>
        </w:tc>
        <w:tc>
          <w:tcPr>
            <w:tcW w:w="1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10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20" w:type="dxa"/>
            <w:vAlign w:val="bottom"/>
            <w:gridSpan w:val="2"/>
          </w:tcPr>
          <w:p>
            <w:pPr>
              <w:jc w:val="right"/>
              <w:ind w:right="140"/>
              <w:spacing w:after="0"/>
              <w:rPr>
                <w:sz w:val="20"/>
                <w:szCs w:val="20"/>
                <w:color w:val="auto"/>
              </w:rPr>
            </w:pPr>
            <w:r>
              <w:rPr>
                <w:rFonts w:ascii="Arial" w:cs="Arial" w:eastAsia="Arial" w:hAnsi="Arial"/>
                <w:sz w:val="14"/>
                <w:szCs w:val="14"/>
                <w:color w:val="auto"/>
              </w:rPr>
              <w:t>(36,279)</w:t>
            </w:r>
          </w:p>
        </w:tc>
        <w:tc>
          <w:tcPr>
            <w:tcW w:w="0" w:type="dxa"/>
            <w:vAlign w:val="bottom"/>
          </w:tcPr>
          <w:p>
            <w:pPr>
              <w:spacing w:after="0"/>
              <w:rPr>
                <w:sz w:val="1"/>
                <w:szCs w:val="1"/>
                <w:color w:val="auto"/>
              </w:rPr>
            </w:pPr>
          </w:p>
        </w:tc>
      </w:tr>
      <w:tr>
        <w:trPr>
          <w:trHeight w:val="20"/>
        </w:trPr>
        <w:tc>
          <w:tcPr>
            <w:tcW w:w="22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42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1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1"/>
        </w:trPr>
        <w:tc>
          <w:tcPr>
            <w:tcW w:w="220" w:type="dxa"/>
            <w:vAlign w:val="bottom"/>
            <w:shd w:val="clear" w:color="auto" w:fill="CCEEFF"/>
          </w:tcPr>
          <w:p>
            <w:pPr>
              <w:spacing w:after="0"/>
              <w:rPr>
                <w:sz w:val="18"/>
                <w:szCs w:val="18"/>
                <w:color w:val="auto"/>
              </w:rPr>
            </w:pPr>
          </w:p>
        </w:tc>
        <w:tc>
          <w:tcPr>
            <w:tcW w:w="1400" w:type="dxa"/>
            <w:vAlign w:val="bottom"/>
            <w:shd w:val="clear" w:color="auto" w:fill="CCEEFF"/>
          </w:tcPr>
          <w:p>
            <w:pPr>
              <w:spacing w:after="0"/>
              <w:rPr>
                <w:sz w:val="18"/>
                <w:szCs w:val="18"/>
                <w:color w:val="auto"/>
              </w:rPr>
            </w:pPr>
          </w:p>
        </w:tc>
        <w:tc>
          <w:tcPr>
            <w:tcW w:w="142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613,762</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jc w:val="right"/>
              <w:ind w:right="21"/>
              <w:spacing w:after="0"/>
              <w:rPr>
                <w:sz w:val="20"/>
                <w:szCs w:val="20"/>
                <w:color w:val="auto"/>
              </w:rPr>
            </w:pPr>
            <w:r>
              <w:rPr>
                <w:rFonts w:ascii="Arial" w:cs="Arial" w:eastAsia="Arial" w:hAnsi="Arial"/>
                <w:sz w:val="10"/>
                <w:szCs w:val="10"/>
                <w:color w:val="auto"/>
                <w:w w:val="71"/>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306,318</w:t>
            </w:r>
          </w:p>
        </w:tc>
        <w:tc>
          <w:tcPr>
            <w:tcW w:w="460" w:type="dxa"/>
            <w:vAlign w:val="bottom"/>
            <w:gridSpan w:val="2"/>
            <w:shd w:val="clear" w:color="auto" w:fill="CCEEFF"/>
          </w:tcPr>
          <w:p>
            <w:pPr>
              <w:jc w:val="right"/>
              <w:ind w:right="172"/>
              <w:spacing w:after="0"/>
              <w:rPr>
                <w:sz w:val="20"/>
                <w:szCs w:val="20"/>
                <w:color w:val="auto"/>
              </w:rPr>
            </w:pPr>
            <w:r>
              <w:rPr>
                <w:rFonts w:ascii="Arial" w:cs="Arial" w:eastAsia="Arial" w:hAnsi="Arial"/>
                <w:sz w:val="14"/>
                <w:szCs w:val="14"/>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72,461</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8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36,279</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11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39,831</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5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158,873</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3040" w:type="dxa"/>
            <w:vAlign w:val="bottom"/>
            <w:gridSpan w:val="3"/>
            <w:vMerge w:val="restart"/>
          </w:tcPr>
          <w:p>
            <w:pPr>
              <w:ind w:left="200"/>
              <w:spacing w:after="0"/>
              <w:rPr>
                <w:sz w:val="20"/>
                <w:szCs w:val="20"/>
                <w:color w:val="auto"/>
              </w:rPr>
            </w:pPr>
            <w:r>
              <w:rPr>
                <w:rFonts w:ascii="Arial" w:cs="Arial" w:eastAsia="Arial" w:hAnsi="Arial"/>
                <w:sz w:val="14"/>
                <w:szCs w:val="14"/>
                <w:color w:val="auto"/>
              </w:rPr>
              <w:t>Segment income</w:t>
            </w:r>
          </w:p>
        </w:tc>
        <w:tc>
          <w:tcPr>
            <w:tcW w:w="100" w:type="dxa"/>
            <w:vAlign w:val="bottom"/>
            <w:tcBorders>
              <w:bottom w:val="single" w:sz="8" w:color="auto"/>
            </w:tcBorders>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8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1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3040" w:type="dxa"/>
            <w:vAlign w:val="bottom"/>
            <w:gridSpan w:val="3"/>
            <w:vMerge w:val="continue"/>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9"/>
        </w:trPr>
        <w:tc>
          <w:tcPr>
            <w:tcW w:w="3040" w:type="dxa"/>
            <w:vAlign w:val="bottom"/>
            <w:gridSpan w:val="3"/>
            <w:vMerge w:val="continue"/>
          </w:tcPr>
          <w:p>
            <w:pPr>
              <w:spacing w:after="0"/>
              <w:rPr>
                <w:sz w:val="11"/>
                <w:szCs w:val="11"/>
                <w:color w:val="auto"/>
              </w:rPr>
            </w:pPr>
          </w:p>
        </w:tc>
        <w:tc>
          <w:tcPr>
            <w:tcW w:w="10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1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00" w:type="dxa"/>
            <w:vAlign w:val="bottom"/>
          </w:tcPr>
          <w:p>
            <w:pPr>
              <w:jc w:val="right"/>
              <w:spacing w:after="0" w:line="129" w:lineRule="exact"/>
              <w:rPr>
                <w:sz w:val="20"/>
                <w:szCs w:val="20"/>
                <w:color w:val="auto"/>
              </w:rPr>
            </w:pPr>
            <w:r>
              <w:rPr>
                <w:rFonts w:ascii="Arial" w:cs="Arial" w:eastAsia="Arial" w:hAnsi="Arial"/>
                <w:sz w:val="14"/>
                <w:szCs w:val="14"/>
                <w:color w:val="auto"/>
                <w:w w:val="76"/>
              </w:rPr>
              <w:t>$</w:t>
            </w:r>
          </w:p>
        </w:tc>
        <w:tc>
          <w:tcPr>
            <w:tcW w:w="560" w:type="dxa"/>
            <w:vAlign w:val="bottom"/>
          </w:tcPr>
          <w:p>
            <w:pPr>
              <w:jc w:val="right"/>
              <w:spacing w:after="0" w:line="129" w:lineRule="exact"/>
              <w:rPr>
                <w:sz w:val="20"/>
                <w:szCs w:val="20"/>
                <w:color w:val="auto"/>
              </w:rPr>
            </w:pPr>
            <w:r>
              <w:rPr>
                <w:rFonts w:ascii="Arial" w:cs="Arial" w:eastAsia="Arial" w:hAnsi="Arial"/>
                <w:sz w:val="14"/>
                <w:szCs w:val="14"/>
                <w:color w:val="auto"/>
              </w:rPr>
              <w:t>158,873</w:t>
            </w: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3040" w:type="dxa"/>
            <w:vAlign w:val="bottom"/>
            <w:gridSpan w:val="3"/>
            <w:shd w:val="clear" w:color="auto" w:fill="CCEEFF"/>
          </w:tcPr>
          <w:p>
            <w:pPr>
              <w:ind w:left="200"/>
              <w:spacing w:after="0" w:line="149" w:lineRule="exact"/>
              <w:rPr>
                <w:sz w:val="20"/>
                <w:szCs w:val="20"/>
                <w:color w:val="auto"/>
              </w:rPr>
            </w:pPr>
            <w:r>
              <w:rPr>
                <w:rFonts w:ascii="Arial" w:cs="Arial" w:eastAsia="Arial" w:hAnsi="Arial"/>
                <w:sz w:val="14"/>
                <w:szCs w:val="14"/>
                <w:color w:val="auto"/>
              </w:rPr>
              <w:t>Corporate and Other</w:t>
            </w:r>
          </w:p>
        </w:tc>
        <w:tc>
          <w:tcPr>
            <w:tcW w:w="10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20" w:type="dxa"/>
            <w:vAlign w:val="bottom"/>
          </w:tcPr>
          <w:p>
            <w:pPr>
              <w:spacing w:after="0"/>
              <w:rPr>
                <w:sz w:val="12"/>
                <w:szCs w:val="12"/>
                <w:color w:val="auto"/>
              </w:rPr>
            </w:pPr>
          </w:p>
        </w:tc>
        <w:tc>
          <w:tcPr>
            <w:tcW w:w="2820" w:type="dxa"/>
            <w:vAlign w:val="bottom"/>
            <w:gridSpan w:val="2"/>
          </w:tcPr>
          <w:p>
            <w:pPr>
              <w:ind w:left="120"/>
              <w:spacing w:after="0" w:line="149" w:lineRule="exact"/>
              <w:rPr>
                <w:sz w:val="20"/>
                <w:szCs w:val="20"/>
                <w:color w:val="auto"/>
              </w:rPr>
            </w:pPr>
            <w:r>
              <w:rPr>
                <w:rFonts w:ascii="Arial" w:cs="Arial" w:eastAsia="Arial" w:hAnsi="Arial"/>
                <w:sz w:val="14"/>
                <w:szCs w:val="14"/>
                <w:color w:val="auto"/>
              </w:rPr>
              <w:t>Interest and sundry income</w:t>
            </w:r>
          </w:p>
        </w:tc>
        <w:tc>
          <w:tcPr>
            <w:tcW w:w="10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16,172</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20" w:type="dxa"/>
            <w:vAlign w:val="bottom"/>
            <w:shd w:val="clear" w:color="auto" w:fill="CCEEFF"/>
          </w:tcPr>
          <w:p>
            <w:pPr>
              <w:spacing w:after="0"/>
              <w:rPr>
                <w:sz w:val="12"/>
                <w:szCs w:val="12"/>
                <w:color w:val="auto"/>
              </w:rPr>
            </w:pPr>
          </w:p>
        </w:tc>
        <w:tc>
          <w:tcPr>
            <w:tcW w:w="2820" w:type="dxa"/>
            <w:vAlign w:val="bottom"/>
            <w:gridSpan w:val="2"/>
            <w:shd w:val="clear" w:color="auto" w:fill="CCEEFF"/>
          </w:tcPr>
          <w:p>
            <w:pPr>
              <w:ind w:left="120"/>
              <w:spacing w:after="0" w:line="149" w:lineRule="exact"/>
              <w:rPr>
                <w:sz w:val="20"/>
                <w:szCs w:val="20"/>
                <w:color w:val="auto"/>
              </w:rPr>
            </w:pPr>
            <w:r>
              <w:rPr>
                <w:rFonts w:ascii="Arial" w:cs="Arial" w:eastAsia="Arial" w:hAnsi="Arial"/>
                <w:sz w:val="14"/>
                <w:szCs w:val="14"/>
                <w:color w:val="auto"/>
              </w:rPr>
              <w:t>Gain on sale of available-for-sale securities</w:t>
            </w:r>
          </w:p>
        </w:tc>
        <w:tc>
          <w:tcPr>
            <w:tcW w:w="10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10,142</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20" w:type="dxa"/>
            <w:vAlign w:val="bottom"/>
          </w:tcPr>
          <w:p>
            <w:pPr>
              <w:spacing w:after="0"/>
              <w:rPr>
                <w:sz w:val="12"/>
                <w:szCs w:val="12"/>
                <w:color w:val="auto"/>
              </w:rPr>
            </w:pPr>
          </w:p>
        </w:tc>
        <w:tc>
          <w:tcPr>
            <w:tcW w:w="2820" w:type="dxa"/>
            <w:vAlign w:val="bottom"/>
            <w:gridSpan w:val="2"/>
          </w:tcPr>
          <w:p>
            <w:pPr>
              <w:ind w:left="120"/>
              <w:spacing w:after="0" w:line="149" w:lineRule="exact"/>
              <w:rPr>
                <w:sz w:val="20"/>
                <w:szCs w:val="20"/>
                <w:color w:val="auto"/>
              </w:rPr>
            </w:pPr>
            <w:r>
              <w:rPr>
                <w:rFonts w:ascii="Arial" w:cs="Arial" w:eastAsia="Arial" w:hAnsi="Arial"/>
                <w:sz w:val="14"/>
                <w:szCs w:val="14"/>
                <w:color w:val="auto"/>
              </w:rPr>
              <w:t>General and administrative</w:t>
            </w:r>
          </w:p>
        </w:tc>
        <w:tc>
          <w:tcPr>
            <w:tcW w:w="10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(63,687)</w:t>
            </w:r>
          </w:p>
        </w:tc>
        <w:tc>
          <w:tcPr>
            <w:tcW w:w="0" w:type="dxa"/>
            <w:vAlign w:val="bottom"/>
          </w:tcPr>
          <w:p>
            <w:pPr>
              <w:spacing w:after="0"/>
              <w:rPr>
                <w:sz w:val="1"/>
                <w:szCs w:val="1"/>
                <w:color w:val="auto"/>
              </w:rPr>
            </w:pPr>
          </w:p>
        </w:tc>
      </w:tr>
      <w:tr>
        <w:trPr>
          <w:trHeight w:val="149"/>
        </w:trPr>
        <w:tc>
          <w:tcPr>
            <w:tcW w:w="220" w:type="dxa"/>
            <w:vAlign w:val="bottom"/>
            <w:shd w:val="clear" w:color="auto" w:fill="CCEEFF"/>
          </w:tcPr>
          <w:p>
            <w:pPr>
              <w:spacing w:after="0"/>
              <w:rPr>
                <w:sz w:val="12"/>
                <w:szCs w:val="12"/>
                <w:color w:val="auto"/>
              </w:rPr>
            </w:pPr>
          </w:p>
        </w:tc>
        <w:tc>
          <w:tcPr>
            <w:tcW w:w="2820" w:type="dxa"/>
            <w:vAlign w:val="bottom"/>
            <w:gridSpan w:val="2"/>
            <w:shd w:val="clear" w:color="auto" w:fill="CCEEFF"/>
          </w:tcPr>
          <w:p>
            <w:pPr>
              <w:ind w:left="120"/>
              <w:spacing w:after="0" w:line="149" w:lineRule="exact"/>
              <w:rPr>
                <w:sz w:val="20"/>
                <w:szCs w:val="20"/>
                <w:color w:val="auto"/>
              </w:rPr>
            </w:pPr>
            <w:r>
              <w:rPr>
                <w:rFonts w:ascii="Arial" w:cs="Arial" w:eastAsia="Arial" w:hAnsi="Arial"/>
                <w:sz w:val="14"/>
                <w:szCs w:val="14"/>
                <w:color w:val="auto"/>
              </w:rPr>
              <w:t>Provincial capital tax</w:t>
            </w:r>
          </w:p>
        </w:tc>
        <w:tc>
          <w:tcPr>
            <w:tcW w:w="10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(5,014)</w:t>
            </w:r>
          </w:p>
        </w:tc>
        <w:tc>
          <w:tcPr>
            <w:tcW w:w="0" w:type="dxa"/>
            <w:vAlign w:val="bottom"/>
          </w:tcPr>
          <w:p>
            <w:pPr>
              <w:spacing w:after="0"/>
              <w:rPr>
                <w:sz w:val="1"/>
                <w:szCs w:val="1"/>
                <w:color w:val="auto"/>
              </w:rPr>
            </w:pPr>
          </w:p>
        </w:tc>
      </w:tr>
      <w:tr>
        <w:trPr>
          <w:trHeight w:val="174"/>
        </w:trPr>
        <w:tc>
          <w:tcPr>
            <w:tcW w:w="220" w:type="dxa"/>
            <w:vAlign w:val="bottom"/>
          </w:tcPr>
          <w:p>
            <w:pPr>
              <w:spacing w:after="0"/>
              <w:rPr>
                <w:sz w:val="15"/>
                <w:szCs w:val="15"/>
                <w:color w:val="auto"/>
              </w:rPr>
            </w:pPr>
          </w:p>
        </w:tc>
        <w:tc>
          <w:tcPr>
            <w:tcW w:w="2820" w:type="dxa"/>
            <w:vAlign w:val="bottom"/>
            <w:gridSpan w:val="2"/>
          </w:tcPr>
          <w:p>
            <w:pPr>
              <w:ind w:left="120"/>
              <w:spacing w:after="0"/>
              <w:rPr>
                <w:sz w:val="20"/>
                <w:szCs w:val="20"/>
                <w:color w:val="auto"/>
              </w:rPr>
            </w:pPr>
            <w:r>
              <w:rPr>
                <w:rFonts w:ascii="Arial" w:cs="Arial" w:eastAsia="Arial" w:hAnsi="Arial"/>
                <w:sz w:val="14"/>
                <w:szCs w:val="14"/>
                <w:color w:val="auto"/>
              </w:rPr>
              <w:t>Interest expense</w:t>
            </w:r>
          </w:p>
        </w:tc>
        <w:tc>
          <w:tcPr>
            <w:tcW w:w="100" w:type="dxa"/>
            <w:vAlign w:val="bottom"/>
          </w:tcPr>
          <w:p>
            <w:pPr>
              <w:spacing w:after="0"/>
              <w:rPr>
                <w:sz w:val="15"/>
                <w:szCs w:val="15"/>
                <w:color w:val="auto"/>
              </w:rPr>
            </w:pPr>
          </w:p>
        </w:tc>
        <w:tc>
          <w:tcPr>
            <w:tcW w:w="7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6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1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20" w:type="dxa"/>
            <w:vAlign w:val="bottom"/>
            <w:gridSpan w:val="2"/>
          </w:tcPr>
          <w:p>
            <w:pPr>
              <w:jc w:val="right"/>
              <w:ind w:right="140"/>
              <w:spacing w:after="0"/>
              <w:rPr>
                <w:sz w:val="20"/>
                <w:szCs w:val="20"/>
                <w:color w:val="auto"/>
              </w:rPr>
            </w:pPr>
            <w:r>
              <w:rPr>
                <w:rFonts w:ascii="Arial" w:cs="Arial" w:eastAsia="Arial" w:hAnsi="Arial"/>
                <w:sz w:val="14"/>
                <w:szCs w:val="14"/>
                <w:color w:val="auto"/>
              </w:rPr>
              <w:t>(8,448)</w:t>
            </w:r>
          </w:p>
        </w:tc>
        <w:tc>
          <w:tcPr>
            <w:tcW w:w="0" w:type="dxa"/>
            <w:vAlign w:val="bottom"/>
          </w:tcPr>
          <w:p>
            <w:pPr>
              <w:spacing w:after="0"/>
              <w:rPr>
                <w:sz w:val="1"/>
                <w:szCs w:val="1"/>
                <w:color w:val="auto"/>
              </w:rPr>
            </w:pPr>
          </w:p>
        </w:tc>
      </w:tr>
      <w:tr>
        <w:trPr>
          <w:trHeight w:val="144"/>
        </w:trPr>
        <w:tc>
          <w:tcPr>
            <w:tcW w:w="3840" w:type="dxa"/>
            <w:vAlign w:val="bottom"/>
            <w:gridSpan w:val="5"/>
            <w:shd w:val="clear" w:color="auto" w:fill="CCEEFF"/>
          </w:tcPr>
          <w:p>
            <w:pPr>
              <w:ind w:left="200"/>
              <w:spacing w:after="0" w:line="144" w:lineRule="exact"/>
              <w:rPr>
                <w:sz w:val="20"/>
                <w:szCs w:val="20"/>
                <w:color w:val="auto"/>
              </w:rPr>
            </w:pPr>
            <w:r>
              <w:rPr>
                <w:rFonts w:ascii="Arial" w:cs="Arial" w:eastAsia="Arial" w:hAnsi="Arial"/>
                <w:sz w:val="14"/>
                <w:szCs w:val="14"/>
                <w:b w:val="1"/>
                <w:bCs w:val="1"/>
                <w:color w:val="auto"/>
                <w:w w:val="98"/>
              </w:rPr>
              <w:t>Income before income, mining and federal capital taxes</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0" w:type="dxa"/>
            <w:vAlign w:val="bottom"/>
            <w:tcBorders>
              <w:top w:val="single" w:sz="8" w:color="auto"/>
            </w:tcBorders>
            <w:shd w:val="clear" w:color="auto" w:fill="CCEEFF"/>
          </w:tcPr>
          <w:p>
            <w:pPr>
              <w:jc w:val="right"/>
              <w:spacing w:after="0" w:line="144" w:lineRule="exact"/>
              <w:rPr>
                <w:sz w:val="20"/>
                <w:szCs w:val="20"/>
                <w:color w:val="auto"/>
              </w:rPr>
            </w:pPr>
            <w:r>
              <w:rPr>
                <w:rFonts w:ascii="Arial" w:cs="Arial" w:eastAsia="Arial" w:hAnsi="Arial"/>
                <w:sz w:val="14"/>
                <w:szCs w:val="14"/>
                <w:color w:val="auto"/>
                <w:w w:val="76"/>
              </w:rPr>
              <w:t>$</w:t>
            </w:r>
          </w:p>
        </w:tc>
        <w:tc>
          <w:tcPr>
            <w:tcW w:w="560" w:type="dxa"/>
            <w:vAlign w:val="bottom"/>
            <w:tcBorders>
              <w:top w:val="single" w:sz="8" w:color="auto"/>
            </w:tcBorders>
            <w:shd w:val="clear" w:color="auto" w:fill="CCEEFF"/>
          </w:tcPr>
          <w:p>
            <w:pPr>
              <w:jc w:val="right"/>
              <w:spacing w:after="0" w:line="144" w:lineRule="exact"/>
              <w:rPr>
                <w:sz w:val="20"/>
                <w:szCs w:val="20"/>
                <w:color w:val="auto"/>
              </w:rPr>
            </w:pPr>
            <w:r>
              <w:rPr>
                <w:rFonts w:ascii="Arial" w:cs="Arial" w:eastAsia="Arial" w:hAnsi="Arial"/>
                <w:sz w:val="14"/>
                <w:szCs w:val="14"/>
                <w:color w:val="auto"/>
              </w:rPr>
              <w:t>108,038</w:t>
            </w:r>
          </w:p>
        </w:tc>
        <w:tc>
          <w:tcPr>
            <w:tcW w:w="1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7"/>
        </w:trPr>
        <w:tc>
          <w:tcPr>
            <w:tcW w:w="220" w:type="dxa"/>
            <w:vAlign w:val="bottom"/>
          </w:tcPr>
          <w:p>
            <w:pPr>
              <w:spacing w:after="0"/>
              <w:rPr>
                <w:sz w:val="2"/>
                <w:szCs w:val="2"/>
                <w:color w:val="auto"/>
              </w:rPr>
            </w:pPr>
          </w:p>
        </w:tc>
        <w:tc>
          <w:tcPr>
            <w:tcW w:w="1400" w:type="dxa"/>
            <w:vAlign w:val="bottom"/>
          </w:tcPr>
          <w:p>
            <w:pPr>
              <w:spacing w:after="0"/>
              <w:rPr>
                <w:sz w:val="2"/>
                <w:szCs w:val="2"/>
                <w:color w:val="auto"/>
              </w:rPr>
            </w:pPr>
          </w:p>
        </w:tc>
        <w:tc>
          <w:tcPr>
            <w:tcW w:w="1420" w:type="dxa"/>
            <w:vAlign w:val="bottom"/>
          </w:tcPr>
          <w:p>
            <w:pPr>
              <w:spacing w:after="0"/>
              <w:rPr>
                <w:sz w:val="2"/>
                <w:szCs w:val="2"/>
                <w:color w:val="auto"/>
              </w:rPr>
            </w:pPr>
          </w:p>
        </w:tc>
        <w:tc>
          <w:tcPr>
            <w:tcW w:w="100" w:type="dxa"/>
            <w:vAlign w:val="bottom"/>
          </w:tcPr>
          <w:p>
            <w:pPr>
              <w:spacing w:after="0"/>
              <w:rPr>
                <w:sz w:val="2"/>
                <w:szCs w:val="2"/>
                <w:color w:val="auto"/>
              </w:rPr>
            </w:pPr>
          </w:p>
        </w:tc>
        <w:tc>
          <w:tcPr>
            <w:tcW w:w="700" w:type="dxa"/>
            <w:vAlign w:val="bottom"/>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Pr>
          <w:p>
            <w:pPr>
              <w:spacing w:after="0"/>
              <w:rPr>
                <w:sz w:val="2"/>
                <w:szCs w:val="2"/>
                <w:color w:val="auto"/>
              </w:rPr>
            </w:pPr>
          </w:p>
        </w:tc>
        <w:tc>
          <w:tcPr>
            <w:tcW w:w="660" w:type="dxa"/>
            <w:vAlign w:val="bottom"/>
          </w:tcPr>
          <w:p>
            <w:pPr>
              <w:spacing w:after="0"/>
              <w:rPr>
                <w:sz w:val="2"/>
                <w:szCs w:val="2"/>
                <w:color w:val="auto"/>
              </w:rPr>
            </w:pPr>
          </w:p>
        </w:tc>
        <w:tc>
          <w:tcPr>
            <w:tcW w:w="160" w:type="dxa"/>
            <w:vAlign w:val="bottom"/>
          </w:tcPr>
          <w:p>
            <w:pPr>
              <w:spacing w:after="0"/>
              <w:rPr>
                <w:sz w:val="2"/>
                <w:szCs w:val="2"/>
                <w:color w:val="auto"/>
              </w:rPr>
            </w:pPr>
          </w:p>
        </w:tc>
        <w:tc>
          <w:tcPr>
            <w:tcW w:w="300" w:type="dxa"/>
            <w:vAlign w:val="bottom"/>
          </w:tcPr>
          <w:p>
            <w:pPr>
              <w:spacing w:after="0"/>
              <w:rPr>
                <w:sz w:val="2"/>
                <w:szCs w:val="2"/>
                <w:color w:val="auto"/>
              </w:rPr>
            </w:pPr>
          </w:p>
        </w:tc>
        <w:tc>
          <w:tcPr>
            <w:tcW w:w="600" w:type="dxa"/>
            <w:vAlign w:val="bottom"/>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Pr>
          <w:p>
            <w:pPr>
              <w:spacing w:after="0"/>
              <w:rPr>
                <w:sz w:val="2"/>
                <w:szCs w:val="2"/>
                <w:color w:val="auto"/>
              </w:rPr>
            </w:pPr>
          </w:p>
        </w:tc>
        <w:tc>
          <w:tcPr>
            <w:tcW w:w="820" w:type="dxa"/>
            <w:vAlign w:val="bottom"/>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Pr>
          <w:p>
            <w:pPr>
              <w:spacing w:after="0"/>
              <w:rPr>
                <w:sz w:val="2"/>
                <w:szCs w:val="2"/>
                <w:color w:val="auto"/>
              </w:rPr>
            </w:pPr>
          </w:p>
        </w:tc>
        <w:tc>
          <w:tcPr>
            <w:tcW w:w="1100" w:type="dxa"/>
            <w:vAlign w:val="bottom"/>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22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4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type w:val="continuous"/>
        </w:sectPr>
      </w:pPr>
    </w:p>
    <w:bookmarkStart w:id="219" w:name="page220"/>
    <w:bookmarkEnd w:id="219"/>
    <w:p>
      <w:pPr>
        <w:jc w:val="center"/>
        <w:ind w:right="-1019"/>
        <w:spacing w:after="0"/>
        <w:rPr>
          <w:sz w:val="20"/>
          <w:szCs w:val="20"/>
          <w:color w:val="auto"/>
        </w:rPr>
      </w:pPr>
      <w:r>
        <w:rPr>
          <w:rFonts w:ascii="Arial" w:cs="Arial" w:eastAsia="Arial" w:hAnsi="Arial"/>
          <w:sz w:val="18"/>
          <w:szCs w:val="18"/>
          <w:b w:val="1"/>
          <w:bCs w:val="1"/>
          <w:color w:val="auto"/>
        </w:rPr>
        <w:t>AGNICO-EAGLE MINES LIMITED</w:t>
      </w:r>
    </w:p>
    <w:p>
      <w:pPr>
        <w:spacing w:after="0" w:line="225" w:lineRule="exact"/>
        <w:rPr>
          <w:sz w:val="20"/>
          <w:szCs w:val="20"/>
          <w:color w:val="auto"/>
        </w:rPr>
      </w:pPr>
    </w:p>
    <w:p>
      <w:pPr>
        <w:jc w:val="center"/>
        <w:ind w:right="-1019"/>
        <w:spacing w:after="0"/>
        <w:rPr>
          <w:sz w:val="20"/>
          <w:szCs w:val="20"/>
          <w:color w:val="auto"/>
        </w:rPr>
      </w:pPr>
      <w:r>
        <w:rPr>
          <w:rFonts w:ascii="Arial" w:cs="Arial" w:eastAsia="Arial" w:hAnsi="Arial"/>
          <w:sz w:val="18"/>
          <w:szCs w:val="18"/>
          <w:b w:val="1"/>
          <w:bCs w:val="1"/>
          <w:color w:val="auto"/>
        </w:rPr>
        <w:t>NOTES TO CONSOLIDATED FINANCIAL STATEMENTS (Continued)</w:t>
      </w:r>
    </w:p>
    <w:p>
      <w:pPr>
        <w:spacing w:after="0" w:line="225" w:lineRule="exact"/>
        <w:rPr>
          <w:sz w:val="20"/>
          <w:szCs w:val="20"/>
          <w:color w:val="auto"/>
        </w:rPr>
      </w:pPr>
    </w:p>
    <w:p>
      <w:pPr>
        <w:jc w:val="center"/>
        <w:ind w:right="-1019"/>
        <w:spacing w:after="0"/>
        <w:rPr>
          <w:sz w:val="20"/>
          <w:szCs w:val="20"/>
          <w:color w:val="auto"/>
        </w:rPr>
      </w:pPr>
      <w:r>
        <w:rPr>
          <w:rFonts w:ascii="Arial" w:cs="Arial" w:eastAsia="Arial" w:hAnsi="Arial"/>
          <w:sz w:val="18"/>
          <w:szCs w:val="18"/>
          <w:b w:val="1"/>
          <w:bCs w:val="1"/>
          <w:color w:val="auto"/>
        </w:rPr>
        <w:t>(thousands of United States dollars, except per share amounts, unless otherwise indicated)</w:t>
      </w:r>
    </w:p>
    <w:p>
      <w:pPr>
        <w:spacing w:after="0" w:line="21" w:lineRule="exact"/>
        <w:rPr>
          <w:sz w:val="20"/>
          <w:szCs w:val="20"/>
          <w:color w:val="auto"/>
        </w:rPr>
      </w:pPr>
    </w:p>
    <w:p>
      <w:pPr>
        <w:jc w:val="center"/>
        <w:ind w:right="-1019"/>
        <w:spacing w:after="0"/>
        <w:rPr>
          <w:sz w:val="20"/>
          <w:szCs w:val="20"/>
          <w:color w:val="auto"/>
        </w:rPr>
      </w:pPr>
      <w:r>
        <w:rPr>
          <w:rFonts w:ascii="Arial" w:cs="Arial" w:eastAsia="Arial" w:hAnsi="Arial"/>
          <w:sz w:val="18"/>
          <w:szCs w:val="18"/>
          <w:b w:val="1"/>
          <w:bCs w:val="1"/>
          <w:color w:val="auto"/>
        </w:rPr>
        <w:t>December 31, 2009</w:t>
      </w:r>
    </w:p>
    <w:p>
      <w:pPr>
        <w:spacing w:after="0" w:line="214" w:lineRule="exact"/>
        <w:rPr>
          <w:sz w:val="20"/>
          <w:szCs w:val="20"/>
          <w:color w:val="auto"/>
        </w:rPr>
      </w:pPr>
    </w:p>
    <w:tbl>
      <w:tblPr>
        <w:tblLayout w:type="fixed"/>
        <w:tblInd w:w="0" w:type="dxa"/>
        <w:tblCellMar>
          <w:top w:w="0" w:type="dxa"/>
          <w:left w:w="0" w:type="dxa"/>
          <w:bottom w:w="0" w:type="dxa"/>
          <w:right w:w="0" w:type="dxa"/>
        </w:tblCellMar>
      </w:tblPr>
      <w:tr>
        <w:trPr>
          <w:trHeight w:val="174"/>
        </w:trPr>
        <w:tc>
          <w:tcPr>
            <w:tcW w:w="4200" w:type="dxa"/>
            <w:vAlign w:val="bottom"/>
            <w:gridSpan w:val="4"/>
          </w:tcPr>
          <w:p>
            <w:pPr>
              <w:spacing w:after="0"/>
              <w:rPr>
                <w:sz w:val="20"/>
                <w:szCs w:val="20"/>
                <w:color w:val="auto"/>
              </w:rPr>
            </w:pPr>
            <w:r>
              <w:rPr>
                <w:rFonts w:ascii="Arial" w:cs="Arial" w:eastAsia="Arial" w:hAnsi="Arial"/>
                <w:sz w:val="14"/>
                <w:szCs w:val="14"/>
                <w:b w:val="1"/>
                <w:bCs w:val="1"/>
                <w:color w:val="auto"/>
              </w:rPr>
              <w:t>16.  SEGMENTED INFORMATION (Continued)</w:t>
            </w:r>
          </w:p>
        </w:tc>
        <w:tc>
          <w:tcPr>
            <w:tcW w:w="100" w:type="dxa"/>
            <w:vAlign w:val="bottom"/>
          </w:tcPr>
          <w:p>
            <w:pPr>
              <w:spacing w:after="0"/>
              <w:rPr>
                <w:sz w:val="15"/>
                <w:szCs w:val="15"/>
                <w:color w:val="auto"/>
              </w:rPr>
            </w:pPr>
          </w:p>
        </w:tc>
        <w:tc>
          <w:tcPr>
            <w:tcW w:w="7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6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339"/>
        </w:trPr>
        <w:tc>
          <w:tcPr>
            <w:tcW w:w="11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00" w:type="dxa"/>
            <w:vAlign w:val="bottom"/>
          </w:tcPr>
          <w:p>
            <w:pPr>
              <w:jc w:val="center"/>
              <w:ind w:right="52"/>
              <w:spacing w:after="0"/>
              <w:rPr>
                <w:sz w:val="20"/>
                <w:szCs w:val="20"/>
                <w:color w:val="auto"/>
              </w:rPr>
            </w:pPr>
            <w:r>
              <w:rPr>
                <w:rFonts w:ascii="Arial" w:cs="Arial" w:eastAsia="Arial" w:hAnsi="Arial"/>
                <w:sz w:val="14"/>
                <w:szCs w:val="14"/>
                <w:b w:val="1"/>
                <w:bCs w:val="1"/>
                <w:color w:val="auto"/>
                <w:w w:val="81"/>
              </w:rPr>
              <w:t>Revenues</w:t>
            </w:r>
          </w:p>
        </w:tc>
        <w:tc>
          <w:tcPr>
            <w:tcW w:w="1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400" w:type="dxa"/>
            <w:vAlign w:val="bottom"/>
          </w:tcPr>
          <w:p>
            <w:pPr>
              <w:spacing w:after="0"/>
              <w:rPr>
                <w:sz w:val="12"/>
                <w:szCs w:val="12"/>
                <w:color w:val="auto"/>
              </w:rPr>
            </w:pPr>
          </w:p>
        </w:tc>
        <w:tc>
          <w:tcPr>
            <w:tcW w:w="14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00" w:type="dxa"/>
            <w:vAlign w:val="bottom"/>
          </w:tcPr>
          <w:p>
            <w:pPr>
              <w:jc w:val="center"/>
              <w:ind w:right="72"/>
              <w:spacing w:after="0" w:line="149" w:lineRule="exact"/>
              <w:rPr>
                <w:sz w:val="20"/>
                <w:szCs w:val="20"/>
                <w:color w:val="auto"/>
              </w:rPr>
            </w:pPr>
            <w:r>
              <w:rPr>
                <w:rFonts w:ascii="Arial" w:cs="Arial" w:eastAsia="Arial" w:hAnsi="Arial"/>
                <w:sz w:val="14"/>
                <w:szCs w:val="14"/>
                <w:b w:val="1"/>
                <w:bCs w:val="1"/>
                <w:color w:val="auto"/>
                <w:w w:val="89"/>
              </w:rPr>
              <w:t>from</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gridSpan w:val="4"/>
          </w:tcPr>
          <w:p>
            <w:pPr>
              <w:jc w:val="center"/>
              <w:ind w:right="260"/>
              <w:spacing w:after="0" w:line="149" w:lineRule="exact"/>
              <w:rPr>
                <w:sz w:val="20"/>
                <w:szCs w:val="20"/>
                <w:color w:val="auto"/>
              </w:rPr>
            </w:pPr>
            <w:r>
              <w:rPr>
                <w:rFonts w:ascii="Arial" w:cs="Arial" w:eastAsia="Arial" w:hAnsi="Arial"/>
                <w:sz w:val="14"/>
                <w:szCs w:val="14"/>
                <w:b w:val="1"/>
                <w:bCs w:val="1"/>
                <w:color w:val="auto"/>
                <w:w w:val="88"/>
              </w:rPr>
              <w:t>Exploration</w:t>
            </w:r>
          </w:p>
        </w:tc>
        <w:tc>
          <w:tcPr>
            <w:tcW w:w="1320" w:type="dxa"/>
            <w:vAlign w:val="bottom"/>
            <w:gridSpan w:val="6"/>
          </w:tcPr>
          <w:p>
            <w:pPr>
              <w:jc w:val="center"/>
              <w:ind w:right="160"/>
              <w:spacing w:after="0" w:line="149" w:lineRule="exact"/>
              <w:rPr>
                <w:sz w:val="20"/>
                <w:szCs w:val="20"/>
                <w:color w:val="auto"/>
              </w:rPr>
            </w:pPr>
            <w:r>
              <w:rPr>
                <w:rFonts w:ascii="Arial" w:cs="Arial" w:eastAsia="Arial" w:hAnsi="Arial"/>
                <w:sz w:val="14"/>
                <w:szCs w:val="14"/>
                <w:b w:val="1"/>
                <w:bCs w:val="1"/>
                <w:color w:val="auto"/>
                <w:w w:val="89"/>
              </w:rPr>
              <w:t>Foreign Currency</w:t>
            </w:r>
          </w:p>
        </w:tc>
        <w:tc>
          <w:tcPr>
            <w:tcW w:w="20" w:type="dxa"/>
            <w:vAlign w:val="bottom"/>
          </w:tcPr>
          <w:p>
            <w:pPr>
              <w:spacing w:after="0"/>
              <w:rPr>
                <w:sz w:val="12"/>
                <w:szCs w:val="12"/>
                <w:color w:val="auto"/>
              </w:rPr>
            </w:pPr>
          </w:p>
        </w:tc>
        <w:tc>
          <w:tcPr>
            <w:tcW w:w="820" w:type="dxa"/>
            <w:vAlign w:val="bottom"/>
            <w:gridSpan w:val="4"/>
          </w:tcPr>
          <w:p>
            <w:pPr>
              <w:jc w:val="center"/>
              <w:ind w:right="180"/>
              <w:spacing w:after="0" w:line="149" w:lineRule="exact"/>
              <w:rPr>
                <w:sz w:val="20"/>
                <w:szCs w:val="20"/>
                <w:color w:val="auto"/>
              </w:rPr>
            </w:pPr>
            <w:r>
              <w:rPr>
                <w:rFonts w:ascii="Arial" w:cs="Arial" w:eastAsia="Arial" w:hAnsi="Arial"/>
                <w:sz w:val="14"/>
                <w:szCs w:val="14"/>
                <w:b w:val="1"/>
                <w:bCs w:val="1"/>
                <w:color w:val="auto"/>
                <w:w w:val="81"/>
              </w:rPr>
              <w:t>Segment</w:t>
            </w: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3040" w:type="dxa"/>
            <w:vAlign w:val="bottom"/>
            <w:gridSpan w:val="3"/>
          </w:tcPr>
          <w:p>
            <w:pPr>
              <w:ind w:left="200"/>
              <w:spacing w:after="0" w:line="149" w:lineRule="exact"/>
              <w:rPr>
                <w:sz w:val="20"/>
                <w:szCs w:val="20"/>
                <w:color w:val="auto"/>
              </w:rPr>
            </w:pPr>
            <w:r>
              <w:rPr>
                <w:rFonts w:ascii="Arial" w:cs="Arial" w:eastAsia="Arial" w:hAnsi="Arial"/>
                <w:sz w:val="14"/>
                <w:szCs w:val="14"/>
                <w:b w:val="1"/>
                <w:bCs w:val="1"/>
                <w:color w:val="auto"/>
              </w:rPr>
              <w:t>Twelve Months Ended</w:t>
            </w:r>
          </w:p>
        </w:tc>
        <w:tc>
          <w:tcPr>
            <w:tcW w:w="100" w:type="dxa"/>
            <w:vAlign w:val="bottom"/>
          </w:tcPr>
          <w:p>
            <w:pPr>
              <w:spacing w:after="0"/>
              <w:rPr>
                <w:sz w:val="12"/>
                <w:szCs w:val="12"/>
                <w:color w:val="auto"/>
              </w:rPr>
            </w:pPr>
          </w:p>
        </w:tc>
        <w:tc>
          <w:tcPr>
            <w:tcW w:w="700" w:type="dxa"/>
            <w:vAlign w:val="bottom"/>
          </w:tcPr>
          <w:p>
            <w:pPr>
              <w:jc w:val="center"/>
              <w:ind w:right="52"/>
              <w:spacing w:after="0" w:line="149" w:lineRule="exact"/>
              <w:rPr>
                <w:sz w:val="20"/>
                <w:szCs w:val="20"/>
                <w:color w:val="auto"/>
              </w:rPr>
            </w:pPr>
            <w:r>
              <w:rPr>
                <w:rFonts w:ascii="Arial" w:cs="Arial" w:eastAsia="Arial" w:hAnsi="Arial"/>
                <w:sz w:val="14"/>
                <w:szCs w:val="14"/>
                <w:b w:val="1"/>
                <w:bCs w:val="1"/>
                <w:color w:val="auto"/>
                <w:w w:val="93"/>
              </w:rPr>
              <w:t>Mining</w:t>
            </w:r>
          </w:p>
        </w:tc>
        <w:tc>
          <w:tcPr>
            <w:tcW w:w="160" w:type="dxa"/>
            <w:vAlign w:val="bottom"/>
          </w:tcPr>
          <w:p>
            <w:pPr>
              <w:spacing w:after="0"/>
              <w:rPr>
                <w:sz w:val="12"/>
                <w:szCs w:val="12"/>
                <w:color w:val="auto"/>
              </w:rPr>
            </w:pPr>
          </w:p>
        </w:tc>
        <w:tc>
          <w:tcPr>
            <w:tcW w:w="800" w:type="dxa"/>
            <w:vAlign w:val="bottom"/>
            <w:gridSpan w:val="2"/>
          </w:tcPr>
          <w:p>
            <w:pPr>
              <w:jc w:val="center"/>
              <w:spacing w:after="0" w:line="149" w:lineRule="exact"/>
              <w:rPr>
                <w:sz w:val="20"/>
                <w:szCs w:val="20"/>
                <w:color w:val="auto"/>
              </w:rPr>
            </w:pPr>
            <w:r>
              <w:rPr>
                <w:rFonts w:ascii="Arial" w:cs="Arial" w:eastAsia="Arial" w:hAnsi="Arial"/>
                <w:sz w:val="14"/>
                <w:szCs w:val="14"/>
                <w:b w:val="1"/>
                <w:bCs w:val="1"/>
                <w:color w:val="auto"/>
                <w:w w:val="86"/>
              </w:rPr>
              <w:t>Production</w:t>
            </w:r>
          </w:p>
        </w:tc>
        <w:tc>
          <w:tcPr>
            <w:tcW w:w="16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60" w:type="dxa"/>
            <w:vAlign w:val="bottom"/>
            <w:gridSpan w:val="5"/>
          </w:tcPr>
          <w:p>
            <w:pPr>
              <w:jc w:val="center"/>
              <w:ind w:right="180"/>
              <w:spacing w:after="0" w:line="149" w:lineRule="exact"/>
              <w:rPr>
                <w:sz w:val="20"/>
                <w:szCs w:val="20"/>
                <w:color w:val="auto"/>
              </w:rPr>
            </w:pPr>
            <w:r>
              <w:rPr>
                <w:rFonts w:ascii="Arial" w:cs="Arial" w:eastAsia="Arial" w:hAnsi="Arial"/>
                <w:sz w:val="14"/>
                <w:szCs w:val="14"/>
                <w:b w:val="1"/>
                <w:bCs w:val="1"/>
                <w:color w:val="auto"/>
                <w:w w:val="93"/>
              </w:rPr>
              <w:t>&amp; Corporate</w:t>
            </w:r>
          </w:p>
        </w:tc>
        <w:tc>
          <w:tcPr>
            <w:tcW w:w="1320" w:type="dxa"/>
            <w:vAlign w:val="bottom"/>
            <w:gridSpan w:val="6"/>
          </w:tcPr>
          <w:p>
            <w:pPr>
              <w:jc w:val="center"/>
              <w:ind w:right="160"/>
              <w:spacing w:after="0" w:line="149" w:lineRule="exact"/>
              <w:rPr>
                <w:sz w:val="20"/>
                <w:szCs w:val="20"/>
                <w:color w:val="auto"/>
              </w:rPr>
            </w:pPr>
            <w:r>
              <w:rPr>
                <w:rFonts w:ascii="Arial" w:cs="Arial" w:eastAsia="Arial" w:hAnsi="Arial"/>
                <w:sz w:val="14"/>
                <w:szCs w:val="14"/>
                <w:b w:val="1"/>
                <w:bCs w:val="1"/>
                <w:color w:val="auto"/>
                <w:w w:val="85"/>
              </w:rPr>
              <w:t>Translation Loss</w:t>
            </w: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gridSpan w:val="3"/>
          </w:tcPr>
          <w:p>
            <w:pPr>
              <w:jc w:val="center"/>
              <w:ind w:right="280"/>
              <w:spacing w:after="0" w:line="149" w:lineRule="exact"/>
              <w:rPr>
                <w:sz w:val="20"/>
                <w:szCs w:val="20"/>
                <w:color w:val="auto"/>
              </w:rPr>
            </w:pPr>
            <w:r>
              <w:rPr>
                <w:rFonts w:ascii="Arial" w:cs="Arial" w:eastAsia="Arial" w:hAnsi="Arial"/>
                <w:sz w:val="14"/>
                <w:szCs w:val="14"/>
                <w:b w:val="1"/>
                <w:bCs w:val="1"/>
                <w:color w:val="auto"/>
                <w:w w:val="89"/>
              </w:rPr>
              <w:t>Income</w:t>
            </w:r>
          </w:p>
        </w:tc>
        <w:tc>
          <w:tcPr>
            <w:tcW w:w="0" w:type="dxa"/>
            <w:vAlign w:val="bottom"/>
          </w:tcPr>
          <w:p>
            <w:pPr>
              <w:spacing w:after="0"/>
              <w:rPr>
                <w:sz w:val="1"/>
                <w:szCs w:val="1"/>
                <w:color w:val="auto"/>
              </w:rPr>
            </w:pPr>
          </w:p>
        </w:tc>
      </w:tr>
      <w:tr>
        <w:trPr>
          <w:trHeight w:val="161"/>
        </w:trPr>
        <w:tc>
          <w:tcPr>
            <w:tcW w:w="1160" w:type="dxa"/>
            <w:vAlign w:val="bottom"/>
          </w:tcPr>
          <w:p>
            <w:pPr>
              <w:spacing w:after="0"/>
              <w:rPr>
                <w:sz w:val="14"/>
                <w:szCs w:val="14"/>
                <w:color w:val="auto"/>
              </w:rPr>
            </w:pPr>
          </w:p>
        </w:tc>
        <w:tc>
          <w:tcPr>
            <w:tcW w:w="3040" w:type="dxa"/>
            <w:vAlign w:val="bottom"/>
            <w:gridSpan w:val="3"/>
          </w:tcPr>
          <w:p>
            <w:pPr>
              <w:ind w:left="200"/>
              <w:spacing w:after="0"/>
              <w:rPr>
                <w:sz w:val="20"/>
                <w:szCs w:val="20"/>
                <w:color w:val="auto"/>
              </w:rPr>
            </w:pPr>
            <w:r>
              <w:rPr>
                <w:rFonts w:ascii="Arial" w:cs="Arial" w:eastAsia="Arial" w:hAnsi="Arial"/>
                <w:sz w:val="14"/>
                <w:szCs w:val="14"/>
                <w:b w:val="1"/>
                <w:bCs w:val="1"/>
                <w:color w:val="auto"/>
              </w:rPr>
              <w:t>December 31, 2008</w:t>
            </w:r>
          </w:p>
        </w:tc>
        <w:tc>
          <w:tcPr>
            <w:tcW w:w="800" w:type="dxa"/>
            <w:vAlign w:val="bottom"/>
            <w:gridSpan w:val="2"/>
          </w:tcPr>
          <w:p>
            <w:pPr>
              <w:jc w:val="center"/>
              <w:spacing w:after="0"/>
              <w:rPr>
                <w:sz w:val="20"/>
                <w:szCs w:val="20"/>
                <w:color w:val="auto"/>
              </w:rPr>
            </w:pPr>
            <w:r>
              <w:rPr>
                <w:rFonts w:ascii="Arial" w:cs="Arial" w:eastAsia="Arial" w:hAnsi="Arial"/>
                <w:sz w:val="14"/>
                <w:szCs w:val="14"/>
                <w:b w:val="1"/>
                <w:bCs w:val="1"/>
                <w:color w:val="auto"/>
                <w:w w:val="86"/>
              </w:rPr>
              <w:t>Operations</w:t>
            </w: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60" w:type="dxa"/>
            <w:vAlign w:val="bottom"/>
          </w:tcPr>
          <w:p>
            <w:pPr>
              <w:jc w:val="center"/>
              <w:ind w:right="112"/>
              <w:spacing w:after="0"/>
              <w:rPr>
                <w:sz w:val="20"/>
                <w:szCs w:val="20"/>
                <w:color w:val="auto"/>
              </w:rPr>
            </w:pPr>
            <w:r>
              <w:rPr>
                <w:rFonts w:ascii="Arial" w:cs="Arial" w:eastAsia="Arial" w:hAnsi="Arial"/>
                <w:sz w:val="14"/>
                <w:szCs w:val="14"/>
                <w:b w:val="1"/>
                <w:bCs w:val="1"/>
                <w:color w:val="auto"/>
                <w:w w:val="82"/>
              </w:rPr>
              <w:t>Costs</w:t>
            </w:r>
          </w:p>
        </w:tc>
        <w:tc>
          <w:tcPr>
            <w:tcW w:w="160" w:type="dxa"/>
            <w:vAlign w:val="bottom"/>
          </w:tcPr>
          <w:p>
            <w:pPr>
              <w:spacing w:after="0"/>
              <w:rPr>
                <w:sz w:val="14"/>
                <w:szCs w:val="14"/>
                <w:color w:val="auto"/>
              </w:rPr>
            </w:pPr>
          </w:p>
        </w:tc>
        <w:tc>
          <w:tcPr>
            <w:tcW w:w="900" w:type="dxa"/>
            <w:vAlign w:val="bottom"/>
            <w:gridSpan w:val="2"/>
          </w:tcPr>
          <w:p>
            <w:pPr>
              <w:jc w:val="right"/>
              <w:ind w:right="12"/>
              <w:spacing w:after="0"/>
              <w:rPr>
                <w:sz w:val="20"/>
                <w:szCs w:val="20"/>
                <w:color w:val="auto"/>
              </w:rPr>
            </w:pPr>
            <w:r>
              <w:rPr>
                <w:rFonts w:ascii="Arial" w:cs="Arial" w:eastAsia="Arial" w:hAnsi="Arial"/>
                <w:sz w:val="14"/>
                <w:szCs w:val="14"/>
                <w:b w:val="1"/>
                <w:bCs w:val="1"/>
                <w:color w:val="auto"/>
                <w:w w:val="93"/>
              </w:rPr>
              <w:t>Amortization</w:t>
            </w:r>
          </w:p>
        </w:tc>
        <w:tc>
          <w:tcPr>
            <w:tcW w:w="160" w:type="dxa"/>
            <w:vAlign w:val="bottom"/>
          </w:tcPr>
          <w:p>
            <w:pPr>
              <w:spacing w:after="0"/>
              <w:rPr>
                <w:sz w:val="14"/>
                <w:szCs w:val="14"/>
                <w:color w:val="auto"/>
              </w:rPr>
            </w:pPr>
          </w:p>
        </w:tc>
        <w:tc>
          <w:tcPr>
            <w:tcW w:w="1060" w:type="dxa"/>
            <w:vAlign w:val="bottom"/>
            <w:gridSpan w:val="5"/>
          </w:tcPr>
          <w:p>
            <w:pPr>
              <w:jc w:val="center"/>
              <w:ind w:right="180"/>
              <w:spacing w:after="0"/>
              <w:rPr>
                <w:sz w:val="20"/>
                <w:szCs w:val="20"/>
                <w:color w:val="auto"/>
              </w:rPr>
            </w:pPr>
            <w:r>
              <w:rPr>
                <w:rFonts w:ascii="Arial" w:cs="Arial" w:eastAsia="Arial" w:hAnsi="Arial"/>
                <w:sz w:val="14"/>
                <w:szCs w:val="14"/>
                <w:b w:val="1"/>
                <w:bCs w:val="1"/>
                <w:color w:val="auto"/>
                <w:w w:val="86"/>
              </w:rPr>
              <w:t>Development</w:t>
            </w:r>
          </w:p>
        </w:tc>
        <w:tc>
          <w:tcPr>
            <w:tcW w:w="1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60" w:type="dxa"/>
            <w:vAlign w:val="bottom"/>
          </w:tcPr>
          <w:p>
            <w:pPr>
              <w:jc w:val="center"/>
              <w:ind w:right="132"/>
              <w:spacing w:after="0"/>
              <w:rPr>
                <w:sz w:val="20"/>
                <w:szCs w:val="20"/>
                <w:color w:val="auto"/>
              </w:rPr>
            </w:pPr>
            <w:r>
              <w:rPr>
                <w:rFonts w:ascii="Arial" w:cs="Arial" w:eastAsia="Arial" w:hAnsi="Arial"/>
                <w:sz w:val="14"/>
                <w:szCs w:val="14"/>
                <w:b w:val="1"/>
                <w:bCs w:val="1"/>
                <w:color w:val="auto"/>
                <w:w w:val="88"/>
              </w:rPr>
              <w:t>(Gain)</w:t>
            </w:r>
          </w:p>
        </w:tc>
        <w:tc>
          <w:tcPr>
            <w:tcW w:w="2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20" w:type="dxa"/>
            <w:vAlign w:val="bottom"/>
            <w:gridSpan w:val="3"/>
          </w:tcPr>
          <w:p>
            <w:pPr>
              <w:jc w:val="center"/>
              <w:ind w:right="280"/>
              <w:spacing w:after="0"/>
              <w:rPr>
                <w:sz w:val="20"/>
                <w:szCs w:val="20"/>
                <w:color w:val="auto"/>
              </w:rPr>
            </w:pPr>
            <w:r>
              <w:rPr>
                <w:rFonts w:ascii="Arial" w:cs="Arial" w:eastAsia="Arial" w:hAnsi="Arial"/>
                <w:sz w:val="14"/>
                <w:szCs w:val="14"/>
                <w:b w:val="1"/>
                <w:bCs w:val="1"/>
                <w:color w:val="auto"/>
                <w:w w:val="85"/>
              </w:rPr>
              <w:t>(Loss)</w:t>
            </w:r>
          </w:p>
        </w:tc>
        <w:tc>
          <w:tcPr>
            <w:tcW w:w="0" w:type="dxa"/>
            <w:vAlign w:val="bottom"/>
          </w:tcPr>
          <w:p>
            <w:pPr>
              <w:spacing w:after="0"/>
              <w:rPr>
                <w:sz w:val="1"/>
                <w:szCs w:val="1"/>
                <w:color w:val="auto"/>
              </w:rPr>
            </w:pPr>
          </w:p>
        </w:tc>
      </w:tr>
      <w:tr>
        <w:trPr>
          <w:trHeight w:val="20"/>
        </w:trPr>
        <w:tc>
          <w:tcPr>
            <w:tcW w:w="11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0" w:type="dxa"/>
            <w:vAlign w:val="bottom"/>
            <w:shd w:val="clear" w:color="auto" w:fill="000000"/>
          </w:tcPr>
          <w:p>
            <w:pPr>
              <w:spacing w:after="0" w:line="20" w:lineRule="exact"/>
              <w:rPr>
                <w:sz w:val="1"/>
                <w:szCs w:val="1"/>
                <w:color w:val="auto"/>
              </w:rPr>
            </w:pPr>
          </w:p>
        </w:tc>
        <w:tc>
          <w:tcPr>
            <w:tcW w:w="142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220" w:type="dxa"/>
            <w:vAlign w:val="bottom"/>
            <w:tcBorders>
              <w:right w:val="single" w:sz="8" w:color="auto"/>
            </w:tcBorders>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2"/>
        </w:trPr>
        <w:tc>
          <w:tcPr>
            <w:tcW w:w="1160" w:type="dxa"/>
            <w:vAlign w:val="bottom"/>
          </w:tcPr>
          <w:p>
            <w:pPr>
              <w:spacing w:after="0"/>
              <w:rPr>
                <w:sz w:val="12"/>
                <w:szCs w:val="12"/>
                <w:color w:val="auto"/>
              </w:rPr>
            </w:pPr>
          </w:p>
        </w:tc>
        <w:tc>
          <w:tcPr>
            <w:tcW w:w="3040" w:type="dxa"/>
            <w:vAlign w:val="bottom"/>
            <w:gridSpan w:val="3"/>
            <w:shd w:val="clear" w:color="auto" w:fill="CCEEFF"/>
          </w:tcPr>
          <w:p>
            <w:pPr>
              <w:ind w:left="200"/>
              <w:spacing w:after="0" w:line="142" w:lineRule="exact"/>
              <w:rPr>
                <w:sz w:val="20"/>
                <w:szCs w:val="20"/>
                <w:color w:val="auto"/>
              </w:rPr>
            </w:pPr>
            <w:r>
              <w:rPr>
                <w:rFonts w:ascii="Arial" w:cs="Arial" w:eastAsia="Arial" w:hAnsi="Arial"/>
                <w:sz w:val="14"/>
                <w:szCs w:val="14"/>
                <w:color w:val="auto"/>
              </w:rPr>
              <w:t>Canada</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70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368,938</w:t>
            </w:r>
          </w:p>
        </w:tc>
        <w:tc>
          <w:tcPr>
            <w:tcW w:w="300" w:type="dxa"/>
            <w:vAlign w:val="bottom"/>
            <w:gridSpan w:val="2"/>
            <w:shd w:val="clear" w:color="auto" w:fill="CCEEFF"/>
          </w:tcPr>
          <w:p>
            <w:pPr>
              <w:jc w:val="right"/>
              <w:ind w:right="21"/>
              <w:spacing w:after="0" w:line="142" w:lineRule="exact"/>
              <w:rPr>
                <w:sz w:val="20"/>
                <w:szCs w:val="20"/>
                <w:color w:val="auto"/>
              </w:rPr>
            </w:pPr>
            <w:r>
              <w:rPr>
                <w:rFonts w:ascii="Arial" w:cs="Arial" w:eastAsia="Arial" w:hAnsi="Arial"/>
                <w:sz w:val="14"/>
                <w:szCs w:val="14"/>
                <w:color w:val="auto"/>
              </w:rPr>
              <w:t>$</w:t>
            </w:r>
          </w:p>
        </w:tc>
        <w:tc>
          <w:tcPr>
            <w:tcW w:w="66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186,862</w:t>
            </w:r>
          </w:p>
        </w:tc>
        <w:tc>
          <w:tcPr>
            <w:tcW w:w="460" w:type="dxa"/>
            <w:vAlign w:val="bottom"/>
            <w:gridSpan w:val="2"/>
            <w:shd w:val="clear" w:color="auto" w:fill="CCEEFF"/>
          </w:tcPr>
          <w:p>
            <w:pPr>
              <w:jc w:val="right"/>
              <w:ind w:right="172"/>
              <w:spacing w:after="0" w:line="142" w:lineRule="exact"/>
              <w:rPr>
                <w:sz w:val="20"/>
                <w:szCs w:val="20"/>
                <w:color w:val="auto"/>
              </w:rPr>
            </w:pPr>
            <w:r>
              <w:rPr>
                <w:rFonts w:ascii="Arial" w:cs="Arial" w:eastAsia="Arial" w:hAnsi="Arial"/>
                <w:sz w:val="14"/>
                <w:szCs w:val="14"/>
                <w:color w:val="auto"/>
              </w:rPr>
              <w:t>$</w:t>
            </w:r>
          </w:p>
        </w:tc>
        <w:tc>
          <w:tcPr>
            <w:tcW w:w="60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36,133</w:t>
            </w:r>
          </w:p>
        </w:tc>
        <w:tc>
          <w:tcPr>
            <w:tcW w:w="24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4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360" w:type="dxa"/>
            <w:vAlign w:val="bottom"/>
            <w:gridSpan w:val="2"/>
            <w:shd w:val="clear" w:color="auto" w:fill="CCEEFF"/>
          </w:tcPr>
          <w:p>
            <w:pPr>
              <w:jc w:val="right"/>
              <w:ind w:right="180"/>
              <w:spacing w:after="0" w:line="142"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jc w:val="right"/>
              <w:ind w:right="39"/>
              <w:spacing w:after="0"/>
              <w:rPr>
                <w:sz w:val="20"/>
                <w:szCs w:val="20"/>
                <w:color w:val="auto"/>
              </w:rPr>
            </w:pPr>
            <w:r>
              <w:rPr>
                <w:rFonts w:ascii="Arial" w:cs="Arial" w:eastAsia="Arial" w:hAnsi="Arial"/>
                <w:sz w:val="10"/>
                <w:szCs w:val="10"/>
                <w:color w:val="auto"/>
                <w:w w:val="71"/>
              </w:rPr>
              <w:t>$</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20" w:type="dxa"/>
            <w:vAlign w:val="bottom"/>
            <w:gridSpan w:val="3"/>
            <w:shd w:val="clear" w:color="auto" w:fill="CCEEFF"/>
          </w:tcPr>
          <w:p>
            <w:pPr>
              <w:jc w:val="right"/>
              <w:ind w:right="100"/>
              <w:spacing w:after="0" w:line="142" w:lineRule="exact"/>
              <w:rPr>
                <w:sz w:val="20"/>
                <w:szCs w:val="20"/>
                <w:color w:val="auto"/>
              </w:rPr>
            </w:pPr>
            <w:r>
              <w:rPr>
                <w:rFonts w:ascii="Arial" w:cs="Arial" w:eastAsia="Arial" w:hAnsi="Arial"/>
                <w:sz w:val="14"/>
                <w:szCs w:val="14"/>
                <w:color w:val="auto"/>
              </w:rPr>
              <w:t>(70,442)</w:t>
            </w:r>
          </w:p>
        </w:tc>
        <w:tc>
          <w:tcPr>
            <w:tcW w:w="120" w:type="dxa"/>
            <w:vAlign w:val="bottom"/>
            <w:gridSpan w:val="2"/>
            <w:shd w:val="clear" w:color="auto" w:fill="CCEEFF"/>
          </w:tcPr>
          <w:p>
            <w:pPr>
              <w:ind w:left="40"/>
              <w:spacing w:after="0" w:line="142" w:lineRule="exact"/>
              <w:rPr>
                <w:sz w:val="20"/>
                <w:szCs w:val="20"/>
                <w:color w:val="auto"/>
              </w:rPr>
            </w:pPr>
            <w:r>
              <w:rPr>
                <w:rFonts w:ascii="Arial" w:cs="Arial" w:eastAsia="Arial" w:hAnsi="Arial"/>
                <w:sz w:val="14"/>
                <w:szCs w:val="14"/>
                <w:color w:val="auto"/>
                <w:w w:val="76"/>
              </w:rPr>
              <w:t>$</w:t>
            </w:r>
          </w:p>
        </w:tc>
        <w:tc>
          <w:tcPr>
            <w:tcW w:w="560" w:type="dxa"/>
            <w:vAlign w:val="bottom"/>
            <w:gridSpan w:val="2"/>
            <w:shd w:val="clear" w:color="auto" w:fill="CCEEFF"/>
          </w:tcPr>
          <w:p>
            <w:pPr>
              <w:jc w:val="right"/>
              <w:ind w:right="20"/>
              <w:spacing w:after="0" w:line="142" w:lineRule="exact"/>
              <w:rPr>
                <w:sz w:val="20"/>
                <w:szCs w:val="20"/>
                <w:color w:val="auto"/>
              </w:rPr>
            </w:pPr>
            <w:r>
              <w:rPr>
                <w:rFonts w:ascii="Arial" w:cs="Arial" w:eastAsia="Arial" w:hAnsi="Arial"/>
                <w:sz w:val="14"/>
                <w:szCs w:val="14"/>
                <w:color w:val="auto"/>
              </w:rPr>
              <w:t>216,385</w:t>
            </w:r>
          </w:p>
        </w:tc>
        <w:tc>
          <w:tcPr>
            <w:tcW w:w="160" w:type="dxa"/>
            <w:vAlign w:val="bottom"/>
            <w:tcBorders>
              <w:left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3040" w:type="dxa"/>
            <w:vAlign w:val="bottom"/>
            <w:gridSpan w:val="3"/>
          </w:tcPr>
          <w:p>
            <w:pPr>
              <w:ind w:left="200"/>
              <w:spacing w:after="0" w:line="149" w:lineRule="exact"/>
              <w:rPr>
                <w:sz w:val="20"/>
                <w:szCs w:val="20"/>
                <w:color w:val="auto"/>
              </w:rPr>
            </w:pPr>
            <w:r>
              <w:rPr>
                <w:rFonts w:ascii="Arial" w:cs="Arial" w:eastAsia="Arial" w:hAnsi="Arial"/>
                <w:sz w:val="14"/>
                <w:szCs w:val="14"/>
                <w:color w:val="auto"/>
              </w:rPr>
              <w:t>Europe</w:t>
            </w:r>
          </w:p>
        </w:tc>
        <w:tc>
          <w:tcPr>
            <w:tcW w:w="100" w:type="dxa"/>
            <w:vAlign w:val="bottom"/>
          </w:tcPr>
          <w:p>
            <w:pPr>
              <w:spacing w:after="0"/>
              <w:rPr>
                <w:sz w:val="12"/>
                <w:szCs w:val="12"/>
                <w:color w:val="auto"/>
              </w:rPr>
            </w:pPr>
          </w:p>
        </w:tc>
        <w:tc>
          <w:tcPr>
            <w:tcW w:w="70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0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36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gridSpan w:val="3"/>
          </w:tcPr>
          <w:p>
            <w:pPr>
              <w:jc w:val="right"/>
              <w:ind w:right="100"/>
              <w:spacing w:after="0" w:line="149" w:lineRule="exact"/>
              <w:rPr>
                <w:sz w:val="20"/>
                <w:szCs w:val="20"/>
                <w:color w:val="auto"/>
              </w:rPr>
            </w:pPr>
            <w:r>
              <w:rPr>
                <w:rFonts w:ascii="Arial" w:cs="Arial" w:eastAsia="Arial" w:hAnsi="Arial"/>
                <w:sz w:val="14"/>
                <w:szCs w:val="14"/>
                <w:color w:val="auto"/>
              </w:rPr>
              <w:t>(7,281)</w:t>
            </w: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7,281</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3040" w:type="dxa"/>
            <w:vAlign w:val="bottom"/>
            <w:gridSpan w:val="3"/>
            <w:shd w:val="clear" w:color="auto" w:fill="CCEEFF"/>
          </w:tcPr>
          <w:p>
            <w:pPr>
              <w:ind w:left="200"/>
              <w:spacing w:after="0" w:line="149" w:lineRule="exact"/>
              <w:rPr>
                <w:sz w:val="20"/>
                <w:szCs w:val="20"/>
                <w:color w:val="auto"/>
              </w:rPr>
            </w:pPr>
            <w:r>
              <w:rPr>
                <w:rFonts w:ascii="Arial" w:cs="Arial" w:eastAsia="Arial" w:hAnsi="Arial"/>
                <w:sz w:val="14"/>
                <w:szCs w:val="14"/>
                <w:color w:val="auto"/>
              </w:rPr>
              <w:t>Latin America</w:t>
            </w:r>
          </w:p>
        </w:tc>
        <w:tc>
          <w:tcPr>
            <w:tcW w:w="10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36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220" w:type="dxa"/>
            <w:vAlign w:val="bottom"/>
            <w:tcBorders>
              <w:right w:val="single" w:sz="8" w:color="CCEEFF"/>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35</w:t>
            </w:r>
          </w:p>
        </w:tc>
        <w:tc>
          <w:tcPr>
            <w:tcW w:w="1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(35)</w:t>
            </w:r>
          </w:p>
        </w:tc>
        <w:tc>
          <w:tcPr>
            <w:tcW w:w="160" w:type="dxa"/>
            <w:vAlign w:val="bottom"/>
            <w:tcBorders>
              <w:left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1160" w:type="dxa"/>
            <w:vAlign w:val="bottom"/>
          </w:tcPr>
          <w:p>
            <w:pPr>
              <w:spacing w:after="0"/>
              <w:rPr>
                <w:sz w:val="15"/>
                <w:szCs w:val="15"/>
                <w:color w:val="auto"/>
              </w:rPr>
            </w:pPr>
          </w:p>
        </w:tc>
        <w:tc>
          <w:tcPr>
            <w:tcW w:w="3040" w:type="dxa"/>
            <w:vAlign w:val="bottom"/>
            <w:gridSpan w:val="3"/>
          </w:tcPr>
          <w:p>
            <w:pPr>
              <w:ind w:left="200"/>
              <w:spacing w:after="0"/>
              <w:rPr>
                <w:sz w:val="20"/>
                <w:szCs w:val="20"/>
                <w:color w:val="auto"/>
              </w:rPr>
            </w:pPr>
            <w:r>
              <w:rPr>
                <w:rFonts w:ascii="Arial" w:cs="Arial" w:eastAsia="Arial" w:hAnsi="Arial"/>
                <w:sz w:val="14"/>
                <w:szCs w:val="14"/>
                <w:color w:val="auto"/>
              </w:rPr>
              <w:t>Exploration</w:t>
            </w:r>
          </w:p>
        </w:tc>
        <w:tc>
          <w:tcPr>
            <w:tcW w:w="100" w:type="dxa"/>
            <w:vAlign w:val="bottom"/>
          </w:tcPr>
          <w:p>
            <w:pPr>
              <w:spacing w:after="0"/>
              <w:rPr>
                <w:sz w:val="15"/>
                <w:szCs w:val="15"/>
                <w:color w:val="auto"/>
              </w:rPr>
            </w:pPr>
          </w:p>
        </w:tc>
        <w:tc>
          <w:tcPr>
            <w:tcW w:w="70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6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60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20" w:type="dxa"/>
            <w:vAlign w:val="bottom"/>
            <w:gridSpan w:val="3"/>
          </w:tcPr>
          <w:p>
            <w:pPr>
              <w:jc w:val="right"/>
              <w:spacing w:after="0"/>
              <w:rPr>
                <w:sz w:val="20"/>
                <w:szCs w:val="20"/>
                <w:color w:val="auto"/>
              </w:rPr>
            </w:pPr>
            <w:r>
              <w:rPr>
                <w:rFonts w:ascii="Arial" w:cs="Arial" w:eastAsia="Arial" w:hAnsi="Arial"/>
                <w:sz w:val="14"/>
                <w:szCs w:val="14"/>
                <w:color w:val="auto"/>
              </w:rPr>
              <w:t>34,704</w:t>
            </w:r>
          </w:p>
        </w:tc>
        <w:tc>
          <w:tcPr>
            <w:tcW w:w="1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w:t>
            </w:r>
          </w:p>
        </w:tc>
        <w:tc>
          <w:tcPr>
            <w:tcW w:w="1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560" w:type="dxa"/>
            <w:vAlign w:val="bottom"/>
            <w:gridSpan w:val="2"/>
          </w:tcPr>
          <w:p>
            <w:pPr>
              <w:jc w:val="right"/>
              <w:spacing w:after="0"/>
              <w:rPr>
                <w:sz w:val="20"/>
                <w:szCs w:val="20"/>
                <w:color w:val="auto"/>
              </w:rPr>
            </w:pPr>
            <w:r>
              <w:rPr>
                <w:rFonts w:ascii="Arial" w:cs="Arial" w:eastAsia="Arial" w:hAnsi="Arial"/>
                <w:sz w:val="14"/>
                <w:szCs w:val="14"/>
                <w:color w:val="auto"/>
              </w:rPr>
              <w:t>(34,704)</w:t>
            </w: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11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42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220" w:type="dxa"/>
            <w:vAlign w:val="bottom"/>
            <w:tcBorders>
              <w:right w:val="single" w:sz="8" w:color="auto"/>
            </w:tcBorders>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1"/>
        </w:trPr>
        <w:tc>
          <w:tcPr>
            <w:tcW w:w="1160" w:type="dxa"/>
            <w:vAlign w:val="bottom"/>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400" w:type="dxa"/>
            <w:vAlign w:val="bottom"/>
            <w:shd w:val="clear" w:color="auto" w:fill="CCEEFF"/>
          </w:tcPr>
          <w:p>
            <w:pPr>
              <w:spacing w:after="0"/>
              <w:rPr>
                <w:sz w:val="18"/>
                <w:szCs w:val="18"/>
                <w:color w:val="auto"/>
              </w:rPr>
            </w:pPr>
          </w:p>
        </w:tc>
        <w:tc>
          <w:tcPr>
            <w:tcW w:w="142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368,938</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jc w:val="right"/>
              <w:ind w:right="21"/>
              <w:spacing w:after="0"/>
              <w:rPr>
                <w:sz w:val="20"/>
                <w:szCs w:val="20"/>
                <w:color w:val="auto"/>
              </w:rPr>
            </w:pPr>
            <w:r>
              <w:rPr>
                <w:rFonts w:ascii="Arial" w:cs="Arial" w:eastAsia="Arial" w:hAnsi="Arial"/>
                <w:sz w:val="10"/>
                <w:szCs w:val="10"/>
                <w:color w:val="auto"/>
                <w:w w:val="71"/>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186,862</w:t>
            </w:r>
          </w:p>
        </w:tc>
        <w:tc>
          <w:tcPr>
            <w:tcW w:w="460" w:type="dxa"/>
            <w:vAlign w:val="bottom"/>
            <w:gridSpan w:val="2"/>
            <w:shd w:val="clear" w:color="auto" w:fill="CCEEFF"/>
          </w:tcPr>
          <w:p>
            <w:pPr>
              <w:jc w:val="right"/>
              <w:ind w:right="172"/>
              <w:spacing w:after="0"/>
              <w:rPr>
                <w:sz w:val="20"/>
                <w:szCs w:val="20"/>
                <w:color w:val="auto"/>
              </w:rPr>
            </w:pPr>
            <w:r>
              <w:rPr>
                <w:rFonts w:ascii="Arial" w:cs="Arial" w:eastAsia="Arial" w:hAnsi="Arial"/>
                <w:sz w:val="14"/>
                <w:szCs w:val="14"/>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36,133</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820" w:type="dxa"/>
            <w:vAlign w:val="bottom"/>
            <w:gridSpan w:val="3"/>
            <w:shd w:val="clear" w:color="auto" w:fill="CCEEFF"/>
          </w:tcPr>
          <w:p>
            <w:pPr>
              <w:jc w:val="right"/>
              <w:spacing w:after="0"/>
              <w:rPr>
                <w:sz w:val="20"/>
                <w:szCs w:val="20"/>
                <w:color w:val="auto"/>
              </w:rPr>
            </w:pPr>
            <w:r>
              <w:rPr>
                <w:rFonts w:ascii="Arial" w:cs="Arial" w:eastAsia="Arial" w:hAnsi="Arial"/>
                <w:sz w:val="14"/>
                <w:szCs w:val="14"/>
                <w:color w:val="auto"/>
              </w:rPr>
              <w:t>34,704</w:t>
            </w: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jc w:val="right"/>
              <w:ind w:right="39"/>
              <w:spacing w:after="0"/>
              <w:rPr>
                <w:sz w:val="20"/>
                <w:szCs w:val="20"/>
                <w:color w:val="auto"/>
              </w:rPr>
            </w:pPr>
            <w:r>
              <w:rPr>
                <w:rFonts w:ascii="Arial" w:cs="Arial" w:eastAsia="Arial" w:hAnsi="Arial"/>
                <w:sz w:val="10"/>
                <w:szCs w:val="10"/>
                <w:color w:val="auto"/>
                <w:w w:val="71"/>
              </w:rPr>
              <w:t>$</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gridSpan w:val="3"/>
            <w:shd w:val="clear" w:color="auto" w:fill="CCEEFF"/>
          </w:tcPr>
          <w:p>
            <w:pPr>
              <w:jc w:val="right"/>
              <w:ind w:right="100"/>
              <w:spacing w:after="0"/>
              <w:rPr>
                <w:sz w:val="20"/>
                <w:szCs w:val="20"/>
                <w:color w:val="auto"/>
              </w:rPr>
            </w:pPr>
            <w:r>
              <w:rPr>
                <w:rFonts w:ascii="Arial" w:cs="Arial" w:eastAsia="Arial" w:hAnsi="Arial"/>
                <w:sz w:val="14"/>
                <w:szCs w:val="14"/>
                <w:color w:val="auto"/>
              </w:rPr>
              <w:t>(77,688)</w:t>
            </w:r>
          </w:p>
        </w:tc>
        <w:tc>
          <w:tcPr>
            <w:tcW w:w="120" w:type="dxa"/>
            <w:vAlign w:val="bottom"/>
            <w:gridSpan w:val="2"/>
            <w:shd w:val="clear" w:color="auto" w:fill="CCEEFF"/>
          </w:tcPr>
          <w:p>
            <w:pPr>
              <w:ind w:left="40"/>
              <w:spacing w:after="0"/>
              <w:rPr>
                <w:sz w:val="20"/>
                <w:szCs w:val="20"/>
                <w:color w:val="auto"/>
              </w:rPr>
            </w:pPr>
            <w:r>
              <w:rPr>
                <w:rFonts w:ascii="Arial" w:cs="Arial" w:eastAsia="Arial" w:hAnsi="Arial"/>
                <w:sz w:val="14"/>
                <w:szCs w:val="14"/>
                <w:color w:val="auto"/>
                <w:w w:val="76"/>
              </w:rPr>
              <w:t>$</w:t>
            </w:r>
          </w:p>
        </w:tc>
        <w:tc>
          <w:tcPr>
            <w:tcW w:w="560" w:type="dxa"/>
            <w:vAlign w:val="bottom"/>
            <w:gridSpan w:val="2"/>
            <w:shd w:val="clear" w:color="auto" w:fill="CCEEFF"/>
          </w:tcPr>
          <w:p>
            <w:pPr>
              <w:jc w:val="right"/>
              <w:ind w:right="20"/>
              <w:spacing w:after="0"/>
              <w:rPr>
                <w:sz w:val="20"/>
                <w:szCs w:val="20"/>
                <w:color w:val="auto"/>
              </w:rPr>
            </w:pPr>
            <w:r>
              <w:rPr>
                <w:rFonts w:ascii="Arial" w:cs="Arial" w:eastAsia="Arial" w:hAnsi="Arial"/>
                <w:sz w:val="14"/>
                <w:szCs w:val="14"/>
                <w:color w:val="auto"/>
              </w:rPr>
              <w:t>188,927</w:t>
            </w:r>
          </w:p>
        </w:tc>
        <w:tc>
          <w:tcPr>
            <w:tcW w:w="160" w:type="dxa"/>
            <w:vAlign w:val="bottom"/>
            <w:tcBorders>
              <w:left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1160" w:type="dxa"/>
            <w:vAlign w:val="bottom"/>
          </w:tcPr>
          <w:p>
            <w:pPr>
              <w:spacing w:after="0"/>
              <w:rPr>
                <w:sz w:val="2"/>
                <w:szCs w:val="2"/>
                <w:color w:val="auto"/>
              </w:rPr>
            </w:pPr>
          </w:p>
        </w:tc>
        <w:tc>
          <w:tcPr>
            <w:tcW w:w="3040" w:type="dxa"/>
            <w:vAlign w:val="bottom"/>
            <w:gridSpan w:val="3"/>
            <w:vMerge w:val="restart"/>
          </w:tcPr>
          <w:p>
            <w:pPr>
              <w:ind w:left="200"/>
              <w:spacing w:after="0"/>
              <w:rPr>
                <w:sz w:val="20"/>
                <w:szCs w:val="20"/>
                <w:color w:val="auto"/>
              </w:rPr>
            </w:pPr>
            <w:r>
              <w:rPr>
                <w:rFonts w:ascii="Arial" w:cs="Arial" w:eastAsia="Arial" w:hAnsi="Arial"/>
                <w:sz w:val="14"/>
                <w:szCs w:val="14"/>
                <w:color w:val="auto"/>
              </w:rPr>
              <w:t>Segment income</w:t>
            </w:r>
          </w:p>
        </w:tc>
        <w:tc>
          <w:tcPr>
            <w:tcW w:w="100" w:type="dxa"/>
            <w:vAlign w:val="bottom"/>
            <w:tcBorders>
              <w:bottom w:val="single" w:sz="8" w:color="auto"/>
            </w:tcBorders>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40" w:type="dxa"/>
            <w:vAlign w:val="bottom"/>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1160" w:type="dxa"/>
            <w:vAlign w:val="bottom"/>
          </w:tcPr>
          <w:p>
            <w:pPr>
              <w:spacing w:after="0" w:line="20" w:lineRule="exact"/>
              <w:rPr>
                <w:sz w:val="1"/>
                <w:szCs w:val="1"/>
                <w:color w:val="auto"/>
              </w:rPr>
            </w:pPr>
          </w:p>
        </w:tc>
        <w:tc>
          <w:tcPr>
            <w:tcW w:w="3040" w:type="dxa"/>
            <w:vAlign w:val="bottom"/>
            <w:gridSpan w:val="3"/>
            <w:vMerge w:val="continue"/>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9"/>
        </w:trPr>
        <w:tc>
          <w:tcPr>
            <w:tcW w:w="1160" w:type="dxa"/>
            <w:vAlign w:val="bottom"/>
          </w:tcPr>
          <w:p>
            <w:pPr>
              <w:spacing w:after="0"/>
              <w:rPr>
                <w:sz w:val="11"/>
                <w:szCs w:val="11"/>
                <w:color w:val="auto"/>
              </w:rPr>
            </w:pPr>
          </w:p>
        </w:tc>
        <w:tc>
          <w:tcPr>
            <w:tcW w:w="3040" w:type="dxa"/>
            <w:vAlign w:val="bottom"/>
            <w:gridSpan w:val="3"/>
            <w:vMerge w:val="continue"/>
          </w:tcPr>
          <w:p>
            <w:pPr>
              <w:spacing w:after="0"/>
              <w:rPr>
                <w:sz w:val="11"/>
                <w:szCs w:val="11"/>
                <w:color w:val="auto"/>
              </w:rPr>
            </w:pPr>
          </w:p>
        </w:tc>
        <w:tc>
          <w:tcPr>
            <w:tcW w:w="100" w:type="dxa"/>
            <w:vAlign w:val="bottom"/>
            <w:tcBorders>
              <w:top w:val="single" w:sz="8" w:color="auto"/>
            </w:tcBorders>
          </w:tcPr>
          <w:p>
            <w:pPr>
              <w:spacing w:after="0"/>
              <w:rPr>
                <w:sz w:val="11"/>
                <w:szCs w:val="11"/>
                <w:color w:val="auto"/>
              </w:rPr>
            </w:pPr>
          </w:p>
        </w:tc>
        <w:tc>
          <w:tcPr>
            <w:tcW w:w="700" w:type="dxa"/>
            <w:vAlign w:val="bottom"/>
            <w:tcBorders>
              <w:top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140" w:type="dxa"/>
            <w:vAlign w:val="bottom"/>
            <w:tcBorders>
              <w:top w:val="single" w:sz="8" w:color="auto"/>
            </w:tcBorders>
          </w:tcPr>
          <w:p>
            <w:pPr>
              <w:spacing w:after="0"/>
              <w:rPr>
                <w:sz w:val="11"/>
                <w:szCs w:val="11"/>
                <w:color w:val="auto"/>
              </w:rPr>
            </w:pPr>
          </w:p>
        </w:tc>
        <w:tc>
          <w:tcPr>
            <w:tcW w:w="660" w:type="dxa"/>
            <w:vAlign w:val="bottom"/>
            <w:tcBorders>
              <w:top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300" w:type="dxa"/>
            <w:vAlign w:val="bottom"/>
            <w:tcBorders>
              <w:top w:val="single" w:sz="8" w:color="auto"/>
            </w:tcBorders>
          </w:tcPr>
          <w:p>
            <w:pPr>
              <w:spacing w:after="0"/>
              <w:rPr>
                <w:sz w:val="11"/>
                <w:szCs w:val="11"/>
                <w:color w:val="auto"/>
              </w:rPr>
            </w:pPr>
          </w:p>
        </w:tc>
        <w:tc>
          <w:tcPr>
            <w:tcW w:w="600" w:type="dxa"/>
            <w:vAlign w:val="bottom"/>
            <w:tcBorders>
              <w:top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480" w:type="dxa"/>
            <w:vAlign w:val="bottom"/>
            <w:tcBorders>
              <w:top w:val="single" w:sz="8" w:color="auto"/>
            </w:tcBorders>
          </w:tcPr>
          <w:p>
            <w:pPr>
              <w:spacing w:after="0"/>
              <w:rPr>
                <w:sz w:val="11"/>
                <w:szCs w:val="11"/>
                <w:color w:val="auto"/>
              </w:rPr>
            </w:pPr>
          </w:p>
        </w:tc>
        <w:tc>
          <w:tcPr>
            <w:tcW w:w="140" w:type="dxa"/>
            <w:vAlign w:val="bottom"/>
            <w:tcBorders>
              <w:top w:val="single" w:sz="8" w:color="auto"/>
            </w:tcBorders>
          </w:tcPr>
          <w:p>
            <w:pPr>
              <w:spacing w:after="0"/>
              <w:rPr>
                <w:sz w:val="11"/>
                <w:szCs w:val="11"/>
                <w:color w:val="auto"/>
              </w:rPr>
            </w:pPr>
          </w:p>
        </w:tc>
        <w:tc>
          <w:tcPr>
            <w:tcW w:w="200" w:type="dxa"/>
            <w:vAlign w:val="bottom"/>
            <w:tcBorders>
              <w:top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160" w:type="dxa"/>
            <w:vAlign w:val="bottom"/>
            <w:tcBorders>
              <w:top w:val="single" w:sz="8" w:color="auto"/>
            </w:tcBorders>
          </w:tcPr>
          <w:p>
            <w:pPr>
              <w:spacing w:after="0"/>
              <w:rPr>
                <w:sz w:val="11"/>
                <w:szCs w:val="11"/>
                <w:color w:val="auto"/>
              </w:rPr>
            </w:pPr>
          </w:p>
        </w:tc>
        <w:tc>
          <w:tcPr>
            <w:tcW w:w="160" w:type="dxa"/>
            <w:vAlign w:val="bottom"/>
            <w:tcBorders>
              <w:top w:val="single" w:sz="8" w:color="auto"/>
            </w:tcBorders>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560" w:type="dxa"/>
            <w:vAlign w:val="bottom"/>
            <w:tcBorders>
              <w:top w:val="single" w:sz="8" w:color="auto"/>
            </w:tcBorders>
          </w:tcPr>
          <w:p>
            <w:pPr>
              <w:spacing w:after="0"/>
              <w:rPr>
                <w:sz w:val="11"/>
                <w:szCs w:val="11"/>
                <w:color w:val="auto"/>
              </w:rPr>
            </w:pPr>
          </w:p>
        </w:tc>
        <w:tc>
          <w:tcPr>
            <w:tcW w:w="220" w:type="dxa"/>
            <w:vAlign w:val="bottom"/>
            <w:tcBorders>
              <w:top w:val="single" w:sz="8" w:color="auto"/>
            </w:tcBorders>
          </w:tcPr>
          <w:p>
            <w:pPr>
              <w:spacing w:after="0"/>
              <w:rPr>
                <w:sz w:val="11"/>
                <w:szCs w:val="11"/>
                <w:color w:val="auto"/>
              </w:rPr>
            </w:pPr>
          </w:p>
        </w:tc>
        <w:tc>
          <w:tcPr>
            <w:tcW w:w="1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00" w:type="dxa"/>
            <w:vAlign w:val="bottom"/>
            <w:tcBorders>
              <w:top w:val="single" w:sz="8" w:color="auto"/>
            </w:tcBorders>
          </w:tcPr>
          <w:p>
            <w:pPr>
              <w:ind w:left="20"/>
              <w:spacing w:after="0" w:line="129" w:lineRule="exact"/>
              <w:rPr>
                <w:sz w:val="20"/>
                <w:szCs w:val="20"/>
                <w:color w:val="auto"/>
              </w:rPr>
            </w:pPr>
            <w:r>
              <w:rPr>
                <w:rFonts w:ascii="Arial" w:cs="Arial" w:eastAsia="Arial" w:hAnsi="Arial"/>
                <w:sz w:val="14"/>
                <w:szCs w:val="14"/>
                <w:color w:val="auto"/>
                <w:w w:val="76"/>
              </w:rPr>
              <w:t>$</w:t>
            </w:r>
          </w:p>
        </w:tc>
        <w:tc>
          <w:tcPr>
            <w:tcW w:w="560" w:type="dxa"/>
            <w:vAlign w:val="bottom"/>
            <w:tcBorders>
              <w:top w:val="single" w:sz="8" w:color="auto"/>
            </w:tcBorders>
            <w:gridSpan w:val="2"/>
          </w:tcPr>
          <w:p>
            <w:pPr>
              <w:jc w:val="right"/>
              <w:ind w:right="20"/>
              <w:spacing w:after="0" w:line="129" w:lineRule="exact"/>
              <w:rPr>
                <w:sz w:val="20"/>
                <w:szCs w:val="20"/>
                <w:color w:val="auto"/>
              </w:rPr>
            </w:pPr>
            <w:r>
              <w:rPr>
                <w:rFonts w:ascii="Arial" w:cs="Arial" w:eastAsia="Arial" w:hAnsi="Arial"/>
                <w:sz w:val="14"/>
                <w:szCs w:val="14"/>
                <w:color w:val="auto"/>
              </w:rPr>
              <w:t>188,927</w:t>
            </w: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3040" w:type="dxa"/>
            <w:vAlign w:val="bottom"/>
            <w:gridSpan w:val="3"/>
            <w:shd w:val="clear" w:color="auto" w:fill="CCEEFF"/>
          </w:tcPr>
          <w:p>
            <w:pPr>
              <w:ind w:left="200"/>
              <w:spacing w:after="0" w:line="149" w:lineRule="exact"/>
              <w:rPr>
                <w:sz w:val="20"/>
                <w:szCs w:val="20"/>
                <w:color w:val="auto"/>
              </w:rPr>
            </w:pPr>
            <w:r>
              <w:rPr>
                <w:rFonts w:ascii="Arial" w:cs="Arial" w:eastAsia="Arial" w:hAnsi="Arial"/>
                <w:sz w:val="14"/>
                <w:szCs w:val="14"/>
                <w:color w:val="auto"/>
              </w:rPr>
              <w:t>Corporate and Other</w:t>
            </w:r>
          </w:p>
        </w:tc>
        <w:tc>
          <w:tcPr>
            <w:tcW w:w="10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220" w:type="dxa"/>
            <w:vAlign w:val="bottom"/>
            <w:tcBorders>
              <w:right w:val="single" w:sz="8" w:color="CCEEFF"/>
            </w:tcBorders>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60" w:type="dxa"/>
            <w:vAlign w:val="bottom"/>
            <w:tcBorders>
              <w:left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820" w:type="dxa"/>
            <w:vAlign w:val="bottom"/>
            <w:gridSpan w:val="2"/>
          </w:tcPr>
          <w:p>
            <w:pPr>
              <w:ind w:left="120"/>
              <w:spacing w:after="0" w:line="149" w:lineRule="exact"/>
              <w:rPr>
                <w:sz w:val="20"/>
                <w:szCs w:val="20"/>
                <w:color w:val="auto"/>
              </w:rPr>
            </w:pPr>
            <w:r>
              <w:rPr>
                <w:rFonts w:ascii="Arial" w:cs="Arial" w:eastAsia="Arial" w:hAnsi="Arial"/>
                <w:sz w:val="14"/>
                <w:szCs w:val="14"/>
                <w:color w:val="auto"/>
              </w:rPr>
              <w:t>Interest and sundry income</w:t>
            </w:r>
          </w:p>
        </w:tc>
        <w:tc>
          <w:tcPr>
            <w:tcW w:w="10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11,721</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820" w:type="dxa"/>
            <w:vAlign w:val="bottom"/>
            <w:gridSpan w:val="2"/>
            <w:shd w:val="clear" w:color="auto" w:fill="CCEEFF"/>
          </w:tcPr>
          <w:p>
            <w:pPr>
              <w:ind w:left="120"/>
              <w:spacing w:after="0" w:line="149" w:lineRule="exact"/>
              <w:rPr>
                <w:sz w:val="20"/>
                <w:szCs w:val="20"/>
                <w:color w:val="auto"/>
              </w:rPr>
            </w:pPr>
            <w:r>
              <w:rPr>
                <w:rFonts w:ascii="Arial" w:cs="Arial" w:eastAsia="Arial" w:hAnsi="Arial"/>
                <w:sz w:val="14"/>
                <w:szCs w:val="14"/>
                <w:color w:val="auto"/>
              </w:rPr>
              <w:t>Gain on sale of available-for-sale securities</w:t>
            </w:r>
          </w:p>
        </w:tc>
        <w:tc>
          <w:tcPr>
            <w:tcW w:w="10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220" w:type="dxa"/>
            <w:vAlign w:val="bottom"/>
            <w:tcBorders>
              <w:right w:val="single" w:sz="8" w:color="CCEEFF"/>
            </w:tcBorders>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25,626</w:t>
            </w:r>
          </w:p>
        </w:tc>
        <w:tc>
          <w:tcPr>
            <w:tcW w:w="160" w:type="dxa"/>
            <w:vAlign w:val="bottom"/>
            <w:tcBorders>
              <w:left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820" w:type="dxa"/>
            <w:vAlign w:val="bottom"/>
            <w:gridSpan w:val="2"/>
          </w:tcPr>
          <w:p>
            <w:pPr>
              <w:ind w:left="120"/>
              <w:spacing w:after="0" w:line="149" w:lineRule="exact"/>
              <w:rPr>
                <w:sz w:val="20"/>
                <w:szCs w:val="20"/>
                <w:color w:val="auto"/>
              </w:rPr>
            </w:pPr>
            <w:r>
              <w:rPr>
                <w:rFonts w:ascii="Arial" w:cs="Arial" w:eastAsia="Arial" w:hAnsi="Arial"/>
                <w:sz w:val="14"/>
                <w:szCs w:val="14"/>
                <w:color w:val="auto"/>
              </w:rPr>
              <w:t>General and administrative</w:t>
            </w:r>
          </w:p>
        </w:tc>
        <w:tc>
          <w:tcPr>
            <w:tcW w:w="10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(47,187)</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820" w:type="dxa"/>
            <w:vAlign w:val="bottom"/>
            <w:gridSpan w:val="2"/>
            <w:shd w:val="clear" w:color="auto" w:fill="CCEEFF"/>
          </w:tcPr>
          <w:p>
            <w:pPr>
              <w:ind w:left="120"/>
              <w:spacing w:after="0" w:line="149" w:lineRule="exact"/>
              <w:rPr>
                <w:sz w:val="20"/>
                <w:szCs w:val="20"/>
                <w:color w:val="auto"/>
              </w:rPr>
            </w:pPr>
            <w:r>
              <w:rPr>
                <w:rFonts w:ascii="Arial" w:cs="Arial" w:eastAsia="Arial" w:hAnsi="Arial"/>
                <w:sz w:val="14"/>
                <w:szCs w:val="14"/>
                <w:color w:val="auto"/>
              </w:rPr>
              <w:t>Write-down on available-for-sale securities</w:t>
            </w:r>
          </w:p>
        </w:tc>
        <w:tc>
          <w:tcPr>
            <w:tcW w:w="10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220" w:type="dxa"/>
            <w:vAlign w:val="bottom"/>
            <w:tcBorders>
              <w:right w:val="single" w:sz="8" w:color="CCEEFF"/>
            </w:tcBorders>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(74,812)</w:t>
            </w:r>
          </w:p>
        </w:tc>
        <w:tc>
          <w:tcPr>
            <w:tcW w:w="160" w:type="dxa"/>
            <w:vAlign w:val="bottom"/>
            <w:tcBorders>
              <w:left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820" w:type="dxa"/>
            <w:vAlign w:val="bottom"/>
            <w:gridSpan w:val="2"/>
          </w:tcPr>
          <w:p>
            <w:pPr>
              <w:ind w:left="120"/>
              <w:spacing w:after="0" w:line="149" w:lineRule="exact"/>
              <w:rPr>
                <w:sz w:val="20"/>
                <w:szCs w:val="20"/>
                <w:color w:val="auto"/>
              </w:rPr>
            </w:pPr>
            <w:r>
              <w:rPr>
                <w:rFonts w:ascii="Arial" w:cs="Arial" w:eastAsia="Arial" w:hAnsi="Arial"/>
                <w:sz w:val="14"/>
                <w:szCs w:val="14"/>
                <w:color w:val="auto"/>
              </w:rPr>
              <w:t>Provincial capital tax</w:t>
            </w:r>
          </w:p>
        </w:tc>
        <w:tc>
          <w:tcPr>
            <w:tcW w:w="10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(5,332)</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820" w:type="dxa"/>
            <w:vAlign w:val="bottom"/>
            <w:gridSpan w:val="2"/>
            <w:shd w:val="clear" w:color="auto" w:fill="CCEEFF"/>
          </w:tcPr>
          <w:p>
            <w:pPr>
              <w:ind w:left="120"/>
              <w:spacing w:after="0" w:line="149" w:lineRule="exact"/>
              <w:rPr>
                <w:sz w:val="20"/>
                <w:szCs w:val="20"/>
                <w:color w:val="auto"/>
              </w:rPr>
            </w:pPr>
            <w:r>
              <w:rPr>
                <w:rFonts w:ascii="Arial" w:cs="Arial" w:eastAsia="Arial" w:hAnsi="Arial"/>
                <w:sz w:val="14"/>
                <w:szCs w:val="14"/>
                <w:color w:val="auto"/>
              </w:rPr>
              <w:t>Interest expense</w:t>
            </w:r>
          </w:p>
        </w:tc>
        <w:tc>
          <w:tcPr>
            <w:tcW w:w="10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220" w:type="dxa"/>
            <w:vAlign w:val="bottom"/>
            <w:tcBorders>
              <w:right w:val="single" w:sz="8" w:color="CCEEFF"/>
            </w:tcBorders>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(2,952)</w:t>
            </w:r>
          </w:p>
        </w:tc>
        <w:tc>
          <w:tcPr>
            <w:tcW w:w="160" w:type="dxa"/>
            <w:vAlign w:val="bottom"/>
            <w:tcBorders>
              <w:left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7"/>
        </w:trPr>
        <w:tc>
          <w:tcPr>
            <w:tcW w:w="1160" w:type="dxa"/>
            <w:vAlign w:val="bottom"/>
          </w:tcPr>
          <w:p>
            <w:pPr>
              <w:spacing w:after="0"/>
              <w:rPr>
                <w:sz w:val="2"/>
                <w:szCs w:val="2"/>
                <w:color w:val="auto"/>
              </w:rPr>
            </w:pPr>
          </w:p>
        </w:tc>
        <w:tc>
          <w:tcPr>
            <w:tcW w:w="3840" w:type="dxa"/>
            <w:vAlign w:val="bottom"/>
            <w:gridSpan w:val="5"/>
            <w:vMerge w:val="restart"/>
          </w:tcPr>
          <w:p>
            <w:pPr>
              <w:ind w:left="200"/>
              <w:spacing w:after="0"/>
              <w:rPr>
                <w:sz w:val="20"/>
                <w:szCs w:val="20"/>
                <w:color w:val="auto"/>
              </w:rPr>
            </w:pPr>
            <w:r>
              <w:rPr>
                <w:rFonts w:ascii="Arial" w:cs="Arial" w:eastAsia="Arial" w:hAnsi="Arial"/>
                <w:sz w:val="14"/>
                <w:szCs w:val="14"/>
                <w:b w:val="1"/>
                <w:bCs w:val="1"/>
                <w:color w:val="auto"/>
                <w:w w:val="98"/>
              </w:rPr>
              <w:t>Income before income, mining and federal capital taxes</w:t>
            </w:r>
          </w:p>
        </w:tc>
        <w:tc>
          <w:tcPr>
            <w:tcW w:w="160" w:type="dxa"/>
            <w:vAlign w:val="bottom"/>
          </w:tcPr>
          <w:p>
            <w:pPr>
              <w:spacing w:after="0"/>
              <w:rPr>
                <w:sz w:val="2"/>
                <w:szCs w:val="2"/>
                <w:color w:val="auto"/>
              </w:rPr>
            </w:pPr>
          </w:p>
        </w:tc>
        <w:tc>
          <w:tcPr>
            <w:tcW w:w="140" w:type="dxa"/>
            <w:vAlign w:val="bottom"/>
          </w:tcPr>
          <w:p>
            <w:pPr>
              <w:spacing w:after="0"/>
              <w:rPr>
                <w:sz w:val="2"/>
                <w:szCs w:val="2"/>
                <w:color w:val="auto"/>
              </w:rPr>
            </w:pPr>
          </w:p>
        </w:tc>
        <w:tc>
          <w:tcPr>
            <w:tcW w:w="660" w:type="dxa"/>
            <w:vAlign w:val="bottom"/>
          </w:tcPr>
          <w:p>
            <w:pPr>
              <w:spacing w:after="0"/>
              <w:rPr>
                <w:sz w:val="2"/>
                <w:szCs w:val="2"/>
                <w:color w:val="auto"/>
              </w:rPr>
            </w:pPr>
          </w:p>
        </w:tc>
        <w:tc>
          <w:tcPr>
            <w:tcW w:w="160" w:type="dxa"/>
            <w:vAlign w:val="bottom"/>
          </w:tcPr>
          <w:p>
            <w:pPr>
              <w:spacing w:after="0"/>
              <w:rPr>
                <w:sz w:val="2"/>
                <w:szCs w:val="2"/>
                <w:color w:val="auto"/>
              </w:rPr>
            </w:pPr>
          </w:p>
        </w:tc>
        <w:tc>
          <w:tcPr>
            <w:tcW w:w="300" w:type="dxa"/>
            <w:vAlign w:val="bottom"/>
          </w:tcPr>
          <w:p>
            <w:pPr>
              <w:spacing w:after="0"/>
              <w:rPr>
                <w:sz w:val="2"/>
                <w:szCs w:val="2"/>
                <w:color w:val="auto"/>
              </w:rPr>
            </w:pPr>
          </w:p>
        </w:tc>
        <w:tc>
          <w:tcPr>
            <w:tcW w:w="600" w:type="dxa"/>
            <w:vAlign w:val="bottom"/>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Pr>
          <w:p>
            <w:pPr>
              <w:spacing w:after="0"/>
              <w:rPr>
                <w:sz w:val="2"/>
                <w:szCs w:val="2"/>
                <w:color w:val="auto"/>
              </w:rPr>
            </w:pPr>
          </w:p>
        </w:tc>
        <w:tc>
          <w:tcPr>
            <w:tcW w:w="480" w:type="dxa"/>
            <w:vAlign w:val="bottom"/>
          </w:tcPr>
          <w:p>
            <w:pPr>
              <w:spacing w:after="0"/>
              <w:rPr>
                <w:sz w:val="2"/>
                <w:szCs w:val="2"/>
                <w:color w:val="auto"/>
              </w:rPr>
            </w:pPr>
          </w:p>
        </w:tc>
        <w:tc>
          <w:tcPr>
            <w:tcW w:w="140" w:type="dxa"/>
            <w:vAlign w:val="bottom"/>
          </w:tcPr>
          <w:p>
            <w:pPr>
              <w:spacing w:after="0"/>
              <w:rPr>
                <w:sz w:val="2"/>
                <w:szCs w:val="2"/>
                <w:color w:val="auto"/>
              </w:rPr>
            </w:pPr>
          </w:p>
        </w:tc>
        <w:tc>
          <w:tcPr>
            <w:tcW w:w="200" w:type="dxa"/>
            <w:vAlign w:val="bottom"/>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Pr>
          <w:p>
            <w:pPr>
              <w:spacing w:after="0"/>
              <w:rPr>
                <w:sz w:val="2"/>
                <w:szCs w:val="2"/>
                <w:color w:val="auto"/>
              </w:rPr>
            </w:pPr>
          </w:p>
        </w:tc>
        <w:tc>
          <w:tcPr>
            <w:tcW w:w="560" w:type="dxa"/>
            <w:vAlign w:val="bottom"/>
          </w:tcPr>
          <w:p>
            <w:pPr>
              <w:spacing w:after="0"/>
              <w:rPr>
                <w:sz w:val="2"/>
                <w:szCs w:val="2"/>
                <w:color w:val="auto"/>
              </w:rPr>
            </w:pPr>
          </w:p>
        </w:tc>
        <w:tc>
          <w:tcPr>
            <w:tcW w:w="220" w:type="dxa"/>
            <w:vAlign w:val="bottom"/>
          </w:tcPr>
          <w:p>
            <w:pPr>
              <w:spacing w:after="0"/>
              <w:rPr>
                <w:sz w:val="2"/>
                <w:szCs w:val="2"/>
                <w:color w:val="auto"/>
              </w:rPr>
            </w:pPr>
          </w:p>
        </w:tc>
        <w:tc>
          <w:tcPr>
            <w:tcW w:w="140" w:type="dxa"/>
            <w:vAlign w:val="bottom"/>
          </w:tcPr>
          <w:p>
            <w:pPr>
              <w:spacing w:after="0"/>
              <w:rPr>
                <w:sz w:val="2"/>
                <w:szCs w:val="2"/>
                <w:color w:val="auto"/>
              </w:rPr>
            </w:pPr>
          </w:p>
        </w:tc>
        <w:tc>
          <w:tcPr>
            <w:tcW w:w="120" w:type="dxa"/>
            <w:vAlign w:val="bottom"/>
            <w:gridSpan w:val="2"/>
          </w:tcPr>
          <w:p>
            <w:pPr>
              <w:spacing w:after="0"/>
              <w:rPr>
                <w:sz w:val="2"/>
                <w:szCs w:val="2"/>
                <w:color w:val="auto"/>
              </w:rPr>
            </w:pPr>
          </w:p>
        </w:tc>
        <w:tc>
          <w:tcPr>
            <w:tcW w:w="4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66"/>
        </w:trPr>
        <w:tc>
          <w:tcPr>
            <w:tcW w:w="1160" w:type="dxa"/>
            <w:vAlign w:val="bottom"/>
          </w:tcPr>
          <w:p>
            <w:pPr>
              <w:spacing w:after="0"/>
              <w:rPr>
                <w:sz w:val="14"/>
                <w:szCs w:val="14"/>
                <w:color w:val="auto"/>
              </w:rPr>
            </w:pPr>
          </w:p>
        </w:tc>
        <w:tc>
          <w:tcPr>
            <w:tcW w:w="3840" w:type="dxa"/>
            <w:vAlign w:val="bottom"/>
            <w:gridSpan w:val="5"/>
            <w:vMerge w:val="continue"/>
          </w:tcPr>
          <w:p>
            <w:pPr>
              <w:spacing w:after="0"/>
              <w:rPr>
                <w:sz w:val="14"/>
                <w:szCs w:val="14"/>
                <w:color w:val="auto"/>
              </w:rPr>
            </w:pP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00" w:type="dxa"/>
            <w:vAlign w:val="bottom"/>
            <w:tcBorders>
              <w:top w:val="single" w:sz="8" w:color="auto"/>
              <w:bottom w:val="single" w:sz="8" w:color="auto"/>
            </w:tcBorders>
          </w:tcPr>
          <w:p>
            <w:pPr>
              <w:ind w:left="20"/>
              <w:spacing w:after="0"/>
              <w:rPr>
                <w:sz w:val="20"/>
                <w:szCs w:val="20"/>
                <w:color w:val="auto"/>
              </w:rPr>
            </w:pPr>
            <w:r>
              <w:rPr>
                <w:rFonts w:ascii="Arial" w:cs="Arial" w:eastAsia="Arial" w:hAnsi="Arial"/>
                <w:sz w:val="14"/>
                <w:szCs w:val="14"/>
                <w:color w:val="auto"/>
                <w:w w:val="76"/>
              </w:rPr>
              <w:t>$</w:t>
            </w:r>
          </w:p>
        </w:tc>
        <w:tc>
          <w:tcPr>
            <w:tcW w:w="560" w:type="dxa"/>
            <w:vAlign w:val="bottom"/>
            <w:tcBorders>
              <w:top w:val="single" w:sz="8" w:color="auto"/>
              <w:bottom w:val="single" w:sz="8" w:color="auto"/>
            </w:tcBorders>
            <w:gridSpan w:val="2"/>
          </w:tcPr>
          <w:p>
            <w:pPr>
              <w:jc w:val="right"/>
              <w:ind w:right="20"/>
              <w:spacing w:after="0"/>
              <w:rPr>
                <w:sz w:val="20"/>
                <w:szCs w:val="20"/>
                <w:color w:val="auto"/>
              </w:rPr>
            </w:pPr>
            <w:r>
              <w:rPr>
                <w:rFonts w:ascii="Arial" w:cs="Arial" w:eastAsia="Arial" w:hAnsi="Arial"/>
                <w:sz w:val="14"/>
                <w:szCs w:val="14"/>
                <w:color w:val="auto"/>
              </w:rPr>
              <w:t>95,991</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11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4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00" w:type="dxa"/>
            <w:vAlign w:val="bottom"/>
            <w:vMerge w:val="restart"/>
          </w:tcPr>
          <w:p>
            <w:pPr>
              <w:jc w:val="center"/>
              <w:ind w:right="52"/>
              <w:spacing w:after="0"/>
              <w:rPr>
                <w:sz w:val="20"/>
                <w:szCs w:val="20"/>
                <w:color w:val="auto"/>
              </w:rPr>
            </w:pPr>
            <w:r>
              <w:rPr>
                <w:rFonts w:ascii="Arial" w:cs="Arial" w:eastAsia="Arial" w:hAnsi="Arial"/>
                <w:sz w:val="14"/>
                <w:szCs w:val="14"/>
                <w:b w:val="1"/>
                <w:bCs w:val="1"/>
                <w:color w:val="auto"/>
                <w:w w:val="81"/>
              </w:rPr>
              <w:t>Revenues</w:t>
            </w:r>
          </w:p>
        </w:tc>
        <w:tc>
          <w:tcPr>
            <w:tcW w:w="1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6"/>
        </w:trPr>
        <w:tc>
          <w:tcPr>
            <w:tcW w:w="11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00" w:type="dxa"/>
            <w:vAlign w:val="bottom"/>
            <w:vMerge w:val="continue"/>
          </w:tcPr>
          <w:p>
            <w:pPr>
              <w:spacing w:after="0"/>
              <w:rPr>
                <w:sz w:val="24"/>
                <w:szCs w:val="24"/>
                <w:color w:val="auto"/>
              </w:rPr>
            </w:pPr>
          </w:p>
        </w:tc>
        <w:tc>
          <w:tcPr>
            <w:tcW w:w="1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400" w:type="dxa"/>
            <w:vAlign w:val="bottom"/>
          </w:tcPr>
          <w:p>
            <w:pPr>
              <w:spacing w:after="0"/>
              <w:rPr>
                <w:sz w:val="12"/>
                <w:szCs w:val="12"/>
                <w:color w:val="auto"/>
              </w:rPr>
            </w:pPr>
          </w:p>
        </w:tc>
        <w:tc>
          <w:tcPr>
            <w:tcW w:w="14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00" w:type="dxa"/>
            <w:vAlign w:val="bottom"/>
          </w:tcPr>
          <w:p>
            <w:pPr>
              <w:jc w:val="center"/>
              <w:ind w:right="72"/>
              <w:spacing w:after="0" w:line="149" w:lineRule="exact"/>
              <w:rPr>
                <w:sz w:val="20"/>
                <w:szCs w:val="20"/>
                <w:color w:val="auto"/>
              </w:rPr>
            </w:pPr>
            <w:r>
              <w:rPr>
                <w:rFonts w:ascii="Arial" w:cs="Arial" w:eastAsia="Arial" w:hAnsi="Arial"/>
                <w:sz w:val="14"/>
                <w:szCs w:val="14"/>
                <w:b w:val="1"/>
                <w:bCs w:val="1"/>
                <w:color w:val="auto"/>
                <w:w w:val="89"/>
              </w:rPr>
              <w:t>from</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gridSpan w:val="4"/>
          </w:tcPr>
          <w:p>
            <w:pPr>
              <w:jc w:val="center"/>
              <w:ind w:right="260"/>
              <w:spacing w:after="0" w:line="149" w:lineRule="exact"/>
              <w:rPr>
                <w:sz w:val="20"/>
                <w:szCs w:val="20"/>
                <w:color w:val="auto"/>
              </w:rPr>
            </w:pPr>
            <w:r>
              <w:rPr>
                <w:rFonts w:ascii="Arial" w:cs="Arial" w:eastAsia="Arial" w:hAnsi="Arial"/>
                <w:sz w:val="14"/>
                <w:szCs w:val="14"/>
                <w:b w:val="1"/>
                <w:bCs w:val="1"/>
                <w:color w:val="auto"/>
                <w:w w:val="88"/>
              </w:rPr>
              <w:t>Exploration</w:t>
            </w:r>
          </w:p>
        </w:tc>
        <w:tc>
          <w:tcPr>
            <w:tcW w:w="1320" w:type="dxa"/>
            <w:vAlign w:val="bottom"/>
            <w:gridSpan w:val="6"/>
          </w:tcPr>
          <w:p>
            <w:pPr>
              <w:jc w:val="center"/>
              <w:ind w:right="160"/>
              <w:spacing w:after="0" w:line="149" w:lineRule="exact"/>
              <w:rPr>
                <w:sz w:val="20"/>
                <w:szCs w:val="20"/>
                <w:color w:val="auto"/>
              </w:rPr>
            </w:pPr>
            <w:r>
              <w:rPr>
                <w:rFonts w:ascii="Arial" w:cs="Arial" w:eastAsia="Arial" w:hAnsi="Arial"/>
                <w:sz w:val="14"/>
                <w:szCs w:val="14"/>
                <w:b w:val="1"/>
                <w:bCs w:val="1"/>
                <w:color w:val="auto"/>
                <w:w w:val="89"/>
              </w:rPr>
              <w:t>Foreign Currency</w:t>
            </w:r>
          </w:p>
        </w:tc>
        <w:tc>
          <w:tcPr>
            <w:tcW w:w="20" w:type="dxa"/>
            <w:vAlign w:val="bottom"/>
          </w:tcPr>
          <w:p>
            <w:pPr>
              <w:spacing w:after="0"/>
              <w:rPr>
                <w:sz w:val="12"/>
                <w:szCs w:val="12"/>
                <w:color w:val="auto"/>
              </w:rPr>
            </w:pPr>
          </w:p>
        </w:tc>
        <w:tc>
          <w:tcPr>
            <w:tcW w:w="820" w:type="dxa"/>
            <w:vAlign w:val="bottom"/>
            <w:gridSpan w:val="4"/>
          </w:tcPr>
          <w:p>
            <w:pPr>
              <w:jc w:val="center"/>
              <w:ind w:right="180"/>
              <w:spacing w:after="0" w:line="149" w:lineRule="exact"/>
              <w:rPr>
                <w:sz w:val="20"/>
                <w:szCs w:val="20"/>
                <w:color w:val="auto"/>
              </w:rPr>
            </w:pPr>
            <w:r>
              <w:rPr>
                <w:rFonts w:ascii="Arial" w:cs="Arial" w:eastAsia="Arial" w:hAnsi="Arial"/>
                <w:sz w:val="14"/>
                <w:szCs w:val="14"/>
                <w:b w:val="1"/>
                <w:bCs w:val="1"/>
                <w:color w:val="auto"/>
                <w:w w:val="81"/>
              </w:rPr>
              <w:t>Segment</w:t>
            </w: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3040" w:type="dxa"/>
            <w:vAlign w:val="bottom"/>
            <w:gridSpan w:val="3"/>
          </w:tcPr>
          <w:p>
            <w:pPr>
              <w:ind w:left="200"/>
              <w:spacing w:after="0" w:line="149" w:lineRule="exact"/>
              <w:rPr>
                <w:sz w:val="20"/>
                <w:szCs w:val="20"/>
                <w:color w:val="auto"/>
              </w:rPr>
            </w:pPr>
            <w:r>
              <w:rPr>
                <w:rFonts w:ascii="Arial" w:cs="Arial" w:eastAsia="Arial" w:hAnsi="Arial"/>
                <w:sz w:val="14"/>
                <w:szCs w:val="14"/>
                <w:b w:val="1"/>
                <w:bCs w:val="1"/>
                <w:color w:val="auto"/>
              </w:rPr>
              <w:t>Twelve Months Ended</w:t>
            </w:r>
          </w:p>
        </w:tc>
        <w:tc>
          <w:tcPr>
            <w:tcW w:w="100" w:type="dxa"/>
            <w:vAlign w:val="bottom"/>
          </w:tcPr>
          <w:p>
            <w:pPr>
              <w:spacing w:after="0"/>
              <w:rPr>
                <w:sz w:val="12"/>
                <w:szCs w:val="12"/>
                <w:color w:val="auto"/>
              </w:rPr>
            </w:pPr>
          </w:p>
        </w:tc>
        <w:tc>
          <w:tcPr>
            <w:tcW w:w="700" w:type="dxa"/>
            <w:vAlign w:val="bottom"/>
          </w:tcPr>
          <w:p>
            <w:pPr>
              <w:jc w:val="center"/>
              <w:ind w:right="52"/>
              <w:spacing w:after="0" w:line="149" w:lineRule="exact"/>
              <w:rPr>
                <w:sz w:val="20"/>
                <w:szCs w:val="20"/>
                <w:color w:val="auto"/>
              </w:rPr>
            </w:pPr>
            <w:r>
              <w:rPr>
                <w:rFonts w:ascii="Arial" w:cs="Arial" w:eastAsia="Arial" w:hAnsi="Arial"/>
                <w:sz w:val="14"/>
                <w:szCs w:val="14"/>
                <w:b w:val="1"/>
                <w:bCs w:val="1"/>
                <w:color w:val="auto"/>
                <w:w w:val="93"/>
              </w:rPr>
              <w:t>Mining</w:t>
            </w:r>
          </w:p>
        </w:tc>
        <w:tc>
          <w:tcPr>
            <w:tcW w:w="160" w:type="dxa"/>
            <w:vAlign w:val="bottom"/>
          </w:tcPr>
          <w:p>
            <w:pPr>
              <w:spacing w:after="0"/>
              <w:rPr>
                <w:sz w:val="12"/>
                <w:szCs w:val="12"/>
                <w:color w:val="auto"/>
              </w:rPr>
            </w:pPr>
          </w:p>
        </w:tc>
        <w:tc>
          <w:tcPr>
            <w:tcW w:w="800" w:type="dxa"/>
            <w:vAlign w:val="bottom"/>
            <w:gridSpan w:val="2"/>
          </w:tcPr>
          <w:p>
            <w:pPr>
              <w:jc w:val="center"/>
              <w:spacing w:after="0" w:line="149" w:lineRule="exact"/>
              <w:rPr>
                <w:sz w:val="20"/>
                <w:szCs w:val="20"/>
                <w:color w:val="auto"/>
              </w:rPr>
            </w:pPr>
            <w:r>
              <w:rPr>
                <w:rFonts w:ascii="Arial" w:cs="Arial" w:eastAsia="Arial" w:hAnsi="Arial"/>
                <w:sz w:val="14"/>
                <w:szCs w:val="14"/>
                <w:b w:val="1"/>
                <w:bCs w:val="1"/>
                <w:color w:val="auto"/>
                <w:w w:val="86"/>
              </w:rPr>
              <w:t>Production</w:t>
            </w:r>
          </w:p>
        </w:tc>
        <w:tc>
          <w:tcPr>
            <w:tcW w:w="16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60" w:type="dxa"/>
            <w:vAlign w:val="bottom"/>
            <w:gridSpan w:val="5"/>
          </w:tcPr>
          <w:p>
            <w:pPr>
              <w:jc w:val="center"/>
              <w:ind w:right="180"/>
              <w:spacing w:after="0" w:line="149" w:lineRule="exact"/>
              <w:rPr>
                <w:sz w:val="20"/>
                <w:szCs w:val="20"/>
                <w:color w:val="auto"/>
              </w:rPr>
            </w:pPr>
            <w:r>
              <w:rPr>
                <w:rFonts w:ascii="Arial" w:cs="Arial" w:eastAsia="Arial" w:hAnsi="Arial"/>
                <w:sz w:val="14"/>
                <w:szCs w:val="14"/>
                <w:b w:val="1"/>
                <w:bCs w:val="1"/>
                <w:color w:val="auto"/>
                <w:w w:val="93"/>
              </w:rPr>
              <w:t>&amp; Corporate</w:t>
            </w:r>
          </w:p>
        </w:tc>
        <w:tc>
          <w:tcPr>
            <w:tcW w:w="1320" w:type="dxa"/>
            <w:vAlign w:val="bottom"/>
            <w:gridSpan w:val="6"/>
          </w:tcPr>
          <w:p>
            <w:pPr>
              <w:jc w:val="center"/>
              <w:ind w:right="160"/>
              <w:spacing w:after="0" w:line="149" w:lineRule="exact"/>
              <w:rPr>
                <w:sz w:val="20"/>
                <w:szCs w:val="20"/>
                <w:color w:val="auto"/>
              </w:rPr>
            </w:pPr>
            <w:r>
              <w:rPr>
                <w:rFonts w:ascii="Arial" w:cs="Arial" w:eastAsia="Arial" w:hAnsi="Arial"/>
                <w:sz w:val="14"/>
                <w:szCs w:val="14"/>
                <w:b w:val="1"/>
                <w:bCs w:val="1"/>
                <w:color w:val="auto"/>
                <w:w w:val="85"/>
              </w:rPr>
              <w:t>Translation Loss</w:t>
            </w: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gridSpan w:val="3"/>
          </w:tcPr>
          <w:p>
            <w:pPr>
              <w:jc w:val="center"/>
              <w:ind w:right="280"/>
              <w:spacing w:after="0" w:line="149" w:lineRule="exact"/>
              <w:rPr>
                <w:sz w:val="20"/>
                <w:szCs w:val="20"/>
                <w:color w:val="auto"/>
              </w:rPr>
            </w:pPr>
            <w:r>
              <w:rPr>
                <w:rFonts w:ascii="Arial" w:cs="Arial" w:eastAsia="Arial" w:hAnsi="Arial"/>
                <w:sz w:val="14"/>
                <w:szCs w:val="14"/>
                <w:b w:val="1"/>
                <w:bCs w:val="1"/>
                <w:color w:val="auto"/>
                <w:w w:val="89"/>
              </w:rPr>
              <w:t>Income</w:t>
            </w:r>
          </w:p>
        </w:tc>
        <w:tc>
          <w:tcPr>
            <w:tcW w:w="0" w:type="dxa"/>
            <w:vAlign w:val="bottom"/>
          </w:tcPr>
          <w:p>
            <w:pPr>
              <w:spacing w:after="0"/>
              <w:rPr>
                <w:sz w:val="1"/>
                <w:szCs w:val="1"/>
                <w:color w:val="auto"/>
              </w:rPr>
            </w:pPr>
          </w:p>
        </w:tc>
      </w:tr>
      <w:tr>
        <w:trPr>
          <w:trHeight w:val="161"/>
        </w:trPr>
        <w:tc>
          <w:tcPr>
            <w:tcW w:w="1160" w:type="dxa"/>
            <w:vAlign w:val="bottom"/>
          </w:tcPr>
          <w:p>
            <w:pPr>
              <w:spacing w:after="0"/>
              <w:rPr>
                <w:sz w:val="14"/>
                <w:szCs w:val="14"/>
                <w:color w:val="auto"/>
              </w:rPr>
            </w:pPr>
          </w:p>
        </w:tc>
        <w:tc>
          <w:tcPr>
            <w:tcW w:w="3040" w:type="dxa"/>
            <w:vAlign w:val="bottom"/>
            <w:gridSpan w:val="3"/>
          </w:tcPr>
          <w:p>
            <w:pPr>
              <w:ind w:left="200"/>
              <w:spacing w:after="0"/>
              <w:rPr>
                <w:sz w:val="20"/>
                <w:szCs w:val="20"/>
                <w:color w:val="auto"/>
              </w:rPr>
            </w:pPr>
            <w:r>
              <w:rPr>
                <w:rFonts w:ascii="Arial" w:cs="Arial" w:eastAsia="Arial" w:hAnsi="Arial"/>
                <w:sz w:val="14"/>
                <w:szCs w:val="14"/>
                <w:b w:val="1"/>
                <w:bCs w:val="1"/>
                <w:color w:val="auto"/>
              </w:rPr>
              <w:t>December 31, 2007</w:t>
            </w:r>
          </w:p>
        </w:tc>
        <w:tc>
          <w:tcPr>
            <w:tcW w:w="800" w:type="dxa"/>
            <w:vAlign w:val="bottom"/>
            <w:gridSpan w:val="2"/>
          </w:tcPr>
          <w:p>
            <w:pPr>
              <w:jc w:val="center"/>
              <w:spacing w:after="0"/>
              <w:rPr>
                <w:sz w:val="20"/>
                <w:szCs w:val="20"/>
                <w:color w:val="auto"/>
              </w:rPr>
            </w:pPr>
            <w:r>
              <w:rPr>
                <w:rFonts w:ascii="Arial" w:cs="Arial" w:eastAsia="Arial" w:hAnsi="Arial"/>
                <w:sz w:val="14"/>
                <w:szCs w:val="14"/>
                <w:b w:val="1"/>
                <w:bCs w:val="1"/>
                <w:color w:val="auto"/>
                <w:w w:val="86"/>
              </w:rPr>
              <w:t>Operations</w:t>
            </w: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60" w:type="dxa"/>
            <w:vAlign w:val="bottom"/>
          </w:tcPr>
          <w:p>
            <w:pPr>
              <w:jc w:val="center"/>
              <w:ind w:right="112"/>
              <w:spacing w:after="0"/>
              <w:rPr>
                <w:sz w:val="20"/>
                <w:szCs w:val="20"/>
                <w:color w:val="auto"/>
              </w:rPr>
            </w:pPr>
            <w:r>
              <w:rPr>
                <w:rFonts w:ascii="Arial" w:cs="Arial" w:eastAsia="Arial" w:hAnsi="Arial"/>
                <w:sz w:val="14"/>
                <w:szCs w:val="14"/>
                <w:b w:val="1"/>
                <w:bCs w:val="1"/>
                <w:color w:val="auto"/>
                <w:w w:val="82"/>
              </w:rPr>
              <w:t>Costs</w:t>
            </w:r>
          </w:p>
        </w:tc>
        <w:tc>
          <w:tcPr>
            <w:tcW w:w="160" w:type="dxa"/>
            <w:vAlign w:val="bottom"/>
          </w:tcPr>
          <w:p>
            <w:pPr>
              <w:spacing w:after="0"/>
              <w:rPr>
                <w:sz w:val="14"/>
                <w:szCs w:val="14"/>
                <w:color w:val="auto"/>
              </w:rPr>
            </w:pPr>
          </w:p>
        </w:tc>
        <w:tc>
          <w:tcPr>
            <w:tcW w:w="900" w:type="dxa"/>
            <w:vAlign w:val="bottom"/>
            <w:gridSpan w:val="2"/>
          </w:tcPr>
          <w:p>
            <w:pPr>
              <w:jc w:val="right"/>
              <w:ind w:right="12"/>
              <w:spacing w:after="0"/>
              <w:rPr>
                <w:sz w:val="20"/>
                <w:szCs w:val="20"/>
                <w:color w:val="auto"/>
              </w:rPr>
            </w:pPr>
            <w:r>
              <w:rPr>
                <w:rFonts w:ascii="Arial" w:cs="Arial" w:eastAsia="Arial" w:hAnsi="Arial"/>
                <w:sz w:val="14"/>
                <w:szCs w:val="14"/>
                <w:b w:val="1"/>
                <w:bCs w:val="1"/>
                <w:color w:val="auto"/>
                <w:w w:val="93"/>
              </w:rPr>
              <w:t>Amortization</w:t>
            </w:r>
          </w:p>
        </w:tc>
        <w:tc>
          <w:tcPr>
            <w:tcW w:w="160" w:type="dxa"/>
            <w:vAlign w:val="bottom"/>
          </w:tcPr>
          <w:p>
            <w:pPr>
              <w:spacing w:after="0"/>
              <w:rPr>
                <w:sz w:val="14"/>
                <w:szCs w:val="14"/>
                <w:color w:val="auto"/>
              </w:rPr>
            </w:pPr>
          </w:p>
        </w:tc>
        <w:tc>
          <w:tcPr>
            <w:tcW w:w="1060" w:type="dxa"/>
            <w:vAlign w:val="bottom"/>
            <w:gridSpan w:val="5"/>
          </w:tcPr>
          <w:p>
            <w:pPr>
              <w:jc w:val="center"/>
              <w:ind w:right="180"/>
              <w:spacing w:after="0"/>
              <w:rPr>
                <w:sz w:val="20"/>
                <w:szCs w:val="20"/>
                <w:color w:val="auto"/>
              </w:rPr>
            </w:pPr>
            <w:r>
              <w:rPr>
                <w:rFonts w:ascii="Arial" w:cs="Arial" w:eastAsia="Arial" w:hAnsi="Arial"/>
                <w:sz w:val="14"/>
                <w:szCs w:val="14"/>
                <w:b w:val="1"/>
                <w:bCs w:val="1"/>
                <w:color w:val="auto"/>
                <w:w w:val="86"/>
              </w:rPr>
              <w:t>Development</w:t>
            </w:r>
          </w:p>
        </w:tc>
        <w:tc>
          <w:tcPr>
            <w:tcW w:w="1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60" w:type="dxa"/>
            <w:vAlign w:val="bottom"/>
          </w:tcPr>
          <w:p>
            <w:pPr>
              <w:jc w:val="center"/>
              <w:ind w:right="132"/>
              <w:spacing w:after="0"/>
              <w:rPr>
                <w:sz w:val="20"/>
                <w:szCs w:val="20"/>
                <w:color w:val="auto"/>
              </w:rPr>
            </w:pPr>
            <w:r>
              <w:rPr>
                <w:rFonts w:ascii="Arial" w:cs="Arial" w:eastAsia="Arial" w:hAnsi="Arial"/>
                <w:sz w:val="14"/>
                <w:szCs w:val="14"/>
                <w:b w:val="1"/>
                <w:bCs w:val="1"/>
                <w:color w:val="auto"/>
                <w:w w:val="88"/>
              </w:rPr>
              <w:t>(Gain)</w:t>
            </w:r>
          </w:p>
        </w:tc>
        <w:tc>
          <w:tcPr>
            <w:tcW w:w="2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20" w:type="dxa"/>
            <w:vAlign w:val="bottom"/>
            <w:gridSpan w:val="3"/>
          </w:tcPr>
          <w:p>
            <w:pPr>
              <w:jc w:val="center"/>
              <w:ind w:right="280"/>
              <w:spacing w:after="0"/>
              <w:rPr>
                <w:sz w:val="20"/>
                <w:szCs w:val="20"/>
                <w:color w:val="auto"/>
              </w:rPr>
            </w:pPr>
            <w:r>
              <w:rPr>
                <w:rFonts w:ascii="Arial" w:cs="Arial" w:eastAsia="Arial" w:hAnsi="Arial"/>
                <w:sz w:val="14"/>
                <w:szCs w:val="14"/>
                <w:b w:val="1"/>
                <w:bCs w:val="1"/>
                <w:color w:val="auto"/>
                <w:w w:val="85"/>
              </w:rPr>
              <w:t>(Loss)</w:t>
            </w:r>
          </w:p>
        </w:tc>
        <w:tc>
          <w:tcPr>
            <w:tcW w:w="0" w:type="dxa"/>
            <w:vAlign w:val="bottom"/>
          </w:tcPr>
          <w:p>
            <w:pPr>
              <w:spacing w:after="0"/>
              <w:rPr>
                <w:sz w:val="1"/>
                <w:szCs w:val="1"/>
                <w:color w:val="auto"/>
              </w:rPr>
            </w:pPr>
          </w:p>
        </w:tc>
      </w:tr>
      <w:tr>
        <w:trPr>
          <w:trHeight w:val="20"/>
        </w:trPr>
        <w:tc>
          <w:tcPr>
            <w:tcW w:w="11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0" w:type="dxa"/>
            <w:vAlign w:val="bottom"/>
            <w:shd w:val="clear" w:color="auto" w:fill="000000"/>
          </w:tcPr>
          <w:p>
            <w:pPr>
              <w:spacing w:after="0" w:line="20" w:lineRule="exact"/>
              <w:rPr>
                <w:sz w:val="1"/>
                <w:szCs w:val="1"/>
                <w:color w:val="auto"/>
              </w:rPr>
            </w:pPr>
          </w:p>
        </w:tc>
        <w:tc>
          <w:tcPr>
            <w:tcW w:w="142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220" w:type="dxa"/>
            <w:vAlign w:val="bottom"/>
            <w:tcBorders>
              <w:right w:val="single" w:sz="8" w:color="auto"/>
            </w:tcBorders>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2"/>
        </w:trPr>
        <w:tc>
          <w:tcPr>
            <w:tcW w:w="1160" w:type="dxa"/>
            <w:vAlign w:val="bottom"/>
          </w:tcPr>
          <w:p>
            <w:pPr>
              <w:spacing w:after="0"/>
              <w:rPr>
                <w:sz w:val="12"/>
                <w:szCs w:val="12"/>
                <w:color w:val="auto"/>
              </w:rPr>
            </w:pPr>
          </w:p>
        </w:tc>
        <w:tc>
          <w:tcPr>
            <w:tcW w:w="3040" w:type="dxa"/>
            <w:vAlign w:val="bottom"/>
            <w:gridSpan w:val="3"/>
            <w:shd w:val="clear" w:color="auto" w:fill="CCEEFF"/>
          </w:tcPr>
          <w:p>
            <w:pPr>
              <w:ind w:left="200"/>
              <w:spacing w:after="0" w:line="142" w:lineRule="exact"/>
              <w:rPr>
                <w:sz w:val="20"/>
                <w:szCs w:val="20"/>
                <w:color w:val="auto"/>
              </w:rPr>
            </w:pPr>
            <w:r>
              <w:rPr>
                <w:rFonts w:ascii="Arial" w:cs="Arial" w:eastAsia="Arial" w:hAnsi="Arial"/>
                <w:sz w:val="14"/>
                <w:szCs w:val="14"/>
                <w:color w:val="auto"/>
              </w:rPr>
              <w:t>Canada</w:t>
            </w: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70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432,205</w:t>
            </w:r>
          </w:p>
        </w:tc>
        <w:tc>
          <w:tcPr>
            <w:tcW w:w="300" w:type="dxa"/>
            <w:vAlign w:val="bottom"/>
            <w:gridSpan w:val="2"/>
            <w:shd w:val="clear" w:color="auto" w:fill="CCEEFF"/>
          </w:tcPr>
          <w:p>
            <w:pPr>
              <w:jc w:val="right"/>
              <w:ind w:right="21"/>
              <w:spacing w:after="0" w:line="142" w:lineRule="exact"/>
              <w:rPr>
                <w:sz w:val="20"/>
                <w:szCs w:val="20"/>
                <w:color w:val="auto"/>
              </w:rPr>
            </w:pPr>
            <w:r>
              <w:rPr>
                <w:rFonts w:ascii="Arial" w:cs="Arial" w:eastAsia="Arial" w:hAnsi="Arial"/>
                <w:sz w:val="14"/>
                <w:szCs w:val="14"/>
                <w:color w:val="auto"/>
              </w:rPr>
              <w:t>$</w:t>
            </w:r>
          </w:p>
        </w:tc>
        <w:tc>
          <w:tcPr>
            <w:tcW w:w="66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166,104</w:t>
            </w:r>
          </w:p>
        </w:tc>
        <w:tc>
          <w:tcPr>
            <w:tcW w:w="460" w:type="dxa"/>
            <w:vAlign w:val="bottom"/>
            <w:gridSpan w:val="2"/>
            <w:shd w:val="clear" w:color="auto" w:fill="CCEEFF"/>
          </w:tcPr>
          <w:p>
            <w:pPr>
              <w:jc w:val="right"/>
              <w:ind w:right="172"/>
              <w:spacing w:after="0" w:line="142" w:lineRule="exact"/>
              <w:rPr>
                <w:sz w:val="20"/>
                <w:szCs w:val="20"/>
                <w:color w:val="auto"/>
              </w:rPr>
            </w:pPr>
            <w:r>
              <w:rPr>
                <w:rFonts w:ascii="Arial" w:cs="Arial" w:eastAsia="Arial" w:hAnsi="Arial"/>
                <w:sz w:val="14"/>
                <w:szCs w:val="14"/>
                <w:color w:val="auto"/>
              </w:rPr>
              <w:t>$</w:t>
            </w:r>
          </w:p>
        </w:tc>
        <w:tc>
          <w:tcPr>
            <w:tcW w:w="60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27,757</w:t>
            </w:r>
          </w:p>
        </w:tc>
        <w:tc>
          <w:tcPr>
            <w:tcW w:w="24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4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360" w:type="dxa"/>
            <w:vAlign w:val="bottom"/>
            <w:gridSpan w:val="2"/>
            <w:shd w:val="clear" w:color="auto" w:fill="CCEEFF"/>
          </w:tcPr>
          <w:p>
            <w:pPr>
              <w:jc w:val="right"/>
              <w:ind w:right="180"/>
              <w:spacing w:after="0" w:line="142"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jc w:val="right"/>
              <w:ind w:right="39"/>
              <w:spacing w:after="0"/>
              <w:rPr>
                <w:sz w:val="20"/>
                <w:szCs w:val="20"/>
                <w:color w:val="auto"/>
              </w:rPr>
            </w:pPr>
            <w:r>
              <w:rPr>
                <w:rFonts w:ascii="Arial" w:cs="Arial" w:eastAsia="Arial" w:hAnsi="Arial"/>
                <w:sz w:val="10"/>
                <w:szCs w:val="10"/>
                <w:color w:val="auto"/>
                <w:w w:val="71"/>
              </w:rPr>
              <w:t>$</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80" w:type="dxa"/>
            <w:vAlign w:val="bottom"/>
            <w:tcBorders>
              <w:right w:val="single" w:sz="8" w:color="CCEEFF"/>
            </w:tcBorders>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30,291</w:t>
            </w:r>
          </w:p>
        </w:tc>
        <w:tc>
          <w:tcPr>
            <w:tcW w:w="140" w:type="dxa"/>
            <w:vAlign w:val="bottom"/>
            <w:shd w:val="clear" w:color="auto" w:fill="CCEEFF"/>
          </w:tcPr>
          <w:p>
            <w:pPr>
              <w:spacing w:after="0"/>
              <w:rPr>
                <w:sz w:val="12"/>
                <w:szCs w:val="12"/>
                <w:color w:val="auto"/>
              </w:rPr>
            </w:pPr>
          </w:p>
        </w:tc>
        <w:tc>
          <w:tcPr>
            <w:tcW w:w="120" w:type="dxa"/>
            <w:vAlign w:val="bottom"/>
            <w:gridSpan w:val="2"/>
            <w:shd w:val="clear" w:color="auto" w:fill="CCEEFF"/>
          </w:tcPr>
          <w:p>
            <w:pPr>
              <w:ind w:left="40"/>
              <w:spacing w:after="0" w:line="142" w:lineRule="exact"/>
              <w:rPr>
                <w:sz w:val="20"/>
                <w:szCs w:val="20"/>
                <w:color w:val="auto"/>
              </w:rPr>
            </w:pPr>
            <w:r>
              <w:rPr>
                <w:rFonts w:ascii="Arial" w:cs="Arial" w:eastAsia="Arial" w:hAnsi="Arial"/>
                <w:sz w:val="14"/>
                <w:szCs w:val="14"/>
                <w:color w:val="auto"/>
                <w:w w:val="76"/>
              </w:rPr>
              <w:t>$</w:t>
            </w:r>
          </w:p>
        </w:tc>
        <w:tc>
          <w:tcPr>
            <w:tcW w:w="560" w:type="dxa"/>
            <w:vAlign w:val="bottom"/>
            <w:gridSpan w:val="2"/>
            <w:shd w:val="clear" w:color="auto" w:fill="CCEEFF"/>
          </w:tcPr>
          <w:p>
            <w:pPr>
              <w:jc w:val="right"/>
              <w:ind w:right="20"/>
              <w:spacing w:after="0" w:line="142" w:lineRule="exact"/>
              <w:rPr>
                <w:sz w:val="20"/>
                <w:szCs w:val="20"/>
                <w:color w:val="auto"/>
              </w:rPr>
            </w:pPr>
            <w:r>
              <w:rPr>
                <w:rFonts w:ascii="Arial" w:cs="Arial" w:eastAsia="Arial" w:hAnsi="Arial"/>
                <w:sz w:val="14"/>
                <w:szCs w:val="14"/>
                <w:color w:val="auto"/>
              </w:rPr>
              <w:t>208,053</w:t>
            </w:r>
          </w:p>
        </w:tc>
        <w:tc>
          <w:tcPr>
            <w:tcW w:w="160" w:type="dxa"/>
            <w:vAlign w:val="bottom"/>
            <w:tcBorders>
              <w:left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3040" w:type="dxa"/>
            <w:vAlign w:val="bottom"/>
            <w:gridSpan w:val="3"/>
          </w:tcPr>
          <w:p>
            <w:pPr>
              <w:ind w:left="200"/>
              <w:spacing w:after="0" w:line="149" w:lineRule="exact"/>
              <w:rPr>
                <w:sz w:val="20"/>
                <w:szCs w:val="20"/>
                <w:color w:val="auto"/>
              </w:rPr>
            </w:pPr>
            <w:r>
              <w:rPr>
                <w:rFonts w:ascii="Arial" w:cs="Arial" w:eastAsia="Arial" w:hAnsi="Arial"/>
                <w:sz w:val="14"/>
                <w:szCs w:val="14"/>
                <w:color w:val="auto"/>
              </w:rPr>
              <w:t>Europe</w:t>
            </w:r>
          </w:p>
        </w:tc>
        <w:tc>
          <w:tcPr>
            <w:tcW w:w="100" w:type="dxa"/>
            <w:vAlign w:val="bottom"/>
          </w:tcPr>
          <w:p>
            <w:pPr>
              <w:spacing w:after="0"/>
              <w:rPr>
                <w:sz w:val="12"/>
                <w:szCs w:val="12"/>
                <w:color w:val="auto"/>
              </w:rPr>
            </w:pPr>
          </w:p>
        </w:tc>
        <w:tc>
          <w:tcPr>
            <w:tcW w:w="70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0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36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2,009</w:t>
            </w:r>
          </w:p>
        </w:tc>
        <w:tc>
          <w:tcPr>
            <w:tcW w:w="1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(2,009)</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3040" w:type="dxa"/>
            <w:vAlign w:val="bottom"/>
            <w:gridSpan w:val="3"/>
            <w:shd w:val="clear" w:color="auto" w:fill="CCEEFF"/>
          </w:tcPr>
          <w:p>
            <w:pPr>
              <w:ind w:left="200"/>
              <w:spacing w:after="0" w:line="149" w:lineRule="exact"/>
              <w:rPr>
                <w:sz w:val="20"/>
                <w:szCs w:val="20"/>
                <w:color w:val="auto"/>
              </w:rPr>
            </w:pPr>
            <w:r>
              <w:rPr>
                <w:rFonts w:ascii="Arial" w:cs="Arial" w:eastAsia="Arial" w:hAnsi="Arial"/>
                <w:sz w:val="14"/>
                <w:szCs w:val="14"/>
                <w:color w:val="auto"/>
              </w:rPr>
              <w:t>Latin America</w:t>
            </w:r>
          </w:p>
        </w:tc>
        <w:tc>
          <w:tcPr>
            <w:tcW w:w="10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36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3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(3)</w:t>
            </w: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3</w:t>
            </w:r>
          </w:p>
        </w:tc>
        <w:tc>
          <w:tcPr>
            <w:tcW w:w="160" w:type="dxa"/>
            <w:vAlign w:val="bottom"/>
            <w:tcBorders>
              <w:left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1160" w:type="dxa"/>
            <w:vAlign w:val="bottom"/>
          </w:tcPr>
          <w:p>
            <w:pPr>
              <w:spacing w:after="0"/>
              <w:rPr>
                <w:sz w:val="15"/>
                <w:szCs w:val="15"/>
                <w:color w:val="auto"/>
              </w:rPr>
            </w:pPr>
          </w:p>
        </w:tc>
        <w:tc>
          <w:tcPr>
            <w:tcW w:w="3040" w:type="dxa"/>
            <w:vAlign w:val="bottom"/>
            <w:gridSpan w:val="3"/>
          </w:tcPr>
          <w:p>
            <w:pPr>
              <w:ind w:left="200"/>
              <w:spacing w:after="0"/>
              <w:rPr>
                <w:sz w:val="20"/>
                <w:szCs w:val="20"/>
                <w:color w:val="auto"/>
              </w:rPr>
            </w:pPr>
            <w:r>
              <w:rPr>
                <w:rFonts w:ascii="Arial" w:cs="Arial" w:eastAsia="Arial" w:hAnsi="Arial"/>
                <w:sz w:val="14"/>
                <w:szCs w:val="14"/>
                <w:color w:val="auto"/>
              </w:rPr>
              <w:t>Exploration</w:t>
            </w:r>
          </w:p>
        </w:tc>
        <w:tc>
          <w:tcPr>
            <w:tcW w:w="100" w:type="dxa"/>
            <w:vAlign w:val="bottom"/>
          </w:tcPr>
          <w:p>
            <w:pPr>
              <w:spacing w:after="0"/>
              <w:rPr>
                <w:sz w:val="15"/>
                <w:szCs w:val="15"/>
                <w:color w:val="auto"/>
              </w:rPr>
            </w:pPr>
          </w:p>
        </w:tc>
        <w:tc>
          <w:tcPr>
            <w:tcW w:w="70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6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60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20" w:type="dxa"/>
            <w:vAlign w:val="bottom"/>
            <w:gridSpan w:val="3"/>
          </w:tcPr>
          <w:p>
            <w:pPr>
              <w:jc w:val="right"/>
              <w:spacing w:after="0"/>
              <w:rPr>
                <w:sz w:val="20"/>
                <w:szCs w:val="20"/>
                <w:color w:val="auto"/>
              </w:rPr>
            </w:pPr>
            <w:r>
              <w:rPr>
                <w:rFonts w:ascii="Arial" w:cs="Arial" w:eastAsia="Arial" w:hAnsi="Arial"/>
                <w:sz w:val="14"/>
                <w:szCs w:val="14"/>
                <w:color w:val="auto"/>
              </w:rPr>
              <w:t>25,507</w:t>
            </w:r>
          </w:p>
        </w:tc>
        <w:tc>
          <w:tcPr>
            <w:tcW w:w="1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w:t>
            </w:r>
          </w:p>
        </w:tc>
        <w:tc>
          <w:tcPr>
            <w:tcW w:w="1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560" w:type="dxa"/>
            <w:vAlign w:val="bottom"/>
            <w:gridSpan w:val="2"/>
          </w:tcPr>
          <w:p>
            <w:pPr>
              <w:jc w:val="right"/>
              <w:spacing w:after="0"/>
              <w:rPr>
                <w:sz w:val="20"/>
                <w:szCs w:val="20"/>
                <w:color w:val="auto"/>
              </w:rPr>
            </w:pPr>
            <w:r>
              <w:rPr>
                <w:rFonts w:ascii="Arial" w:cs="Arial" w:eastAsia="Arial" w:hAnsi="Arial"/>
                <w:sz w:val="14"/>
                <w:szCs w:val="14"/>
                <w:color w:val="auto"/>
              </w:rPr>
              <w:t>(25,507)</w:t>
            </w: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11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42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220" w:type="dxa"/>
            <w:vAlign w:val="bottom"/>
            <w:tcBorders>
              <w:right w:val="single" w:sz="8" w:color="auto"/>
            </w:tcBorders>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1"/>
        </w:trPr>
        <w:tc>
          <w:tcPr>
            <w:tcW w:w="1160" w:type="dxa"/>
            <w:vAlign w:val="bottom"/>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400" w:type="dxa"/>
            <w:vAlign w:val="bottom"/>
            <w:shd w:val="clear" w:color="auto" w:fill="CCEEFF"/>
          </w:tcPr>
          <w:p>
            <w:pPr>
              <w:spacing w:after="0"/>
              <w:rPr>
                <w:sz w:val="18"/>
                <w:szCs w:val="18"/>
                <w:color w:val="auto"/>
              </w:rPr>
            </w:pPr>
          </w:p>
        </w:tc>
        <w:tc>
          <w:tcPr>
            <w:tcW w:w="142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432,205</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jc w:val="right"/>
              <w:ind w:right="21"/>
              <w:spacing w:after="0"/>
              <w:rPr>
                <w:sz w:val="20"/>
                <w:szCs w:val="20"/>
                <w:color w:val="auto"/>
              </w:rPr>
            </w:pPr>
            <w:r>
              <w:rPr>
                <w:rFonts w:ascii="Arial" w:cs="Arial" w:eastAsia="Arial" w:hAnsi="Arial"/>
                <w:sz w:val="10"/>
                <w:szCs w:val="10"/>
                <w:color w:val="auto"/>
                <w:w w:val="71"/>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166,104</w:t>
            </w:r>
          </w:p>
        </w:tc>
        <w:tc>
          <w:tcPr>
            <w:tcW w:w="460" w:type="dxa"/>
            <w:vAlign w:val="bottom"/>
            <w:gridSpan w:val="2"/>
            <w:shd w:val="clear" w:color="auto" w:fill="CCEEFF"/>
          </w:tcPr>
          <w:p>
            <w:pPr>
              <w:jc w:val="right"/>
              <w:ind w:right="172"/>
              <w:spacing w:after="0"/>
              <w:rPr>
                <w:sz w:val="20"/>
                <w:szCs w:val="20"/>
                <w:color w:val="auto"/>
              </w:rPr>
            </w:pPr>
            <w:r>
              <w:rPr>
                <w:rFonts w:ascii="Arial" w:cs="Arial" w:eastAsia="Arial" w:hAnsi="Arial"/>
                <w:sz w:val="14"/>
                <w:szCs w:val="14"/>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27,757</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820" w:type="dxa"/>
            <w:vAlign w:val="bottom"/>
            <w:gridSpan w:val="3"/>
            <w:shd w:val="clear" w:color="auto" w:fill="CCEEFF"/>
          </w:tcPr>
          <w:p>
            <w:pPr>
              <w:jc w:val="right"/>
              <w:spacing w:after="0"/>
              <w:rPr>
                <w:sz w:val="20"/>
                <w:szCs w:val="20"/>
                <w:color w:val="auto"/>
              </w:rPr>
            </w:pPr>
            <w:r>
              <w:rPr>
                <w:rFonts w:ascii="Arial" w:cs="Arial" w:eastAsia="Arial" w:hAnsi="Arial"/>
                <w:sz w:val="14"/>
                <w:szCs w:val="14"/>
                <w:color w:val="auto"/>
              </w:rPr>
              <w:t>25,507</w:t>
            </w: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jc w:val="right"/>
              <w:ind w:right="39"/>
              <w:spacing w:after="0"/>
              <w:rPr>
                <w:sz w:val="20"/>
                <w:szCs w:val="20"/>
                <w:color w:val="auto"/>
              </w:rPr>
            </w:pPr>
            <w:r>
              <w:rPr>
                <w:rFonts w:ascii="Arial" w:cs="Arial" w:eastAsia="Arial" w:hAnsi="Arial"/>
                <w:sz w:val="10"/>
                <w:szCs w:val="10"/>
                <w:color w:val="auto"/>
                <w:w w:val="71"/>
              </w:rPr>
              <w:t>$</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8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4"/>
                <w:szCs w:val="14"/>
                <w:color w:val="auto"/>
              </w:rPr>
              <w:t>32,297</w:t>
            </w:r>
          </w:p>
        </w:tc>
        <w:tc>
          <w:tcPr>
            <w:tcW w:w="140" w:type="dxa"/>
            <w:vAlign w:val="bottom"/>
            <w:shd w:val="clear" w:color="auto" w:fill="CCEEFF"/>
          </w:tcPr>
          <w:p>
            <w:pPr>
              <w:spacing w:after="0"/>
              <w:rPr>
                <w:sz w:val="18"/>
                <w:szCs w:val="18"/>
                <w:color w:val="auto"/>
              </w:rPr>
            </w:pPr>
          </w:p>
        </w:tc>
        <w:tc>
          <w:tcPr>
            <w:tcW w:w="120" w:type="dxa"/>
            <w:vAlign w:val="bottom"/>
            <w:gridSpan w:val="2"/>
            <w:shd w:val="clear" w:color="auto" w:fill="CCEEFF"/>
          </w:tcPr>
          <w:p>
            <w:pPr>
              <w:ind w:left="40"/>
              <w:spacing w:after="0"/>
              <w:rPr>
                <w:sz w:val="20"/>
                <w:szCs w:val="20"/>
                <w:color w:val="auto"/>
              </w:rPr>
            </w:pPr>
            <w:r>
              <w:rPr>
                <w:rFonts w:ascii="Arial" w:cs="Arial" w:eastAsia="Arial" w:hAnsi="Arial"/>
                <w:sz w:val="14"/>
                <w:szCs w:val="14"/>
                <w:color w:val="auto"/>
                <w:w w:val="76"/>
              </w:rPr>
              <w:t>$</w:t>
            </w:r>
          </w:p>
        </w:tc>
        <w:tc>
          <w:tcPr>
            <w:tcW w:w="560" w:type="dxa"/>
            <w:vAlign w:val="bottom"/>
            <w:gridSpan w:val="2"/>
            <w:shd w:val="clear" w:color="auto" w:fill="CCEEFF"/>
          </w:tcPr>
          <w:p>
            <w:pPr>
              <w:jc w:val="right"/>
              <w:ind w:right="20"/>
              <w:spacing w:after="0"/>
              <w:rPr>
                <w:sz w:val="20"/>
                <w:szCs w:val="20"/>
                <w:color w:val="auto"/>
              </w:rPr>
            </w:pPr>
            <w:r>
              <w:rPr>
                <w:rFonts w:ascii="Arial" w:cs="Arial" w:eastAsia="Arial" w:hAnsi="Arial"/>
                <w:sz w:val="14"/>
                <w:szCs w:val="14"/>
                <w:color w:val="auto"/>
              </w:rPr>
              <w:t>180,540</w:t>
            </w:r>
          </w:p>
        </w:tc>
        <w:tc>
          <w:tcPr>
            <w:tcW w:w="160" w:type="dxa"/>
            <w:vAlign w:val="bottom"/>
            <w:tcBorders>
              <w:left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1160" w:type="dxa"/>
            <w:vAlign w:val="bottom"/>
          </w:tcPr>
          <w:p>
            <w:pPr>
              <w:spacing w:after="0"/>
              <w:rPr>
                <w:sz w:val="2"/>
                <w:szCs w:val="2"/>
                <w:color w:val="auto"/>
              </w:rPr>
            </w:pPr>
          </w:p>
        </w:tc>
        <w:tc>
          <w:tcPr>
            <w:tcW w:w="3040" w:type="dxa"/>
            <w:vAlign w:val="bottom"/>
            <w:gridSpan w:val="3"/>
            <w:vMerge w:val="restart"/>
          </w:tcPr>
          <w:p>
            <w:pPr>
              <w:ind w:left="200"/>
              <w:spacing w:after="0"/>
              <w:rPr>
                <w:sz w:val="20"/>
                <w:szCs w:val="20"/>
                <w:color w:val="auto"/>
              </w:rPr>
            </w:pPr>
            <w:r>
              <w:rPr>
                <w:rFonts w:ascii="Arial" w:cs="Arial" w:eastAsia="Arial" w:hAnsi="Arial"/>
                <w:sz w:val="14"/>
                <w:szCs w:val="14"/>
                <w:color w:val="auto"/>
              </w:rPr>
              <w:t>Segment income</w:t>
            </w:r>
          </w:p>
        </w:tc>
        <w:tc>
          <w:tcPr>
            <w:tcW w:w="100" w:type="dxa"/>
            <w:vAlign w:val="bottom"/>
            <w:tcBorders>
              <w:bottom w:val="single" w:sz="8" w:color="auto"/>
            </w:tcBorders>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40" w:type="dxa"/>
            <w:vAlign w:val="bottom"/>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1160" w:type="dxa"/>
            <w:vAlign w:val="bottom"/>
          </w:tcPr>
          <w:p>
            <w:pPr>
              <w:spacing w:after="0" w:line="20" w:lineRule="exact"/>
              <w:rPr>
                <w:sz w:val="1"/>
                <w:szCs w:val="1"/>
                <w:color w:val="auto"/>
              </w:rPr>
            </w:pPr>
          </w:p>
        </w:tc>
        <w:tc>
          <w:tcPr>
            <w:tcW w:w="3040" w:type="dxa"/>
            <w:vAlign w:val="bottom"/>
            <w:gridSpan w:val="3"/>
            <w:vMerge w:val="continue"/>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9"/>
        </w:trPr>
        <w:tc>
          <w:tcPr>
            <w:tcW w:w="1160" w:type="dxa"/>
            <w:vAlign w:val="bottom"/>
          </w:tcPr>
          <w:p>
            <w:pPr>
              <w:spacing w:after="0"/>
              <w:rPr>
                <w:sz w:val="11"/>
                <w:szCs w:val="11"/>
                <w:color w:val="auto"/>
              </w:rPr>
            </w:pPr>
          </w:p>
        </w:tc>
        <w:tc>
          <w:tcPr>
            <w:tcW w:w="3040" w:type="dxa"/>
            <w:vAlign w:val="bottom"/>
            <w:gridSpan w:val="3"/>
            <w:vMerge w:val="continue"/>
          </w:tcPr>
          <w:p>
            <w:pPr>
              <w:spacing w:after="0"/>
              <w:rPr>
                <w:sz w:val="11"/>
                <w:szCs w:val="11"/>
                <w:color w:val="auto"/>
              </w:rPr>
            </w:pPr>
          </w:p>
        </w:tc>
        <w:tc>
          <w:tcPr>
            <w:tcW w:w="100" w:type="dxa"/>
            <w:vAlign w:val="bottom"/>
            <w:tcBorders>
              <w:top w:val="single" w:sz="8" w:color="auto"/>
            </w:tcBorders>
          </w:tcPr>
          <w:p>
            <w:pPr>
              <w:spacing w:after="0"/>
              <w:rPr>
                <w:sz w:val="11"/>
                <w:szCs w:val="11"/>
                <w:color w:val="auto"/>
              </w:rPr>
            </w:pPr>
          </w:p>
        </w:tc>
        <w:tc>
          <w:tcPr>
            <w:tcW w:w="700" w:type="dxa"/>
            <w:vAlign w:val="bottom"/>
            <w:tcBorders>
              <w:top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140" w:type="dxa"/>
            <w:vAlign w:val="bottom"/>
            <w:tcBorders>
              <w:top w:val="single" w:sz="8" w:color="auto"/>
            </w:tcBorders>
          </w:tcPr>
          <w:p>
            <w:pPr>
              <w:spacing w:after="0"/>
              <w:rPr>
                <w:sz w:val="11"/>
                <w:szCs w:val="11"/>
                <w:color w:val="auto"/>
              </w:rPr>
            </w:pPr>
          </w:p>
        </w:tc>
        <w:tc>
          <w:tcPr>
            <w:tcW w:w="660" w:type="dxa"/>
            <w:vAlign w:val="bottom"/>
            <w:tcBorders>
              <w:top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300" w:type="dxa"/>
            <w:vAlign w:val="bottom"/>
            <w:tcBorders>
              <w:top w:val="single" w:sz="8" w:color="auto"/>
            </w:tcBorders>
          </w:tcPr>
          <w:p>
            <w:pPr>
              <w:spacing w:after="0"/>
              <w:rPr>
                <w:sz w:val="11"/>
                <w:szCs w:val="11"/>
                <w:color w:val="auto"/>
              </w:rPr>
            </w:pPr>
          </w:p>
        </w:tc>
        <w:tc>
          <w:tcPr>
            <w:tcW w:w="600" w:type="dxa"/>
            <w:vAlign w:val="bottom"/>
            <w:tcBorders>
              <w:top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480" w:type="dxa"/>
            <w:vAlign w:val="bottom"/>
            <w:tcBorders>
              <w:top w:val="single" w:sz="8" w:color="auto"/>
            </w:tcBorders>
          </w:tcPr>
          <w:p>
            <w:pPr>
              <w:spacing w:after="0"/>
              <w:rPr>
                <w:sz w:val="11"/>
                <w:szCs w:val="11"/>
                <w:color w:val="auto"/>
              </w:rPr>
            </w:pPr>
          </w:p>
        </w:tc>
        <w:tc>
          <w:tcPr>
            <w:tcW w:w="140" w:type="dxa"/>
            <w:vAlign w:val="bottom"/>
            <w:tcBorders>
              <w:top w:val="single" w:sz="8" w:color="auto"/>
            </w:tcBorders>
          </w:tcPr>
          <w:p>
            <w:pPr>
              <w:spacing w:after="0"/>
              <w:rPr>
                <w:sz w:val="11"/>
                <w:szCs w:val="11"/>
                <w:color w:val="auto"/>
              </w:rPr>
            </w:pPr>
          </w:p>
        </w:tc>
        <w:tc>
          <w:tcPr>
            <w:tcW w:w="200" w:type="dxa"/>
            <w:vAlign w:val="bottom"/>
            <w:tcBorders>
              <w:top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160" w:type="dxa"/>
            <w:vAlign w:val="bottom"/>
            <w:tcBorders>
              <w:top w:val="single" w:sz="8" w:color="auto"/>
            </w:tcBorders>
          </w:tcPr>
          <w:p>
            <w:pPr>
              <w:spacing w:after="0"/>
              <w:rPr>
                <w:sz w:val="11"/>
                <w:szCs w:val="11"/>
                <w:color w:val="auto"/>
              </w:rPr>
            </w:pPr>
          </w:p>
        </w:tc>
        <w:tc>
          <w:tcPr>
            <w:tcW w:w="160" w:type="dxa"/>
            <w:vAlign w:val="bottom"/>
            <w:tcBorders>
              <w:top w:val="single" w:sz="8" w:color="auto"/>
            </w:tcBorders>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560" w:type="dxa"/>
            <w:vAlign w:val="bottom"/>
            <w:tcBorders>
              <w:top w:val="single" w:sz="8" w:color="auto"/>
            </w:tcBorders>
          </w:tcPr>
          <w:p>
            <w:pPr>
              <w:spacing w:after="0"/>
              <w:rPr>
                <w:sz w:val="11"/>
                <w:szCs w:val="11"/>
                <w:color w:val="auto"/>
              </w:rPr>
            </w:pPr>
          </w:p>
        </w:tc>
        <w:tc>
          <w:tcPr>
            <w:tcW w:w="220" w:type="dxa"/>
            <w:vAlign w:val="bottom"/>
            <w:tcBorders>
              <w:top w:val="single" w:sz="8" w:color="auto"/>
            </w:tcBorders>
          </w:tcPr>
          <w:p>
            <w:pPr>
              <w:spacing w:after="0"/>
              <w:rPr>
                <w:sz w:val="11"/>
                <w:szCs w:val="11"/>
                <w:color w:val="auto"/>
              </w:rPr>
            </w:pPr>
          </w:p>
        </w:tc>
        <w:tc>
          <w:tcPr>
            <w:tcW w:w="1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00" w:type="dxa"/>
            <w:vAlign w:val="bottom"/>
            <w:tcBorders>
              <w:top w:val="single" w:sz="8" w:color="auto"/>
            </w:tcBorders>
          </w:tcPr>
          <w:p>
            <w:pPr>
              <w:ind w:left="20"/>
              <w:spacing w:after="0" w:line="129" w:lineRule="exact"/>
              <w:rPr>
                <w:sz w:val="20"/>
                <w:szCs w:val="20"/>
                <w:color w:val="auto"/>
              </w:rPr>
            </w:pPr>
            <w:r>
              <w:rPr>
                <w:rFonts w:ascii="Arial" w:cs="Arial" w:eastAsia="Arial" w:hAnsi="Arial"/>
                <w:sz w:val="14"/>
                <w:szCs w:val="14"/>
                <w:color w:val="auto"/>
                <w:w w:val="76"/>
              </w:rPr>
              <w:t>$</w:t>
            </w:r>
          </w:p>
        </w:tc>
        <w:tc>
          <w:tcPr>
            <w:tcW w:w="560" w:type="dxa"/>
            <w:vAlign w:val="bottom"/>
            <w:tcBorders>
              <w:top w:val="single" w:sz="8" w:color="auto"/>
            </w:tcBorders>
            <w:gridSpan w:val="2"/>
          </w:tcPr>
          <w:p>
            <w:pPr>
              <w:jc w:val="right"/>
              <w:ind w:right="20"/>
              <w:spacing w:after="0" w:line="129" w:lineRule="exact"/>
              <w:rPr>
                <w:sz w:val="20"/>
                <w:szCs w:val="20"/>
                <w:color w:val="auto"/>
              </w:rPr>
            </w:pPr>
            <w:r>
              <w:rPr>
                <w:rFonts w:ascii="Arial" w:cs="Arial" w:eastAsia="Arial" w:hAnsi="Arial"/>
                <w:sz w:val="14"/>
                <w:szCs w:val="14"/>
                <w:color w:val="auto"/>
              </w:rPr>
              <w:t>180,540</w:t>
            </w: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3040" w:type="dxa"/>
            <w:vAlign w:val="bottom"/>
            <w:gridSpan w:val="3"/>
            <w:shd w:val="clear" w:color="auto" w:fill="CCEEFF"/>
          </w:tcPr>
          <w:p>
            <w:pPr>
              <w:ind w:left="200"/>
              <w:spacing w:after="0" w:line="149" w:lineRule="exact"/>
              <w:rPr>
                <w:sz w:val="20"/>
                <w:szCs w:val="20"/>
                <w:color w:val="auto"/>
              </w:rPr>
            </w:pPr>
            <w:r>
              <w:rPr>
                <w:rFonts w:ascii="Arial" w:cs="Arial" w:eastAsia="Arial" w:hAnsi="Arial"/>
                <w:sz w:val="14"/>
                <w:szCs w:val="14"/>
                <w:color w:val="auto"/>
              </w:rPr>
              <w:t>Corporate and Other</w:t>
            </w:r>
          </w:p>
        </w:tc>
        <w:tc>
          <w:tcPr>
            <w:tcW w:w="10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220" w:type="dxa"/>
            <w:vAlign w:val="bottom"/>
            <w:tcBorders>
              <w:right w:val="single" w:sz="8" w:color="CCEEFF"/>
            </w:tcBorders>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60" w:type="dxa"/>
            <w:vAlign w:val="bottom"/>
            <w:tcBorders>
              <w:left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820" w:type="dxa"/>
            <w:vAlign w:val="bottom"/>
            <w:gridSpan w:val="2"/>
          </w:tcPr>
          <w:p>
            <w:pPr>
              <w:ind w:left="120"/>
              <w:spacing w:after="0" w:line="149" w:lineRule="exact"/>
              <w:rPr>
                <w:sz w:val="20"/>
                <w:szCs w:val="20"/>
                <w:color w:val="auto"/>
              </w:rPr>
            </w:pPr>
            <w:r>
              <w:rPr>
                <w:rFonts w:ascii="Arial" w:cs="Arial" w:eastAsia="Arial" w:hAnsi="Arial"/>
                <w:sz w:val="14"/>
                <w:szCs w:val="14"/>
                <w:color w:val="auto"/>
              </w:rPr>
              <w:t>Interest and sundry income</w:t>
            </w:r>
          </w:p>
        </w:tc>
        <w:tc>
          <w:tcPr>
            <w:tcW w:w="10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25,142</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820" w:type="dxa"/>
            <w:vAlign w:val="bottom"/>
            <w:gridSpan w:val="2"/>
            <w:shd w:val="clear" w:color="auto" w:fill="CCEEFF"/>
          </w:tcPr>
          <w:p>
            <w:pPr>
              <w:ind w:left="120"/>
              <w:spacing w:after="0" w:line="149" w:lineRule="exact"/>
              <w:rPr>
                <w:sz w:val="20"/>
                <w:szCs w:val="20"/>
                <w:color w:val="auto"/>
              </w:rPr>
            </w:pPr>
            <w:r>
              <w:rPr>
                <w:rFonts w:ascii="Arial" w:cs="Arial" w:eastAsia="Arial" w:hAnsi="Arial"/>
                <w:sz w:val="14"/>
                <w:szCs w:val="14"/>
                <w:color w:val="auto"/>
              </w:rPr>
              <w:t>Gain on sale of available-for-sale securities</w:t>
            </w:r>
          </w:p>
        </w:tc>
        <w:tc>
          <w:tcPr>
            <w:tcW w:w="10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220" w:type="dxa"/>
            <w:vAlign w:val="bottom"/>
            <w:tcBorders>
              <w:right w:val="single" w:sz="8" w:color="CCEEFF"/>
            </w:tcBorders>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4,088</w:t>
            </w:r>
          </w:p>
        </w:tc>
        <w:tc>
          <w:tcPr>
            <w:tcW w:w="160" w:type="dxa"/>
            <w:vAlign w:val="bottom"/>
            <w:tcBorders>
              <w:left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820" w:type="dxa"/>
            <w:vAlign w:val="bottom"/>
            <w:gridSpan w:val="2"/>
          </w:tcPr>
          <w:p>
            <w:pPr>
              <w:ind w:left="120"/>
              <w:spacing w:after="0" w:line="149" w:lineRule="exact"/>
              <w:rPr>
                <w:sz w:val="20"/>
                <w:szCs w:val="20"/>
                <w:color w:val="auto"/>
              </w:rPr>
            </w:pPr>
            <w:r>
              <w:rPr>
                <w:rFonts w:ascii="Arial" w:cs="Arial" w:eastAsia="Arial" w:hAnsi="Arial"/>
                <w:sz w:val="14"/>
                <w:szCs w:val="14"/>
                <w:color w:val="auto"/>
              </w:rPr>
              <w:t>General and administrative</w:t>
            </w:r>
          </w:p>
        </w:tc>
        <w:tc>
          <w:tcPr>
            <w:tcW w:w="10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(38,167)</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820" w:type="dxa"/>
            <w:vAlign w:val="bottom"/>
            <w:gridSpan w:val="2"/>
            <w:shd w:val="clear" w:color="auto" w:fill="CCEEFF"/>
          </w:tcPr>
          <w:p>
            <w:pPr>
              <w:ind w:left="120"/>
              <w:spacing w:after="0" w:line="149" w:lineRule="exact"/>
              <w:rPr>
                <w:sz w:val="20"/>
                <w:szCs w:val="20"/>
                <w:color w:val="auto"/>
              </w:rPr>
            </w:pPr>
            <w:r>
              <w:rPr>
                <w:rFonts w:ascii="Arial" w:cs="Arial" w:eastAsia="Arial" w:hAnsi="Arial"/>
                <w:sz w:val="14"/>
                <w:szCs w:val="14"/>
                <w:color w:val="auto"/>
              </w:rPr>
              <w:t>Loss on derivative financial instruments</w:t>
            </w:r>
          </w:p>
        </w:tc>
        <w:tc>
          <w:tcPr>
            <w:tcW w:w="10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220" w:type="dxa"/>
            <w:vAlign w:val="bottom"/>
            <w:tcBorders>
              <w:right w:val="single" w:sz="8" w:color="CCEEFF"/>
            </w:tcBorders>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(5,829)</w:t>
            </w:r>
          </w:p>
        </w:tc>
        <w:tc>
          <w:tcPr>
            <w:tcW w:w="160" w:type="dxa"/>
            <w:vAlign w:val="bottom"/>
            <w:tcBorders>
              <w:left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820" w:type="dxa"/>
            <w:vAlign w:val="bottom"/>
            <w:gridSpan w:val="2"/>
          </w:tcPr>
          <w:p>
            <w:pPr>
              <w:ind w:left="120"/>
              <w:spacing w:after="0" w:line="149" w:lineRule="exact"/>
              <w:rPr>
                <w:sz w:val="20"/>
                <w:szCs w:val="20"/>
                <w:color w:val="auto"/>
              </w:rPr>
            </w:pPr>
            <w:r>
              <w:rPr>
                <w:rFonts w:ascii="Arial" w:cs="Arial" w:eastAsia="Arial" w:hAnsi="Arial"/>
                <w:sz w:val="14"/>
                <w:szCs w:val="14"/>
                <w:color w:val="auto"/>
              </w:rPr>
              <w:t>Provincial capital tax</w:t>
            </w:r>
          </w:p>
        </w:tc>
        <w:tc>
          <w:tcPr>
            <w:tcW w:w="10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(3,202)</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820" w:type="dxa"/>
            <w:vAlign w:val="bottom"/>
            <w:gridSpan w:val="2"/>
            <w:shd w:val="clear" w:color="auto" w:fill="CCEEFF"/>
          </w:tcPr>
          <w:p>
            <w:pPr>
              <w:ind w:left="120"/>
              <w:spacing w:after="0" w:line="149" w:lineRule="exact"/>
              <w:rPr>
                <w:sz w:val="20"/>
                <w:szCs w:val="20"/>
                <w:color w:val="auto"/>
              </w:rPr>
            </w:pPr>
            <w:r>
              <w:rPr>
                <w:rFonts w:ascii="Arial" w:cs="Arial" w:eastAsia="Arial" w:hAnsi="Arial"/>
                <w:sz w:val="14"/>
                <w:szCs w:val="14"/>
                <w:color w:val="auto"/>
              </w:rPr>
              <w:t>Interest expense</w:t>
            </w:r>
          </w:p>
        </w:tc>
        <w:tc>
          <w:tcPr>
            <w:tcW w:w="10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220" w:type="dxa"/>
            <w:vAlign w:val="bottom"/>
            <w:tcBorders>
              <w:right w:val="single" w:sz="8" w:color="CCEEFF"/>
            </w:tcBorders>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(3,294)</w:t>
            </w:r>
          </w:p>
        </w:tc>
        <w:tc>
          <w:tcPr>
            <w:tcW w:w="160" w:type="dxa"/>
            <w:vAlign w:val="bottom"/>
            <w:tcBorders>
              <w:left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7"/>
        </w:trPr>
        <w:tc>
          <w:tcPr>
            <w:tcW w:w="1160" w:type="dxa"/>
            <w:vAlign w:val="bottom"/>
          </w:tcPr>
          <w:p>
            <w:pPr>
              <w:spacing w:after="0"/>
              <w:rPr>
                <w:sz w:val="2"/>
                <w:szCs w:val="2"/>
                <w:color w:val="auto"/>
              </w:rPr>
            </w:pPr>
          </w:p>
        </w:tc>
        <w:tc>
          <w:tcPr>
            <w:tcW w:w="3840" w:type="dxa"/>
            <w:vAlign w:val="bottom"/>
            <w:gridSpan w:val="5"/>
            <w:vMerge w:val="restart"/>
          </w:tcPr>
          <w:p>
            <w:pPr>
              <w:ind w:left="200"/>
              <w:spacing w:after="0"/>
              <w:rPr>
                <w:sz w:val="20"/>
                <w:szCs w:val="20"/>
                <w:color w:val="auto"/>
              </w:rPr>
            </w:pPr>
            <w:r>
              <w:rPr>
                <w:rFonts w:ascii="Arial" w:cs="Arial" w:eastAsia="Arial" w:hAnsi="Arial"/>
                <w:sz w:val="14"/>
                <w:szCs w:val="14"/>
                <w:b w:val="1"/>
                <w:bCs w:val="1"/>
                <w:color w:val="auto"/>
                <w:w w:val="98"/>
              </w:rPr>
              <w:t>Income before income, mining and federal capital taxes</w:t>
            </w:r>
          </w:p>
        </w:tc>
        <w:tc>
          <w:tcPr>
            <w:tcW w:w="160" w:type="dxa"/>
            <w:vAlign w:val="bottom"/>
          </w:tcPr>
          <w:p>
            <w:pPr>
              <w:spacing w:after="0"/>
              <w:rPr>
                <w:sz w:val="2"/>
                <w:szCs w:val="2"/>
                <w:color w:val="auto"/>
              </w:rPr>
            </w:pPr>
          </w:p>
        </w:tc>
        <w:tc>
          <w:tcPr>
            <w:tcW w:w="140" w:type="dxa"/>
            <w:vAlign w:val="bottom"/>
          </w:tcPr>
          <w:p>
            <w:pPr>
              <w:spacing w:after="0"/>
              <w:rPr>
                <w:sz w:val="2"/>
                <w:szCs w:val="2"/>
                <w:color w:val="auto"/>
              </w:rPr>
            </w:pPr>
          </w:p>
        </w:tc>
        <w:tc>
          <w:tcPr>
            <w:tcW w:w="660" w:type="dxa"/>
            <w:vAlign w:val="bottom"/>
          </w:tcPr>
          <w:p>
            <w:pPr>
              <w:spacing w:after="0"/>
              <w:rPr>
                <w:sz w:val="2"/>
                <w:szCs w:val="2"/>
                <w:color w:val="auto"/>
              </w:rPr>
            </w:pPr>
          </w:p>
        </w:tc>
        <w:tc>
          <w:tcPr>
            <w:tcW w:w="160" w:type="dxa"/>
            <w:vAlign w:val="bottom"/>
          </w:tcPr>
          <w:p>
            <w:pPr>
              <w:spacing w:after="0"/>
              <w:rPr>
                <w:sz w:val="2"/>
                <w:szCs w:val="2"/>
                <w:color w:val="auto"/>
              </w:rPr>
            </w:pPr>
          </w:p>
        </w:tc>
        <w:tc>
          <w:tcPr>
            <w:tcW w:w="300" w:type="dxa"/>
            <w:vAlign w:val="bottom"/>
          </w:tcPr>
          <w:p>
            <w:pPr>
              <w:spacing w:after="0"/>
              <w:rPr>
                <w:sz w:val="2"/>
                <w:szCs w:val="2"/>
                <w:color w:val="auto"/>
              </w:rPr>
            </w:pPr>
          </w:p>
        </w:tc>
        <w:tc>
          <w:tcPr>
            <w:tcW w:w="600" w:type="dxa"/>
            <w:vAlign w:val="bottom"/>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Pr>
          <w:p>
            <w:pPr>
              <w:spacing w:after="0"/>
              <w:rPr>
                <w:sz w:val="2"/>
                <w:szCs w:val="2"/>
                <w:color w:val="auto"/>
              </w:rPr>
            </w:pPr>
          </w:p>
        </w:tc>
        <w:tc>
          <w:tcPr>
            <w:tcW w:w="480" w:type="dxa"/>
            <w:vAlign w:val="bottom"/>
          </w:tcPr>
          <w:p>
            <w:pPr>
              <w:spacing w:after="0"/>
              <w:rPr>
                <w:sz w:val="2"/>
                <w:szCs w:val="2"/>
                <w:color w:val="auto"/>
              </w:rPr>
            </w:pPr>
          </w:p>
        </w:tc>
        <w:tc>
          <w:tcPr>
            <w:tcW w:w="140" w:type="dxa"/>
            <w:vAlign w:val="bottom"/>
          </w:tcPr>
          <w:p>
            <w:pPr>
              <w:spacing w:after="0"/>
              <w:rPr>
                <w:sz w:val="2"/>
                <w:szCs w:val="2"/>
                <w:color w:val="auto"/>
              </w:rPr>
            </w:pPr>
          </w:p>
        </w:tc>
        <w:tc>
          <w:tcPr>
            <w:tcW w:w="200" w:type="dxa"/>
            <w:vAlign w:val="bottom"/>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Pr>
          <w:p>
            <w:pPr>
              <w:spacing w:after="0"/>
              <w:rPr>
                <w:sz w:val="2"/>
                <w:szCs w:val="2"/>
                <w:color w:val="auto"/>
              </w:rPr>
            </w:pPr>
          </w:p>
        </w:tc>
        <w:tc>
          <w:tcPr>
            <w:tcW w:w="560" w:type="dxa"/>
            <w:vAlign w:val="bottom"/>
          </w:tcPr>
          <w:p>
            <w:pPr>
              <w:spacing w:after="0"/>
              <w:rPr>
                <w:sz w:val="2"/>
                <w:szCs w:val="2"/>
                <w:color w:val="auto"/>
              </w:rPr>
            </w:pPr>
          </w:p>
        </w:tc>
        <w:tc>
          <w:tcPr>
            <w:tcW w:w="220" w:type="dxa"/>
            <w:vAlign w:val="bottom"/>
          </w:tcPr>
          <w:p>
            <w:pPr>
              <w:spacing w:after="0"/>
              <w:rPr>
                <w:sz w:val="2"/>
                <w:szCs w:val="2"/>
                <w:color w:val="auto"/>
              </w:rPr>
            </w:pPr>
          </w:p>
        </w:tc>
        <w:tc>
          <w:tcPr>
            <w:tcW w:w="140" w:type="dxa"/>
            <w:vAlign w:val="bottom"/>
          </w:tcPr>
          <w:p>
            <w:pPr>
              <w:spacing w:after="0"/>
              <w:rPr>
                <w:sz w:val="2"/>
                <w:szCs w:val="2"/>
                <w:color w:val="auto"/>
              </w:rPr>
            </w:pPr>
          </w:p>
        </w:tc>
        <w:tc>
          <w:tcPr>
            <w:tcW w:w="120" w:type="dxa"/>
            <w:vAlign w:val="bottom"/>
            <w:gridSpan w:val="2"/>
          </w:tcPr>
          <w:p>
            <w:pPr>
              <w:spacing w:after="0"/>
              <w:rPr>
                <w:sz w:val="2"/>
                <w:szCs w:val="2"/>
                <w:color w:val="auto"/>
              </w:rPr>
            </w:pPr>
          </w:p>
        </w:tc>
        <w:tc>
          <w:tcPr>
            <w:tcW w:w="4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66"/>
        </w:trPr>
        <w:tc>
          <w:tcPr>
            <w:tcW w:w="1160" w:type="dxa"/>
            <w:vAlign w:val="bottom"/>
          </w:tcPr>
          <w:p>
            <w:pPr>
              <w:spacing w:after="0"/>
              <w:rPr>
                <w:sz w:val="14"/>
                <w:szCs w:val="14"/>
                <w:color w:val="auto"/>
              </w:rPr>
            </w:pPr>
          </w:p>
        </w:tc>
        <w:tc>
          <w:tcPr>
            <w:tcW w:w="3840" w:type="dxa"/>
            <w:vAlign w:val="bottom"/>
            <w:gridSpan w:val="5"/>
            <w:vMerge w:val="continue"/>
          </w:tcPr>
          <w:p>
            <w:pPr>
              <w:spacing w:after="0"/>
              <w:rPr>
                <w:sz w:val="14"/>
                <w:szCs w:val="14"/>
                <w:color w:val="auto"/>
              </w:rPr>
            </w:pP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00" w:type="dxa"/>
            <w:vAlign w:val="bottom"/>
            <w:tcBorders>
              <w:top w:val="single" w:sz="8" w:color="auto"/>
              <w:bottom w:val="single" w:sz="8" w:color="auto"/>
            </w:tcBorders>
          </w:tcPr>
          <w:p>
            <w:pPr>
              <w:ind w:left="20"/>
              <w:spacing w:after="0"/>
              <w:rPr>
                <w:sz w:val="20"/>
                <w:szCs w:val="20"/>
                <w:color w:val="auto"/>
              </w:rPr>
            </w:pPr>
            <w:r>
              <w:rPr>
                <w:rFonts w:ascii="Arial" w:cs="Arial" w:eastAsia="Arial" w:hAnsi="Arial"/>
                <w:sz w:val="14"/>
                <w:szCs w:val="14"/>
                <w:color w:val="auto"/>
                <w:w w:val="76"/>
              </w:rPr>
              <w:t>$</w:t>
            </w:r>
          </w:p>
        </w:tc>
        <w:tc>
          <w:tcPr>
            <w:tcW w:w="560" w:type="dxa"/>
            <w:vAlign w:val="bottom"/>
            <w:tcBorders>
              <w:top w:val="single" w:sz="8" w:color="auto"/>
              <w:bottom w:val="single" w:sz="8" w:color="auto"/>
            </w:tcBorders>
            <w:gridSpan w:val="2"/>
          </w:tcPr>
          <w:p>
            <w:pPr>
              <w:jc w:val="right"/>
              <w:ind w:right="20"/>
              <w:spacing w:after="0"/>
              <w:rPr>
                <w:sz w:val="20"/>
                <w:szCs w:val="20"/>
                <w:color w:val="auto"/>
              </w:rPr>
            </w:pPr>
            <w:r>
              <w:rPr>
                <w:rFonts w:ascii="Arial" w:cs="Arial" w:eastAsia="Arial" w:hAnsi="Arial"/>
                <w:sz w:val="14"/>
                <w:szCs w:val="14"/>
                <w:color w:val="auto"/>
              </w:rPr>
              <w:t>159,278</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11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4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320" w:type="dxa"/>
            <w:vAlign w:val="bottom"/>
            <w:gridSpan w:val="6"/>
            <w:vMerge w:val="restart"/>
          </w:tcPr>
          <w:p>
            <w:pPr>
              <w:jc w:val="right"/>
              <w:ind w:right="20"/>
              <w:spacing w:after="0"/>
              <w:rPr>
                <w:sz w:val="20"/>
                <w:szCs w:val="20"/>
                <w:color w:val="auto"/>
              </w:rPr>
            </w:pPr>
            <w:r>
              <w:rPr>
                <w:rFonts w:ascii="Arial" w:cs="Arial" w:eastAsia="Arial" w:hAnsi="Arial"/>
                <w:sz w:val="14"/>
                <w:szCs w:val="14"/>
                <w:b w:val="1"/>
                <w:bCs w:val="1"/>
                <w:color w:val="auto"/>
                <w:w w:val="91"/>
              </w:rPr>
              <w:t>Capital Expenditures</w:t>
            </w:r>
          </w:p>
        </w:tc>
        <w:tc>
          <w:tcPr>
            <w:tcW w:w="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48"/>
        </w:trPr>
        <w:tc>
          <w:tcPr>
            <w:tcW w:w="11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1320" w:type="dxa"/>
            <w:vAlign w:val="bottom"/>
            <w:tcBorders>
              <w:bottom w:val="single" w:sz="8" w:color="auto"/>
            </w:tcBorders>
            <w:gridSpan w:val="6"/>
            <w:vMerge w:val="continue"/>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2"/>
        </w:trPr>
        <w:tc>
          <w:tcPr>
            <w:tcW w:w="11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400" w:type="dxa"/>
            <w:vAlign w:val="bottom"/>
          </w:tcPr>
          <w:p>
            <w:pPr>
              <w:spacing w:after="0"/>
              <w:rPr>
                <w:sz w:val="12"/>
                <w:szCs w:val="12"/>
                <w:color w:val="auto"/>
              </w:rPr>
            </w:pPr>
          </w:p>
        </w:tc>
        <w:tc>
          <w:tcPr>
            <w:tcW w:w="14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360" w:type="dxa"/>
            <w:vAlign w:val="bottom"/>
            <w:tcBorders>
              <w:bottom w:val="single" w:sz="8" w:color="auto"/>
            </w:tcBorders>
            <w:gridSpan w:val="2"/>
          </w:tcPr>
          <w:p>
            <w:pPr>
              <w:jc w:val="right"/>
              <w:ind w:right="40"/>
              <w:spacing w:after="0" w:line="142" w:lineRule="exact"/>
              <w:rPr>
                <w:sz w:val="20"/>
                <w:szCs w:val="20"/>
                <w:color w:val="auto"/>
              </w:rPr>
            </w:pPr>
            <w:r>
              <w:rPr>
                <w:rFonts w:ascii="Arial" w:cs="Arial" w:eastAsia="Arial" w:hAnsi="Arial"/>
                <w:sz w:val="14"/>
                <w:szCs w:val="14"/>
                <w:b w:val="1"/>
                <w:bCs w:val="1"/>
                <w:color w:val="auto"/>
                <w:w w:val="96"/>
              </w:rPr>
              <w:t>2009</w:t>
            </w:r>
          </w:p>
        </w:tc>
        <w:tc>
          <w:tcPr>
            <w:tcW w:w="160" w:type="dxa"/>
            <w:vAlign w:val="bottom"/>
            <w:tcBorders>
              <w:bottom w:val="single" w:sz="8" w:color="auto"/>
            </w:tcBorders>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560" w:type="dxa"/>
            <w:vAlign w:val="bottom"/>
            <w:tcBorders>
              <w:bottom w:val="single" w:sz="8" w:color="auto"/>
            </w:tcBorders>
          </w:tcPr>
          <w:p>
            <w:pPr>
              <w:jc w:val="right"/>
              <w:ind w:right="132"/>
              <w:spacing w:after="0" w:line="142" w:lineRule="exact"/>
              <w:rPr>
                <w:sz w:val="20"/>
                <w:szCs w:val="20"/>
                <w:color w:val="auto"/>
              </w:rPr>
            </w:pPr>
            <w:r>
              <w:rPr>
                <w:rFonts w:ascii="Arial" w:cs="Arial" w:eastAsia="Arial" w:hAnsi="Arial"/>
                <w:sz w:val="14"/>
                <w:szCs w:val="14"/>
                <w:b w:val="1"/>
                <w:bCs w:val="1"/>
                <w:color w:val="auto"/>
              </w:rPr>
              <w:t>2008</w:t>
            </w:r>
          </w:p>
        </w:tc>
        <w:tc>
          <w:tcPr>
            <w:tcW w:w="220" w:type="dxa"/>
            <w:vAlign w:val="bottom"/>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560" w:type="dxa"/>
            <w:vAlign w:val="bottom"/>
            <w:tcBorders>
              <w:bottom w:val="single" w:sz="8" w:color="auto"/>
            </w:tcBorders>
            <w:gridSpan w:val="3"/>
          </w:tcPr>
          <w:p>
            <w:pPr>
              <w:ind w:left="40"/>
              <w:spacing w:after="0" w:line="142" w:lineRule="exact"/>
              <w:rPr>
                <w:sz w:val="20"/>
                <w:szCs w:val="20"/>
                <w:color w:val="auto"/>
              </w:rPr>
            </w:pPr>
            <w:r>
              <w:rPr>
                <w:rFonts w:ascii="Arial" w:cs="Arial" w:eastAsia="Arial" w:hAnsi="Arial"/>
                <w:sz w:val="14"/>
                <w:szCs w:val="14"/>
                <w:b w:val="1"/>
                <w:bCs w:val="1"/>
                <w:color w:val="auto"/>
              </w:rPr>
              <w:t>2007</w:t>
            </w: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1160" w:type="dxa"/>
            <w:vAlign w:val="bottom"/>
          </w:tcPr>
          <w:p>
            <w:pPr>
              <w:spacing w:after="0"/>
              <w:rPr>
                <w:sz w:val="12"/>
                <w:szCs w:val="12"/>
                <w:color w:val="auto"/>
              </w:rPr>
            </w:pPr>
          </w:p>
        </w:tc>
        <w:tc>
          <w:tcPr>
            <w:tcW w:w="3040" w:type="dxa"/>
            <w:vAlign w:val="bottom"/>
            <w:gridSpan w:val="3"/>
            <w:shd w:val="clear" w:color="auto" w:fill="CCEEFF"/>
          </w:tcPr>
          <w:p>
            <w:pPr>
              <w:ind w:left="200"/>
              <w:spacing w:after="0" w:line="142" w:lineRule="exact"/>
              <w:rPr>
                <w:sz w:val="20"/>
                <w:szCs w:val="20"/>
                <w:color w:val="auto"/>
              </w:rPr>
            </w:pPr>
            <w:r>
              <w:rPr>
                <w:rFonts w:ascii="Arial" w:cs="Arial" w:eastAsia="Arial" w:hAnsi="Arial"/>
                <w:sz w:val="14"/>
                <w:szCs w:val="14"/>
                <w:color w:val="auto"/>
              </w:rPr>
              <w:t>Canada</w:t>
            </w:r>
          </w:p>
        </w:tc>
        <w:tc>
          <w:tcPr>
            <w:tcW w:w="10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20" w:type="dxa"/>
            <w:vAlign w:val="bottom"/>
            <w:gridSpan w:val="2"/>
            <w:shd w:val="clear" w:color="auto" w:fill="CCEEFF"/>
          </w:tcPr>
          <w:p>
            <w:pPr>
              <w:jc w:val="right"/>
              <w:ind w:right="60"/>
              <w:spacing w:after="0" w:line="142" w:lineRule="exact"/>
              <w:rPr>
                <w:sz w:val="20"/>
                <w:szCs w:val="20"/>
                <w:color w:val="auto"/>
              </w:rPr>
            </w:pPr>
            <w:r>
              <w:rPr>
                <w:rFonts w:ascii="Arial" w:cs="Arial" w:eastAsia="Arial" w:hAnsi="Arial"/>
                <w:sz w:val="14"/>
                <w:szCs w:val="14"/>
                <w:color w:val="auto"/>
              </w:rPr>
              <w:t>$</w:t>
            </w:r>
          </w:p>
        </w:tc>
        <w:tc>
          <w:tcPr>
            <w:tcW w:w="520" w:type="dxa"/>
            <w:vAlign w:val="bottom"/>
            <w:gridSpan w:val="3"/>
            <w:shd w:val="clear" w:color="auto" w:fill="CCEEFF"/>
          </w:tcPr>
          <w:p>
            <w:pPr>
              <w:jc w:val="right"/>
              <w:spacing w:after="0" w:line="142" w:lineRule="exact"/>
              <w:rPr>
                <w:sz w:val="20"/>
                <w:szCs w:val="20"/>
                <w:color w:val="auto"/>
              </w:rPr>
            </w:pPr>
            <w:r>
              <w:rPr>
                <w:rFonts w:ascii="Arial" w:cs="Arial" w:eastAsia="Arial" w:hAnsi="Arial"/>
                <w:sz w:val="14"/>
                <w:szCs w:val="14"/>
                <w:color w:val="auto"/>
                <w:w w:val="94"/>
              </w:rPr>
              <w:t>435,098</w:t>
            </w:r>
          </w:p>
        </w:tc>
        <w:tc>
          <w:tcPr>
            <w:tcW w:w="24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56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548,555</w:t>
            </w:r>
          </w:p>
        </w:tc>
        <w:tc>
          <w:tcPr>
            <w:tcW w:w="360" w:type="dxa"/>
            <w:vAlign w:val="bottom"/>
            <w:gridSpan w:val="2"/>
            <w:shd w:val="clear" w:color="auto" w:fill="CCEEFF"/>
          </w:tcPr>
          <w:p>
            <w:pPr>
              <w:jc w:val="right"/>
              <w:ind w:right="120"/>
              <w:spacing w:after="0" w:line="142" w:lineRule="exact"/>
              <w:rPr>
                <w:sz w:val="20"/>
                <w:szCs w:val="20"/>
                <w:color w:val="auto"/>
              </w:rPr>
            </w:pPr>
            <w:r>
              <w:rPr>
                <w:rFonts w:ascii="Arial" w:cs="Arial" w:eastAsia="Arial" w:hAnsi="Arial"/>
                <w:sz w:val="14"/>
                <w:szCs w:val="14"/>
                <w:color w:val="auto"/>
              </w:rPr>
              <w:t>$</w:t>
            </w:r>
          </w:p>
        </w:tc>
        <w:tc>
          <w:tcPr>
            <w:tcW w:w="560" w:type="dxa"/>
            <w:vAlign w:val="bottom"/>
            <w:gridSpan w:val="3"/>
            <w:shd w:val="clear" w:color="auto" w:fill="CCEEFF"/>
          </w:tcPr>
          <w:p>
            <w:pPr>
              <w:jc w:val="right"/>
              <w:spacing w:after="0" w:line="142" w:lineRule="exact"/>
              <w:rPr>
                <w:sz w:val="20"/>
                <w:szCs w:val="20"/>
                <w:color w:val="auto"/>
              </w:rPr>
            </w:pPr>
            <w:r>
              <w:rPr>
                <w:rFonts w:ascii="Arial" w:cs="Arial" w:eastAsia="Arial" w:hAnsi="Arial"/>
                <w:sz w:val="14"/>
                <w:szCs w:val="14"/>
                <w:color w:val="auto"/>
                <w:w w:val="86"/>
              </w:rPr>
              <w:t>1,157,973</w:t>
            </w:r>
          </w:p>
        </w:tc>
        <w:tc>
          <w:tcPr>
            <w:tcW w:w="120" w:type="dxa"/>
            <w:vAlign w:val="bottom"/>
            <w:shd w:val="clear" w:color="auto" w:fill="CCEEFF"/>
          </w:tcPr>
          <w:p>
            <w:pPr>
              <w:spacing w:after="0"/>
              <w:rPr>
                <w:sz w:val="12"/>
                <w:szCs w:val="12"/>
                <w:color w:val="auto"/>
              </w:rPr>
            </w:pPr>
          </w:p>
        </w:tc>
        <w:tc>
          <w:tcPr>
            <w:tcW w:w="160" w:type="dxa"/>
            <w:vAlign w:val="bottom"/>
            <w:tcBorders>
              <w:left w:val="single" w:sz="8" w:color="CCEEFF"/>
            </w:tcBorders>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3040" w:type="dxa"/>
            <w:vAlign w:val="bottom"/>
            <w:gridSpan w:val="3"/>
          </w:tcPr>
          <w:p>
            <w:pPr>
              <w:ind w:left="200"/>
              <w:spacing w:after="0" w:line="149" w:lineRule="exact"/>
              <w:rPr>
                <w:sz w:val="20"/>
                <w:szCs w:val="20"/>
                <w:color w:val="auto"/>
              </w:rPr>
            </w:pPr>
            <w:r>
              <w:rPr>
                <w:rFonts w:ascii="Arial" w:cs="Arial" w:eastAsia="Arial" w:hAnsi="Arial"/>
                <w:sz w:val="14"/>
                <w:szCs w:val="14"/>
                <w:color w:val="auto"/>
              </w:rPr>
              <w:t>Europe</w:t>
            </w:r>
          </w:p>
        </w:tc>
        <w:tc>
          <w:tcPr>
            <w:tcW w:w="10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20" w:type="dxa"/>
            <w:vAlign w:val="bottom"/>
            <w:gridSpan w:val="3"/>
          </w:tcPr>
          <w:p>
            <w:pPr>
              <w:jc w:val="right"/>
              <w:spacing w:after="0" w:line="149" w:lineRule="exact"/>
              <w:rPr>
                <w:sz w:val="20"/>
                <w:szCs w:val="20"/>
                <w:color w:val="auto"/>
              </w:rPr>
            </w:pPr>
            <w:r>
              <w:rPr>
                <w:rFonts w:ascii="Arial" w:cs="Arial" w:eastAsia="Arial" w:hAnsi="Arial"/>
                <w:sz w:val="14"/>
                <w:szCs w:val="14"/>
                <w:color w:val="auto"/>
              </w:rPr>
              <w:t>84,955</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190,188</w:t>
            </w:r>
          </w:p>
        </w:tc>
        <w:tc>
          <w:tcPr>
            <w:tcW w:w="2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40" w:type="dxa"/>
            <w:vAlign w:val="bottom"/>
          </w:tcPr>
          <w:p>
            <w:pPr>
              <w:jc w:val="right"/>
              <w:spacing w:after="0" w:line="149" w:lineRule="exact"/>
              <w:rPr>
                <w:sz w:val="20"/>
                <w:szCs w:val="20"/>
                <w:color w:val="auto"/>
              </w:rPr>
            </w:pPr>
            <w:r>
              <w:rPr>
                <w:rFonts w:ascii="Arial" w:cs="Arial" w:eastAsia="Arial" w:hAnsi="Arial"/>
                <w:sz w:val="14"/>
                <w:szCs w:val="14"/>
                <w:color w:val="auto"/>
                <w:w w:val="97"/>
              </w:rPr>
              <w:t>92,070</w:t>
            </w: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1160" w:type="dxa"/>
            <w:vAlign w:val="bottom"/>
          </w:tcPr>
          <w:p>
            <w:pPr>
              <w:spacing w:after="0"/>
              <w:rPr>
                <w:sz w:val="12"/>
                <w:szCs w:val="12"/>
                <w:color w:val="auto"/>
              </w:rPr>
            </w:pPr>
          </w:p>
        </w:tc>
        <w:tc>
          <w:tcPr>
            <w:tcW w:w="3040" w:type="dxa"/>
            <w:vAlign w:val="bottom"/>
            <w:gridSpan w:val="3"/>
            <w:shd w:val="clear" w:color="auto" w:fill="CCEEFF"/>
          </w:tcPr>
          <w:p>
            <w:pPr>
              <w:ind w:left="200"/>
              <w:spacing w:after="0" w:line="149" w:lineRule="exact"/>
              <w:rPr>
                <w:sz w:val="20"/>
                <w:szCs w:val="20"/>
                <w:color w:val="auto"/>
              </w:rPr>
            </w:pPr>
            <w:r>
              <w:rPr>
                <w:rFonts w:ascii="Arial" w:cs="Arial" w:eastAsia="Arial" w:hAnsi="Arial"/>
                <w:sz w:val="14"/>
                <w:szCs w:val="14"/>
                <w:color w:val="auto"/>
              </w:rPr>
              <w:t>Latin America</w:t>
            </w:r>
          </w:p>
        </w:tc>
        <w:tc>
          <w:tcPr>
            <w:tcW w:w="10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20" w:type="dxa"/>
            <w:vAlign w:val="bottom"/>
            <w:gridSpan w:val="3"/>
            <w:shd w:val="clear" w:color="auto" w:fill="CCEEFF"/>
          </w:tcPr>
          <w:p>
            <w:pPr>
              <w:jc w:val="right"/>
              <w:spacing w:after="0" w:line="149" w:lineRule="exact"/>
              <w:rPr>
                <w:sz w:val="20"/>
                <w:szCs w:val="20"/>
                <w:color w:val="auto"/>
              </w:rPr>
            </w:pPr>
            <w:r>
              <w:rPr>
                <w:rFonts w:ascii="Arial" w:cs="Arial" w:eastAsia="Arial" w:hAnsi="Arial"/>
                <w:sz w:val="14"/>
                <w:szCs w:val="14"/>
                <w:color w:val="auto"/>
                <w:w w:val="94"/>
              </w:rPr>
              <w:t>136,706</w:t>
            </w:r>
          </w:p>
        </w:tc>
        <w:tc>
          <w:tcPr>
            <w:tcW w:w="1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171,438</w:t>
            </w:r>
          </w:p>
        </w:tc>
        <w:tc>
          <w:tcPr>
            <w:tcW w:w="220" w:type="dxa"/>
            <w:vAlign w:val="bottom"/>
            <w:tcBorders>
              <w:right w:val="single" w:sz="8" w:color="CCEEFF"/>
            </w:tcBorders>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97"/>
              </w:rPr>
              <w:t>41,252</w:t>
            </w:r>
          </w:p>
        </w:tc>
        <w:tc>
          <w:tcPr>
            <w:tcW w:w="120" w:type="dxa"/>
            <w:vAlign w:val="bottom"/>
            <w:shd w:val="clear" w:color="auto" w:fill="CCEEFF"/>
          </w:tcPr>
          <w:p>
            <w:pPr>
              <w:spacing w:after="0"/>
              <w:rPr>
                <w:sz w:val="12"/>
                <w:szCs w:val="12"/>
                <w:color w:val="auto"/>
              </w:rPr>
            </w:pPr>
          </w:p>
        </w:tc>
        <w:tc>
          <w:tcPr>
            <w:tcW w:w="160" w:type="dxa"/>
            <w:vAlign w:val="bottom"/>
            <w:tcBorders>
              <w:left w:val="single" w:sz="8" w:color="CCEEFF"/>
            </w:tcBorders>
          </w:tcPr>
          <w:p>
            <w:pPr>
              <w:spacing w:after="0"/>
              <w:rPr>
                <w:sz w:val="12"/>
                <w:szCs w:val="12"/>
                <w:color w:val="auto"/>
              </w:rPr>
            </w:pPr>
          </w:p>
        </w:tc>
        <w:tc>
          <w:tcPr>
            <w:tcW w:w="0" w:type="dxa"/>
            <w:vAlign w:val="bottom"/>
          </w:tcPr>
          <w:p>
            <w:pPr>
              <w:spacing w:after="0"/>
              <w:rPr>
                <w:sz w:val="1"/>
                <w:szCs w:val="1"/>
                <w:color w:val="auto"/>
              </w:rPr>
            </w:pPr>
          </w:p>
        </w:tc>
      </w:tr>
      <w:tr>
        <w:trPr>
          <w:trHeight w:val="174"/>
        </w:trPr>
        <w:tc>
          <w:tcPr>
            <w:tcW w:w="1160" w:type="dxa"/>
            <w:vAlign w:val="bottom"/>
          </w:tcPr>
          <w:p>
            <w:pPr>
              <w:spacing w:after="0"/>
              <w:rPr>
                <w:sz w:val="15"/>
                <w:szCs w:val="15"/>
                <w:color w:val="auto"/>
              </w:rPr>
            </w:pPr>
          </w:p>
        </w:tc>
        <w:tc>
          <w:tcPr>
            <w:tcW w:w="3040" w:type="dxa"/>
            <w:vAlign w:val="bottom"/>
            <w:gridSpan w:val="3"/>
          </w:tcPr>
          <w:p>
            <w:pPr>
              <w:ind w:left="200"/>
              <w:spacing w:after="0"/>
              <w:rPr>
                <w:sz w:val="20"/>
                <w:szCs w:val="20"/>
                <w:color w:val="auto"/>
              </w:rPr>
            </w:pPr>
            <w:r>
              <w:rPr>
                <w:rFonts w:ascii="Arial" w:cs="Arial" w:eastAsia="Arial" w:hAnsi="Arial"/>
                <w:sz w:val="14"/>
                <w:szCs w:val="14"/>
                <w:color w:val="auto"/>
              </w:rPr>
              <w:t>Exploration</w:t>
            </w:r>
          </w:p>
        </w:tc>
        <w:tc>
          <w:tcPr>
            <w:tcW w:w="100" w:type="dxa"/>
            <w:vAlign w:val="bottom"/>
          </w:tcPr>
          <w:p>
            <w:pPr>
              <w:spacing w:after="0"/>
              <w:rPr>
                <w:sz w:val="15"/>
                <w:szCs w:val="15"/>
                <w:color w:val="auto"/>
              </w:rPr>
            </w:pPr>
          </w:p>
        </w:tc>
        <w:tc>
          <w:tcPr>
            <w:tcW w:w="7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6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140" w:type="dxa"/>
            <w:vAlign w:val="bottom"/>
            <w:tcBorders>
              <w:bottom w:val="single" w:sz="8" w:color="auto"/>
            </w:tcBorders>
          </w:tcPr>
          <w:p>
            <w:pPr>
              <w:spacing w:after="0"/>
              <w:rPr>
                <w:sz w:val="15"/>
                <w:szCs w:val="15"/>
                <w:color w:val="auto"/>
              </w:rPr>
            </w:pPr>
          </w:p>
        </w:tc>
        <w:tc>
          <w:tcPr>
            <w:tcW w:w="200" w:type="dxa"/>
            <w:vAlign w:val="bottom"/>
            <w:tcBorders>
              <w:bottom w:val="single" w:sz="8" w:color="auto"/>
            </w:tcBorders>
          </w:tcPr>
          <w:p>
            <w:pPr>
              <w:spacing w:after="0"/>
              <w:rPr>
                <w:sz w:val="15"/>
                <w:szCs w:val="15"/>
                <w:color w:val="auto"/>
              </w:rPr>
            </w:pPr>
          </w:p>
        </w:tc>
        <w:tc>
          <w:tcPr>
            <w:tcW w:w="160" w:type="dxa"/>
            <w:vAlign w:val="bottom"/>
            <w:tcBorders>
              <w:bottom w:val="single" w:sz="8" w:color="auto"/>
            </w:tcBorders>
          </w:tcPr>
          <w:p>
            <w:pPr>
              <w:spacing w:after="0"/>
              <w:rPr>
                <w:sz w:val="15"/>
                <w:szCs w:val="15"/>
                <w:color w:val="auto"/>
              </w:rPr>
            </w:pPr>
          </w:p>
        </w:tc>
        <w:tc>
          <w:tcPr>
            <w:tcW w:w="16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w w:val="85"/>
              </w:rPr>
              <w:t>—</w:t>
            </w:r>
          </w:p>
        </w:tc>
        <w:tc>
          <w:tcPr>
            <w:tcW w:w="160" w:type="dxa"/>
            <w:vAlign w:val="bottom"/>
          </w:tcPr>
          <w:p>
            <w:pPr>
              <w:spacing w:after="0"/>
              <w:rPr>
                <w:sz w:val="15"/>
                <w:szCs w:val="15"/>
                <w:color w:val="auto"/>
              </w:rPr>
            </w:pPr>
          </w:p>
        </w:tc>
        <w:tc>
          <w:tcPr>
            <w:tcW w:w="80" w:type="dxa"/>
            <w:vAlign w:val="bottom"/>
            <w:tcBorders>
              <w:bottom w:val="single" w:sz="8" w:color="auto"/>
            </w:tcBorders>
          </w:tcPr>
          <w:p>
            <w:pPr>
              <w:spacing w:after="0"/>
              <w:rPr>
                <w:sz w:val="15"/>
                <w:szCs w:val="15"/>
                <w:color w:val="auto"/>
              </w:rPr>
            </w:pPr>
          </w:p>
        </w:tc>
        <w:tc>
          <w:tcPr>
            <w:tcW w:w="56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55</w:t>
            </w:r>
          </w:p>
        </w:tc>
        <w:tc>
          <w:tcPr>
            <w:tcW w:w="220" w:type="dxa"/>
            <w:vAlign w:val="bottom"/>
          </w:tcPr>
          <w:p>
            <w:pPr>
              <w:spacing w:after="0"/>
              <w:rPr>
                <w:sz w:val="15"/>
                <w:szCs w:val="15"/>
                <w:color w:val="auto"/>
              </w:rPr>
            </w:pPr>
          </w:p>
        </w:tc>
        <w:tc>
          <w:tcPr>
            <w:tcW w:w="140" w:type="dxa"/>
            <w:vAlign w:val="bottom"/>
            <w:tcBorders>
              <w:bottom w:val="single" w:sz="8" w:color="auto"/>
            </w:tcBorders>
          </w:tcPr>
          <w:p>
            <w:pPr>
              <w:spacing w:after="0"/>
              <w:rPr>
                <w:sz w:val="15"/>
                <w:szCs w:val="15"/>
                <w:color w:val="auto"/>
              </w:rPr>
            </w:pPr>
          </w:p>
        </w:tc>
        <w:tc>
          <w:tcPr>
            <w:tcW w:w="20" w:type="dxa"/>
            <w:vAlign w:val="bottom"/>
            <w:tcBorders>
              <w:bottom w:val="single" w:sz="8" w:color="auto"/>
            </w:tcBorders>
          </w:tcPr>
          <w:p>
            <w:pPr>
              <w:spacing w:after="0"/>
              <w:rPr>
                <w:sz w:val="15"/>
                <w:szCs w:val="15"/>
                <w:color w:val="auto"/>
              </w:rPr>
            </w:pPr>
          </w:p>
        </w:tc>
        <w:tc>
          <w:tcPr>
            <w:tcW w:w="100" w:type="dxa"/>
            <w:vAlign w:val="bottom"/>
            <w:tcBorders>
              <w:bottom w:val="single" w:sz="8" w:color="auto"/>
            </w:tcBorders>
          </w:tcPr>
          <w:p>
            <w:pPr>
              <w:spacing w:after="0"/>
              <w:rPr>
                <w:sz w:val="15"/>
                <w:szCs w:val="15"/>
                <w:color w:val="auto"/>
              </w:rPr>
            </w:pPr>
          </w:p>
        </w:tc>
        <w:tc>
          <w:tcPr>
            <w:tcW w:w="44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w:t>
            </w:r>
          </w:p>
        </w:tc>
        <w:tc>
          <w:tcPr>
            <w:tcW w:w="1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11"/>
        </w:trPr>
        <w:tc>
          <w:tcPr>
            <w:tcW w:w="1160" w:type="dxa"/>
            <w:vAlign w:val="bottom"/>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400" w:type="dxa"/>
            <w:vAlign w:val="bottom"/>
            <w:shd w:val="clear" w:color="auto" w:fill="CCEEFF"/>
          </w:tcPr>
          <w:p>
            <w:pPr>
              <w:spacing w:after="0"/>
              <w:rPr>
                <w:sz w:val="18"/>
                <w:szCs w:val="18"/>
                <w:color w:val="auto"/>
              </w:rPr>
            </w:pPr>
          </w:p>
        </w:tc>
        <w:tc>
          <w:tcPr>
            <w:tcW w:w="14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w:t>
            </w:r>
          </w:p>
        </w:tc>
        <w:tc>
          <w:tcPr>
            <w:tcW w:w="520" w:type="dxa"/>
            <w:vAlign w:val="bottom"/>
            <w:gridSpan w:val="3"/>
            <w:shd w:val="clear" w:color="auto" w:fill="CCEEFF"/>
          </w:tcPr>
          <w:p>
            <w:pPr>
              <w:jc w:val="right"/>
              <w:spacing w:after="0"/>
              <w:rPr>
                <w:sz w:val="20"/>
                <w:szCs w:val="20"/>
                <w:color w:val="auto"/>
              </w:rPr>
            </w:pPr>
            <w:r>
              <w:rPr>
                <w:rFonts w:ascii="Arial" w:cs="Arial" w:eastAsia="Arial" w:hAnsi="Arial"/>
                <w:sz w:val="14"/>
                <w:szCs w:val="14"/>
                <w:color w:val="auto"/>
                <w:w w:val="94"/>
              </w:rPr>
              <w:t>656,759</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5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910,236</w:t>
            </w:r>
          </w:p>
        </w:tc>
        <w:tc>
          <w:tcPr>
            <w:tcW w:w="36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w:t>
            </w:r>
          </w:p>
        </w:tc>
        <w:tc>
          <w:tcPr>
            <w:tcW w:w="560" w:type="dxa"/>
            <w:vAlign w:val="bottom"/>
            <w:gridSpan w:val="3"/>
            <w:shd w:val="clear" w:color="auto" w:fill="CCEEFF"/>
          </w:tcPr>
          <w:p>
            <w:pPr>
              <w:jc w:val="right"/>
              <w:spacing w:after="0"/>
              <w:rPr>
                <w:sz w:val="20"/>
                <w:szCs w:val="20"/>
                <w:color w:val="auto"/>
              </w:rPr>
            </w:pPr>
            <w:r>
              <w:rPr>
                <w:rFonts w:ascii="Arial" w:cs="Arial" w:eastAsia="Arial" w:hAnsi="Arial"/>
                <w:sz w:val="14"/>
                <w:szCs w:val="14"/>
                <w:color w:val="auto"/>
                <w:w w:val="86"/>
              </w:rPr>
              <w:t>1,291,295</w:t>
            </w:r>
          </w:p>
        </w:tc>
        <w:tc>
          <w:tcPr>
            <w:tcW w:w="120" w:type="dxa"/>
            <w:vAlign w:val="bottom"/>
            <w:shd w:val="clear" w:color="auto" w:fill="CCEEFF"/>
          </w:tcPr>
          <w:p>
            <w:pPr>
              <w:spacing w:after="0"/>
              <w:rPr>
                <w:sz w:val="18"/>
                <w:szCs w:val="18"/>
                <w:color w:val="auto"/>
              </w:rPr>
            </w:pPr>
          </w:p>
        </w:tc>
        <w:tc>
          <w:tcPr>
            <w:tcW w:w="160" w:type="dxa"/>
            <w:vAlign w:val="bottom"/>
            <w:tcBorders>
              <w:left w:val="single" w:sz="8" w:color="CCEEFF"/>
            </w:tcBorders>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1160" w:type="dxa"/>
            <w:vAlign w:val="bottom"/>
          </w:tcPr>
          <w:p>
            <w:pPr>
              <w:spacing w:after="0"/>
              <w:rPr>
                <w:sz w:val="2"/>
                <w:szCs w:val="2"/>
                <w:color w:val="auto"/>
              </w:rPr>
            </w:pPr>
          </w:p>
        </w:tc>
        <w:tc>
          <w:tcPr>
            <w:tcW w:w="220" w:type="dxa"/>
            <w:vAlign w:val="bottom"/>
          </w:tcPr>
          <w:p>
            <w:pPr>
              <w:spacing w:after="0"/>
              <w:rPr>
                <w:sz w:val="2"/>
                <w:szCs w:val="2"/>
                <w:color w:val="auto"/>
              </w:rPr>
            </w:pPr>
          </w:p>
        </w:tc>
        <w:tc>
          <w:tcPr>
            <w:tcW w:w="1400" w:type="dxa"/>
            <w:vAlign w:val="bottom"/>
          </w:tcPr>
          <w:p>
            <w:pPr>
              <w:spacing w:after="0"/>
              <w:rPr>
                <w:sz w:val="2"/>
                <w:szCs w:val="2"/>
                <w:color w:val="auto"/>
              </w:rPr>
            </w:pPr>
          </w:p>
        </w:tc>
        <w:tc>
          <w:tcPr>
            <w:tcW w:w="1420" w:type="dxa"/>
            <w:vAlign w:val="bottom"/>
          </w:tcPr>
          <w:p>
            <w:pPr>
              <w:spacing w:after="0"/>
              <w:rPr>
                <w:sz w:val="2"/>
                <w:szCs w:val="2"/>
                <w:color w:val="auto"/>
              </w:rPr>
            </w:pPr>
          </w:p>
        </w:tc>
        <w:tc>
          <w:tcPr>
            <w:tcW w:w="100" w:type="dxa"/>
            <w:vAlign w:val="bottom"/>
          </w:tcPr>
          <w:p>
            <w:pPr>
              <w:spacing w:after="0"/>
              <w:rPr>
                <w:sz w:val="2"/>
                <w:szCs w:val="2"/>
                <w:color w:val="auto"/>
              </w:rPr>
            </w:pPr>
          </w:p>
        </w:tc>
        <w:tc>
          <w:tcPr>
            <w:tcW w:w="700" w:type="dxa"/>
            <w:vAlign w:val="bottom"/>
          </w:tcPr>
          <w:p>
            <w:pPr>
              <w:spacing w:after="0"/>
              <w:rPr>
                <w:sz w:val="2"/>
                <w:szCs w:val="2"/>
                <w:color w:val="auto"/>
              </w:rPr>
            </w:pPr>
          </w:p>
        </w:tc>
        <w:tc>
          <w:tcPr>
            <w:tcW w:w="160" w:type="dxa"/>
            <w:vAlign w:val="bottom"/>
          </w:tcPr>
          <w:p>
            <w:pPr>
              <w:spacing w:after="0"/>
              <w:rPr>
                <w:sz w:val="2"/>
                <w:szCs w:val="2"/>
                <w:color w:val="auto"/>
              </w:rPr>
            </w:pPr>
          </w:p>
        </w:tc>
        <w:tc>
          <w:tcPr>
            <w:tcW w:w="140" w:type="dxa"/>
            <w:vAlign w:val="bottom"/>
          </w:tcPr>
          <w:p>
            <w:pPr>
              <w:spacing w:after="0"/>
              <w:rPr>
                <w:sz w:val="2"/>
                <w:szCs w:val="2"/>
                <w:color w:val="auto"/>
              </w:rPr>
            </w:pPr>
          </w:p>
        </w:tc>
        <w:tc>
          <w:tcPr>
            <w:tcW w:w="660" w:type="dxa"/>
            <w:vAlign w:val="bottom"/>
          </w:tcPr>
          <w:p>
            <w:pPr>
              <w:spacing w:after="0"/>
              <w:rPr>
                <w:sz w:val="2"/>
                <w:szCs w:val="2"/>
                <w:color w:val="auto"/>
              </w:rPr>
            </w:pPr>
          </w:p>
        </w:tc>
        <w:tc>
          <w:tcPr>
            <w:tcW w:w="160" w:type="dxa"/>
            <w:vAlign w:val="bottom"/>
          </w:tcPr>
          <w:p>
            <w:pPr>
              <w:spacing w:after="0"/>
              <w:rPr>
                <w:sz w:val="2"/>
                <w:szCs w:val="2"/>
                <w:color w:val="auto"/>
              </w:rPr>
            </w:pPr>
          </w:p>
        </w:tc>
        <w:tc>
          <w:tcPr>
            <w:tcW w:w="300" w:type="dxa"/>
            <w:vAlign w:val="bottom"/>
          </w:tcPr>
          <w:p>
            <w:pPr>
              <w:spacing w:after="0"/>
              <w:rPr>
                <w:sz w:val="2"/>
                <w:szCs w:val="2"/>
                <w:color w:val="auto"/>
              </w:rPr>
            </w:pPr>
          </w:p>
        </w:tc>
        <w:tc>
          <w:tcPr>
            <w:tcW w:w="600" w:type="dxa"/>
            <w:vAlign w:val="bottom"/>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Pr>
          <w:p>
            <w:pPr>
              <w:spacing w:after="0"/>
              <w:rPr>
                <w:sz w:val="2"/>
                <w:szCs w:val="2"/>
                <w:color w:val="auto"/>
              </w:rPr>
            </w:pPr>
          </w:p>
        </w:tc>
        <w:tc>
          <w:tcPr>
            <w:tcW w:w="48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20" w:type="dxa"/>
            <w:vAlign w:val="bottom"/>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11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4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5" w:lineRule="exact"/>
        <w:rPr>
          <w:sz w:val="20"/>
          <w:szCs w:val="20"/>
          <w:color w:val="auto"/>
        </w:rPr>
      </w:pPr>
    </w:p>
    <w:p>
      <w:pPr>
        <w:ind w:left="540"/>
        <w:spacing w:after="0"/>
        <w:rPr>
          <w:sz w:val="20"/>
          <w:szCs w:val="20"/>
          <w:color w:val="auto"/>
        </w:rPr>
      </w:pPr>
      <w:r>
        <w:rPr>
          <w:rFonts w:ascii="Arial" w:cs="Arial" w:eastAsia="Arial" w:hAnsi="Arial"/>
          <w:sz w:val="14"/>
          <w:szCs w:val="14"/>
          <w:color w:val="auto"/>
        </w:rPr>
        <w:t>There are no transactions between the reported segments affecting revenue. Production costs for the reported segments are net of intercompany transactions.</w:t>
      </w:r>
    </w:p>
    <w:p>
      <w:pPr>
        <w:spacing w:after="0" w:line="206" w:lineRule="exact"/>
        <w:rPr>
          <w:sz w:val="20"/>
          <w:szCs w:val="20"/>
          <w:color w:val="auto"/>
        </w:rPr>
      </w:pPr>
    </w:p>
    <w:p>
      <w:pPr>
        <w:ind w:left="5580"/>
        <w:spacing w:after="0"/>
        <w:rPr>
          <w:sz w:val="20"/>
          <w:szCs w:val="20"/>
          <w:color w:val="auto"/>
        </w:rPr>
      </w:pPr>
      <w:r>
        <w:rPr>
          <w:rFonts w:ascii="Arial" w:cs="Arial" w:eastAsia="Arial" w:hAnsi="Arial"/>
          <w:sz w:val="18"/>
          <w:szCs w:val="18"/>
          <w:color w:val="auto"/>
        </w:rPr>
        <w:t>177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400"/>
          </w:cols>
          <w:pgMar w:left="240" w:top="341" w:right="1259" w:bottom="1440" w:gutter="0" w:footer="0" w:header="0"/>
        </w:sectPr>
      </w:pPr>
    </w:p>
    <w:bookmarkStart w:id="220" w:name="page221"/>
    <w:bookmarkEnd w:id="220"/>
    <w:p>
      <w:pPr>
        <w:spacing w:after="0"/>
        <w:tabs>
          <w:tab w:leader="none" w:pos="860" w:val="left"/>
        </w:tabs>
        <w:rPr>
          <w:sz w:val="20"/>
          <w:szCs w:val="20"/>
          <w:color w:val="auto"/>
        </w:rPr>
      </w:pPr>
      <w:r>
        <w:rPr>
          <w:rFonts w:ascii="Arial" w:cs="Arial" w:eastAsia="Arial" w:hAnsi="Arial"/>
          <w:sz w:val="18"/>
          <w:szCs w:val="18"/>
          <w:b w:val="1"/>
          <w:bCs w:val="1"/>
          <w:color w:val="auto"/>
        </w:rPr>
        <w:t>ITEM 19</w:t>
        <w:tab/>
        <w:t>EXHIBITS</w:t>
      </w:r>
    </w:p>
    <w:p>
      <w:pPr>
        <w:spacing w:after="0" w:line="231" w:lineRule="exact"/>
        <w:rPr>
          <w:sz w:val="20"/>
          <w:szCs w:val="20"/>
          <w:color w:val="auto"/>
        </w:rPr>
      </w:pPr>
    </w:p>
    <w:p>
      <w:pPr>
        <w:ind w:left="360"/>
        <w:spacing w:after="0"/>
        <w:tabs>
          <w:tab w:leader="none" w:pos="2420" w:val="left"/>
        </w:tabs>
        <w:rPr>
          <w:sz w:val="20"/>
          <w:szCs w:val="20"/>
          <w:color w:val="auto"/>
        </w:rPr>
      </w:pPr>
      <w:r>
        <w:rPr>
          <w:rFonts w:ascii="Arial" w:cs="Arial" w:eastAsia="Arial" w:hAnsi="Arial"/>
          <w:sz w:val="18"/>
          <w:szCs w:val="18"/>
          <w:i w:val="1"/>
          <w:iCs w:val="1"/>
          <w:color w:val="auto"/>
        </w:rPr>
        <w:t>Exhibits and Exhibit Index.</w:t>
      </w:r>
      <w:r>
        <w:rPr>
          <w:sz w:val="20"/>
          <w:szCs w:val="20"/>
          <w:color w:val="auto"/>
        </w:rPr>
        <w:tab/>
      </w:r>
      <w:r>
        <w:rPr>
          <w:rFonts w:ascii="Arial" w:cs="Arial" w:eastAsia="Arial" w:hAnsi="Arial"/>
          <w:sz w:val="16"/>
          <w:szCs w:val="16"/>
          <w:color w:val="auto"/>
        </w:rPr>
        <w:t>The following Exhibits are filed as part of this Annual Report and incorporated herein by reference to the extent applicable.</w:t>
      </w:r>
    </w:p>
    <w:p>
      <w:pPr>
        <w:spacing w:after="0" w:line="200" w:lineRule="exact"/>
        <w:rPr>
          <w:sz w:val="20"/>
          <w:szCs w:val="20"/>
          <w:color w:val="auto"/>
        </w:rPr>
      </w:pPr>
    </w:p>
    <w:p>
      <w:pPr>
        <w:spacing w:after="0" w:line="23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Exhibit Index</w:t>
      </w:r>
    </w:p>
    <w:p>
      <w:pPr>
        <w:spacing w:after="0" w:line="227"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200" w:type="dxa"/>
            <w:vAlign w:val="bottom"/>
          </w:tcPr>
          <w:p>
            <w:pPr>
              <w:spacing w:after="0"/>
              <w:rPr>
                <w:sz w:val="14"/>
                <w:szCs w:val="14"/>
                <w:color w:val="auto"/>
              </w:rPr>
            </w:pPr>
          </w:p>
        </w:tc>
        <w:tc>
          <w:tcPr>
            <w:tcW w:w="740" w:type="dxa"/>
            <w:vAlign w:val="bottom"/>
          </w:tcPr>
          <w:p>
            <w:pPr>
              <w:jc w:val="right"/>
              <w:spacing w:after="0"/>
              <w:rPr>
                <w:sz w:val="20"/>
                <w:szCs w:val="20"/>
                <w:color w:val="auto"/>
              </w:rPr>
            </w:pPr>
            <w:r>
              <w:rPr>
                <w:rFonts w:ascii="Arial" w:cs="Arial" w:eastAsia="Arial" w:hAnsi="Arial"/>
                <w:sz w:val="14"/>
                <w:szCs w:val="14"/>
                <w:b w:val="1"/>
                <w:bCs w:val="1"/>
                <w:color w:val="auto"/>
                <w:w w:val="92"/>
              </w:rPr>
              <w:t>Exhibit No.</w:t>
            </w:r>
          </w:p>
        </w:tc>
        <w:tc>
          <w:tcPr>
            <w:tcW w:w="7720" w:type="dxa"/>
            <w:vAlign w:val="bottom"/>
            <w:gridSpan w:val="3"/>
          </w:tcPr>
          <w:p>
            <w:pPr>
              <w:ind w:left="200"/>
              <w:spacing w:after="0"/>
              <w:rPr>
                <w:sz w:val="20"/>
                <w:szCs w:val="20"/>
                <w:color w:val="auto"/>
              </w:rPr>
            </w:pPr>
            <w:r>
              <w:rPr>
                <w:rFonts w:ascii="Arial" w:cs="Arial" w:eastAsia="Arial" w:hAnsi="Arial"/>
                <w:sz w:val="14"/>
                <w:szCs w:val="14"/>
                <w:b w:val="1"/>
                <w:bCs w:val="1"/>
                <w:color w:val="auto"/>
              </w:rPr>
              <w:t>Description</w:t>
            </w:r>
          </w:p>
        </w:tc>
        <w:tc>
          <w:tcPr>
            <w:tcW w:w="1760" w:type="dxa"/>
            <w:vAlign w:val="bottom"/>
          </w:tcPr>
          <w:p>
            <w:pPr>
              <w:spacing w:after="0"/>
              <w:rPr>
                <w:sz w:val="14"/>
                <w:szCs w:val="14"/>
                <w:color w:val="auto"/>
              </w:rPr>
            </w:pPr>
          </w:p>
        </w:tc>
      </w:tr>
      <w:tr>
        <w:trPr>
          <w:trHeight w:val="201"/>
        </w:trPr>
        <w:tc>
          <w:tcPr>
            <w:tcW w:w="1200" w:type="dxa"/>
            <w:vAlign w:val="bottom"/>
          </w:tcPr>
          <w:p>
            <w:pPr>
              <w:spacing w:after="0"/>
              <w:rPr>
                <w:sz w:val="17"/>
                <w:szCs w:val="17"/>
                <w:color w:val="auto"/>
              </w:rPr>
            </w:pPr>
          </w:p>
        </w:tc>
        <w:tc>
          <w:tcPr>
            <w:tcW w:w="740" w:type="dxa"/>
            <w:vAlign w:val="bottom"/>
            <w:tcBorders>
              <w:top w:val="single" w:sz="8" w:color="auto"/>
            </w:tcBorders>
          </w:tcPr>
          <w:p>
            <w:pPr>
              <w:jc w:val="right"/>
              <w:ind w:right="42"/>
              <w:spacing w:after="0" w:line="201" w:lineRule="exact"/>
              <w:rPr>
                <w:sz w:val="20"/>
                <w:szCs w:val="20"/>
                <w:color w:val="auto"/>
              </w:rPr>
            </w:pPr>
            <w:r>
              <w:rPr>
                <w:rFonts w:ascii="Arial" w:cs="Arial" w:eastAsia="Arial" w:hAnsi="Arial"/>
                <w:sz w:val="18"/>
                <w:szCs w:val="18"/>
                <w:color w:val="auto"/>
              </w:rPr>
              <w:t>1.01</w:t>
            </w:r>
          </w:p>
        </w:tc>
        <w:tc>
          <w:tcPr>
            <w:tcW w:w="220" w:type="dxa"/>
            <w:vAlign w:val="bottom"/>
          </w:tcPr>
          <w:p>
            <w:pPr>
              <w:spacing w:after="0"/>
              <w:rPr>
                <w:sz w:val="17"/>
                <w:szCs w:val="17"/>
                <w:color w:val="auto"/>
              </w:rPr>
            </w:pPr>
          </w:p>
        </w:tc>
        <w:tc>
          <w:tcPr>
            <w:tcW w:w="720" w:type="dxa"/>
            <w:vAlign w:val="bottom"/>
            <w:tcBorders>
              <w:top w:val="single" w:sz="8" w:color="auto"/>
            </w:tcBorders>
          </w:tcPr>
          <w:p>
            <w:pPr>
              <w:spacing w:after="0" w:line="201" w:lineRule="exact"/>
              <w:rPr>
                <w:sz w:val="20"/>
                <w:szCs w:val="20"/>
                <w:color w:val="auto"/>
              </w:rPr>
            </w:pPr>
            <w:r>
              <w:rPr>
                <w:rFonts w:ascii="Arial" w:cs="Arial" w:eastAsia="Arial" w:hAnsi="Arial"/>
                <w:sz w:val="18"/>
                <w:szCs w:val="18"/>
                <w:color w:val="auto"/>
                <w:w w:val="88"/>
              </w:rPr>
              <w:t>Articles of</w:t>
            </w:r>
          </w:p>
        </w:tc>
        <w:tc>
          <w:tcPr>
            <w:tcW w:w="6780" w:type="dxa"/>
            <w:vAlign w:val="bottom"/>
          </w:tcPr>
          <w:p>
            <w:pPr>
              <w:ind w:left="60"/>
              <w:spacing w:after="0" w:line="201" w:lineRule="exact"/>
              <w:rPr>
                <w:sz w:val="20"/>
                <w:szCs w:val="20"/>
                <w:color w:val="auto"/>
              </w:rPr>
            </w:pPr>
            <w:r>
              <w:rPr>
                <w:rFonts w:ascii="Arial" w:cs="Arial" w:eastAsia="Arial" w:hAnsi="Arial"/>
                <w:sz w:val="18"/>
                <w:szCs w:val="18"/>
                <w:color w:val="auto"/>
              </w:rPr>
              <w:t>Amalgamation of the Company (incorporated by reference to Exhibit 1.02 to the</w:t>
            </w:r>
          </w:p>
        </w:tc>
        <w:tc>
          <w:tcPr>
            <w:tcW w:w="1760" w:type="dxa"/>
            <w:vAlign w:val="bottom"/>
          </w:tcPr>
          <w:p>
            <w:pPr>
              <w:jc w:val="right"/>
              <w:ind w:right="1212"/>
              <w:spacing w:after="0" w:line="201" w:lineRule="exact"/>
              <w:rPr>
                <w:sz w:val="20"/>
                <w:szCs w:val="20"/>
                <w:color w:val="auto"/>
              </w:rPr>
            </w:pPr>
            <w:r>
              <w:rPr>
                <w:rFonts w:ascii="Arial" w:cs="Arial" w:eastAsia="Arial" w:hAnsi="Arial"/>
                <w:sz w:val="18"/>
                <w:szCs w:val="18"/>
                <w:color w:val="auto"/>
              </w:rPr>
              <w:t>*</w:t>
            </w:r>
          </w:p>
        </w:tc>
      </w:tr>
      <w:tr>
        <w:trPr>
          <w:trHeight w:val="216"/>
        </w:trPr>
        <w:tc>
          <w:tcPr>
            <w:tcW w:w="12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7720" w:type="dxa"/>
            <w:vAlign w:val="bottom"/>
            <w:gridSpan w:val="3"/>
          </w:tcPr>
          <w:p>
            <w:pPr>
              <w:ind w:left="200"/>
              <w:spacing w:after="0"/>
              <w:rPr>
                <w:sz w:val="20"/>
                <w:szCs w:val="20"/>
                <w:color w:val="auto"/>
              </w:rPr>
            </w:pPr>
            <w:r>
              <w:rPr>
                <w:rFonts w:ascii="Arial" w:cs="Arial" w:eastAsia="Arial" w:hAnsi="Arial"/>
                <w:sz w:val="18"/>
                <w:szCs w:val="18"/>
                <w:color w:val="auto"/>
              </w:rPr>
              <w:t>Company's Annual Report on Form 20-F (File No. 001-13422) for the fiscal year ended</w:t>
            </w:r>
          </w:p>
        </w:tc>
        <w:tc>
          <w:tcPr>
            <w:tcW w:w="1760" w:type="dxa"/>
            <w:vAlign w:val="bottom"/>
          </w:tcPr>
          <w:p>
            <w:pPr>
              <w:spacing w:after="0"/>
              <w:rPr>
                <w:sz w:val="18"/>
                <w:szCs w:val="18"/>
                <w:color w:val="auto"/>
              </w:rPr>
            </w:pPr>
          </w:p>
        </w:tc>
      </w:tr>
      <w:tr>
        <w:trPr>
          <w:trHeight w:val="216"/>
        </w:trPr>
        <w:tc>
          <w:tcPr>
            <w:tcW w:w="12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7720" w:type="dxa"/>
            <w:vAlign w:val="bottom"/>
            <w:gridSpan w:val="3"/>
          </w:tcPr>
          <w:p>
            <w:pPr>
              <w:ind w:left="200"/>
              <w:spacing w:after="0"/>
              <w:rPr>
                <w:sz w:val="20"/>
                <w:szCs w:val="20"/>
                <w:color w:val="auto"/>
              </w:rPr>
            </w:pPr>
            <w:r>
              <w:rPr>
                <w:rFonts w:ascii="Arial" w:cs="Arial" w:eastAsia="Arial" w:hAnsi="Arial"/>
                <w:sz w:val="18"/>
                <w:szCs w:val="18"/>
                <w:color w:val="auto"/>
              </w:rPr>
              <w:t>December 31, 2007, filed with the SEC on March 28, 2008).</w:t>
            </w:r>
          </w:p>
        </w:tc>
        <w:tc>
          <w:tcPr>
            <w:tcW w:w="1760" w:type="dxa"/>
            <w:vAlign w:val="bottom"/>
          </w:tcPr>
          <w:p>
            <w:pPr>
              <w:spacing w:after="0"/>
              <w:rPr>
                <w:sz w:val="18"/>
                <w:szCs w:val="18"/>
                <w:color w:val="auto"/>
              </w:rPr>
            </w:pPr>
          </w:p>
        </w:tc>
      </w:tr>
      <w:tr>
        <w:trPr>
          <w:trHeight w:val="216"/>
        </w:trPr>
        <w:tc>
          <w:tcPr>
            <w:tcW w:w="1940" w:type="dxa"/>
            <w:vAlign w:val="bottom"/>
            <w:gridSpan w:val="2"/>
          </w:tcPr>
          <w:p>
            <w:pPr>
              <w:jc w:val="right"/>
              <w:ind w:right="42"/>
              <w:spacing w:after="0"/>
              <w:rPr>
                <w:sz w:val="20"/>
                <w:szCs w:val="20"/>
                <w:color w:val="auto"/>
              </w:rPr>
            </w:pPr>
            <w:r>
              <w:rPr>
                <w:rFonts w:ascii="Arial" w:cs="Arial" w:eastAsia="Arial" w:hAnsi="Arial"/>
                <w:sz w:val="18"/>
                <w:szCs w:val="18"/>
                <w:color w:val="auto"/>
              </w:rPr>
              <w:t>1.02</w:t>
            </w:r>
          </w:p>
        </w:tc>
        <w:tc>
          <w:tcPr>
            <w:tcW w:w="7720" w:type="dxa"/>
            <w:vAlign w:val="bottom"/>
            <w:gridSpan w:val="3"/>
          </w:tcPr>
          <w:p>
            <w:pPr>
              <w:ind w:left="200"/>
              <w:spacing w:after="0"/>
              <w:rPr>
                <w:sz w:val="20"/>
                <w:szCs w:val="20"/>
                <w:color w:val="auto"/>
              </w:rPr>
            </w:pPr>
            <w:r>
              <w:rPr>
                <w:rFonts w:ascii="Arial" w:cs="Arial" w:eastAsia="Arial" w:hAnsi="Arial"/>
                <w:sz w:val="18"/>
                <w:szCs w:val="18"/>
                <w:color w:val="auto"/>
                <w:w w:val="96"/>
              </w:rPr>
              <w:t>Amended and Restated By-Laws of the Company (incorporated by reference to Exhibit 99.1 to the</w:t>
            </w:r>
          </w:p>
        </w:tc>
        <w:tc>
          <w:tcPr>
            <w:tcW w:w="1760" w:type="dxa"/>
            <w:vAlign w:val="bottom"/>
          </w:tcPr>
          <w:p>
            <w:pPr>
              <w:jc w:val="right"/>
              <w:ind w:right="1212"/>
              <w:spacing w:after="0"/>
              <w:rPr>
                <w:sz w:val="20"/>
                <w:szCs w:val="20"/>
                <w:color w:val="auto"/>
              </w:rPr>
            </w:pPr>
            <w:r>
              <w:rPr>
                <w:rFonts w:ascii="Arial" w:cs="Arial" w:eastAsia="Arial" w:hAnsi="Arial"/>
                <w:sz w:val="18"/>
                <w:szCs w:val="18"/>
                <w:color w:val="auto"/>
              </w:rPr>
              <w:t>*</w:t>
            </w:r>
          </w:p>
        </w:tc>
      </w:tr>
      <w:tr>
        <w:trPr>
          <w:trHeight w:val="216"/>
        </w:trPr>
        <w:tc>
          <w:tcPr>
            <w:tcW w:w="12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7720" w:type="dxa"/>
            <w:vAlign w:val="bottom"/>
            <w:gridSpan w:val="3"/>
          </w:tcPr>
          <w:p>
            <w:pPr>
              <w:ind w:left="200"/>
              <w:spacing w:after="0"/>
              <w:rPr>
                <w:sz w:val="20"/>
                <w:szCs w:val="20"/>
                <w:color w:val="auto"/>
              </w:rPr>
            </w:pPr>
            <w:r>
              <w:rPr>
                <w:rFonts w:ascii="Arial" w:cs="Arial" w:eastAsia="Arial" w:hAnsi="Arial"/>
                <w:sz w:val="18"/>
                <w:szCs w:val="18"/>
                <w:color w:val="auto"/>
              </w:rPr>
              <w:t>Company's Form 6-K (File No. 001-13422) furnished to the SEC on March 28, 2008).</w:t>
            </w:r>
          </w:p>
        </w:tc>
        <w:tc>
          <w:tcPr>
            <w:tcW w:w="1760" w:type="dxa"/>
            <w:vAlign w:val="bottom"/>
          </w:tcPr>
          <w:p>
            <w:pPr>
              <w:spacing w:after="0"/>
              <w:rPr>
                <w:sz w:val="18"/>
                <w:szCs w:val="18"/>
                <w:color w:val="auto"/>
              </w:rPr>
            </w:pPr>
          </w:p>
        </w:tc>
      </w:tr>
      <w:tr>
        <w:trPr>
          <w:trHeight w:val="216"/>
        </w:trPr>
        <w:tc>
          <w:tcPr>
            <w:tcW w:w="1940" w:type="dxa"/>
            <w:vAlign w:val="bottom"/>
            <w:gridSpan w:val="2"/>
          </w:tcPr>
          <w:p>
            <w:pPr>
              <w:jc w:val="right"/>
              <w:ind w:right="42"/>
              <w:spacing w:after="0"/>
              <w:rPr>
                <w:sz w:val="20"/>
                <w:szCs w:val="20"/>
                <w:color w:val="auto"/>
              </w:rPr>
            </w:pPr>
            <w:r>
              <w:rPr>
                <w:rFonts w:ascii="Arial" w:cs="Arial" w:eastAsia="Arial" w:hAnsi="Arial"/>
                <w:sz w:val="18"/>
                <w:szCs w:val="18"/>
                <w:color w:val="auto"/>
              </w:rPr>
              <w:t>4.01</w:t>
            </w:r>
          </w:p>
        </w:tc>
        <w:tc>
          <w:tcPr>
            <w:tcW w:w="7720" w:type="dxa"/>
            <w:vAlign w:val="bottom"/>
            <w:gridSpan w:val="3"/>
          </w:tcPr>
          <w:p>
            <w:pPr>
              <w:ind w:left="200"/>
              <w:spacing w:after="0"/>
              <w:rPr>
                <w:sz w:val="20"/>
                <w:szCs w:val="20"/>
                <w:color w:val="auto"/>
              </w:rPr>
            </w:pPr>
            <w:r>
              <w:rPr>
                <w:rFonts w:ascii="Arial" w:cs="Arial" w:eastAsia="Arial" w:hAnsi="Arial"/>
                <w:sz w:val="18"/>
                <w:szCs w:val="18"/>
                <w:color w:val="auto"/>
                <w:w w:val="96"/>
              </w:rPr>
              <w:t>Amended and Restated Credit Agreement, dated as of June 15, 2009, between the Company, the</w:t>
            </w:r>
          </w:p>
        </w:tc>
        <w:tc>
          <w:tcPr>
            <w:tcW w:w="1760" w:type="dxa"/>
            <w:vAlign w:val="bottom"/>
          </w:tcPr>
          <w:p>
            <w:pPr>
              <w:jc w:val="right"/>
              <w:ind w:right="1212"/>
              <w:spacing w:after="0"/>
              <w:rPr>
                <w:sz w:val="20"/>
                <w:szCs w:val="20"/>
                <w:color w:val="auto"/>
              </w:rPr>
            </w:pPr>
            <w:r>
              <w:rPr>
                <w:rFonts w:ascii="Arial" w:cs="Arial" w:eastAsia="Arial" w:hAnsi="Arial"/>
                <w:sz w:val="18"/>
                <w:szCs w:val="18"/>
                <w:color w:val="auto"/>
              </w:rPr>
              <w:t>*</w:t>
            </w:r>
          </w:p>
        </w:tc>
      </w:tr>
      <w:tr>
        <w:trPr>
          <w:trHeight w:val="216"/>
        </w:trPr>
        <w:tc>
          <w:tcPr>
            <w:tcW w:w="12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7720" w:type="dxa"/>
            <w:vAlign w:val="bottom"/>
            <w:gridSpan w:val="3"/>
          </w:tcPr>
          <w:p>
            <w:pPr>
              <w:ind w:left="200"/>
              <w:spacing w:after="0"/>
              <w:rPr>
                <w:sz w:val="20"/>
                <w:szCs w:val="20"/>
                <w:color w:val="auto"/>
              </w:rPr>
            </w:pPr>
            <w:r>
              <w:rPr>
                <w:rFonts w:ascii="Arial" w:cs="Arial" w:eastAsia="Arial" w:hAnsi="Arial"/>
                <w:sz w:val="18"/>
                <w:szCs w:val="18"/>
                <w:color w:val="auto"/>
              </w:rPr>
              <w:t>guarantors party thereto, the lenders party thereto and The Bank of Nova Scotia.</w:t>
            </w:r>
          </w:p>
        </w:tc>
        <w:tc>
          <w:tcPr>
            <w:tcW w:w="1760" w:type="dxa"/>
            <w:vAlign w:val="bottom"/>
          </w:tcPr>
          <w:p>
            <w:pPr>
              <w:spacing w:after="0"/>
              <w:rPr>
                <w:sz w:val="18"/>
                <w:szCs w:val="18"/>
                <w:color w:val="auto"/>
              </w:rPr>
            </w:pPr>
          </w:p>
        </w:tc>
      </w:tr>
      <w:tr>
        <w:trPr>
          <w:trHeight w:val="216"/>
        </w:trPr>
        <w:tc>
          <w:tcPr>
            <w:tcW w:w="1940" w:type="dxa"/>
            <w:vAlign w:val="bottom"/>
            <w:gridSpan w:val="2"/>
          </w:tcPr>
          <w:p>
            <w:pPr>
              <w:jc w:val="right"/>
              <w:ind w:right="42"/>
              <w:spacing w:after="0"/>
              <w:rPr>
                <w:sz w:val="20"/>
                <w:szCs w:val="20"/>
                <w:color w:val="auto"/>
              </w:rPr>
            </w:pPr>
            <w:r>
              <w:rPr>
                <w:rFonts w:ascii="Arial" w:cs="Arial" w:eastAsia="Arial" w:hAnsi="Arial"/>
                <w:sz w:val="18"/>
                <w:szCs w:val="18"/>
                <w:color w:val="auto"/>
              </w:rPr>
              <w:t>4.02</w:t>
            </w:r>
          </w:p>
        </w:tc>
        <w:tc>
          <w:tcPr>
            <w:tcW w:w="7720" w:type="dxa"/>
            <w:vAlign w:val="bottom"/>
            <w:gridSpan w:val="3"/>
          </w:tcPr>
          <w:p>
            <w:pPr>
              <w:ind w:left="200"/>
              <w:spacing w:after="0"/>
              <w:rPr>
                <w:sz w:val="20"/>
                <w:szCs w:val="20"/>
                <w:color w:val="auto"/>
              </w:rPr>
            </w:pPr>
            <w:r>
              <w:rPr>
                <w:rFonts w:ascii="Arial" w:cs="Arial" w:eastAsia="Arial" w:hAnsi="Arial"/>
                <w:sz w:val="18"/>
                <w:szCs w:val="18"/>
                <w:color w:val="auto"/>
                <w:w w:val="96"/>
              </w:rPr>
              <w:t>Amended and Restated Credit Agreement, dated as of June 15, 2009, between the Company, the</w:t>
            </w:r>
          </w:p>
        </w:tc>
        <w:tc>
          <w:tcPr>
            <w:tcW w:w="1760" w:type="dxa"/>
            <w:vAlign w:val="bottom"/>
          </w:tcPr>
          <w:p>
            <w:pPr>
              <w:jc w:val="right"/>
              <w:ind w:right="1212"/>
              <w:spacing w:after="0"/>
              <w:rPr>
                <w:sz w:val="20"/>
                <w:szCs w:val="20"/>
                <w:color w:val="auto"/>
              </w:rPr>
            </w:pPr>
            <w:r>
              <w:rPr>
                <w:rFonts w:ascii="Arial" w:cs="Arial" w:eastAsia="Arial" w:hAnsi="Arial"/>
                <w:sz w:val="18"/>
                <w:szCs w:val="18"/>
                <w:color w:val="auto"/>
              </w:rPr>
              <w:t>*</w:t>
            </w:r>
          </w:p>
        </w:tc>
      </w:tr>
      <w:tr>
        <w:trPr>
          <w:trHeight w:val="216"/>
        </w:trPr>
        <w:tc>
          <w:tcPr>
            <w:tcW w:w="12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7720" w:type="dxa"/>
            <w:vAlign w:val="bottom"/>
            <w:gridSpan w:val="3"/>
          </w:tcPr>
          <w:p>
            <w:pPr>
              <w:ind w:left="200"/>
              <w:spacing w:after="0"/>
              <w:rPr>
                <w:sz w:val="20"/>
                <w:szCs w:val="20"/>
                <w:color w:val="auto"/>
              </w:rPr>
            </w:pPr>
            <w:r>
              <w:rPr>
                <w:rFonts w:ascii="Arial" w:cs="Arial" w:eastAsia="Arial" w:hAnsi="Arial"/>
                <w:sz w:val="18"/>
                <w:szCs w:val="18"/>
                <w:color w:val="auto"/>
              </w:rPr>
              <w:t>guarantors party thereto, the lenders party thereto and The Bank of Nova Scotia.</w:t>
            </w:r>
          </w:p>
        </w:tc>
        <w:tc>
          <w:tcPr>
            <w:tcW w:w="1760" w:type="dxa"/>
            <w:vAlign w:val="bottom"/>
          </w:tcPr>
          <w:p>
            <w:pPr>
              <w:spacing w:after="0"/>
              <w:rPr>
                <w:sz w:val="18"/>
                <w:szCs w:val="18"/>
                <w:color w:val="auto"/>
              </w:rPr>
            </w:pPr>
          </w:p>
        </w:tc>
      </w:tr>
      <w:tr>
        <w:trPr>
          <w:trHeight w:val="216"/>
        </w:trPr>
        <w:tc>
          <w:tcPr>
            <w:tcW w:w="1940" w:type="dxa"/>
            <w:vAlign w:val="bottom"/>
            <w:gridSpan w:val="2"/>
          </w:tcPr>
          <w:p>
            <w:pPr>
              <w:jc w:val="right"/>
              <w:ind w:right="42"/>
              <w:spacing w:after="0"/>
              <w:rPr>
                <w:sz w:val="20"/>
                <w:szCs w:val="20"/>
                <w:color w:val="auto"/>
              </w:rPr>
            </w:pPr>
            <w:r>
              <w:rPr>
                <w:rFonts w:ascii="Arial" w:cs="Arial" w:eastAsia="Arial" w:hAnsi="Arial"/>
                <w:sz w:val="18"/>
                <w:szCs w:val="18"/>
                <w:color w:val="auto"/>
              </w:rPr>
              <w:t>4.03</w:t>
            </w:r>
          </w:p>
        </w:tc>
        <w:tc>
          <w:tcPr>
            <w:tcW w:w="7720" w:type="dxa"/>
            <w:vAlign w:val="bottom"/>
            <w:gridSpan w:val="3"/>
          </w:tcPr>
          <w:p>
            <w:pPr>
              <w:ind w:left="200"/>
              <w:spacing w:after="0"/>
              <w:rPr>
                <w:sz w:val="20"/>
                <w:szCs w:val="20"/>
                <w:color w:val="auto"/>
              </w:rPr>
            </w:pPr>
            <w:r>
              <w:rPr>
                <w:rFonts w:ascii="Arial" w:cs="Arial" w:eastAsia="Arial" w:hAnsi="Arial"/>
                <w:sz w:val="18"/>
                <w:szCs w:val="18"/>
                <w:color w:val="auto"/>
                <w:w w:val="92"/>
              </w:rPr>
              <w:t>Amended and Restated Stock Option Plan (incorporated by reference to Exhibit 4.1 to the Company's</w:t>
            </w:r>
          </w:p>
        </w:tc>
        <w:tc>
          <w:tcPr>
            <w:tcW w:w="1760" w:type="dxa"/>
            <w:vAlign w:val="bottom"/>
          </w:tcPr>
          <w:p>
            <w:pPr>
              <w:jc w:val="right"/>
              <w:ind w:right="1212"/>
              <w:spacing w:after="0"/>
              <w:rPr>
                <w:sz w:val="20"/>
                <w:szCs w:val="20"/>
                <w:color w:val="auto"/>
              </w:rPr>
            </w:pPr>
            <w:r>
              <w:rPr>
                <w:rFonts w:ascii="Arial" w:cs="Arial" w:eastAsia="Arial" w:hAnsi="Arial"/>
                <w:sz w:val="18"/>
                <w:szCs w:val="18"/>
                <w:color w:val="auto"/>
              </w:rPr>
              <w:t>*</w:t>
            </w:r>
          </w:p>
        </w:tc>
      </w:tr>
      <w:tr>
        <w:trPr>
          <w:trHeight w:val="216"/>
        </w:trPr>
        <w:tc>
          <w:tcPr>
            <w:tcW w:w="12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7720" w:type="dxa"/>
            <w:vAlign w:val="bottom"/>
            <w:gridSpan w:val="3"/>
          </w:tcPr>
          <w:p>
            <w:pPr>
              <w:ind w:left="200"/>
              <w:spacing w:after="0"/>
              <w:rPr>
                <w:sz w:val="20"/>
                <w:szCs w:val="20"/>
                <w:color w:val="auto"/>
              </w:rPr>
            </w:pPr>
            <w:r>
              <w:rPr>
                <w:rFonts w:ascii="Arial" w:cs="Arial" w:eastAsia="Arial" w:hAnsi="Arial"/>
                <w:sz w:val="18"/>
                <w:szCs w:val="18"/>
                <w:color w:val="auto"/>
              </w:rPr>
              <w:t>Registration Statement on Form S-8 (File No. 333-152004), filed with the SEC on August 19,</w:t>
            </w:r>
          </w:p>
        </w:tc>
        <w:tc>
          <w:tcPr>
            <w:tcW w:w="1760" w:type="dxa"/>
            <w:vAlign w:val="bottom"/>
          </w:tcPr>
          <w:p>
            <w:pPr>
              <w:spacing w:after="0"/>
              <w:rPr>
                <w:sz w:val="18"/>
                <w:szCs w:val="18"/>
                <w:color w:val="auto"/>
              </w:rPr>
            </w:pPr>
          </w:p>
        </w:tc>
      </w:tr>
      <w:tr>
        <w:trPr>
          <w:trHeight w:val="216"/>
        </w:trPr>
        <w:tc>
          <w:tcPr>
            <w:tcW w:w="12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940" w:type="dxa"/>
            <w:vAlign w:val="bottom"/>
            <w:gridSpan w:val="2"/>
          </w:tcPr>
          <w:p>
            <w:pPr>
              <w:ind w:left="200"/>
              <w:spacing w:after="0"/>
              <w:rPr>
                <w:sz w:val="20"/>
                <w:szCs w:val="20"/>
                <w:color w:val="auto"/>
              </w:rPr>
            </w:pPr>
            <w:r>
              <w:rPr>
                <w:rFonts w:ascii="Arial" w:cs="Arial" w:eastAsia="Arial" w:hAnsi="Arial"/>
                <w:sz w:val="18"/>
                <w:szCs w:val="18"/>
                <w:color w:val="auto"/>
              </w:rPr>
              <w:t>2008).**</w:t>
            </w:r>
          </w:p>
        </w:tc>
        <w:tc>
          <w:tcPr>
            <w:tcW w:w="6780" w:type="dxa"/>
            <w:vAlign w:val="bottom"/>
          </w:tcPr>
          <w:p>
            <w:pPr>
              <w:spacing w:after="0"/>
              <w:rPr>
                <w:sz w:val="18"/>
                <w:szCs w:val="18"/>
                <w:color w:val="auto"/>
              </w:rPr>
            </w:pPr>
          </w:p>
        </w:tc>
        <w:tc>
          <w:tcPr>
            <w:tcW w:w="1760" w:type="dxa"/>
            <w:vAlign w:val="bottom"/>
          </w:tcPr>
          <w:p>
            <w:pPr>
              <w:spacing w:after="0"/>
              <w:rPr>
                <w:sz w:val="18"/>
                <w:szCs w:val="18"/>
                <w:color w:val="auto"/>
              </w:rPr>
            </w:pPr>
          </w:p>
        </w:tc>
      </w:tr>
      <w:tr>
        <w:trPr>
          <w:trHeight w:val="216"/>
        </w:trPr>
        <w:tc>
          <w:tcPr>
            <w:tcW w:w="1940" w:type="dxa"/>
            <w:vAlign w:val="bottom"/>
            <w:gridSpan w:val="2"/>
          </w:tcPr>
          <w:p>
            <w:pPr>
              <w:jc w:val="right"/>
              <w:ind w:right="42"/>
              <w:spacing w:after="0"/>
              <w:rPr>
                <w:sz w:val="20"/>
                <w:szCs w:val="20"/>
                <w:color w:val="auto"/>
              </w:rPr>
            </w:pPr>
            <w:r>
              <w:rPr>
                <w:rFonts w:ascii="Arial" w:cs="Arial" w:eastAsia="Arial" w:hAnsi="Arial"/>
                <w:sz w:val="18"/>
                <w:szCs w:val="18"/>
                <w:color w:val="auto"/>
              </w:rPr>
              <w:t>4.04</w:t>
            </w:r>
          </w:p>
        </w:tc>
        <w:tc>
          <w:tcPr>
            <w:tcW w:w="7720" w:type="dxa"/>
            <w:vAlign w:val="bottom"/>
            <w:gridSpan w:val="3"/>
          </w:tcPr>
          <w:p>
            <w:pPr>
              <w:ind w:left="200"/>
              <w:spacing w:after="0"/>
              <w:rPr>
                <w:sz w:val="20"/>
                <w:szCs w:val="20"/>
                <w:color w:val="auto"/>
              </w:rPr>
            </w:pPr>
            <w:r>
              <w:rPr>
                <w:rFonts w:ascii="Arial" w:cs="Arial" w:eastAsia="Arial" w:hAnsi="Arial"/>
                <w:sz w:val="18"/>
                <w:szCs w:val="18"/>
                <w:color w:val="auto"/>
                <w:w w:val="91"/>
              </w:rPr>
              <w:t>Amended and Restated Incentive Share Purchase Plan (incorporated by reference to Exhibit 4.2 to the</w:t>
            </w:r>
          </w:p>
        </w:tc>
        <w:tc>
          <w:tcPr>
            <w:tcW w:w="1760" w:type="dxa"/>
            <w:vAlign w:val="bottom"/>
          </w:tcPr>
          <w:p>
            <w:pPr>
              <w:jc w:val="right"/>
              <w:ind w:right="1212"/>
              <w:spacing w:after="0"/>
              <w:rPr>
                <w:sz w:val="20"/>
                <w:szCs w:val="20"/>
                <w:color w:val="auto"/>
              </w:rPr>
            </w:pPr>
            <w:r>
              <w:rPr>
                <w:rFonts w:ascii="Arial" w:cs="Arial" w:eastAsia="Arial" w:hAnsi="Arial"/>
                <w:sz w:val="18"/>
                <w:szCs w:val="18"/>
                <w:color w:val="auto"/>
              </w:rPr>
              <w:t>*</w:t>
            </w:r>
          </w:p>
        </w:tc>
      </w:tr>
      <w:tr>
        <w:trPr>
          <w:trHeight w:val="216"/>
        </w:trPr>
        <w:tc>
          <w:tcPr>
            <w:tcW w:w="12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7720" w:type="dxa"/>
            <w:vAlign w:val="bottom"/>
            <w:gridSpan w:val="3"/>
          </w:tcPr>
          <w:p>
            <w:pPr>
              <w:ind w:left="200"/>
              <w:spacing w:after="0"/>
              <w:rPr>
                <w:sz w:val="20"/>
                <w:szCs w:val="20"/>
                <w:color w:val="auto"/>
              </w:rPr>
            </w:pPr>
            <w:r>
              <w:rPr>
                <w:rFonts w:ascii="Arial" w:cs="Arial" w:eastAsia="Arial" w:hAnsi="Arial"/>
                <w:sz w:val="18"/>
                <w:szCs w:val="18"/>
                <w:color w:val="auto"/>
              </w:rPr>
              <w:t>Company's Registration Statement on Form S-8 (File No. 333-152004) filed with the SEC on</w:t>
            </w:r>
          </w:p>
        </w:tc>
        <w:tc>
          <w:tcPr>
            <w:tcW w:w="1760" w:type="dxa"/>
            <w:vAlign w:val="bottom"/>
          </w:tcPr>
          <w:p>
            <w:pPr>
              <w:spacing w:after="0"/>
              <w:rPr>
                <w:sz w:val="18"/>
                <w:szCs w:val="18"/>
                <w:color w:val="auto"/>
              </w:rPr>
            </w:pPr>
          </w:p>
        </w:tc>
      </w:tr>
      <w:tr>
        <w:trPr>
          <w:trHeight w:val="216"/>
        </w:trPr>
        <w:tc>
          <w:tcPr>
            <w:tcW w:w="12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7720" w:type="dxa"/>
            <w:vAlign w:val="bottom"/>
            <w:gridSpan w:val="3"/>
          </w:tcPr>
          <w:p>
            <w:pPr>
              <w:ind w:left="200"/>
              <w:spacing w:after="0"/>
              <w:rPr>
                <w:sz w:val="20"/>
                <w:szCs w:val="20"/>
                <w:color w:val="auto"/>
              </w:rPr>
            </w:pPr>
            <w:r>
              <w:rPr>
                <w:rFonts w:ascii="Arial" w:cs="Arial" w:eastAsia="Arial" w:hAnsi="Arial"/>
                <w:sz w:val="18"/>
                <w:szCs w:val="18"/>
                <w:color w:val="auto"/>
              </w:rPr>
              <w:t>August 19, 2008).**</w:t>
            </w:r>
          </w:p>
        </w:tc>
        <w:tc>
          <w:tcPr>
            <w:tcW w:w="1760" w:type="dxa"/>
            <w:vAlign w:val="bottom"/>
          </w:tcPr>
          <w:p>
            <w:pPr>
              <w:spacing w:after="0"/>
              <w:rPr>
                <w:sz w:val="18"/>
                <w:szCs w:val="18"/>
                <w:color w:val="auto"/>
              </w:rPr>
            </w:pPr>
          </w:p>
        </w:tc>
      </w:tr>
      <w:tr>
        <w:trPr>
          <w:trHeight w:val="216"/>
        </w:trPr>
        <w:tc>
          <w:tcPr>
            <w:tcW w:w="1940" w:type="dxa"/>
            <w:vAlign w:val="bottom"/>
            <w:gridSpan w:val="2"/>
          </w:tcPr>
          <w:p>
            <w:pPr>
              <w:jc w:val="right"/>
              <w:ind w:right="42"/>
              <w:spacing w:after="0"/>
              <w:rPr>
                <w:sz w:val="20"/>
                <w:szCs w:val="20"/>
                <w:color w:val="auto"/>
              </w:rPr>
            </w:pPr>
            <w:r>
              <w:rPr>
                <w:rFonts w:ascii="Arial" w:cs="Arial" w:eastAsia="Arial" w:hAnsi="Arial"/>
                <w:sz w:val="18"/>
                <w:szCs w:val="18"/>
                <w:color w:val="auto"/>
              </w:rPr>
              <w:t>4.05</w:t>
            </w:r>
          </w:p>
        </w:tc>
        <w:tc>
          <w:tcPr>
            <w:tcW w:w="7720" w:type="dxa"/>
            <w:vAlign w:val="bottom"/>
            <w:gridSpan w:val="3"/>
          </w:tcPr>
          <w:p>
            <w:pPr>
              <w:ind w:left="200"/>
              <w:spacing w:after="0"/>
              <w:rPr>
                <w:sz w:val="20"/>
                <w:szCs w:val="20"/>
                <w:color w:val="auto"/>
              </w:rPr>
            </w:pPr>
            <w:r>
              <w:rPr>
                <w:rFonts w:ascii="Arial" w:cs="Arial" w:eastAsia="Arial" w:hAnsi="Arial"/>
                <w:sz w:val="18"/>
                <w:szCs w:val="18"/>
                <w:color w:val="auto"/>
                <w:w w:val="99"/>
              </w:rPr>
              <w:t>Warrant Indenture, dated as of April 4, 2009, between the Company and Computershare Trust</w:t>
            </w:r>
          </w:p>
        </w:tc>
        <w:tc>
          <w:tcPr>
            <w:tcW w:w="1760" w:type="dxa"/>
            <w:vAlign w:val="bottom"/>
          </w:tcPr>
          <w:p>
            <w:pPr>
              <w:jc w:val="right"/>
              <w:ind w:right="1212"/>
              <w:spacing w:after="0"/>
              <w:rPr>
                <w:sz w:val="20"/>
                <w:szCs w:val="20"/>
                <w:color w:val="auto"/>
              </w:rPr>
            </w:pPr>
            <w:r>
              <w:rPr>
                <w:rFonts w:ascii="Arial" w:cs="Arial" w:eastAsia="Arial" w:hAnsi="Arial"/>
                <w:sz w:val="18"/>
                <w:szCs w:val="18"/>
                <w:color w:val="auto"/>
              </w:rPr>
              <w:t>*</w:t>
            </w:r>
          </w:p>
        </w:tc>
      </w:tr>
      <w:tr>
        <w:trPr>
          <w:trHeight w:val="216"/>
        </w:trPr>
        <w:tc>
          <w:tcPr>
            <w:tcW w:w="12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7720" w:type="dxa"/>
            <w:vAlign w:val="bottom"/>
            <w:gridSpan w:val="3"/>
          </w:tcPr>
          <w:p>
            <w:pPr>
              <w:ind w:left="200"/>
              <w:spacing w:after="0"/>
              <w:rPr>
                <w:sz w:val="20"/>
                <w:szCs w:val="20"/>
                <w:color w:val="auto"/>
              </w:rPr>
            </w:pPr>
            <w:r>
              <w:rPr>
                <w:rFonts w:ascii="Arial" w:cs="Arial" w:eastAsia="Arial" w:hAnsi="Arial"/>
                <w:sz w:val="18"/>
                <w:szCs w:val="18"/>
                <w:color w:val="auto"/>
              </w:rPr>
              <w:t>Company of Canada.</w:t>
            </w:r>
          </w:p>
        </w:tc>
        <w:tc>
          <w:tcPr>
            <w:tcW w:w="1760" w:type="dxa"/>
            <w:vAlign w:val="bottom"/>
          </w:tcPr>
          <w:p>
            <w:pPr>
              <w:spacing w:after="0"/>
              <w:rPr>
                <w:sz w:val="18"/>
                <w:szCs w:val="18"/>
                <w:color w:val="auto"/>
              </w:rPr>
            </w:pPr>
          </w:p>
        </w:tc>
      </w:tr>
      <w:tr>
        <w:trPr>
          <w:trHeight w:val="216"/>
        </w:trPr>
        <w:tc>
          <w:tcPr>
            <w:tcW w:w="1940" w:type="dxa"/>
            <w:vAlign w:val="bottom"/>
            <w:gridSpan w:val="2"/>
          </w:tcPr>
          <w:p>
            <w:pPr>
              <w:jc w:val="right"/>
              <w:ind w:right="42"/>
              <w:spacing w:after="0"/>
              <w:rPr>
                <w:sz w:val="20"/>
                <w:szCs w:val="20"/>
                <w:color w:val="auto"/>
              </w:rPr>
            </w:pPr>
            <w:r>
              <w:rPr>
                <w:rFonts w:ascii="Arial" w:cs="Arial" w:eastAsia="Arial" w:hAnsi="Arial"/>
                <w:sz w:val="18"/>
                <w:szCs w:val="18"/>
                <w:color w:val="auto"/>
              </w:rPr>
              <w:t>8.01</w:t>
            </w:r>
          </w:p>
        </w:tc>
        <w:tc>
          <w:tcPr>
            <w:tcW w:w="7720" w:type="dxa"/>
            <w:vAlign w:val="bottom"/>
            <w:gridSpan w:val="3"/>
          </w:tcPr>
          <w:p>
            <w:pPr>
              <w:ind w:left="200"/>
              <w:spacing w:after="0"/>
              <w:rPr>
                <w:sz w:val="20"/>
                <w:szCs w:val="20"/>
                <w:color w:val="auto"/>
              </w:rPr>
            </w:pPr>
            <w:r>
              <w:rPr>
                <w:rFonts w:ascii="Arial" w:cs="Arial" w:eastAsia="Arial" w:hAnsi="Arial"/>
                <w:sz w:val="18"/>
                <w:szCs w:val="18"/>
                <w:color w:val="auto"/>
              </w:rPr>
              <w:t>List of subsidiaries of the Company.</w:t>
            </w:r>
          </w:p>
        </w:tc>
        <w:tc>
          <w:tcPr>
            <w:tcW w:w="1760" w:type="dxa"/>
            <w:vAlign w:val="bottom"/>
          </w:tcPr>
          <w:p>
            <w:pPr>
              <w:jc w:val="right"/>
              <w:ind w:right="1212"/>
              <w:spacing w:after="0"/>
              <w:rPr>
                <w:sz w:val="20"/>
                <w:szCs w:val="20"/>
                <w:color w:val="auto"/>
              </w:rPr>
            </w:pPr>
            <w:r>
              <w:rPr>
                <w:rFonts w:ascii="Arial" w:cs="Arial" w:eastAsia="Arial" w:hAnsi="Arial"/>
                <w:sz w:val="18"/>
                <w:szCs w:val="18"/>
                <w:color w:val="auto"/>
              </w:rPr>
              <w:t>*</w:t>
            </w:r>
          </w:p>
        </w:tc>
      </w:tr>
      <w:tr>
        <w:trPr>
          <w:trHeight w:val="216"/>
        </w:trPr>
        <w:tc>
          <w:tcPr>
            <w:tcW w:w="1940" w:type="dxa"/>
            <w:vAlign w:val="bottom"/>
            <w:gridSpan w:val="2"/>
          </w:tcPr>
          <w:p>
            <w:pPr>
              <w:jc w:val="right"/>
              <w:ind w:right="62"/>
              <w:spacing w:after="0"/>
              <w:rPr>
                <w:sz w:val="20"/>
                <w:szCs w:val="20"/>
                <w:color w:val="auto"/>
              </w:rPr>
            </w:pPr>
            <w:r>
              <w:rPr>
                <w:rFonts w:ascii="Arial" w:cs="Arial" w:eastAsia="Arial" w:hAnsi="Arial"/>
                <w:sz w:val="18"/>
                <w:szCs w:val="18"/>
                <w:color w:val="auto"/>
              </w:rPr>
              <w:t>11.01</w:t>
            </w:r>
          </w:p>
        </w:tc>
        <w:tc>
          <w:tcPr>
            <w:tcW w:w="7720" w:type="dxa"/>
            <w:vAlign w:val="bottom"/>
            <w:gridSpan w:val="3"/>
          </w:tcPr>
          <w:p>
            <w:pPr>
              <w:ind w:left="200"/>
              <w:spacing w:after="0"/>
              <w:rPr>
                <w:sz w:val="20"/>
                <w:szCs w:val="20"/>
                <w:color w:val="auto"/>
              </w:rPr>
            </w:pPr>
            <w:r>
              <w:rPr>
                <w:rFonts w:ascii="Arial" w:cs="Arial" w:eastAsia="Arial" w:hAnsi="Arial"/>
                <w:sz w:val="18"/>
                <w:szCs w:val="18"/>
                <w:color w:val="auto"/>
                <w:w w:val="97"/>
              </w:rPr>
              <w:t>Code of Ethics (incorporated by reference to Exhibit 2 to the Company's Form 6-K (File No. 001-</w:t>
            </w:r>
          </w:p>
        </w:tc>
        <w:tc>
          <w:tcPr>
            <w:tcW w:w="1760" w:type="dxa"/>
            <w:vAlign w:val="bottom"/>
          </w:tcPr>
          <w:p>
            <w:pPr>
              <w:jc w:val="right"/>
              <w:ind w:right="1212"/>
              <w:spacing w:after="0"/>
              <w:rPr>
                <w:sz w:val="20"/>
                <w:szCs w:val="20"/>
                <w:color w:val="auto"/>
              </w:rPr>
            </w:pPr>
            <w:r>
              <w:rPr>
                <w:rFonts w:ascii="Arial" w:cs="Arial" w:eastAsia="Arial" w:hAnsi="Arial"/>
                <w:sz w:val="18"/>
                <w:szCs w:val="18"/>
                <w:color w:val="auto"/>
              </w:rPr>
              <w:t>*</w:t>
            </w:r>
          </w:p>
        </w:tc>
      </w:tr>
      <w:tr>
        <w:trPr>
          <w:trHeight w:val="216"/>
        </w:trPr>
        <w:tc>
          <w:tcPr>
            <w:tcW w:w="12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7720" w:type="dxa"/>
            <w:vAlign w:val="bottom"/>
            <w:gridSpan w:val="3"/>
          </w:tcPr>
          <w:p>
            <w:pPr>
              <w:ind w:left="200"/>
              <w:spacing w:after="0"/>
              <w:rPr>
                <w:sz w:val="20"/>
                <w:szCs w:val="20"/>
                <w:color w:val="auto"/>
              </w:rPr>
            </w:pPr>
            <w:r>
              <w:rPr>
                <w:rFonts w:ascii="Arial" w:cs="Arial" w:eastAsia="Arial" w:hAnsi="Arial"/>
                <w:sz w:val="18"/>
                <w:szCs w:val="18"/>
                <w:color w:val="auto"/>
              </w:rPr>
              <w:t>13422) furnished to the SEC on December 21, 2005).</w:t>
            </w:r>
          </w:p>
        </w:tc>
        <w:tc>
          <w:tcPr>
            <w:tcW w:w="1760" w:type="dxa"/>
            <w:vAlign w:val="bottom"/>
          </w:tcPr>
          <w:p>
            <w:pPr>
              <w:spacing w:after="0"/>
              <w:rPr>
                <w:sz w:val="18"/>
                <w:szCs w:val="18"/>
                <w:color w:val="auto"/>
              </w:rPr>
            </w:pPr>
          </w:p>
        </w:tc>
      </w:tr>
      <w:tr>
        <w:trPr>
          <w:trHeight w:val="216"/>
        </w:trPr>
        <w:tc>
          <w:tcPr>
            <w:tcW w:w="1940" w:type="dxa"/>
            <w:vAlign w:val="bottom"/>
            <w:gridSpan w:val="2"/>
          </w:tcPr>
          <w:p>
            <w:pPr>
              <w:jc w:val="right"/>
              <w:ind w:right="42"/>
              <w:spacing w:after="0"/>
              <w:rPr>
                <w:sz w:val="20"/>
                <w:szCs w:val="20"/>
                <w:color w:val="auto"/>
              </w:rPr>
            </w:pPr>
            <w:r>
              <w:rPr>
                <w:rFonts w:ascii="Arial" w:cs="Arial" w:eastAsia="Arial" w:hAnsi="Arial"/>
                <w:sz w:val="18"/>
                <w:szCs w:val="18"/>
                <w:color w:val="auto"/>
              </w:rPr>
              <w:t>12.01</w:t>
            </w:r>
          </w:p>
        </w:tc>
        <w:tc>
          <w:tcPr>
            <w:tcW w:w="7720" w:type="dxa"/>
            <w:vAlign w:val="bottom"/>
            <w:gridSpan w:val="3"/>
          </w:tcPr>
          <w:p>
            <w:pPr>
              <w:ind w:left="200"/>
              <w:spacing w:after="0"/>
              <w:rPr>
                <w:sz w:val="20"/>
                <w:szCs w:val="20"/>
                <w:color w:val="auto"/>
              </w:rPr>
            </w:pPr>
            <w:r>
              <w:rPr>
                <w:rFonts w:ascii="Arial" w:cs="Arial" w:eastAsia="Arial" w:hAnsi="Arial"/>
                <w:sz w:val="18"/>
                <w:szCs w:val="18"/>
                <w:color w:val="auto"/>
                <w:w w:val="94"/>
              </w:rPr>
              <w:t>Certification Pursuant to Section 302 of the Sarbanes-Oxley Act of 2002 (Subsections (A) and (B) of</w:t>
            </w:r>
          </w:p>
        </w:tc>
        <w:tc>
          <w:tcPr>
            <w:tcW w:w="1760" w:type="dxa"/>
            <w:vAlign w:val="bottom"/>
          </w:tcPr>
          <w:p>
            <w:pPr>
              <w:jc w:val="right"/>
              <w:ind w:right="1212"/>
              <w:spacing w:after="0"/>
              <w:rPr>
                <w:sz w:val="20"/>
                <w:szCs w:val="20"/>
                <w:color w:val="auto"/>
              </w:rPr>
            </w:pPr>
            <w:r>
              <w:rPr>
                <w:rFonts w:ascii="Arial" w:cs="Arial" w:eastAsia="Arial" w:hAnsi="Arial"/>
                <w:sz w:val="18"/>
                <w:szCs w:val="18"/>
                <w:color w:val="auto"/>
              </w:rPr>
              <w:t>*</w:t>
            </w:r>
          </w:p>
        </w:tc>
      </w:tr>
      <w:tr>
        <w:trPr>
          <w:trHeight w:val="216"/>
        </w:trPr>
        <w:tc>
          <w:tcPr>
            <w:tcW w:w="12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7720" w:type="dxa"/>
            <w:vAlign w:val="bottom"/>
            <w:gridSpan w:val="3"/>
          </w:tcPr>
          <w:p>
            <w:pPr>
              <w:ind w:left="200"/>
              <w:spacing w:after="0"/>
              <w:rPr>
                <w:sz w:val="20"/>
                <w:szCs w:val="20"/>
                <w:color w:val="auto"/>
              </w:rPr>
            </w:pPr>
            <w:r>
              <w:rPr>
                <w:rFonts w:ascii="Arial" w:cs="Arial" w:eastAsia="Arial" w:hAnsi="Arial"/>
                <w:sz w:val="18"/>
                <w:szCs w:val="18"/>
                <w:color w:val="auto"/>
              </w:rPr>
              <w:t>Section 1350, Chapter 63 of Title 18, United States Code) (Sean Boyd).</w:t>
            </w:r>
          </w:p>
        </w:tc>
        <w:tc>
          <w:tcPr>
            <w:tcW w:w="1760" w:type="dxa"/>
            <w:vAlign w:val="bottom"/>
          </w:tcPr>
          <w:p>
            <w:pPr>
              <w:spacing w:after="0"/>
              <w:rPr>
                <w:sz w:val="18"/>
                <w:szCs w:val="18"/>
                <w:color w:val="auto"/>
              </w:rPr>
            </w:pPr>
          </w:p>
        </w:tc>
      </w:tr>
      <w:tr>
        <w:trPr>
          <w:trHeight w:val="216"/>
        </w:trPr>
        <w:tc>
          <w:tcPr>
            <w:tcW w:w="1940" w:type="dxa"/>
            <w:vAlign w:val="bottom"/>
            <w:gridSpan w:val="2"/>
          </w:tcPr>
          <w:p>
            <w:pPr>
              <w:jc w:val="right"/>
              <w:ind w:right="42"/>
              <w:spacing w:after="0"/>
              <w:rPr>
                <w:sz w:val="20"/>
                <w:szCs w:val="20"/>
                <w:color w:val="auto"/>
              </w:rPr>
            </w:pPr>
            <w:r>
              <w:rPr>
                <w:rFonts w:ascii="Arial" w:cs="Arial" w:eastAsia="Arial" w:hAnsi="Arial"/>
                <w:sz w:val="18"/>
                <w:szCs w:val="18"/>
                <w:color w:val="auto"/>
              </w:rPr>
              <w:t>12.02</w:t>
            </w:r>
          </w:p>
        </w:tc>
        <w:tc>
          <w:tcPr>
            <w:tcW w:w="7720" w:type="dxa"/>
            <w:vAlign w:val="bottom"/>
            <w:gridSpan w:val="3"/>
          </w:tcPr>
          <w:p>
            <w:pPr>
              <w:ind w:left="200"/>
              <w:spacing w:after="0"/>
              <w:rPr>
                <w:sz w:val="20"/>
                <w:szCs w:val="20"/>
                <w:color w:val="auto"/>
              </w:rPr>
            </w:pPr>
            <w:r>
              <w:rPr>
                <w:rFonts w:ascii="Arial" w:cs="Arial" w:eastAsia="Arial" w:hAnsi="Arial"/>
                <w:sz w:val="18"/>
                <w:szCs w:val="18"/>
                <w:color w:val="auto"/>
                <w:w w:val="94"/>
              </w:rPr>
              <w:t>Certification Pursuant to Section 302 of the Sarbanes-Oxley Act of 2002 (Subsections (A) and (B) of</w:t>
            </w:r>
          </w:p>
        </w:tc>
        <w:tc>
          <w:tcPr>
            <w:tcW w:w="1760" w:type="dxa"/>
            <w:vAlign w:val="bottom"/>
          </w:tcPr>
          <w:p>
            <w:pPr>
              <w:jc w:val="right"/>
              <w:ind w:right="1212"/>
              <w:spacing w:after="0"/>
              <w:rPr>
                <w:sz w:val="20"/>
                <w:szCs w:val="20"/>
                <w:color w:val="auto"/>
              </w:rPr>
            </w:pPr>
            <w:r>
              <w:rPr>
                <w:rFonts w:ascii="Arial" w:cs="Arial" w:eastAsia="Arial" w:hAnsi="Arial"/>
                <w:sz w:val="18"/>
                <w:szCs w:val="18"/>
                <w:color w:val="auto"/>
              </w:rPr>
              <w:t>*</w:t>
            </w:r>
          </w:p>
        </w:tc>
      </w:tr>
      <w:tr>
        <w:trPr>
          <w:trHeight w:val="216"/>
        </w:trPr>
        <w:tc>
          <w:tcPr>
            <w:tcW w:w="12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7720" w:type="dxa"/>
            <w:vAlign w:val="bottom"/>
            <w:gridSpan w:val="3"/>
          </w:tcPr>
          <w:p>
            <w:pPr>
              <w:ind w:left="200"/>
              <w:spacing w:after="0"/>
              <w:rPr>
                <w:sz w:val="20"/>
                <w:szCs w:val="20"/>
                <w:color w:val="auto"/>
              </w:rPr>
            </w:pPr>
            <w:r>
              <w:rPr>
                <w:rFonts w:ascii="Arial" w:cs="Arial" w:eastAsia="Arial" w:hAnsi="Arial"/>
                <w:sz w:val="18"/>
                <w:szCs w:val="18"/>
                <w:color w:val="auto"/>
              </w:rPr>
              <w:t>Section 1350, Chapter 63 of Title 18, United States Code) (David Garofalo).</w:t>
            </w:r>
          </w:p>
        </w:tc>
        <w:tc>
          <w:tcPr>
            <w:tcW w:w="1760" w:type="dxa"/>
            <w:vAlign w:val="bottom"/>
          </w:tcPr>
          <w:p>
            <w:pPr>
              <w:spacing w:after="0"/>
              <w:rPr>
                <w:sz w:val="18"/>
                <w:szCs w:val="18"/>
                <w:color w:val="auto"/>
              </w:rPr>
            </w:pPr>
          </w:p>
        </w:tc>
      </w:tr>
      <w:tr>
        <w:trPr>
          <w:trHeight w:val="216"/>
        </w:trPr>
        <w:tc>
          <w:tcPr>
            <w:tcW w:w="1940" w:type="dxa"/>
            <w:vAlign w:val="bottom"/>
            <w:gridSpan w:val="2"/>
          </w:tcPr>
          <w:p>
            <w:pPr>
              <w:jc w:val="right"/>
              <w:ind w:right="42"/>
              <w:spacing w:after="0"/>
              <w:rPr>
                <w:sz w:val="20"/>
                <w:szCs w:val="20"/>
                <w:color w:val="auto"/>
              </w:rPr>
            </w:pPr>
            <w:r>
              <w:rPr>
                <w:rFonts w:ascii="Arial" w:cs="Arial" w:eastAsia="Arial" w:hAnsi="Arial"/>
                <w:sz w:val="18"/>
                <w:szCs w:val="18"/>
                <w:color w:val="auto"/>
              </w:rPr>
              <w:t>13.01</w:t>
            </w:r>
          </w:p>
        </w:tc>
        <w:tc>
          <w:tcPr>
            <w:tcW w:w="7720" w:type="dxa"/>
            <w:vAlign w:val="bottom"/>
            <w:gridSpan w:val="3"/>
          </w:tcPr>
          <w:p>
            <w:pPr>
              <w:ind w:left="200"/>
              <w:spacing w:after="0"/>
              <w:rPr>
                <w:sz w:val="20"/>
                <w:szCs w:val="20"/>
                <w:color w:val="auto"/>
              </w:rPr>
            </w:pPr>
            <w:r>
              <w:rPr>
                <w:rFonts w:ascii="Arial" w:cs="Arial" w:eastAsia="Arial" w:hAnsi="Arial"/>
                <w:sz w:val="18"/>
                <w:szCs w:val="18"/>
                <w:color w:val="auto"/>
              </w:rPr>
              <w:t>Certification pursuant to Title 18, United States Code, Section 1350 as adopted pursuant to</w:t>
            </w:r>
          </w:p>
        </w:tc>
        <w:tc>
          <w:tcPr>
            <w:tcW w:w="1760" w:type="dxa"/>
            <w:vAlign w:val="bottom"/>
          </w:tcPr>
          <w:p>
            <w:pPr>
              <w:jc w:val="right"/>
              <w:ind w:right="1212"/>
              <w:spacing w:after="0"/>
              <w:rPr>
                <w:sz w:val="20"/>
                <w:szCs w:val="20"/>
                <w:color w:val="auto"/>
              </w:rPr>
            </w:pPr>
            <w:r>
              <w:rPr>
                <w:rFonts w:ascii="Arial" w:cs="Arial" w:eastAsia="Arial" w:hAnsi="Arial"/>
                <w:sz w:val="18"/>
                <w:szCs w:val="18"/>
                <w:color w:val="auto"/>
              </w:rPr>
              <w:t>*</w:t>
            </w:r>
          </w:p>
        </w:tc>
      </w:tr>
      <w:tr>
        <w:trPr>
          <w:trHeight w:val="216"/>
        </w:trPr>
        <w:tc>
          <w:tcPr>
            <w:tcW w:w="12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7720" w:type="dxa"/>
            <w:vAlign w:val="bottom"/>
            <w:gridSpan w:val="3"/>
          </w:tcPr>
          <w:p>
            <w:pPr>
              <w:ind w:left="200"/>
              <w:spacing w:after="0"/>
              <w:rPr>
                <w:sz w:val="20"/>
                <w:szCs w:val="20"/>
                <w:color w:val="auto"/>
              </w:rPr>
            </w:pPr>
            <w:r>
              <w:rPr>
                <w:rFonts w:ascii="Arial" w:cs="Arial" w:eastAsia="Arial" w:hAnsi="Arial"/>
                <w:sz w:val="18"/>
                <w:szCs w:val="18"/>
                <w:color w:val="auto"/>
              </w:rPr>
              <w:t>Section 906 of the Sarbanes-Oxley Act of 2002 (Sean Boyd).***</w:t>
            </w:r>
          </w:p>
        </w:tc>
        <w:tc>
          <w:tcPr>
            <w:tcW w:w="1760" w:type="dxa"/>
            <w:vAlign w:val="bottom"/>
          </w:tcPr>
          <w:p>
            <w:pPr>
              <w:spacing w:after="0"/>
              <w:rPr>
                <w:sz w:val="18"/>
                <w:szCs w:val="18"/>
                <w:color w:val="auto"/>
              </w:rPr>
            </w:pPr>
          </w:p>
        </w:tc>
      </w:tr>
      <w:tr>
        <w:trPr>
          <w:trHeight w:val="216"/>
        </w:trPr>
        <w:tc>
          <w:tcPr>
            <w:tcW w:w="1940" w:type="dxa"/>
            <w:vAlign w:val="bottom"/>
            <w:gridSpan w:val="2"/>
          </w:tcPr>
          <w:p>
            <w:pPr>
              <w:jc w:val="right"/>
              <w:ind w:right="42"/>
              <w:spacing w:after="0"/>
              <w:rPr>
                <w:sz w:val="20"/>
                <w:szCs w:val="20"/>
                <w:color w:val="auto"/>
              </w:rPr>
            </w:pPr>
            <w:r>
              <w:rPr>
                <w:rFonts w:ascii="Arial" w:cs="Arial" w:eastAsia="Arial" w:hAnsi="Arial"/>
                <w:sz w:val="18"/>
                <w:szCs w:val="18"/>
                <w:color w:val="auto"/>
              </w:rPr>
              <w:t>13.02</w:t>
            </w:r>
          </w:p>
        </w:tc>
        <w:tc>
          <w:tcPr>
            <w:tcW w:w="7720" w:type="dxa"/>
            <w:vAlign w:val="bottom"/>
            <w:gridSpan w:val="3"/>
          </w:tcPr>
          <w:p>
            <w:pPr>
              <w:ind w:left="200"/>
              <w:spacing w:after="0"/>
              <w:rPr>
                <w:sz w:val="20"/>
                <w:szCs w:val="20"/>
                <w:color w:val="auto"/>
              </w:rPr>
            </w:pPr>
            <w:r>
              <w:rPr>
                <w:rFonts w:ascii="Arial" w:cs="Arial" w:eastAsia="Arial" w:hAnsi="Arial"/>
                <w:sz w:val="18"/>
                <w:szCs w:val="18"/>
                <w:color w:val="auto"/>
              </w:rPr>
              <w:t>Certification pursuant to Title 18, United States Code, Section 1350 as adopted pursuant to</w:t>
            </w:r>
          </w:p>
        </w:tc>
        <w:tc>
          <w:tcPr>
            <w:tcW w:w="1760" w:type="dxa"/>
            <w:vAlign w:val="bottom"/>
          </w:tcPr>
          <w:p>
            <w:pPr>
              <w:jc w:val="right"/>
              <w:ind w:right="1212"/>
              <w:spacing w:after="0"/>
              <w:rPr>
                <w:sz w:val="20"/>
                <w:szCs w:val="20"/>
                <w:color w:val="auto"/>
              </w:rPr>
            </w:pPr>
            <w:r>
              <w:rPr>
                <w:rFonts w:ascii="Arial" w:cs="Arial" w:eastAsia="Arial" w:hAnsi="Arial"/>
                <w:sz w:val="18"/>
                <w:szCs w:val="18"/>
                <w:color w:val="auto"/>
              </w:rPr>
              <w:t>*</w:t>
            </w:r>
          </w:p>
        </w:tc>
      </w:tr>
      <w:tr>
        <w:trPr>
          <w:trHeight w:val="216"/>
        </w:trPr>
        <w:tc>
          <w:tcPr>
            <w:tcW w:w="12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7720" w:type="dxa"/>
            <w:vAlign w:val="bottom"/>
            <w:gridSpan w:val="3"/>
          </w:tcPr>
          <w:p>
            <w:pPr>
              <w:ind w:left="200"/>
              <w:spacing w:after="0"/>
              <w:rPr>
                <w:sz w:val="20"/>
                <w:szCs w:val="20"/>
                <w:color w:val="auto"/>
              </w:rPr>
            </w:pPr>
            <w:r>
              <w:rPr>
                <w:rFonts w:ascii="Arial" w:cs="Arial" w:eastAsia="Arial" w:hAnsi="Arial"/>
                <w:sz w:val="18"/>
                <w:szCs w:val="18"/>
                <w:color w:val="auto"/>
              </w:rPr>
              <w:t>Section 906 of the Sarbanes-Oxley Act of 2002 (David Garofalo).***</w:t>
            </w:r>
          </w:p>
        </w:tc>
        <w:tc>
          <w:tcPr>
            <w:tcW w:w="1760" w:type="dxa"/>
            <w:vAlign w:val="bottom"/>
          </w:tcPr>
          <w:p>
            <w:pPr>
              <w:spacing w:after="0"/>
              <w:rPr>
                <w:sz w:val="18"/>
                <w:szCs w:val="18"/>
                <w:color w:val="auto"/>
              </w:rPr>
            </w:pPr>
          </w:p>
        </w:tc>
      </w:tr>
      <w:tr>
        <w:trPr>
          <w:trHeight w:val="216"/>
        </w:trPr>
        <w:tc>
          <w:tcPr>
            <w:tcW w:w="1940" w:type="dxa"/>
            <w:vAlign w:val="bottom"/>
            <w:gridSpan w:val="2"/>
          </w:tcPr>
          <w:p>
            <w:pPr>
              <w:jc w:val="right"/>
              <w:ind w:right="42"/>
              <w:spacing w:after="0"/>
              <w:rPr>
                <w:sz w:val="20"/>
                <w:szCs w:val="20"/>
                <w:color w:val="auto"/>
              </w:rPr>
            </w:pPr>
            <w:r>
              <w:rPr>
                <w:rFonts w:ascii="Arial" w:cs="Arial" w:eastAsia="Arial" w:hAnsi="Arial"/>
                <w:sz w:val="18"/>
                <w:szCs w:val="18"/>
                <w:color w:val="auto"/>
              </w:rPr>
              <w:t>15.01</w:t>
            </w:r>
          </w:p>
        </w:tc>
        <w:tc>
          <w:tcPr>
            <w:tcW w:w="7720" w:type="dxa"/>
            <w:vAlign w:val="bottom"/>
            <w:gridSpan w:val="3"/>
          </w:tcPr>
          <w:p>
            <w:pPr>
              <w:ind w:left="200"/>
              <w:spacing w:after="0"/>
              <w:rPr>
                <w:sz w:val="20"/>
                <w:szCs w:val="20"/>
                <w:color w:val="auto"/>
              </w:rPr>
            </w:pPr>
            <w:r>
              <w:rPr>
                <w:rFonts w:ascii="Arial" w:cs="Arial" w:eastAsia="Arial" w:hAnsi="Arial"/>
                <w:sz w:val="18"/>
                <w:szCs w:val="18"/>
                <w:color w:val="auto"/>
              </w:rPr>
              <w:t>Consent of Independent Registered Public Accounting Firm.</w:t>
            </w:r>
          </w:p>
        </w:tc>
        <w:tc>
          <w:tcPr>
            <w:tcW w:w="1760" w:type="dxa"/>
            <w:vAlign w:val="bottom"/>
          </w:tcPr>
          <w:p>
            <w:pPr>
              <w:jc w:val="right"/>
              <w:ind w:right="1212"/>
              <w:spacing w:after="0"/>
              <w:rPr>
                <w:sz w:val="20"/>
                <w:szCs w:val="20"/>
                <w:color w:val="auto"/>
              </w:rPr>
            </w:pPr>
            <w:r>
              <w:rPr>
                <w:rFonts w:ascii="Arial" w:cs="Arial" w:eastAsia="Arial" w:hAnsi="Arial"/>
                <w:sz w:val="18"/>
                <w:szCs w:val="18"/>
                <w:color w:val="auto"/>
              </w:rPr>
              <w:t>*</w:t>
            </w:r>
          </w:p>
        </w:tc>
      </w:tr>
      <w:tr>
        <w:trPr>
          <w:trHeight w:val="216"/>
        </w:trPr>
        <w:tc>
          <w:tcPr>
            <w:tcW w:w="1940" w:type="dxa"/>
            <w:vAlign w:val="bottom"/>
            <w:gridSpan w:val="2"/>
          </w:tcPr>
          <w:p>
            <w:pPr>
              <w:jc w:val="right"/>
              <w:ind w:right="42"/>
              <w:spacing w:after="0"/>
              <w:rPr>
                <w:sz w:val="20"/>
                <w:szCs w:val="20"/>
                <w:color w:val="auto"/>
              </w:rPr>
            </w:pPr>
            <w:r>
              <w:rPr>
                <w:rFonts w:ascii="Arial" w:cs="Arial" w:eastAsia="Arial" w:hAnsi="Arial"/>
                <w:sz w:val="18"/>
                <w:szCs w:val="18"/>
                <w:color w:val="auto"/>
              </w:rPr>
              <w:t>15.02</w:t>
            </w:r>
          </w:p>
        </w:tc>
        <w:tc>
          <w:tcPr>
            <w:tcW w:w="7720" w:type="dxa"/>
            <w:vAlign w:val="bottom"/>
            <w:gridSpan w:val="3"/>
          </w:tcPr>
          <w:p>
            <w:pPr>
              <w:ind w:left="200"/>
              <w:spacing w:after="0"/>
              <w:rPr>
                <w:sz w:val="20"/>
                <w:szCs w:val="20"/>
                <w:color w:val="auto"/>
              </w:rPr>
            </w:pPr>
            <w:r>
              <w:rPr>
                <w:rFonts w:ascii="Arial" w:cs="Arial" w:eastAsia="Arial" w:hAnsi="Arial"/>
                <w:sz w:val="18"/>
                <w:szCs w:val="18"/>
                <w:color w:val="auto"/>
              </w:rPr>
              <w:t>Audit Committee Charter (incorporated by reference to Exhibit 15.04 to the Company's Annual</w:t>
            </w:r>
          </w:p>
        </w:tc>
        <w:tc>
          <w:tcPr>
            <w:tcW w:w="1760" w:type="dxa"/>
            <w:vAlign w:val="bottom"/>
          </w:tcPr>
          <w:p>
            <w:pPr>
              <w:spacing w:after="0"/>
              <w:rPr>
                <w:sz w:val="18"/>
                <w:szCs w:val="18"/>
                <w:color w:val="auto"/>
              </w:rPr>
            </w:pPr>
          </w:p>
        </w:tc>
      </w:tr>
      <w:tr>
        <w:trPr>
          <w:trHeight w:val="216"/>
        </w:trPr>
        <w:tc>
          <w:tcPr>
            <w:tcW w:w="12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7720" w:type="dxa"/>
            <w:vAlign w:val="bottom"/>
            <w:gridSpan w:val="3"/>
          </w:tcPr>
          <w:p>
            <w:pPr>
              <w:ind w:left="200"/>
              <w:spacing w:after="0"/>
              <w:rPr>
                <w:sz w:val="20"/>
                <w:szCs w:val="20"/>
                <w:color w:val="auto"/>
              </w:rPr>
            </w:pPr>
            <w:r>
              <w:rPr>
                <w:rFonts w:ascii="Arial" w:cs="Arial" w:eastAsia="Arial" w:hAnsi="Arial"/>
                <w:sz w:val="18"/>
                <w:szCs w:val="18"/>
                <w:color w:val="auto"/>
                <w:w w:val="96"/>
              </w:rPr>
              <w:t>Report on Form 20-F (File No. 001-13422) for the fiscal year ended December 31, 2005 filed with</w:t>
            </w:r>
          </w:p>
        </w:tc>
        <w:tc>
          <w:tcPr>
            <w:tcW w:w="1760" w:type="dxa"/>
            <w:vAlign w:val="bottom"/>
          </w:tcPr>
          <w:p>
            <w:pPr>
              <w:spacing w:after="0"/>
              <w:rPr>
                <w:sz w:val="18"/>
                <w:szCs w:val="18"/>
                <w:color w:val="auto"/>
              </w:rPr>
            </w:pPr>
          </w:p>
        </w:tc>
      </w:tr>
      <w:tr>
        <w:trPr>
          <w:trHeight w:val="222"/>
        </w:trPr>
        <w:tc>
          <w:tcPr>
            <w:tcW w:w="1200" w:type="dxa"/>
            <w:vAlign w:val="bottom"/>
          </w:tcPr>
          <w:p>
            <w:pPr>
              <w:spacing w:after="0"/>
              <w:rPr>
                <w:sz w:val="19"/>
                <w:szCs w:val="19"/>
                <w:color w:val="auto"/>
              </w:rPr>
            </w:pPr>
          </w:p>
        </w:tc>
        <w:tc>
          <w:tcPr>
            <w:tcW w:w="740" w:type="dxa"/>
            <w:vAlign w:val="bottom"/>
          </w:tcPr>
          <w:p>
            <w:pPr>
              <w:spacing w:after="0"/>
              <w:rPr>
                <w:sz w:val="19"/>
                <w:szCs w:val="19"/>
                <w:color w:val="auto"/>
              </w:rPr>
            </w:pPr>
          </w:p>
        </w:tc>
        <w:tc>
          <w:tcPr>
            <w:tcW w:w="7720" w:type="dxa"/>
            <w:vAlign w:val="bottom"/>
            <w:gridSpan w:val="3"/>
          </w:tcPr>
          <w:p>
            <w:pPr>
              <w:ind w:left="200"/>
              <w:spacing w:after="0"/>
              <w:rPr>
                <w:sz w:val="20"/>
                <w:szCs w:val="20"/>
                <w:color w:val="auto"/>
              </w:rPr>
            </w:pPr>
            <w:r>
              <w:rPr>
                <w:rFonts w:ascii="Arial" w:cs="Arial" w:eastAsia="Arial" w:hAnsi="Arial"/>
                <w:sz w:val="18"/>
                <w:szCs w:val="18"/>
                <w:color w:val="auto"/>
              </w:rPr>
              <w:t>the SEC on March 28, 2006).</w:t>
            </w:r>
          </w:p>
        </w:tc>
        <w:tc>
          <w:tcPr>
            <w:tcW w:w="1760" w:type="dxa"/>
            <w:vAlign w:val="bottom"/>
          </w:tcPr>
          <w:p>
            <w:pPr>
              <w:spacing w:after="0"/>
              <w:rPr>
                <w:sz w:val="19"/>
                <w:szCs w:val="19"/>
                <w:color w:val="auto"/>
              </w:rPr>
            </w:pPr>
          </w:p>
        </w:tc>
      </w:tr>
      <w:tr>
        <w:trPr>
          <w:trHeight w:val="432"/>
        </w:trPr>
        <w:tc>
          <w:tcPr>
            <w:tcW w:w="120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7720" w:type="dxa"/>
            <w:vAlign w:val="bottom"/>
            <w:gridSpan w:val="3"/>
          </w:tcPr>
          <w:p>
            <w:pPr>
              <w:ind w:left="3640"/>
              <w:spacing w:after="0"/>
              <w:rPr>
                <w:sz w:val="20"/>
                <w:szCs w:val="20"/>
                <w:color w:val="auto"/>
              </w:rPr>
            </w:pPr>
            <w:r>
              <w:rPr>
                <w:rFonts w:ascii="Arial" w:cs="Arial" w:eastAsia="Arial" w:hAnsi="Arial"/>
                <w:sz w:val="18"/>
                <w:szCs w:val="18"/>
                <w:color w:val="auto"/>
              </w:rPr>
              <w:t>178</w:t>
            </w:r>
          </w:p>
        </w:tc>
        <w:tc>
          <w:tcPr>
            <w:tcW w:w="1760" w:type="dxa"/>
            <w:vAlign w:val="bottom"/>
          </w:tcPr>
          <w:p>
            <w:pPr>
              <w:spacing w:after="0"/>
              <w:rPr>
                <w:sz w:val="24"/>
                <w:szCs w:val="24"/>
                <w:color w:val="auto"/>
              </w:rPr>
            </w:pPr>
          </w:p>
        </w:tc>
      </w:tr>
      <w:tr>
        <w:trPr>
          <w:trHeight w:val="228"/>
        </w:trPr>
        <w:tc>
          <w:tcPr>
            <w:tcW w:w="1200" w:type="dxa"/>
            <w:vAlign w:val="bottom"/>
            <w:tcBorders>
              <w:bottom w:val="single" w:sz="8" w:color="808080"/>
            </w:tcBorders>
          </w:tcPr>
          <w:p>
            <w:pPr>
              <w:spacing w:after="0"/>
              <w:rPr>
                <w:sz w:val="19"/>
                <w:szCs w:val="19"/>
                <w:color w:val="auto"/>
              </w:rPr>
            </w:pPr>
          </w:p>
        </w:tc>
        <w:tc>
          <w:tcPr>
            <w:tcW w:w="740" w:type="dxa"/>
            <w:vAlign w:val="bottom"/>
            <w:tcBorders>
              <w:bottom w:val="single" w:sz="8" w:color="808080"/>
            </w:tcBorders>
          </w:tcPr>
          <w:p>
            <w:pPr>
              <w:spacing w:after="0"/>
              <w:rPr>
                <w:sz w:val="19"/>
                <w:szCs w:val="19"/>
                <w:color w:val="auto"/>
              </w:rPr>
            </w:pPr>
          </w:p>
        </w:tc>
        <w:tc>
          <w:tcPr>
            <w:tcW w:w="220" w:type="dxa"/>
            <w:vAlign w:val="bottom"/>
            <w:tcBorders>
              <w:bottom w:val="single" w:sz="8" w:color="808080"/>
            </w:tcBorders>
          </w:tcPr>
          <w:p>
            <w:pPr>
              <w:spacing w:after="0"/>
              <w:rPr>
                <w:sz w:val="19"/>
                <w:szCs w:val="19"/>
                <w:color w:val="auto"/>
              </w:rPr>
            </w:pPr>
          </w:p>
        </w:tc>
        <w:tc>
          <w:tcPr>
            <w:tcW w:w="720" w:type="dxa"/>
            <w:vAlign w:val="bottom"/>
            <w:tcBorders>
              <w:bottom w:val="single" w:sz="8" w:color="808080"/>
            </w:tcBorders>
          </w:tcPr>
          <w:p>
            <w:pPr>
              <w:spacing w:after="0"/>
              <w:rPr>
                <w:sz w:val="19"/>
                <w:szCs w:val="19"/>
                <w:color w:val="auto"/>
              </w:rPr>
            </w:pPr>
          </w:p>
        </w:tc>
        <w:tc>
          <w:tcPr>
            <w:tcW w:w="6780" w:type="dxa"/>
            <w:vAlign w:val="bottom"/>
            <w:tcBorders>
              <w:bottom w:val="single" w:sz="8" w:color="808080"/>
            </w:tcBorders>
          </w:tcPr>
          <w:p>
            <w:pPr>
              <w:spacing w:after="0"/>
              <w:rPr>
                <w:sz w:val="19"/>
                <w:szCs w:val="19"/>
                <w:color w:val="auto"/>
              </w:rPr>
            </w:pPr>
          </w:p>
        </w:tc>
        <w:tc>
          <w:tcPr>
            <w:tcW w:w="176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25" w:right="239" w:bottom="1440" w:gutter="0" w:footer="0" w:header="0"/>
        </w:sectPr>
      </w:pPr>
    </w:p>
    <w:bookmarkStart w:id="221" w:name="page222"/>
    <w:bookmarkEnd w:id="221"/>
    <w:p>
      <w:pPr>
        <w:ind w:left="91"/>
        <w:spacing w:after="0"/>
        <w:tabs>
          <w:tab w:leader="none" w:pos="970" w:val="left"/>
        </w:tabs>
        <w:rPr>
          <w:sz w:val="20"/>
          <w:szCs w:val="20"/>
          <w:color w:val="auto"/>
        </w:rPr>
      </w:pPr>
      <w:r>
        <w:rPr>
          <w:rFonts w:ascii="Arial" w:cs="Arial" w:eastAsia="Arial" w:hAnsi="Arial"/>
          <w:sz w:val="14"/>
          <w:szCs w:val="14"/>
          <w:b w:val="1"/>
          <w:bCs w:val="1"/>
          <w:u w:val="single" w:color="auto"/>
          <w:color w:val="auto"/>
        </w:rPr>
        <w:t>Exhibit No.</w:t>
      </w:r>
      <w:r>
        <w:rPr>
          <w:sz w:val="20"/>
          <w:szCs w:val="20"/>
          <w:color w:val="auto"/>
        </w:rPr>
        <w:tab/>
      </w:r>
      <w:r>
        <w:rPr>
          <w:rFonts w:ascii="Arial" w:cs="Arial" w:eastAsia="Arial" w:hAnsi="Arial"/>
          <w:sz w:val="12"/>
          <w:szCs w:val="12"/>
          <w:b w:val="1"/>
          <w:bCs w:val="1"/>
          <w:color w:val="auto"/>
        </w:rPr>
        <w:t>Description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638810</wp:posOffset>
            </wp:positionH>
            <wp:positionV relativeFrom="paragraph">
              <wp:posOffset>0</wp:posOffset>
            </wp:positionV>
            <wp:extent cx="462915" cy="889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a:extLst>
                        <a:ext uri="{28A0092B-C50C-407E-A947-70E740481C1C}"/>
                      </a:extLst>
                    </a:blip>
                    <a:srcRect/>
                    <a:stretch>
                      <a:fillRect/>
                    </a:stretch>
                  </pic:blipFill>
                  <pic:spPr bwMode="auto">
                    <a:xfrm>
                      <a:off x="0" y="0"/>
                      <a:ext cx="462915" cy="8890"/>
                    </a:xfrm>
                    <a:prstGeom prst="rect">
                      <a:avLst/>
                    </a:prstGeom>
                    <a:noFill/>
                  </pic:spPr>
                </pic:pic>
              </a:graphicData>
            </a:graphic>
          </wp:anchor>
        </w:drawing>
      </w:r>
    </w:p>
    <w:p>
      <w:pPr>
        <w:ind w:left="991" w:right="2220" w:hanging="657"/>
        <w:spacing w:after="0" w:line="289" w:lineRule="auto"/>
        <w:tabs>
          <w:tab w:leader="none" w:pos="991" w:val="left"/>
        </w:tabs>
        <w:numPr>
          <w:ilvl w:val="1"/>
          <w:numId w:val="105"/>
        </w:numPr>
        <w:rPr>
          <w:rFonts w:ascii="Arial" w:cs="Arial" w:eastAsia="Arial" w:hAnsi="Arial"/>
          <w:sz w:val="16"/>
          <w:szCs w:val="16"/>
          <w:color w:val="auto"/>
        </w:rPr>
      </w:pPr>
      <w:r>
        <w:rPr>
          <w:rFonts w:ascii="Arial" w:cs="Arial" w:eastAsia="Arial" w:hAnsi="Arial"/>
          <w:sz w:val="16"/>
          <w:szCs w:val="16"/>
          <w:color w:val="auto"/>
        </w:rPr>
        <w:t>The following financial information from Agnico-Eagle Mines Limited's Comparative Audited Consolidated Financial Statements, formatted in XBRL (Extensible Business Reporting Language) and furnished electronically herewith: (i) the Consolidated Statements of Income; (ii) the Consolidated Statements of Cash Flow; (iii) the Consolidated Balance Sheets; (iv) the Consolidated Statements of Shareholders' Equity; (v) the Consolidated Statements of Comprehensive Income; and (vi) the Notes to Consolidated Financial Statements, tagged as blocks of text.</w:t>
      </w:r>
    </w:p>
    <w:p>
      <w:pPr>
        <w:spacing w:after="0" w:line="281" w:lineRule="exact"/>
        <w:rPr>
          <w:rFonts w:ascii="Arial" w:cs="Arial" w:eastAsia="Arial" w:hAnsi="Arial"/>
          <w:sz w:val="16"/>
          <w:szCs w:val="16"/>
          <w:color w:val="auto"/>
        </w:rPr>
      </w:pPr>
    </w:p>
    <w:p>
      <w:pPr>
        <w:ind w:left="531" w:hanging="540"/>
        <w:spacing w:after="0" w:line="233" w:lineRule="auto"/>
        <w:rPr>
          <w:rFonts w:ascii="Arial" w:cs="Arial" w:eastAsia="Arial" w:hAnsi="Arial"/>
          <w:sz w:val="16"/>
          <w:szCs w:val="16"/>
          <w:color w:val="auto"/>
        </w:rPr>
      </w:pPr>
      <w:r>
        <w:rPr>
          <w:rFonts w:ascii="Arial" w:cs="Arial" w:eastAsia="Arial" w:hAnsi="Arial"/>
          <w:sz w:val="14"/>
          <w:szCs w:val="14"/>
          <w:color w:val="auto"/>
        </w:rPr>
        <w:t>*Such exhibits and other information filed by the Company with the SEC are available to shareholders upon request at the SEC's public reference section, may be inspected and copied at prescribed rates at the public reference room maintained by the SEC located at 110 F Street, N.E., Room 1580, Washington, D.C. 20549, U.S.A. or may be accessed electronically at the SEC's website (www.sec.gov).</w:t>
      </w:r>
    </w:p>
    <w:p>
      <w:pPr>
        <w:spacing w:after="0" w:line="111" w:lineRule="exact"/>
        <w:rPr>
          <w:rFonts w:ascii="Arial" w:cs="Arial" w:eastAsia="Arial" w:hAnsi="Arial"/>
          <w:sz w:val="16"/>
          <w:szCs w:val="16"/>
          <w:color w:val="auto"/>
        </w:rPr>
      </w:pPr>
    </w:p>
    <w:p>
      <w:pPr>
        <w:ind w:left="531" w:hanging="531"/>
        <w:spacing w:after="0"/>
        <w:tabs>
          <w:tab w:leader="none" w:pos="531" w:val="left"/>
        </w:tabs>
        <w:numPr>
          <w:ilvl w:val="0"/>
          <w:numId w:val="106"/>
        </w:numPr>
        <w:rPr>
          <w:rFonts w:ascii="Arial" w:cs="Arial" w:eastAsia="Arial" w:hAnsi="Arial"/>
          <w:sz w:val="14"/>
          <w:szCs w:val="14"/>
          <w:color w:val="auto"/>
        </w:rPr>
      </w:pPr>
      <w:r>
        <w:rPr>
          <w:rFonts w:ascii="Arial" w:cs="Arial" w:eastAsia="Arial" w:hAnsi="Arial"/>
          <w:sz w:val="14"/>
          <w:szCs w:val="14"/>
          <w:color w:val="auto"/>
        </w:rPr>
        <w:t>Management contracts or compensatory plan, contract or arrangements required to be filed and herein incorporated as an exhibit.</w:t>
      </w:r>
    </w:p>
    <w:p>
      <w:pPr>
        <w:spacing w:after="0" w:line="122" w:lineRule="exact"/>
        <w:rPr>
          <w:rFonts w:ascii="Arial" w:cs="Arial" w:eastAsia="Arial" w:hAnsi="Arial"/>
          <w:sz w:val="14"/>
          <w:szCs w:val="14"/>
          <w:color w:val="auto"/>
        </w:rPr>
      </w:pPr>
    </w:p>
    <w:p>
      <w:pPr>
        <w:jc w:val="both"/>
        <w:ind w:left="531" w:hanging="531"/>
        <w:spacing w:after="0" w:line="288" w:lineRule="auto"/>
        <w:tabs>
          <w:tab w:leader="none" w:pos="531" w:val="left"/>
        </w:tabs>
        <w:numPr>
          <w:ilvl w:val="0"/>
          <w:numId w:val="107"/>
        </w:numPr>
        <w:rPr>
          <w:rFonts w:ascii="Arial" w:cs="Arial" w:eastAsia="Arial" w:hAnsi="Arial"/>
          <w:sz w:val="12"/>
          <w:szCs w:val="12"/>
          <w:color w:val="auto"/>
        </w:rPr>
      </w:pPr>
      <w:r>
        <w:rPr>
          <w:rFonts w:ascii="Arial" w:cs="Arial" w:eastAsia="Arial" w:hAnsi="Arial"/>
          <w:sz w:val="12"/>
          <w:szCs w:val="12"/>
          <w:color w:val="auto"/>
        </w:rPr>
        <w:t>Pursuant to the SEC Release No. 33-8212 and 34-47551, this certification will be treated as "accompanying" this Annual Report on Form 20-F and not "filed" as part of such report for purposes of Section 18 of the Exchange Act, or otherwise subject to the liability of Section 18 of the Exchange Act, and this certification will not be incorporated by reference into any filing under the U.S. Securities Act or the Exchange Act, except to the extent that the Company specifically incorporates it by reference.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-993775</wp:posOffset>
            </wp:positionV>
            <wp:extent cx="797560" cy="889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a:extLst>
                        <a:ext uri="{28A0092B-C50C-407E-A947-70E740481C1C}"/>
                      </a:extLst>
                    </a:blip>
                    <a:srcRect/>
                    <a:stretch>
                      <a:fillRect/>
                    </a:stretch>
                  </pic:blipFill>
                  <pic:spPr bwMode="auto">
                    <a:xfrm>
                      <a:off x="0" y="0"/>
                      <a:ext cx="797560" cy="8890"/>
                    </a:xfrm>
                    <a:prstGeom prst="rect">
                      <a:avLst/>
                    </a:prstGeom>
                    <a:noFill/>
                  </pic:spPr>
                </pic:pic>
              </a:graphicData>
            </a:graphic>
          </wp:anchor>
        </w:drawing>
      </w:r>
    </w:p>
    <w:p>
      <w:pPr>
        <w:spacing w:after="0" w:line="147" w:lineRule="exact"/>
        <w:rPr>
          <w:sz w:val="20"/>
          <w:szCs w:val="20"/>
          <w:color w:val="auto"/>
        </w:rPr>
      </w:pPr>
    </w:p>
    <w:p>
      <w:pPr>
        <w:ind w:left="4431"/>
        <w:spacing w:after="0"/>
        <w:rPr>
          <w:sz w:val="20"/>
          <w:szCs w:val="20"/>
          <w:color w:val="auto"/>
        </w:rPr>
      </w:pPr>
      <w:r>
        <w:rPr>
          <w:rFonts w:ascii="Arial" w:cs="Arial" w:eastAsia="Arial" w:hAnsi="Arial"/>
          <w:sz w:val="18"/>
          <w:szCs w:val="18"/>
          <w:color w:val="auto"/>
        </w:rPr>
        <w:t>179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wp:posOffset>
            </wp:positionH>
            <wp:positionV relativeFrom="paragraph">
              <wp:posOffset>146050</wp:posOffset>
            </wp:positionV>
            <wp:extent cx="7250430" cy="2159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271"/>
          </w:cols>
          <w:pgMar w:left="1389" w:top="127" w:right="239" w:bottom="1440" w:gutter="0" w:footer="0" w:header="0"/>
        </w:sectPr>
      </w:pPr>
    </w:p>
    <w:bookmarkStart w:id="222" w:name="page223"/>
    <w:bookmarkEnd w:id="222"/>
    <w:p>
      <w:pPr>
        <w:jc w:val="center"/>
        <w:ind w:right="40"/>
        <w:spacing w:after="0"/>
        <w:rPr>
          <w:sz w:val="20"/>
          <w:szCs w:val="20"/>
          <w:color w:val="auto"/>
        </w:rPr>
      </w:pPr>
      <w:r>
        <w:rPr>
          <w:rFonts w:ascii="Arial" w:cs="Arial" w:eastAsia="Arial" w:hAnsi="Arial"/>
          <w:sz w:val="18"/>
          <w:szCs w:val="18"/>
          <w:b w:val="1"/>
          <w:bCs w:val="1"/>
          <w:color w:val="auto"/>
        </w:rPr>
        <w:t>SIGNATURES</w:t>
      </w:r>
    </w:p>
    <w:p>
      <w:pPr>
        <w:spacing w:after="0" w:line="231" w:lineRule="exact"/>
        <w:rPr>
          <w:sz w:val="20"/>
          <w:szCs w:val="20"/>
          <w:color w:val="auto"/>
        </w:rPr>
      </w:pPr>
    </w:p>
    <w:p>
      <w:pPr>
        <w:ind w:firstLine="363"/>
        <w:spacing w:after="0" w:line="268" w:lineRule="auto"/>
        <w:rPr>
          <w:sz w:val="20"/>
          <w:szCs w:val="20"/>
          <w:color w:val="auto"/>
        </w:rPr>
      </w:pPr>
      <w:r>
        <w:rPr>
          <w:rFonts w:ascii="Arial" w:cs="Arial" w:eastAsia="Arial" w:hAnsi="Arial"/>
          <w:sz w:val="18"/>
          <w:szCs w:val="18"/>
          <w:color w:val="auto"/>
        </w:rPr>
        <w:t>The registrant hereby certifies that it meets all of the requirements for filing on Form 20-F and that it has duly caused and authorized the undersigned to sign this Annual Report on its behalf.</w:t>
      </w:r>
    </w:p>
    <w:p>
      <w:pPr>
        <w:spacing w:after="0" w:line="186" w:lineRule="exact"/>
        <w:rPr>
          <w:sz w:val="20"/>
          <w:szCs w:val="20"/>
          <w:color w:val="auto"/>
        </w:rPr>
      </w:pPr>
    </w:p>
    <w:p>
      <w:pPr>
        <w:ind w:left="5480"/>
        <w:spacing w:after="0"/>
        <w:rPr>
          <w:sz w:val="20"/>
          <w:szCs w:val="20"/>
          <w:color w:val="auto"/>
        </w:rPr>
      </w:pPr>
      <w:r>
        <w:rPr>
          <w:rFonts w:ascii="Arial" w:cs="Arial" w:eastAsia="Arial" w:hAnsi="Arial"/>
          <w:sz w:val="18"/>
          <w:szCs w:val="18"/>
          <w:color w:val="auto"/>
        </w:rPr>
        <w:t>AGNICO-EAGLE MINES LIMITED</w:t>
      </w:r>
    </w:p>
    <w:p>
      <w:pPr>
        <w:spacing w:after="0" w:line="252" w:lineRule="exact"/>
        <w:rPr>
          <w:sz w:val="20"/>
          <w:szCs w:val="20"/>
          <w:color w:val="auto"/>
        </w:rPr>
      </w:pPr>
    </w:p>
    <w:p>
      <w:pPr>
        <w:ind w:left="1140"/>
        <w:spacing w:after="0"/>
        <w:rPr>
          <w:sz w:val="20"/>
          <w:szCs w:val="20"/>
          <w:color w:val="auto"/>
        </w:rPr>
      </w:pPr>
      <w:r>
        <w:rPr>
          <w:rFonts w:ascii="Arial" w:cs="Arial" w:eastAsia="Arial" w:hAnsi="Arial"/>
          <w:sz w:val="18"/>
          <w:szCs w:val="18"/>
          <w:color w:val="auto"/>
        </w:rPr>
        <w:t>Toronto, Canada</w:t>
      </w:r>
    </w:p>
    <w:p>
      <w:pPr>
        <w:spacing w:after="0" w:line="15" w:lineRule="exact"/>
        <w:rPr>
          <w:sz w:val="20"/>
          <w:szCs w:val="20"/>
          <w:color w:val="auto"/>
        </w:rPr>
      </w:pPr>
    </w:p>
    <w:p>
      <w:pPr>
        <w:ind w:left="1140"/>
        <w:spacing w:after="0"/>
        <w:rPr>
          <w:sz w:val="20"/>
          <w:szCs w:val="20"/>
          <w:color w:val="auto"/>
        </w:rPr>
      </w:pPr>
      <w:r>
        <w:rPr>
          <w:rFonts w:ascii="Arial" w:cs="Arial" w:eastAsia="Arial" w:hAnsi="Arial"/>
          <w:sz w:val="18"/>
          <w:szCs w:val="18"/>
          <w:color w:val="auto"/>
        </w:rPr>
        <w:t>March 26, 2010</w:t>
      </w:r>
    </w:p>
    <w:p>
      <w:pPr>
        <w:spacing w:after="0" w:line="246" w:lineRule="exact"/>
        <w:rPr>
          <w:sz w:val="20"/>
          <w:szCs w:val="20"/>
          <w:color w:val="auto"/>
        </w:rPr>
      </w:pPr>
    </w:p>
    <w:p>
      <w:pPr>
        <w:ind w:left="5480"/>
        <w:spacing w:after="0"/>
        <w:tabs>
          <w:tab w:leader="none" w:pos="6000" w:val="left"/>
        </w:tabs>
        <w:rPr>
          <w:sz w:val="20"/>
          <w:szCs w:val="20"/>
          <w:color w:val="auto"/>
        </w:rPr>
      </w:pPr>
      <w:r>
        <w:rPr>
          <w:rFonts w:ascii="Arial" w:cs="Arial" w:eastAsia="Arial" w:hAnsi="Arial"/>
          <w:sz w:val="18"/>
          <w:szCs w:val="18"/>
          <w:color w:val="auto"/>
        </w:rPr>
        <w:t>By:</w:t>
      </w:r>
      <w:r>
        <w:rPr>
          <w:sz w:val="20"/>
          <w:szCs w:val="20"/>
          <w:color w:val="auto"/>
        </w:rPr>
        <w:tab/>
      </w:r>
      <w:r>
        <w:rPr>
          <w:rFonts w:ascii="Arial" w:cs="Arial" w:eastAsia="Arial" w:hAnsi="Arial"/>
          <w:sz w:val="18"/>
          <w:szCs w:val="18"/>
          <w:color w:val="auto"/>
        </w:rPr>
        <w:t>/s/ DAVID GAROFALO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3829685</wp:posOffset>
            </wp:positionH>
            <wp:positionV relativeFrom="paragraph">
              <wp:posOffset>71120</wp:posOffset>
            </wp:positionV>
            <wp:extent cx="2735580" cy="889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8">
                      <a:extLst>
                        <a:ext uri="{28A0092B-C50C-407E-A947-70E740481C1C}"/>
                      </a:extLst>
                    </a:blip>
                    <a:srcRect/>
                    <a:stretch>
                      <a:fillRect/>
                    </a:stretch>
                  </pic:blipFill>
                  <pic:spPr bwMode="auto">
                    <a:xfrm>
                      <a:off x="0" y="0"/>
                      <a:ext cx="2735580" cy="8890"/>
                    </a:xfrm>
                    <a:prstGeom prst="rect">
                      <a:avLst/>
                    </a:prstGeom>
                    <a:noFill/>
                  </pic:spPr>
                </pic:pic>
              </a:graphicData>
            </a:graphic>
          </wp:anchor>
        </w:drawing>
      </w:r>
    </w:p>
    <w:p>
      <w:pPr>
        <w:spacing w:after="0" w:line="178" w:lineRule="exact"/>
        <w:rPr>
          <w:sz w:val="20"/>
          <w:szCs w:val="20"/>
          <w:color w:val="auto"/>
        </w:rPr>
      </w:pPr>
    </w:p>
    <w:p>
      <w:pPr>
        <w:ind w:left="6020"/>
        <w:spacing w:after="0"/>
        <w:rPr>
          <w:sz w:val="20"/>
          <w:szCs w:val="20"/>
          <w:color w:val="auto"/>
        </w:rPr>
      </w:pPr>
      <w:r>
        <w:rPr>
          <w:rFonts w:ascii="Arial" w:cs="Arial" w:eastAsia="Arial" w:hAnsi="Arial"/>
          <w:sz w:val="18"/>
          <w:szCs w:val="18"/>
          <w:color w:val="auto"/>
        </w:rPr>
        <w:t>David Garofalo</w:t>
      </w:r>
    </w:p>
    <w:p>
      <w:pPr>
        <w:spacing w:after="0" w:line="15" w:lineRule="exact"/>
        <w:rPr>
          <w:sz w:val="20"/>
          <w:szCs w:val="20"/>
          <w:color w:val="auto"/>
        </w:rPr>
      </w:pPr>
    </w:p>
    <w:p>
      <w:pPr>
        <w:ind w:left="6020"/>
        <w:spacing w:after="0"/>
        <w:rPr>
          <w:sz w:val="20"/>
          <w:szCs w:val="20"/>
          <w:color w:val="auto"/>
        </w:rPr>
      </w:pPr>
      <w:r>
        <w:rPr>
          <w:rFonts w:ascii="Arial" w:cs="Arial" w:eastAsia="Arial" w:hAnsi="Arial"/>
          <w:sz w:val="18"/>
          <w:szCs w:val="18"/>
          <w:i w:val="1"/>
          <w:iCs w:val="1"/>
          <w:color w:val="auto"/>
        </w:rPr>
        <w:t>Senior Vice-President, Finance and</w:t>
      </w:r>
    </w:p>
    <w:p>
      <w:pPr>
        <w:spacing w:after="0" w:line="9" w:lineRule="exact"/>
        <w:rPr>
          <w:sz w:val="20"/>
          <w:szCs w:val="20"/>
          <w:color w:val="auto"/>
        </w:rPr>
      </w:pPr>
    </w:p>
    <w:p>
      <w:pPr>
        <w:ind w:left="6020"/>
        <w:spacing w:after="0"/>
        <w:rPr>
          <w:sz w:val="20"/>
          <w:szCs w:val="20"/>
          <w:color w:val="auto"/>
        </w:rPr>
      </w:pPr>
      <w:r>
        <w:rPr>
          <w:rFonts w:ascii="Arial" w:cs="Arial" w:eastAsia="Arial" w:hAnsi="Arial"/>
          <w:sz w:val="18"/>
          <w:szCs w:val="18"/>
          <w:i w:val="1"/>
          <w:iCs w:val="1"/>
          <w:color w:val="auto"/>
        </w:rPr>
        <w:t>Chief Financial Officer</w:t>
      </w:r>
    </w:p>
    <w:p>
      <w:pPr>
        <w:spacing w:after="0" w:line="2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223" w:name="page224"/>
    <w:bookmarkEnd w:id="22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961326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0">
                      <a:clrChange>
                        <a:clrFrom>
                          <a:srgbClr val="FFFFFF"/>
                        </a:clrFrom>
                        <a:clrTo>
                          <a:srgbClr val="FFFFFF">
                            <a:alpha val="0"/>
                          </a:srgbClr>
                        </a:clrTo>
                      </a:clrChange>
                      <a:extLst>
                        <a:ext uri="{28A0092B-C50C-407E-A947-70E740481C1C}"/>
                      </a:extLst>
                    </a:blip>
                    <a:srcRect/>
                    <a:stretch>
                      <a:fillRect/>
                    </a:stretch>
                  </pic:blipFill>
                  <pic:spPr bwMode="auto">
                    <a:xfrm>
                      <a:off x="0" y="0"/>
                      <a:ext cx="5831840" cy="961326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24" w:name="page225"/>
    <w:bookmarkEnd w:id="22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715010</wp:posOffset>
            </wp:positionH>
            <wp:positionV relativeFrom="page">
              <wp:posOffset>88900</wp:posOffset>
            </wp:positionV>
            <wp:extent cx="5831840" cy="750379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1">
                      <a:clrChange>
                        <a:clrFrom>
                          <a:srgbClr val="FFFFFF"/>
                        </a:clrFrom>
                        <a:clrTo>
                          <a:srgbClr val="FFFFFF">
                            <a:alpha val="0"/>
                          </a:srgbClr>
                        </a:clrTo>
                      </a:clrChange>
                      <a:extLst>
                        <a:ext uri="{28A0092B-C50C-407E-A947-70E740481C1C}"/>
                      </a:extLst>
                    </a:blip>
                    <a:srcRect/>
                    <a:stretch>
                      <a:fillRect/>
                    </a:stretch>
                  </pic:blipFill>
                  <pic:spPr bwMode="auto">
                    <a:xfrm>
                      <a:off x="0" y="0"/>
                      <a:ext cx="5831840" cy="7503795"/>
                    </a:xfrm>
                    <a:prstGeom prst="rect">
                      <a:avLst/>
                    </a:prstGeom>
                    <a:noFill/>
                  </pic:spPr>
                </pic:pic>
              </a:graphicData>
            </a:graphic>
          </wp:anchor>
        </w:drawing>
      </w:r>
    </w:p>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374A3FE6"/>
    <w:multiLevelType w:val="hybridMultilevel"/>
    <w:lvl w:ilvl="0">
      <w:lvlJc w:val="left"/>
      <w:lvlText w:val="o"/>
      <w:numFmt w:val="bullet"/>
      <w:start w:val="1"/>
    </w:lvl>
  </w:abstractNum>
  <w:abstractNum w:abstractNumId="1">
    <w:nsid w:val="4F4EF005"/>
    <w:multiLevelType w:val="hybridMultilevel"/>
    <w:lvl w:ilvl="0">
      <w:lvlJc w:val="left"/>
      <w:lvlText w:val="☒"/>
      <w:numFmt w:val="bullet"/>
      <w:start w:val="1"/>
    </w:lvl>
  </w:abstractNum>
  <w:abstractNum w:abstractNumId="2">
    <w:nsid w:val="23F9C13C"/>
    <w:multiLevelType w:val="hybridMultilevel"/>
    <w:lvl w:ilvl="0">
      <w:lvlJc w:val="left"/>
      <w:lvlText w:val="o"/>
      <w:numFmt w:val="bullet"/>
      <w:start w:val="1"/>
    </w:lvl>
  </w:abstractNum>
  <w:abstractNum w:abstractNumId="3">
    <w:nsid w:val="649BB77C"/>
    <w:multiLevelType w:val="hybridMultilevel"/>
    <w:lvl w:ilvl="0">
      <w:lvlJc w:val="left"/>
      <w:lvlText w:val="*"/>
      <w:numFmt w:val="bullet"/>
      <w:start w:val="1"/>
    </w:lvl>
  </w:abstractNum>
  <w:abstractNum w:abstractNumId="4">
    <w:nsid w:val="275AC794"/>
    <w:multiLevelType w:val="hybridMultilevel"/>
    <w:lvl w:ilvl="0">
      <w:lvlJc w:val="left"/>
      <w:lvlText w:val="**"/>
      <w:numFmt w:val="bullet"/>
      <w:start w:val="1"/>
    </w:lvl>
  </w:abstractNum>
  <w:abstractNum w:abstractNumId="5">
    <w:nsid w:val="39386575"/>
    <w:multiLevelType w:val="hybridMultilevel"/>
    <w:lvl w:ilvl="0">
      <w:lvlJc w:val="left"/>
      <w:lvlText w:val="•"/>
      <w:numFmt w:val="bullet"/>
      <w:start w:val="1"/>
    </w:lvl>
  </w:abstractNum>
  <w:abstractNum w:abstractNumId="6">
    <w:nsid w:val="1CF10FD8"/>
    <w:multiLevelType w:val="hybridMultilevel"/>
    <w:lvl w:ilvl="0">
      <w:lvlJc w:val="left"/>
      <w:lvlText w:val="•"/>
      <w:numFmt w:val="bullet"/>
      <w:start w:val="1"/>
    </w:lvl>
  </w:abstractNum>
  <w:abstractNum w:abstractNumId="7">
    <w:nsid w:val="180115BE"/>
    <w:multiLevelType w:val="hybridMultilevel"/>
    <w:lvl w:ilvl="0">
      <w:lvlJc w:val="left"/>
      <w:lvlText w:val="(%1)"/>
      <w:numFmt w:val="decimal"/>
      <w:start w:val="1"/>
    </w:lvl>
  </w:abstractNum>
  <w:abstractNum w:abstractNumId="8">
    <w:nsid w:val="235BA861"/>
    <w:multiLevelType w:val="hybridMultilevel"/>
    <w:lvl w:ilvl="0">
      <w:lvlJc w:val="left"/>
      <w:lvlText w:val="(%1)"/>
      <w:numFmt w:val="decimal"/>
      <w:start w:val="416"/>
    </w:lvl>
  </w:abstractNum>
  <w:abstractNum w:abstractNumId="9">
    <w:nsid w:val="47398C89"/>
    <w:multiLevelType w:val="hybridMultilevel"/>
    <w:lvl w:ilvl="0">
      <w:lvlJc w:val="left"/>
      <w:lvlText w:val="(%1)"/>
      <w:numFmt w:val="decimal"/>
      <w:start w:val="1"/>
    </w:lvl>
  </w:abstractNum>
  <w:abstractNum w:abstractNumId="10">
    <w:nsid w:val="354FE9F9"/>
    <w:multiLevelType w:val="hybridMultilevel"/>
    <w:lvl w:ilvl="0">
      <w:lvlJc w:val="left"/>
      <w:lvlText w:val="(%1)"/>
      <w:numFmt w:val="decimal"/>
      <w:start w:val="4"/>
    </w:lvl>
  </w:abstractNum>
  <w:abstractNum w:abstractNumId="11">
    <w:nsid w:val="15B5AF5C"/>
    <w:multiLevelType w:val="hybridMultilevel"/>
    <w:lvl w:ilvl="0">
      <w:lvlJc w:val="left"/>
      <w:lvlText w:val="(%1)"/>
      <w:numFmt w:val="decimal"/>
      <w:start w:val="1"/>
    </w:lvl>
  </w:abstractNum>
  <w:abstractNum w:abstractNumId="12">
    <w:nsid w:val="741226BB"/>
    <w:multiLevelType w:val="hybridMultilevel"/>
    <w:lvl w:ilvl="0">
      <w:lvlJc w:val="left"/>
      <w:lvlText w:val="(%1)"/>
      <w:numFmt w:val="decimal"/>
      <w:start w:val="4"/>
    </w:lvl>
  </w:abstractNum>
  <w:abstractNum w:abstractNumId="13">
    <w:nsid w:val="D34B6A8"/>
    <w:multiLevelType w:val="hybridMultilevel"/>
    <w:lvl w:ilvl="0">
      <w:lvlJc w:val="left"/>
      <w:lvlText w:val="(%1)"/>
      <w:numFmt w:val="decimal"/>
      <w:start w:val="1"/>
    </w:lvl>
  </w:abstractNum>
  <w:abstractNum w:abstractNumId="14">
    <w:nsid w:val="10233C99"/>
    <w:multiLevelType w:val="hybridMultilevel"/>
    <w:lvl w:ilvl="0">
      <w:lvlJc w:val="left"/>
      <w:lvlText w:val="(%1)"/>
      <w:numFmt w:val="decimal"/>
      <w:start w:val="2"/>
    </w:lvl>
  </w:abstractNum>
  <w:abstractNum w:abstractNumId="15">
    <w:nsid w:val="3F6AB60F"/>
    <w:multiLevelType w:val="hybridMultilevel"/>
    <w:lvl w:ilvl="0">
      <w:lvlJc w:val="left"/>
      <w:lvlText w:val="(%1)"/>
      <w:numFmt w:val="decimal"/>
      <w:start w:val="4"/>
    </w:lvl>
  </w:abstractNum>
  <w:abstractNum w:abstractNumId="16">
    <w:nsid w:val="61574095"/>
    <w:multiLevelType w:val="hybridMultilevel"/>
    <w:lvl w:ilvl="0">
      <w:lvlJc w:val="left"/>
      <w:lvlText w:val="(%1)"/>
      <w:numFmt w:val="decimal"/>
      <w:start w:val="5"/>
    </w:lvl>
  </w:abstractNum>
  <w:abstractNum w:abstractNumId="17">
    <w:nsid w:val="7E0C57B1"/>
    <w:multiLevelType w:val="hybridMultilevel"/>
    <w:lvl w:ilvl="0">
      <w:lvlJc w:val="left"/>
      <w:lvlText w:val="(%1)"/>
      <w:numFmt w:val="decimal"/>
      <w:start w:val="1"/>
    </w:lvl>
  </w:abstractNum>
  <w:abstractNum w:abstractNumId="18">
    <w:nsid w:val="77AE35EB"/>
    <w:multiLevelType w:val="hybridMultilevel"/>
    <w:lvl w:ilvl="0">
      <w:lvlJc w:val="left"/>
      <w:lvlText w:val="(%1)"/>
      <w:numFmt w:val="decimal"/>
      <w:start w:val="3"/>
    </w:lvl>
  </w:abstractNum>
  <w:abstractNum w:abstractNumId="19">
    <w:nsid w:val="579BE4F1"/>
    <w:multiLevelType w:val="hybridMultilevel"/>
    <w:lvl w:ilvl="0">
      <w:lvlJc w:val="left"/>
      <w:lvlText w:val="(%1)"/>
      <w:numFmt w:val="decimal"/>
      <w:start w:val="5"/>
    </w:lvl>
  </w:abstractNum>
  <w:abstractNum w:abstractNumId="20">
    <w:nsid w:val="310C50B3"/>
    <w:multiLevelType w:val="hybridMultilevel"/>
    <w:lvl w:ilvl="0">
      <w:lvlJc w:val="left"/>
      <w:lvlText w:val="(%1)"/>
      <w:numFmt w:val="decimal"/>
      <w:start w:val="1"/>
    </w:lvl>
  </w:abstractNum>
  <w:abstractNum w:abstractNumId="21">
    <w:nsid w:val="5FF87E05"/>
    <w:multiLevelType w:val="hybridMultilevel"/>
    <w:lvl w:ilvl="0">
      <w:lvlJc w:val="left"/>
      <w:lvlText w:val="(%1)"/>
      <w:numFmt w:val="decimal"/>
      <w:start w:val="5"/>
    </w:lvl>
  </w:abstractNum>
  <w:abstractNum w:abstractNumId="22">
    <w:nsid w:val="2F305DEF"/>
    <w:multiLevelType w:val="hybridMultilevel"/>
    <w:lvl w:ilvl="0">
      <w:lvlJc w:val="left"/>
      <w:lvlText w:val="(%1)"/>
      <w:numFmt w:val="decimal"/>
      <w:start w:val="6"/>
    </w:lvl>
  </w:abstractNum>
  <w:abstractNum w:abstractNumId="23">
    <w:nsid w:val="25A70BF7"/>
    <w:multiLevelType w:val="hybridMultilevel"/>
    <w:lvl w:ilvl="0">
      <w:lvlJc w:val="left"/>
      <w:lvlText w:val="(%1)"/>
      <w:numFmt w:val="decimal"/>
      <w:start w:val="1"/>
    </w:lvl>
  </w:abstractNum>
  <w:abstractNum w:abstractNumId="24">
    <w:nsid w:val="1DBABF00"/>
    <w:multiLevelType w:val="hybridMultilevel"/>
    <w:lvl w:ilvl="0">
      <w:lvlJc w:val="left"/>
      <w:lvlText w:val="(%1)"/>
      <w:numFmt w:val="lowerRoman"/>
      <w:start w:val="1"/>
    </w:lvl>
  </w:abstractNum>
  <w:abstractNum w:abstractNumId="25">
    <w:nsid w:val="4AD084E9"/>
    <w:multiLevelType w:val="hybridMultilevel"/>
    <w:lvl w:ilvl="0">
      <w:lvlJc w:val="left"/>
      <w:lvlText w:val="•"/>
      <w:numFmt w:val="bullet"/>
      <w:start w:val="1"/>
    </w:lvl>
  </w:abstractNum>
  <w:abstractNum w:abstractNumId="26">
    <w:nsid w:val="1F48EAA1"/>
    <w:multiLevelType w:val="hybridMultilevel"/>
    <w:lvl w:ilvl="0">
      <w:lvlJc w:val="left"/>
      <w:lvlText w:val="(%1)"/>
      <w:numFmt w:val="decimal"/>
      <w:start w:val="1"/>
    </w:lvl>
  </w:abstractNum>
  <w:abstractNum w:abstractNumId="27">
    <w:nsid w:val="1381823A"/>
    <w:multiLevelType w:val="hybridMultilevel"/>
    <w:lvl w:ilvl="0">
      <w:lvlJc w:val="left"/>
      <w:lvlText w:val="$"/>
      <w:numFmt w:val="bullet"/>
      <w:start w:val="1"/>
    </w:lvl>
  </w:abstractNum>
  <w:abstractNum w:abstractNumId="28">
    <w:nsid w:val="5DB70AE5"/>
    <w:multiLevelType w:val="hybridMultilevel"/>
    <w:lvl w:ilvl="0">
      <w:lvlJc w:val="left"/>
      <w:lvlText w:val="$"/>
      <w:numFmt w:val="bullet"/>
      <w:start w:val="1"/>
    </w:lvl>
  </w:abstractNum>
  <w:abstractNum w:abstractNumId="29">
    <w:nsid w:val="100F8FCA"/>
    <w:multiLevelType w:val="hybridMultilevel"/>
    <w:lvl w:ilvl="0">
      <w:lvlJc w:val="left"/>
      <w:lvlText w:val="$"/>
      <w:numFmt w:val="bullet"/>
      <w:start w:val="1"/>
    </w:lvl>
  </w:abstractNum>
  <w:abstractNum w:abstractNumId="30">
    <w:nsid w:val="6590700B"/>
    <w:multiLevelType w:val="hybridMultilevel"/>
    <w:lvl w:ilvl="0">
      <w:lvlJc w:val="left"/>
      <w:lvlText w:val="$"/>
      <w:numFmt w:val="bullet"/>
      <w:start w:val="1"/>
    </w:lvl>
  </w:abstractNum>
  <w:abstractNum w:abstractNumId="31">
    <w:nsid w:val="15014ACB"/>
    <w:multiLevelType w:val="hybridMultilevel"/>
    <w:lvl w:ilvl="0">
      <w:lvlJc w:val="left"/>
      <w:lvlText w:val="$"/>
      <w:numFmt w:val="bullet"/>
      <w:start w:val="1"/>
    </w:lvl>
  </w:abstractNum>
  <w:abstractNum w:abstractNumId="32">
    <w:nsid w:val="5F5E7FD0"/>
    <w:multiLevelType w:val="hybridMultilevel"/>
    <w:lvl w:ilvl="0">
      <w:lvlJc w:val="left"/>
      <w:lvlText w:val="$"/>
      <w:numFmt w:val="bullet"/>
      <w:start w:val="1"/>
    </w:lvl>
  </w:abstractNum>
  <w:abstractNum w:abstractNumId="33">
    <w:nsid w:val="98A3148"/>
    <w:multiLevelType w:val="hybridMultilevel"/>
    <w:lvl w:ilvl="0">
      <w:lvlJc w:val="left"/>
      <w:lvlText w:val="•"/>
      <w:numFmt w:val="bullet"/>
      <w:start w:val="1"/>
    </w:lvl>
  </w:abstractNum>
  <w:abstractNum w:abstractNumId="34">
    <w:nsid w:val="799D0247"/>
    <w:multiLevelType w:val="hybridMultilevel"/>
    <w:lvl w:ilvl="0">
      <w:lvlJc w:val="left"/>
      <w:lvlText w:val="•"/>
      <w:numFmt w:val="bullet"/>
      <w:start w:val="1"/>
    </w:lvl>
  </w:abstractNum>
  <w:abstractNum w:abstractNumId="35">
    <w:nsid w:val="6B94764"/>
    <w:multiLevelType w:val="hybridMultilevel"/>
    <w:lvl w:ilvl="0">
      <w:lvlJc w:val="left"/>
      <w:lvlText w:val="(%1)"/>
      <w:numFmt w:val="lowerLetter"/>
      <w:start w:val="1"/>
    </w:lvl>
  </w:abstractNum>
  <w:abstractNum w:abstractNumId="36">
    <w:nsid w:val="42C296BD"/>
    <w:multiLevelType w:val="hybridMultilevel"/>
    <w:lvl w:ilvl="0">
      <w:lvlJc w:val="left"/>
      <w:lvlText w:val="(%1)"/>
      <w:numFmt w:val="lowerRoman"/>
      <w:start w:val="1"/>
    </w:lvl>
  </w:abstractNum>
  <w:abstractNum w:abstractNumId="37">
    <w:nsid w:val="168E121F"/>
    <w:multiLevelType w:val="hybridMultilevel"/>
    <w:lvl w:ilvl="0">
      <w:lvlJc w:val="left"/>
      <w:lvlText w:val="(%1)"/>
      <w:numFmt w:val="lowerRoman"/>
      <w:start w:val="1"/>
    </w:lvl>
  </w:abstractNum>
  <w:abstractNum w:abstractNumId="38">
    <w:nsid w:val="1EBA5D23"/>
    <w:multiLevelType w:val="hybridMultilevel"/>
    <w:lvl w:ilvl="0">
      <w:lvlJc w:val="left"/>
      <w:lvlText w:val="(%1)"/>
      <w:numFmt w:val="lowerRoman"/>
      <w:start w:val="1"/>
    </w:lvl>
  </w:abstractNum>
  <w:abstractNum w:abstractNumId="39">
    <w:nsid w:val="661E3F1E"/>
    <w:multiLevelType w:val="hybridMultilevel"/>
    <w:lvl w:ilvl="0">
      <w:lvlJc w:val="left"/>
      <w:lvlText w:val="(%1)"/>
      <w:numFmt w:val="lowerRoman"/>
      <w:start w:val="1"/>
    </w:lvl>
  </w:abstractNum>
  <w:abstractNum w:abstractNumId="40">
    <w:nsid w:val="5DC79EA8"/>
    <w:multiLevelType w:val="hybridMultilevel"/>
    <w:lvl w:ilvl="0">
      <w:lvlJc w:val="left"/>
      <w:lvlText w:val="(%1)"/>
      <w:numFmt w:val="decimal"/>
      <w:start w:val="1"/>
    </w:lvl>
  </w:abstractNum>
  <w:abstractNum w:abstractNumId="41">
    <w:nsid w:val="540A471C"/>
    <w:multiLevelType w:val="hybridMultilevel"/>
    <w:lvl w:ilvl="0">
      <w:lvlJc w:val="left"/>
      <w:lvlText w:val="(%1)"/>
      <w:numFmt w:val="decimal"/>
      <w:start w:val="1"/>
    </w:lvl>
  </w:abstractNum>
  <w:abstractNum w:abstractNumId="42">
    <w:nsid w:val="7BD3EE7B"/>
    <w:multiLevelType w:val="hybridMultilevel"/>
    <w:lvl w:ilvl="0">
      <w:lvlJc w:val="left"/>
      <w:lvlText w:val="(%1)"/>
      <w:numFmt w:val="decimal"/>
      <w:start w:val="1"/>
    </w:lvl>
  </w:abstractNum>
  <w:abstractNum w:abstractNumId="43">
    <w:nsid w:val="51D9C564"/>
    <w:multiLevelType w:val="hybridMultilevel"/>
    <w:lvl w:ilvl="0">
      <w:lvlJc w:val="left"/>
      <w:lvlText w:val="(%1)"/>
      <w:numFmt w:val="decimal"/>
      <w:start w:val="1"/>
    </w:lvl>
  </w:abstractNum>
  <w:abstractNum w:abstractNumId="44">
    <w:nsid w:val="613EFDC5"/>
    <w:multiLevelType w:val="hybridMultilevel"/>
    <w:lvl w:ilvl="0">
      <w:lvlJc w:val="left"/>
      <w:lvlText w:val="•"/>
      <w:numFmt w:val="bullet"/>
      <w:start w:val="1"/>
    </w:lvl>
  </w:abstractNum>
  <w:abstractNum w:abstractNumId="45">
    <w:nsid w:val="BF72B14"/>
    <w:multiLevelType w:val="hybridMultilevel"/>
    <w:lvl w:ilvl="0">
      <w:lvlJc w:val="left"/>
      <w:lvlText w:val="(%1)"/>
      <w:numFmt w:val="decimal"/>
      <w:start w:val="1"/>
    </w:lvl>
  </w:abstractNum>
  <w:abstractNum w:abstractNumId="46">
    <w:nsid w:val="11447B73"/>
    <w:multiLevelType w:val="hybridMultilevel"/>
    <w:lvl w:ilvl="0">
      <w:lvlJc w:val="left"/>
      <w:lvlText w:val="•"/>
      <w:numFmt w:val="bullet"/>
      <w:start w:val="1"/>
    </w:lvl>
  </w:abstractNum>
  <w:abstractNum w:abstractNumId="47">
    <w:nsid w:val="42963E5A"/>
    <w:multiLevelType w:val="hybridMultilevel"/>
    <w:lvl w:ilvl="0">
      <w:lvlJc w:val="left"/>
      <w:lvlText w:val="(%1)"/>
      <w:numFmt w:val="decimal"/>
      <w:start w:val="1"/>
    </w:lvl>
  </w:abstractNum>
  <w:abstractNum w:abstractNumId="48">
    <w:nsid w:val="A0382C5"/>
    <w:multiLevelType w:val="hybridMultilevel"/>
    <w:lvl w:ilvl="0">
      <w:lvlJc w:val="left"/>
      <w:lvlText w:val="(%1)"/>
      <w:numFmt w:val="decimal"/>
      <w:start w:val="1"/>
    </w:lvl>
  </w:abstractNum>
  <w:abstractNum w:abstractNumId="49">
    <w:nsid w:val="8F2B15E"/>
    <w:multiLevelType w:val="hybridMultilevel"/>
    <w:lvl w:ilvl="0">
      <w:lvlJc w:val="left"/>
      <w:lvlText w:val="•"/>
      <w:numFmt w:val="bullet"/>
      <w:start w:val="1"/>
    </w:lvl>
  </w:abstractNum>
  <w:abstractNum w:abstractNumId="50">
    <w:nsid w:val="1A32234B"/>
    <w:multiLevelType w:val="hybridMultilevel"/>
    <w:lvl w:ilvl="0">
      <w:lvlJc w:val="left"/>
      <w:lvlText w:val="(%1)"/>
      <w:numFmt w:val="decimal"/>
      <w:start w:val="1"/>
    </w:lvl>
  </w:abstractNum>
  <w:abstractNum w:abstractNumId="51">
    <w:nsid w:val="3B0FD379"/>
    <w:multiLevelType w:val="hybridMultilevel"/>
    <w:lvl w:ilvl="0">
      <w:lvlJc w:val="left"/>
      <w:lvlText w:val="(%1)"/>
      <w:numFmt w:val="decimal"/>
      <w:start w:val="1"/>
    </w:lvl>
  </w:abstractNum>
  <w:abstractNum w:abstractNumId="52">
    <w:nsid w:val="68EB2F63"/>
    <w:multiLevelType w:val="hybridMultilevel"/>
    <w:lvl w:ilvl="0">
      <w:lvlJc w:val="left"/>
      <w:lvlText w:val="(%1)"/>
      <w:numFmt w:val="decimal"/>
      <w:start w:val="1"/>
    </w:lvl>
  </w:abstractNum>
  <w:abstractNum w:abstractNumId="53">
    <w:nsid w:val="4962813B"/>
    <w:multiLevelType w:val="hybridMultilevel"/>
    <w:lvl w:ilvl="0">
      <w:lvlJc w:val="left"/>
      <w:lvlText w:val="(%1)"/>
      <w:numFmt w:val="decimal"/>
      <w:start w:val="1"/>
    </w:lvl>
  </w:abstractNum>
  <w:abstractNum w:abstractNumId="54">
    <w:nsid w:val="60B6DF70"/>
    <w:multiLevelType w:val="hybridMultilevel"/>
    <w:lvl w:ilvl="0">
      <w:lvlJc w:val="left"/>
      <w:lvlText w:val="•"/>
      <w:numFmt w:val="bullet"/>
      <w:start w:val="1"/>
    </w:lvl>
  </w:abstractNum>
  <w:abstractNum w:abstractNumId="55">
    <w:nsid w:val="6A5EE64"/>
    <w:multiLevelType w:val="hybridMultilevel"/>
    <w:lvl w:ilvl="0">
      <w:lvlJc w:val="left"/>
      <w:lvlText w:val="•"/>
      <w:numFmt w:val="bullet"/>
      <w:start w:val="1"/>
    </w:lvl>
  </w:abstractNum>
  <w:abstractNum w:abstractNumId="56">
    <w:nsid w:val="14330624"/>
    <w:multiLevelType w:val="hybridMultilevel"/>
    <w:lvl w:ilvl="0">
      <w:lvlJc w:val="left"/>
      <w:lvlText w:val="•"/>
      <w:numFmt w:val="bullet"/>
      <w:start w:val="1"/>
    </w:lvl>
  </w:abstractNum>
  <w:abstractNum w:abstractNumId="57">
    <w:nsid w:val="7FFFCA11"/>
    <w:multiLevelType w:val="hybridMultilevel"/>
    <w:lvl w:ilvl="0">
      <w:lvlJc w:val="left"/>
      <w:lvlText w:val="•"/>
      <w:numFmt w:val="bullet"/>
      <w:start w:val="1"/>
    </w:lvl>
  </w:abstractNum>
  <w:abstractNum w:abstractNumId="58">
    <w:nsid w:val="1A27709E"/>
    <w:multiLevelType w:val="hybridMultilevel"/>
    <w:lvl w:ilvl="0">
      <w:lvlJc w:val="left"/>
      <w:lvlText w:val="•"/>
      <w:numFmt w:val="bullet"/>
      <w:start w:val="1"/>
    </w:lvl>
  </w:abstractNum>
  <w:abstractNum w:abstractNumId="59">
    <w:nsid w:val="71EA1109"/>
    <w:multiLevelType w:val="hybridMultilevel"/>
    <w:lvl w:ilvl="0">
      <w:lvlJc w:val="left"/>
      <w:lvlText w:val="•"/>
      <w:numFmt w:val="bullet"/>
      <w:start w:val="1"/>
    </w:lvl>
  </w:abstractNum>
  <w:abstractNum w:abstractNumId="60">
    <w:nsid w:val="100F59DC"/>
    <w:multiLevelType w:val="hybridMultilevel"/>
    <w:lvl w:ilvl="0">
      <w:lvlJc w:val="left"/>
      <w:lvlText w:val="•"/>
      <w:numFmt w:val="bullet"/>
      <w:start w:val="1"/>
    </w:lvl>
  </w:abstractNum>
  <w:abstractNum w:abstractNumId="61">
    <w:nsid w:val="7FB7E0AA"/>
    <w:multiLevelType w:val="hybridMultilevel"/>
    <w:lvl w:ilvl="0">
      <w:lvlJc w:val="left"/>
      <w:lvlText w:val="•"/>
      <w:numFmt w:val="bullet"/>
      <w:start w:val="1"/>
    </w:lvl>
  </w:abstractNum>
  <w:abstractNum w:abstractNumId="62">
    <w:nsid w:val="6EB5BD4"/>
    <w:multiLevelType w:val="hybridMultilevel"/>
    <w:lvl w:ilvl="0">
      <w:lvlJc w:val="left"/>
      <w:lvlText w:val="•"/>
      <w:numFmt w:val="bullet"/>
      <w:start w:val="1"/>
    </w:lvl>
  </w:abstractNum>
  <w:abstractNum w:abstractNumId="63">
    <w:nsid w:val="6F6DD9AC"/>
    <w:multiLevelType w:val="hybridMultilevel"/>
    <w:lvl w:ilvl="0">
      <w:lvlJc w:val="left"/>
      <w:lvlText w:val="(%1)"/>
      <w:numFmt w:val="decimal"/>
      <w:start w:val="1"/>
    </w:lvl>
  </w:abstractNum>
  <w:abstractNum w:abstractNumId="64">
    <w:nsid w:val="94211F2"/>
    <w:multiLevelType w:val="hybridMultilevel"/>
    <w:lvl w:ilvl="0">
      <w:lvlJc w:val="left"/>
      <w:lvlText w:val="(%1)"/>
      <w:numFmt w:val="decimal"/>
      <w:start w:val="1"/>
    </w:lvl>
  </w:abstractNum>
  <w:abstractNum w:abstractNumId="65">
    <w:nsid w:val="885E1B"/>
    <w:multiLevelType w:val="hybridMultilevel"/>
    <w:lvl w:ilvl="0">
      <w:lvlJc w:val="left"/>
      <w:lvlText w:val="•"/>
      <w:numFmt w:val="bullet"/>
      <w:start w:val="1"/>
    </w:lvl>
  </w:abstractNum>
  <w:abstractNum w:abstractNumId="66">
    <w:nsid w:val="76272110"/>
    <w:multiLevelType w:val="hybridMultilevel"/>
    <w:lvl w:ilvl="0">
      <w:lvlJc w:val="left"/>
      <w:lvlText w:val="•"/>
      <w:numFmt w:val="bullet"/>
      <w:start w:val="1"/>
    </w:lvl>
  </w:abstractNum>
  <w:abstractNum w:abstractNumId="67">
    <w:nsid w:val="4C04A8AF"/>
    <w:multiLevelType w:val="hybridMultilevel"/>
    <w:lvl w:ilvl="0">
      <w:lvlJc w:val="left"/>
      <w:lvlText w:val="•"/>
      <w:numFmt w:val="bullet"/>
      <w:start w:val="1"/>
    </w:lvl>
  </w:abstractNum>
  <w:abstractNum w:abstractNumId="68">
    <w:nsid w:val="1716703B"/>
    <w:multiLevelType w:val="hybridMultilevel"/>
    <w:lvl w:ilvl="0">
      <w:lvlJc w:val="left"/>
      <w:lvlText w:val="•"/>
      <w:numFmt w:val="bullet"/>
      <w:start w:val="1"/>
    </w:lvl>
  </w:abstractNum>
  <w:abstractNum w:abstractNumId="69">
    <w:nsid w:val="14E17E33"/>
    <w:multiLevelType w:val="hybridMultilevel"/>
    <w:lvl w:ilvl="0">
      <w:lvlJc w:val="left"/>
      <w:lvlText w:val="(%1)"/>
      <w:numFmt w:val="lowerLetter"/>
      <w:start w:val="1"/>
    </w:lvl>
  </w:abstractNum>
  <w:abstractNum w:abstractNumId="70">
    <w:nsid w:val="3222E7CD"/>
    <w:multiLevelType w:val="hybridMultilevel"/>
    <w:lvl w:ilvl="0">
      <w:lvlJc w:val="left"/>
      <w:lvlText w:val="(%1)"/>
      <w:numFmt w:val="lowerLetter"/>
      <w:start w:val="1"/>
    </w:lvl>
  </w:abstractNum>
  <w:abstractNum w:abstractNumId="71">
    <w:nsid w:val="74DE0EE3"/>
    <w:multiLevelType w:val="hybridMultilevel"/>
    <w:lvl w:ilvl="0">
      <w:lvlJc w:val="left"/>
      <w:lvlText w:val="(%1)"/>
      <w:numFmt w:val="lowerLetter"/>
      <w:start w:val="2"/>
    </w:lvl>
  </w:abstractNum>
  <w:abstractNum w:abstractNumId="72">
    <w:nsid w:val="68EBC550"/>
    <w:multiLevelType w:val="hybridMultilevel"/>
    <w:lvl w:ilvl="0">
      <w:lvlJc w:val="left"/>
      <w:lvlText w:val="•"/>
      <w:numFmt w:val="bullet"/>
      <w:start w:val="1"/>
    </w:lvl>
  </w:abstractNum>
  <w:abstractNum w:abstractNumId="73">
    <w:nsid w:val="2DF6D648"/>
    <w:multiLevelType w:val="hybridMultilevel"/>
    <w:lvl w:ilvl="0">
      <w:lvlJc w:val="left"/>
      <w:lvlText w:val="•"/>
      <w:numFmt w:val="bullet"/>
      <w:start w:val="1"/>
    </w:lvl>
  </w:abstractNum>
  <w:abstractNum w:abstractNumId="74">
    <w:nsid w:val="46B7D447"/>
    <w:multiLevelType w:val="hybridMultilevel"/>
    <w:lvl w:ilvl="0">
      <w:lvlJc w:val="left"/>
      <w:lvlText w:val="(%1)"/>
      <w:numFmt w:val="lowerLetter"/>
      <w:start w:val="1"/>
    </w:lvl>
  </w:abstractNum>
  <w:abstractNum w:abstractNumId="75">
    <w:nsid w:val="4A2AC315"/>
    <w:multiLevelType w:val="hybridMultilevel"/>
    <w:lvl w:ilvl="0">
      <w:lvlJc w:val="left"/>
      <w:lvlText w:val="•"/>
      <w:numFmt w:val="bullet"/>
      <w:start w:val="1"/>
    </w:lvl>
  </w:abstractNum>
  <w:abstractNum w:abstractNumId="76">
    <w:nsid w:val="39EE015C"/>
    <w:multiLevelType w:val="hybridMultilevel"/>
    <w:lvl w:ilvl="0">
      <w:lvlJc w:val="left"/>
      <w:lvlText w:val="(%1)"/>
      <w:numFmt w:val="decimal"/>
      <w:start w:val="4"/>
    </w:lvl>
  </w:abstractNum>
  <w:abstractNum w:abstractNumId="77">
    <w:nsid w:val="57FC4FBB"/>
    <w:multiLevelType w:val="hybridMultilevel"/>
    <w:lvl w:ilvl="0">
      <w:lvlJc w:val="left"/>
      <w:lvlText w:val="(%1)"/>
      <w:numFmt w:val="lowerRoman"/>
      <w:start w:val="1"/>
    </w:lvl>
  </w:abstractNum>
  <w:abstractNum w:abstractNumId="78">
    <w:nsid w:val="CC1016F"/>
    <w:multiLevelType w:val="hybridMultilevel"/>
    <w:lvl w:ilvl="0">
      <w:lvlJc w:val="left"/>
      <w:lvlText w:val="(%1)"/>
      <w:numFmt w:val="lowerRoman"/>
      <w:start w:val="1"/>
    </w:lvl>
  </w:abstractNum>
  <w:abstractNum w:abstractNumId="79">
    <w:nsid w:val="43F18422"/>
    <w:multiLevelType w:val="hybridMultilevel"/>
    <w:lvl w:ilvl="0">
      <w:lvlJc w:val="left"/>
      <w:lvlText w:val="(%1)"/>
      <w:numFmt w:val="lowerRoman"/>
      <w:start w:val="1"/>
    </w:lvl>
  </w:abstractNum>
  <w:abstractNum w:abstractNumId="80">
    <w:nsid w:val="60EF0119"/>
    <w:multiLevelType w:val="hybridMultilevel"/>
    <w:lvl w:ilvl="0">
      <w:lvlJc w:val="left"/>
      <w:lvlText w:val="(%1)"/>
      <w:numFmt w:val="lowerRoman"/>
      <w:start w:val="1"/>
    </w:lvl>
  </w:abstractNum>
  <w:abstractNum w:abstractNumId="81">
    <w:nsid w:val="26F324BA"/>
    <w:multiLevelType w:val="hybridMultilevel"/>
    <w:lvl w:ilvl="0">
      <w:lvlJc w:val="left"/>
      <w:lvlText w:val="%1."/>
      <w:numFmt w:val="decimal"/>
      <w:start w:val="1"/>
    </w:lvl>
  </w:abstractNum>
  <w:abstractNum w:abstractNumId="82">
    <w:nsid w:val="7F01579B"/>
    <w:multiLevelType w:val="hybridMultilevel"/>
    <w:lvl w:ilvl="0">
      <w:lvlJc w:val="left"/>
      <w:lvlText w:val="%1."/>
      <w:numFmt w:val="decimal"/>
      <w:start w:val="2"/>
    </w:lvl>
  </w:abstractNum>
  <w:abstractNum w:abstractNumId="83">
    <w:nsid w:val="49DA307D"/>
    <w:multiLevelType w:val="hybridMultilevel"/>
    <w:lvl w:ilvl="0">
      <w:lvlJc w:val="left"/>
      <w:lvlText w:val="%1"/>
      <w:numFmt w:val="decimal"/>
      <w:start w:val="1"/>
    </w:lvl>
    <w:lvl w:ilvl="1">
      <w:lvlJc w:val="left"/>
      <w:lvlText w:val="(%2)"/>
      <w:numFmt w:val="lowerRoman"/>
      <w:start w:val="1"/>
    </w:lvl>
  </w:abstractNum>
  <w:abstractNum w:abstractNumId="84">
    <w:nsid w:val="7055A5F5"/>
    <w:multiLevelType w:val="hybridMultilevel"/>
    <w:lvl w:ilvl="0">
      <w:lvlJc w:val="left"/>
      <w:lvlText w:val="%1."/>
      <w:numFmt w:val="decimal"/>
      <w:start w:val="3"/>
    </w:lvl>
    <w:lvl w:ilvl="1">
      <w:lvlJc w:val="left"/>
      <w:lvlText w:val="%2"/>
      <w:numFmt w:val="lowerRoman"/>
      <w:start w:val="1"/>
    </w:lvl>
  </w:abstractNum>
  <w:abstractNum w:abstractNumId="85">
    <w:nsid w:val="5FB8370B"/>
    <w:multiLevelType w:val="hybridMultilevel"/>
    <w:lvl w:ilvl="0">
      <w:lvlJc w:val="left"/>
      <w:lvlText w:val="%1."/>
      <w:numFmt w:val="decimal"/>
      <w:start w:val="3"/>
    </w:lvl>
  </w:abstractNum>
  <w:abstractNum w:abstractNumId="86">
    <w:nsid w:val="50801EE1"/>
    <w:multiLevelType w:val="hybridMultilevel"/>
    <w:lvl w:ilvl="0">
      <w:lvlJc w:val="left"/>
      <w:lvlText w:val="%1."/>
      <w:numFmt w:val="decimal"/>
      <w:start w:val="4"/>
    </w:lvl>
  </w:abstractNum>
  <w:abstractNum w:abstractNumId="87">
    <w:nsid w:val="488AC1A"/>
    <w:multiLevelType w:val="hybridMultilevel"/>
    <w:lvl w:ilvl="0">
      <w:lvlJc w:val="left"/>
      <w:lvlText w:val="(%1)"/>
      <w:numFmt w:val="lowerLetter"/>
      <w:start w:val="1"/>
    </w:lvl>
  </w:abstractNum>
  <w:abstractNum w:abstractNumId="88">
    <w:nsid w:val="5FB8011C"/>
    <w:multiLevelType w:val="hybridMultilevel"/>
    <w:lvl w:ilvl="0">
      <w:lvlJc w:val="left"/>
      <w:lvlText w:val="(%1)"/>
      <w:numFmt w:val="lowerLetter"/>
      <w:start w:val="2"/>
    </w:lvl>
  </w:abstractNum>
  <w:abstractNum w:abstractNumId="89">
    <w:nsid w:val="6AA78F7F"/>
    <w:multiLevelType w:val="hybridMultilevel"/>
    <w:lvl w:ilvl="0">
      <w:lvlJc w:val="left"/>
      <w:lvlText w:val="(%1)"/>
      <w:numFmt w:val="lowerRoman"/>
      <w:start w:val="1"/>
    </w:lvl>
  </w:abstractNum>
  <w:abstractNum w:abstractNumId="90">
    <w:nsid w:val="7672BD23"/>
    <w:multiLevelType w:val="hybridMultilevel"/>
    <w:lvl w:ilvl="0">
      <w:lvlJc w:val="left"/>
      <w:lvlText w:val="%1."/>
      <w:numFmt w:val="decimal"/>
      <w:start w:val="5"/>
    </w:lvl>
  </w:abstractNum>
  <w:abstractNum w:abstractNumId="91">
    <w:nsid w:val="6FC75AF8"/>
    <w:multiLevelType w:val="hybridMultilevel"/>
    <w:lvl w:ilvl="0">
      <w:lvlJc w:val="left"/>
      <w:lvlText w:val="%1."/>
      <w:numFmt w:val="decimal"/>
      <w:start w:val="6"/>
    </w:lvl>
    <w:lvl w:ilvl="1">
      <w:lvlJc w:val="left"/>
      <w:lvlText w:val="(%2)"/>
      <w:numFmt w:val="lowerLetter"/>
      <w:start w:val="1"/>
    </w:lvl>
  </w:abstractNum>
  <w:abstractNum w:abstractNumId="92">
    <w:nsid w:val="6A5F7029"/>
    <w:multiLevelType w:val="hybridMultilevel"/>
    <w:lvl w:ilvl="0">
      <w:lvlJc w:val="left"/>
      <w:lvlText w:val="%1."/>
      <w:numFmt w:val="decimal"/>
      <w:start w:val="6"/>
    </w:lvl>
  </w:abstractNum>
  <w:abstractNum w:abstractNumId="93">
    <w:nsid w:val="7D5E18F8"/>
    <w:multiLevelType w:val="hybridMultilevel"/>
    <w:lvl w:ilvl="0">
      <w:lvlJc w:val="left"/>
      <w:lvlText w:val="(%1)"/>
      <w:numFmt w:val="lowerLetter"/>
      <w:start w:val="6"/>
    </w:lvl>
  </w:abstractNum>
  <w:abstractNum w:abstractNumId="94">
    <w:nsid w:val="5F3534A4"/>
    <w:multiLevelType w:val="hybridMultilevel"/>
    <w:lvl w:ilvl="0">
      <w:lvlJc w:val="left"/>
      <w:lvlText w:val="%1."/>
      <w:numFmt w:val="decimal"/>
      <w:start w:val="7"/>
    </w:lvl>
    <w:lvl w:ilvl="1">
      <w:lvlJc w:val="left"/>
      <w:lvlText w:val="(%2)"/>
      <w:numFmt w:val="lowerLetter"/>
      <w:start w:val="1"/>
    </w:lvl>
  </w:abstractNum>
  <w:abstractNum w:abstractNumId="95">
    <w:nsid w:val="73A1821B"/>
    <w:multiLevelType w:val="hybridMultilevel"/>
    <w:lvl w:ilvl="0">
      <w:lvlJc w:val="left"/>
      <w:lvlText w:val="%1."/>
      <w:numFmt w:val="decimal"/>
      <w:start w:val="7"/>
    </w:lvl>
  </w:abstractNum>
  <w:abstractNum w:abstractNumId="96">
    <w:nsid w:val="7DE67713"/>
    <w:multiLevelType w:val="hybridMultilevel"/>
    <w:lvl w:ilvl="0">
      <w:lvlJc w:val="left"/>
      <w:lvlText w:val="%1."/>
      <w:numFmt w:val="decimal"/>
      <w:start w:val="7"/>
    </w:lvl>
  </w:abstractNum>
  <w:abstractNum w:abstractNumId="97">
    <w:nsid w:val="555C55B5"/>
    <w:multiLevelType w:val="hybridMultilevel"/>
    <w:lvl w:ilvl="0">
      <w:lvlJc w:val="left"/>
      <w:lvlText w:val="(%1)"/>
      <w:numFmt w:val="lowerLetter"/>
      <w:start w:val="2"/>
    </w:lvl>
  </w:abstractNum>
  <w:abstractNum w:abstractNumId="98">
    <w:nsid w:val="3FA62ACA"/>
    <w:multiLevelType w:val="hybridMultilevel"/>
    <w:lvl w:ilvl="0">
      <w:lvlJc w:val="left"/>
      <w:lvlText w:val="%1."/>
      <w:numFmt w:val="decimal"/>
      <w:start w:val="8"/>
    </w:lvl>
  </w:abstractNum>
  <w:abstractNum w:abstractNumId="99">
    <w:nsid w:val="14FCE74E"/>
    <w:multiLevelType w:val="hybridMultilevel"/>
    <w:lvl w:ilvl="0">
      <w:lvlJc w:val="left"/>
      <w:lvlText w:val="%1."/>
      <w:numFmt w:val="decimal"/>
      <w:start w:val="9"/>
    </w:lvl>
  </w:abstractNum>
  <w:abstractNum w:abstractNumId="100">
    <w:nsid w:val="6A3DD3E8"/>
    <w:multiLevelType w:val="hybridMultilevel"/>
    <w:lvl w:ilvl="0">
      <w:lvlJc w:val="left"/>
      <w:lvlText w:val="%1."/>
      <w:numFmt w:val="decimal"/>
      <w:start w:val="9"/>
    </w:lvl>
  </w:abstractNum>
  <w:abstractNum w:abstractNumId="101">
    <w:nsid w:val="71C91298"/>
    <w:multiLevelType w:val="hybridMultilevel"/>
    <w:lvl w:ilvl="0">
      <w:lvlJc w:val="left"/>
      <w:lvlText w:val="%1."/>
      <w:numFmt w:val="decimal"/>
      <w:start w:val="13"/>
    </w:lvl>
    <w:lvl w:ilvl="1">
      <w:lvlJc w:val="left"/>
      <w:lvlText w:val="(%2)"/>
      <w:numFmt w:val="lowerLetter"/>
      <w:start w:val="1"/>
    </w:lvl>
  </w:abstractNum>
  <w:abstractNum w:abstractNumId="102">
    <w:nsid w:val="9DAF632"/>
    <w:multiLevelType w:val="hybridMultilevel"/>
    <w:lvl w:ilvl="0">
      <w:lvlJc w:val="left"/>
      <w:lvlText w:val="%1."/>
      <w:numFmt w:val="decimal"/>
      <w:start w:val="13"/>
    </w:lvl>
    <w:lvl w:ilvl="1">
      <w:lvlJc w:val="left"/>
      <w:lvlText w:val="(%2)"/>
      <w:numFmt w:val="lowerLetter"/>
      <w:start w:val="2"/>
    </w:lvl>
  </w:abstractNum>
  <w:abstractNum w:abstractNumId="103">
    <w:nsid w:val="53299938"/>
    <w:multiLevelType w:val="hybridMultilevel"/>
    <w:lvl w:ilvl="0">
      <w:lvlJc w:val="left"/>
      <w:lvlText w:val="(%1)"/>
      <w:numFmt w:val="decimal"/>
      <w:start w:val="1"/>
    </w:lvl>
  </w:abstractNum>
  <w:abstractNum w:abstractNumId="104">
    <w:nsid w:val="1FBFE8E0"/>
    <w:multiLevelType w:val="hybridMultilevel"/>
    <w:lvl w:ilvl="0">
      <w:lvlJc w:val="left"/>
      <w:lvlText w:val="*"/>
      <w:numFmt w:val="bullet"/>
      <w:start w:val="1"/>
    </w:lvl>
    <w:lvl w:ilvl="1">
      <w:lvlJc w:val="left"/>
      <w:lvlText w:val="%2"/>
      <w:numFmt w:val="decimal"/>
      <w:start w:val="101"/>
    </w:lvl>
  </w:abstractNum>
  <w:abstractNum w:abstractNumId="105">
    <w:nsid w:val="5092CA79"/>
    <w:multiLevelType w:val="hybridMultilevel"/>
    <w:lvl w:ilvl="0">
      <w:lvlJc w:val="left"/>
      <w:lvlText w:val="**"/>
      <w:numFmt w:val="bullet"/>
      <w:start w:val="1"/>
    </w:lvl>
    <w:lvl w:ilvl="1">
      <w:lvlJc w:val="left"/>
      <w:lvlText w:val="%2"/>
      <w:numFmt w:val="decimal"/>
      <w:start w:val="1"/>
    </w:lvl>
  </w:abstractNum>
  <w:abstractNum w:abstractNumId="106">
    <w:nsid w:val="1D545C4D"/>
    <w:multiLevelType w:val="hybridMultilevel"/>
    <w:lvl w:ilvl="0">
      <w:lvlJc w:val="left"/>
      <w:lvlText w:val="***"/>
      <w:numFmt w:val="bullet"/>
      <w:start w:val="1"/>
    </w:lvl>
    <w:lvl w:ilvl="1">
      <w:lvlJc w:val="left"/>
      <w:lvlText w:val="%2"/>
      <w:numFmt w:val="decimal"/>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jpeg"/><Relationship Id="rId86" Type="http://schemas.openxmlformats.org/officeDocument/2006/relationships/image" Target="media/image79.png"/><Relationship Id="rId87" Type="http://schemas.openxmlformats.org/officeDocument/2006/relationships/image" Target="media/image80.jpeg"/><Relationship Id="rId88" Type="http://schemas.openxmlformats.org/officeDocument/2006/relationships/image" Target="media/image81.png"/><Relationship Id="rId89" Type="http://schemas.openxmlformats.org/officeDocument/2006/relationships/image" Target="media/image82.jpeg"/><Relationship Id="rId90" Type="http://schemas.openxmlformats.org/officeDocument/2006/relationships/image" Target="media/image83.png"/><Relationship Id="rId91" Type="http://schemas.openxmlformats.org/officeDocument/2006/relationships/image" Target="media/image84.jpe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jpe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jpe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jpeg"/><Relationship Id="rId105" Type="http://schemas.openxmlformats.org/officeDocument/2006/relationships/image" Target="media/image98.png"/><Relationship Id="rId106" Type="http://schemas.openxmlformats.org/officeDocument/2006/relationships/image" Target="media/image99.jpe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jpeg"/><Relationship Id="rId114" Type="http://schemas.openxmlformats.org/officeDocument/2006/relationships/image" Target="media/image107.png"/><Relationship Id="rId115" Type="http://schemas.openxmlformats.org/officeDocument/2006/relationships/image" Target="media/image108.jpe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jpe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jpe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jpe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jpe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jpe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jpe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jpeg"/><Relationship Id="rId301" Type="http://schemas.openxmlformats.org/officeDocument/2006/relationships/image" Target="media/image294.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2020-02-20T13:22:43Z</dcterms:created>
  <dcterms:modified xsi:type="dcterms:W3CDTF">2020-02-20T13:22:43Z</dcterms:modified>
</cp:coreProperties>
</file>