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bookmarkStart w:id="0" w:name="a2189970zf-x.htm"/>
      <w:bookmarkStart w:id="1" w:name="ksa2189970zfx"/>
      <w:bookmarkEnd w:id="0"/>
      <w:bookmarkEnd w:id="1"/>
      <w:r>
        <w:rPr/>
        <w:br/>
      </w:r>
      <w:hyperlink w:anchor="09ZAF79903_1">
        <w:r>
          <w:rPr>
            <w:rStyle w:val="InternetLink"/>
            <w:sz w:val="24"/>
          </w:rPr>
          <w:t>QuickLinks</w:t>
        </w:r>
      </w:hyperlink>
      <w:r>
        <w:rPr/>
        <w:t xml:space="preserve"> </w:t>
      </w:r>
      <w:r>
        <w:rPr>
          <w:sz w:val="24"/>
        </w:rPr>
        <w:t>-- Click here to rapidly navigate through this document</w:t>
      </w:r>
      <w:r>
        <w:rPr/>
        <w:t xml:space="preserve"> </w:t>
      </w:r>
    </w:p>
    <w:p>
      <w:pPr>
        <w:pStyle w:val="TextBody"/>
        <w:jc w:val="center"/>
        <w:rPr>
          <w:rFonts w:ascii="times" w:hAnsi="times"/>
        </w:rPr>
      </w:pPr>
      <w:bookmarkStart w:id="2" w:name="page_ba79903_1_1"/>
      <w:bookmarkEnd w:id="2"/>
      <w:r>
        <w:rPr>
          <w:rFonts w:ascii="times" w:hAnsi="times"/>
          <w:b/>
          <w:sz w:val="36"/>
        </w:rPr>
        <w:t>U.S. SECURITIES AND EXCHANGE COMMISSION</w:t>
        <w:br/>
      </w:r>
      <w:r>
        <w:rPr>
          <w:rFonts w:ascii="times" w:hAnsi="times"/>
          <w:b/>
          <w:sz w:val="20"/>
        </w:rPr>
        <w:t xml:space="preserve">WASHINGTON, D.C. 20549 </w:t>
      </w:r>
    </w:p>
    <w:p>
      <w:pPr>
        <w:pStyle w:val="TextBody"/>
        <w:jc w:val="center"/>
        <w:rPr>
          <w:rFonts w:ascii="times" w:hAnsi="times"/>
          <w:b/>
          <w:sz w:val="36"/>
        </w:rPr>
      </w:pPr>
      <w:r>
        <w:rPr>
          <w:rFonts w:ascii="times" w:hAnsi="times"/>
          <w:b/>
          <w:sz w:val="36"/>
        </w:rPr>
        <w:t xml:space="preserve">FORM F-X </w:t>
      </w:r>
    </w:p>
    <w:p>
      <w:pPr>
        <w:pStyle w:val="TextBody"/>
        <w:jc w:val="center"/>
        <w:rPr>
          <w:rFonts w:ascii="times" w:hAnsi="times"/>
          <w:b/>
          <w:sz w:val="24"/>
        </w:rPr>
      </w:pPr>
      <w:r>
        <w:rPr>
          <w:rFonts w:ascii="times" w:hAnsi="times"/>
          <w:b/>
          <w:sz w:val="24"/>
        </w:rPr>
        <w:t>APPOINTMENT OF AGENT FOR SERVICE OF PROCESS AND UNDERTAKING</w:t>
      </w:r>
    </w:p>
    <w:p>
      <w:pPr>
        <w:pStyle w:val="ListHeading"/>
        <w:spacing w:before="0" w:after="0"/>
        <w:rPr>
          <w:rFonts w:ascii="times" w:hAnsi="times"/>
          <w:sz w:val="20"/>
        </w:rPr>
      </w:pPr>
      <w:r>
        <w:rPr>
          <w:rFonts w:ascii="times" w:hAnsi="times"/>
          <w:sz w:val="20"/>
        </w:rPr>
        <w:t>A.</w:t>
      </w:r>
    </w:p>
    <w:p>
      <w:pPr>
        <w:pStyle w:val="ListContents"/>
        <w:spacing w:before="0" w:after="283"/>
        <w:rPr>
          <w:rFonts w:ascii="times" w:hAnsi="times"/>
          <w:sz w:val="20"/>
        </w:rPr>
      </w:pPr>
      <w:r>
        <w:rPr>
          <w:rFonts w:ascii="times" w:hAnsi="times"/>
          <w:sz w:val="20"/>
        </w:rPr>
        <w:t xml:space="preserve">Name of issuer or person filing ("Filer"): </w:t>
      </w:r>
    </w:p>
    <w:p>
      <w:pPr>
        <w:pStyle w:val="TextBody"/>
        <w:jc w:val="center"/>
        <w:rPr>
          <w:rFonts w:ascii="times" w:hAnsi="times"/>
        </w:rPr>
      </w:pPr>
      <w:bookmarkStart w:id="3" w:name="toc_ba79903_1"/>
      <w:bookmarkStart w:id="4" w:name="ba79903_agnico-eagle_mines_limited"/>
      <w:bookmarkEnd w:id="3"/>
      <w:bookmarkEnd w:id="4"/>
      <w:r>
        <w:rPr>
          <w:rFonts w:ascii="times" w:hAnsi="times"/>
          <w:sz w:val="20"/>
        </w:rPr>
        <w:br/>
      </w:r>
      <w:r>
        <w:rPr>
          <w:rFonts w:ascii="times" w:hAnsi="times"/>
          <w:b/>
          <w:sz w:val="20"/>
        </w:rPr>
        <w:t xml:space="preserve">AGNICO-EAGLE MINES LIMITED </w:t>
      </w:r>
    </w:p>
    <w:p>
      <w:pPr>
        <w:pStyle w:val="ListHeading"/>
        <w:spacing w:before="0" w:after="0"/>
        <w:rPr>
          <w:rFonts w:ascii="times" w:hAnsi="times"/>
          <w:sz w:val="20"/>
        </w:rPr>
      </w:pPr>
      <w:r>
        <w:rPr>
          <w:rFonts w:ascii="times" w:hAnsi="times"/>
          <w:sz w:val="20"/>
        </w:rPr>
        <w:t>B.</w:t>
      </w:r>
    </w:p>
    <w:p>
      <w:pPr>
        <w:pStyle w:val="ListContents"/>
        <w:spacing w:before="0" w:after="283"/>
        <w:rPr>
          <w:rFonts w:ascii="times" w:hAnsi="times"/>
          <w:sz w:val="20"/>
        </w:rPr>
      </w:pPr>
      <w:r>
        <w:rPr>
          <w:rFonts w:ascii="times" w:hAnsi="times"/>
          <w:sz w:val="20"/>
        </w:rPr>
        <w:t xml:space="preserve">(1) This is [check one]: </w:t>
      </w:r>
    </w:p>
    <w:p>
      <w:pPr>
        <w:pStyle w:val="TextBody"/>
        <w:numPr>
          <w:ilvl w:val="0"/>
          <w:numId w:val="0"/>
        </w:numPr>
        <w:ind w:left="1414" w:hanging="0"/>
        <w:rPr/>
      </w:pPr>
      <w:r>
        <w:rPr/>
        <w:t xml:space="preserve">☒ </w:t>
      </w:r>
      <w:r>
        <w:rPr>
          <w:rFonts w:ascii="times" w:hAnsi="times"/>
          <w:sz w:val="20"/>
        </w:rPr>
        <w:t xml:space="preserve">an original filing for the Filer </w:t>
      </w:r>
    </w:p>
    <w:p>
      <w:pPr>
        <w:pStyle w:val="TextBody"/>
        <w:numPr>
          <w:ilvl w:val="0"/>
          <w:numId w:val="0"/>
        </w:numPr>
        <w:ind w:left="1414" w:hanging="0"/>
        <w:rPr>
          <w:rFonts w:ascii="times" w:hAnsi="times"/>
          <w:sz w:val="20"/>
        </w:rPr>
      </w:pPr>
      <w:r>
        <w:rPr>
          <w:rFonts w:ascii="WINGDINGS" w:hAnsi="WINGDINGS"/>
          <w:sz w:val="20"/>
        </w:rPr>
        <w:t>o</w:t>
      </w:r>
      <w:r>
        <w:rPr>
          <w:rFonts w:ascii="times" w:hAnsi="times"/>
          <w:sz w:val="20"/>
        </w:rPr>
        <w:t xml:space="preserve"> an amended filing for the Filer </w:t>
      </w:r>
    </w:p>
    <w:p>
      <w:pPr>
        <w:pStyle w:val="ListHeading"/>
        <w:numPr>
          <w:ilvl w:val="0"/>
          <w:numId w:val="0"/>
        </w:numPr>
        <w:spacing w:before="0" w:after="0"/>
        <w:ind w:left="707" w:right="0" w:hanging="0"/>
        <w:rPr>
          <w:rFonts w:ascii="times" w:hAnsi="times"/>
          <w:sz w:val="20"/>
        </w:rPr>
      </w:pPr>
      <w:r>
        <w:rPr>
          <w:rFonts w:ascii="times" w:hAnsi="times"/>
          <w:sz w:val="20"/>
        </w:rPr>
        <w:t>(2)</w:t>
      </w:r>
    </w:p>
    <w:p>
      <w:pPr>
        <w:pStyle w:val="ListContents"/>
        <w:numPr>
          <w:ilvl w:val="0"/>
          <w:numId w:val="0"/>
        </w:numPr>
        <w:spacing w:before="0" w:after="283"/>
        <w:ind w:left="1274" w:right="0" w:hanging="0"/>
        <w:rPr>
          <w:rFonts w:ascii="times" w:hAnsi="times"/>
          <w:sz w:val="20"/>
        </w:rPr>
      </w:pPr>
      <w:r>
        <w:rPr>
          <w:rFonts w:ascii="times" w:hAnsi="times"/>
          <w:sz w:val="20"/>
        </w:rPr>
        <w:t>Check the following box if you are filing the Form F-X in paper in accordance with Regulation S-T Rule 101(b)(9)            </w:t>
      </w:r>
      <w:r>
        <w:rPr>
          <w:rFonts w:ascii="WINGDINGS" w:hAnsi="WINGDINGS"/>
          <w:sz w:val="20"/>
        </w:rPr>
        <w:t>o</w:t>
      </w:r>
      <w:r>
        <w:rPr>
          <w:rFonts w:ascii="times" w:hAnsi="times"/>
          <w:sz w:val="20"/>
        </w:rPr>
        <w:t xml:space="preserve"> </w:t>
      </w:r>
    </w:p>
    <w:p>
      <w:pPr>
        <w:pStyle w:val="ListHeading"/>
        <w:spacing w:before="0" w:after="0"/>
        <w:rPr>
          <w:rFonts w:ascii="times" w:hAnsi="times"/>
          <w:sz w:val="20"/>
        </w:rPr>
      </w:pPr>
      <w:r>
        <w:rPr>
          <w:rFonts w:ascii="times" w:hAnsi="times"/>
          <w:sz w:val="20"/>
        </w:rPr>
        <w:t>C.</w:t>
      </w:r>
    </w:p>
    <w:p>
      <w:pPr>
        <w:pStyle w:val="ListContents"/>
        <w:spacing w:before="0" w:after="283"/>
        <w:rPr>
          <w:rFonts w:ascii="times" w:hAnsi="times"/>
          <w:sz w:val="20"/>
        </w:rPr>
      </w:pPr>
      <w:r>
        <w:rPr>
          <w:rFonts w:ascii="times" w:hAnsi="times"/>
          <w:sz w:val="20"/>
        </w:rPr>
        <w:t xml:space="preserve">Identify the filing in conjunction with which this Form being filed: </w:t>
      </w:r>
    </w:p>
    <w:p>
      <w:pPr>
        <w:pStyle w:val="TextBody"/>
        <w:numPr>
          <w:ilvl w:val="0"/>
          <w:numId w:val="0"/>
        </w:numPr>
        <w:ind w:left="1414" w:hanging="0"/>
        <w:rPr>
          <w:rFonts w:ascii="times" w:hAnsi="times"/>
          <w:sz w:val="20"/>
        </w:rPr>
      </w:pPr>
      <w:r>
        <w:rPr>
          <w:rFonts w:ascii="times" w:hAnsi="times"/>
          <w:sz w:val="20"/>
        </w:rPr>
        <w:t>Name of registrant: Agnico-Eagle Mines Limited</w:t>
        <w:br/>
        <w:t>Form type: Form F-10</w:t>
        <w:br/>
        <w:t>File Number (if known): 333-156710</w:t>
        <w:br/>
        <w:t>Filed by: Agnico-Eagle Mines Limited</w:t>
        <w:br/>
        <w:t xml:space="preserve">Date Filed (if filed concurrently, so indicate): January 13, 2009, filed concurrently with Form F-10. </w:t>
      </w:r>
    </w:p>
    <w:p>
      <w:pPr>
        <w:pStyle w:val="ListHeading"/>
        <w:spacing w:before="0" w:after="0"/>
        <w:rPr>
          <w:rFonts w:ascii="times" w:hAnsi="times"/>
          <w:sz w:val="20"/>
        </w:rPr>
      </w:pPr>
      <w:r>
        <w:rPr>
          <w:rFonts w:ascii="times" w:hAnsi="times"/>
          <w:sz w:val="20"/>
        </w:rPr>
        <w:t>D.</w:t>
      </w:r>
    </w:p>
    <w:p>
      <w:pPr>
        <w:pStyle w:val="ListContents"/>
        <w:spacing w:before="0" w:after="283"/>
        <w:rPr>
          <w:rFonts w:ascii="times" w:hAnsi="times"/>
          <w:sz w:val="20"/>
        </w:rPr>
      </w:pPr>
      <w:r>
        <w:rPr>
          <w:rFonts w:ascii="times" w:hAnsi="times"/>
          <w:sz w:val="20"/>
        </w:rPr>
        <w:t xml:space="preserve">The Filer is incorporated or organized under the laws of the laws of Ontario, Canada and has its principal place of business at Suite 400, 145 King Street East, Toronto, Ontario M5C 2Y7; Telephone No. (416) 947-1212. </w:t>
      </w:r>
    </w:p>
    <w:p>
      <w:pPr>
        <w:pStyle w:val="ListHeading"/>
        <w:spacing w:before="0" w:after="0"/>
        <w:rPr>
          <w:rFonts w:ascii="times" w:hAnsi="times"/>
          <w:sz w:val="20"/>
        </w:rPr>
      </w:pPr>
      <w:r>
        <w:rPr>
          <w:rFonts w:ascii="times" w:hAnsi="times"/>
          <w:sz w:val="20"/>
        </w:rPr>
        <w:t>E.</w:t>
      </w:r>
    </w:p>
    <w:p>
      <w:pPr>
        <w:pStyle w:val="ListContents"/>
        <w:rPr>
          <w:rFonts w:ascii="times" w:hAnsi="times"/>
          <w:sz w:val="20"/>
        </w:rPr>
      </w:pPr>
      <w:r>
        <w:rPr>
          <w:rFonts w:ascii="times" w:hAnsi="times"/>
          <w:sz w:val="20"/>
        </w:rPr>
        <w:t xml:space="preserve">The Filer designates and appoints Gerald D. Shepherd of Davies Ward Phillips &amp; Vineberg LLP ("Agent") located at 625 Madison Avenue, New York, New York 10022 U.S.A., telephone no. (212) 588-5500, as agent of the Filer upon whom may be served any process, pleadings, subpoenas, or other papers in: </w:t>
      </w:r>
    </w:p>
    <w:p>
      <w:pPr>
        <w:pStyle w:val="ListHeading"/>
        <w:spacing w:before="0" w:after="0"/>
        <w:ind w:left="567" w:right="0" w:hanging="0"/>
        <w:rPr>
          <w:rFonts w:ascii="times" w:hAnsi="times"/>
          <w:sz w:val="20"/>
        </w:rPr>
      </w:pPr>
      <w:r>
        <w:rPr>
          <w:rFonts w:ascii="times" w:hAnsi="times"/>
          <w:sz w:val="20"/>
        </w:rPr>
        <w:t>(a)</w:t>
      </w:r>
    </w:p>
    <w:p>
      <w:pPr>
        <w:pStyle w:val="ListContents"/>
        <w:spacing w:before="0" w:after="283"/>
        <w:ind w:left="1134" w:right="0" w:hanging="0"/>
        <w:rPr>
          <w:rFonts w:ascii="times" w:hAnsi="times"/>
          <w:sz w:val="20"/>
        </w:rPr>
      </w:pPr>
      <w:r>
        <w:rPr>
          <w:rFonts w:ascii="times" w:hAnsi="times"/>
          <w:sz w:val="20"/>
        </w:rPr>
        <w:t xml:space="preserve">any investigation or administrative proceeding conducted by the Commission; and </w:t>
      </w:r>
    </w:p>
    <w:p>
      <w:pPr>
        <w:pStyle w:val="ListHeading"/>
        <w:spacing w:before="0" w:after="0"/>
        <w:ind w:left="567" w:right="0" w:hanging="0"/>
        <w:rPr>
          <w:rFonts w:ascii="times" w:hAnsi="times"/>
          <w:sz w:val="20"/>
        </w:rPr>
      </w:pPr>
      <w:r>
        <w:rPr>
          <w:rFonts w:ascii="times" w:hAnsi="times"/>
          <w:sz w:val="20"/>
        </w:rPr>
        <w:t>(b)</w:t>
      </w:r>
    </w:p>
    <w:p>
      <w:pPr>
        <w:pStyle w:val="ListContents"/>
        <w:spacing w:before="0" w:after="283"/>
        <w:ind w:left="1134" w:right="0" w:hanging="0"/>
        <w:rPr>
          <w:rFonts w:ascii="times" w:hAnsi="times"/>
          <w:sz w:val="20"/>
        </w:rPr>
      </w:pPr>
      <w:r>
        <w:rPr>
          <w:rFonts w:ascii="times" w:hAnsi="times"/>
          <w:sz w:val="20"/>
        </w:rPr>
        <w:t xml:space="preserve">any civil suit or action brought against the Filer or to which the Filer has been joined as defendant or respondent, in any appropriate court in any place subject to the jurisdiction of any state or of the United States or of any of its territories or possessions or of the District of Columbia, where the investigation, proceeding or cause of action arises out of or related to or concerns (i) any offering made or purported to be made in connection with the securities registered or qualified by the Filer on Form F-10 on January 13, 2009, or any purchases or sales of any security in connection therewith; (ii) the securities in relation to which the obligation to file an annual report on Form 40-F arises, or any purchases or sales of such securities; (iii) any tender offer for the securities of a Canadian issuer with respect to which filings are made by the Filer with the Commission on Schedule 13E-4F, 14D-1F or 14D-9F; or (iv) the securities in relation to which the Filer acts as trustee pursuant to an exemption under Rule 10a-5 under the Trust Indenture Act of 1939. The Filer stipulates and agrees that any such civil suit or action or administrative proceeding may be commenced by the service of process upon, and that service of an administrative subpoena shall be effected by service upon such agent for service of process, and that service as aforesaid shall be taken and held in all courts and administrative tribunals to be valid and binding as if personal service thereof had been made. </w:t>
      </w:r>
    </w:p>
    <w:p>
      <w:pPr>
        <w:pStyle w:val="TextBody"/>
        <w:jc w:val="center"/>
        <w:rPr>
          <w:rFonts w:ascii="times" w:hAnsi="times"/>
          <w:sz w:val="20"/>
        </w:rPr>
      </w:pPr>
      <w:r>
        <w:rPr>
          <w:rFonts w:ascii="times" w:hAnsi="times"/>
          <w:sz w:val="20"/>
        </w:rPr>
        <w:t>1</w:t>
      </w:r>
    </w:p>
    <w:p>
      <w:pPr>
        <w:pStyle w:val="HorizontalLine"/>
        <w:pBdr>
          <w:bottom w:val="single" w:sz="20" w:space="0" w:color="808080"/>
        </w:pBdr>
        <w:rPr/>
      </w:pPr>
      <w:r>
        <w:rPr/>
      </w:r>
      <w:r>
        <w:br w:type="page"/>
      </w:r>
    </w:p>
    <w:p>
      <w:pPr>
        <w:pStyle w:val="ListHeading"/>
        <w:spacing w:before="0" w:after="0"/>
        <w:rPr>
          <w:rFonts w:ascii="times" w:hAnsi="times"/>
          <w:sz w:val="20"/>
        </w:rPr>
      </w:pPr>
      <w:bookmarkStart w:id="5" w:name="page_ba79903_1_2"/>
      <w:bookmarkEnd w:id="5"/>
      <w:r>
        <w:rPr>
          <w:rFonts w:ascii="times" w:hAnsi="times"/>
          <w:sz w:val="20"/>
        </w:rPr>
        <w:t>F.</w:t>
      </w:r>
    </w:p>
    <w:p>
      <w:pPr>
        <w:pStyle w:val="ListContents"/>
        <w:rPr>
          <w:rFonts w:ascii="times" w:hAnsi="times"/>
          <w:sz w:val="20"/>
        </w:rPr>
      </w:pPr>
      <w:r>
        <w:rPr>
          <w:rFonts w:ascii="times" w:hAnsi="times"/>
          <w:sz w:val="20"/>
        </w:rPr>
        <w:t xml:space="preserve">Each person filing this Form in connection with: </w:t>
      </w:r>
    </w:p>
    <w:p>
      <w:pPr>
        <w:pStyle w:val="ListHeading"/>
        <w:spacing w:before="0" w:after="0"/>
        <w:ind w:left="567" w:right="0" w:hanging="0"/>
        <w:rPr>
          <w:rFonts w:ascii="times" w:hAnsi="times"/>
          <w:sz w:val="20"/>
        </w:rPr>
      </w:pPr>
      <w:r>
        <w:rPr>
          <w:rFonts w:ascii="times" w:hAnsi="times"/>
          <w:sz w:val="20"/>
        </w:rPr>
        <w:t>(a)</w:t>
      </w:r>
    </w:p>
    <w:p>
      <w:pPr>
        <w:pStyle w:val="ListContents"/>
        <w:spacing w:before="0" w:after="283"/>
        <w:ind w:left="1134" w:right="0" w:hanging="0"/>
        <w:rPr>
          <w:rFonts w:ascii="times" w:hAnsi="times"/>
          <w:sz w:val="20"/>
        </w:rPr>
      </w:pPr>
      <w:r>
        <w:rPr>
          <w:rFonts w:ascii="times" w:hAnsi="times"/>
          <w:sz w:val="20"/>
        </w:rPr>
        <w:t xml:space="preserve">the use of Form F-9, F-10, 40-F, or SB-2 or Schedule 13K-4F, 14D-1F or 14D-9F stipulates and agrees to appoint a successor agent for service of process and file an amended Form F-X if the Filer discharges the Agent or the Agent is unwilling or unable to accept service on behalf of the Filer at any time until six years have elapsed from the date the issuer of the securities to which such Forms and Schedules relate has ceased reporting under the Exchange Act; </w:t>
      </w:r>
    </w:p>
    <w:p>
      <w:pPr>
        <w:pStyle w:val="ListHeading"/>
        <w:spacing w:before="0" w:after="0"/>
        <w:ind w:left="567" w:right="0" w:hanging="0"/>
        <w:rPr>
          <w:rFonts w:ascii="times" w:hAnsi="times"/>
          <w:sz w:val="20"/>
        </w:rPr>
      </w:pPr>
      <w:r>
        <w:rPr>
          <w:rFonts w:ascii="times" w:hAnsi="times"/>
          <w:sz w:val="20"/>
        </w:rPr>
        <w:t>(b)</w:t>
      </w:r>
    </w:p>
    <w:p>
      <w:pPr>
        <w:pStyle w:val="ListContents"/>
        <w:spacing w:before="0" w:after="283"/>
        <w:ind w:left="1134" w:right="0" w:hanging="0"/>
        <w:rPr>
          <w:rFonts w:ascii="times" w:hAnsi="times"/>
          <w:sz w:val="20"/>
        </w:rPr>
      </w:pPr>
      <w:r>
        <w:rPr>
          <w:rFonts w:ascii="times" w:hAnsi="times"/>
          <w:sz w:val="20"/>
        </w:rPr>
        <w:t xml:space="preserve">the use of Form F-8, Form F-80 or Form CB stipulates and agrees to appoint a successor agent for service of process and file an amended Form F-X if the Filer discharges the Agent or the Agent is unwilling or unable to accept service on behalf of the Filer at any time until six years have elapsed from the effective date of the latest Amendment to such Form F-8, Form F-80 or Form CB; </w:t>
      </w:r>
    </w:p>
    <w:p>
      <w:pPr>
        <w:pStyle w:val="ListHeading"/>
        <w:spacing w:before="0" w:after="0"/>
        <w:ind w:left="567" w:right="0" w:hanging="0"/>
        <w:rPr>
          <w:rFonts w:ascii="times" w:hAnsi="times"/>
          <w:sz w:val="20"/>
        </w:rPr>
      </w:pPr>
      <w:r>
        <w:rPr>
          <w:rFonts w:ascii="times" w:hAnsi="times"/>
          <w:sz w:val="20"/>
        </w:rPr>
        <w:t>(c)</w:t>
      </w:r>
    </w:p>
    <w:p>
      <w:pPr>
        <w:pStyle w:val="ListContents"/>
        <w:spacing w:before="0" w:after="283"/>
        <w:ind w:left="1134" w:right="0" w:hanging="0"/>
        <w:rPr>
          <w:rFonts w:ascii="times" w:hAnsi="times"/>
          <w:sz w:val="20"/>
        </w:rPr>
      </w:pPr>
      <w:r>
        <w:rPr>
          <w:rFonts w:ascii="times" w:hAnsi="times"/>
          <w:sz w:val="20"/>
        </w:rPr>
        <w:t xml:space="preserve">its status as trustee with respect to securities registered on Form F-7, F-8, F-9, F-10, F-80, or SB-2 stipulates and agrees to appoint a successor agent for service of process and file an amended Form F-X if the Filer discharges the Agent or the Agent is unwilling or unable to accept service on behalf of the Filer at any time during which any of the securities subject to the indenture remain outstanding; and </w:t>
      </w:r>
    </w:p>
    <w:p>
      <w:pPr>
        <w:pStyle w:val="ListHeading"/>
        <w:spacing w:before="0" w:after="0"/>
        <w:ind w:left="567" w:right="0" w:hanging="0"/>
        <w:rPr>
          <w:rFonts w:ascii="times" w:hAnsi="times"/>
          <w:sz w:val="20"/>
        </w:rPr>
      </w:pPr>
      <w:r>
        <w:rPr>
          <w:rFonts w:ascii="times" w:hAnsi="times"/>
          <w:sz w:val="20"/>
        </w:rPr>
        <w:t>(d)</w:t>
      </w:r>
    </w:p>
    <w:p>
      <w:pPr>
        <w:pStyle w:val="ListContents"/>
        <w:spacing w:before="0" w:after="283"/>
        <w:ind w:left="1134" w:right="0" w:hanging="0"/>
        <w:rPr>
          <w:rFonts w:ascii="times" w:hAnsi="times"/>
          <w:sz w:val="20"/>
        </w:rPr>
      </w:pPr>
      <w:r>
        <w:rPr>
          <w:rFonts w:ascii="times" w:hAnsi="times"/>
          <w:sz w:val="20"/>
        </w:rPr>
        <w:t xml:space="preserve">the use of Form 1-A or other Commission form for an offering pursuant to Regulation A stipulates and agrees to appoint a successor agent for service of process and file an amended Form F-X if the Filer discharges the Agent or the Agent is unwilling or unable to accept service on behalf of the Filer at any time until six years have elapsed from the date of the last sale of securities in reliance upon the Regulation A exemption. </w:t>
      </w:r>
    </w:p>
    <w:p>
      <w:pPr>
        <w:pStyle w:val="ListContents"/>
        <w:spacing w:before="0" w:after="283"/>
        <w:ind w:left="1134" w:right="0" w:hanging="0"/>
        <w:rPr>
          <w:rFonts w:ascii="times" w:hAnsi="times"/>
          <w:sz w:val="20"/>
        </w:rPr>
      </w:pPr>
      <w:r>
        <w:rPr>
          <w:rFonts w:ascii="times" w:hAnsi="times"/>
          <w:sz w:val="20"/>
        </w:rPr>
        <w:t xml:space="preserve">Each filer further undertakes to advise the Commission promptly of any change to the Agent's name and address during the applicable period by amendment of this Form, referencing the file number of the relevant form in conjunction with which the amendment is being filed. </w:t>
      </w:r>
    </w:p>
    <w:p>
      <w:pPr>
        <w:pStyle w:val="ListHeading"/>
        <w:spacing w:before="0" w:after="0"/>
        <w:rPr>
          <w:rFonts w:ascii="times" w:hAnsi="times"/>
          <w:sz w:val="20"/>
        </w:rPr>
      </w:pPr>
      <w:r>
        <w:rPr>
          <w:rFonts w:ascii="times" w:hAnsi="times"/>
          <w:sz w:val="20"/>
        </w:rPr>
        <w:t>G.</w:t>
      </w:r>
    </w:p>
    <w:p>
      <w:pPr>
        <w:pStyle w:val="ListContents"/>
        <w:spacing w:before="0" w:after="283"/>
        <w:rPr>
          <w:rFonts w:ascii="times" w:hAnsi="times"/>
          <w:sz w:val="20"/>
        </w:rPr>
      </w:pPr>
      <w:r>
        <w:rPr>
          <w:rFonts w:ascii="times" w:hAnsi="times"/>
          <w:sz w:val="20"/>
        </w:rPr>
        <w:t xml:space="preserve">Each person filing this Form, other than a trustee filing in accordance with General Instruction I.(e) of this Form, undertakes to make available, in person or by telephone, representatives to respond to inquiries made by the Commission staff, and to furnish promptly, when requested to do so by the Commission staff, information relating to: the Forms, Schedules, and offering statements described in General Instructions I.(a), I.(b), I.(c), I.(d) and I.(f) of this Form, as applicable; the securities to which such Forms, Schedules and offering statements relate; and the transactions in such securities. </w:t>
      </w:r>
    </w:p>
    <w:p>
      <w:pPr>
        <w:pStyle w:val="TextBody"/>
        <w:jc w:val="center"/>
        <w:rPr>
          <w:rFonts w:ascii="times" w:hAnsi="times"/>
          <w:sz w:val="20"/>
        </w:rPr>
      </w:pPr>
      <w:r>
        <w:rPr>
          <w:rFonts w:ascii="times" w:hAnsi="times"/>
          <w:sz w:val="20"/>
        </w:rPr>
        <w:t>2</w:t>
      </w:r>
    </w:p>
    <w:p>
      <w:pPr>
        <w:pStyle w:val="HorizontalLine"/>
        <w:pBdr>
          <w:bottom w:val="single" w:sz="20" w:space="0" w:color="808080"/>
        </w:pBdr>
        <w:rPr/>
      </w:pPr>
      <w:r>
        <w:rPr/>
      </w:r>
      <w:r>
        <w:br w:type="page"/>
      </w:r>
    </w:p>
    <w:p>
      <w:pPr>
        <w:pStyle w:val="TextBody"/>
        <w:rPr/>
      </w:pPr>
      <w:bookmarkStart w:id="6" w:name="page_ba79903_1_3"/>
      <w:bookmarkEnd w:id="6"/>
      <w:r>
        <w:rPr/>
        <w:t>        </w:t>
      </w:r>
      <w:r>
        <w:rPr>
          <w:rFonts w:ascii="times" w:hAnsi="times"/>
          <w:sz w:val="20"/>
        </w:rPr>
        <w:t>The Filer certifies that it has duly caused this power of attorney, consent, stipulation and agreement to be signed on its behalf by the undersigned, thereunto duly authorized, in the City of Toronto, Province of Ontario, Country of Canada, this 13</w:t>
      </w:r>
      <w:r>
        <w:rPr>
          <w:rFonts w:ascii="times" w:hAnsi="times"/>
          <w:position w:val="7"/>
          <w:sz w:val="16"/>
          <w:sz w:val="20"/>
        </w:rPr>
        <w:t>th</w:t>
      </w:r>
      <w:r>
        <w:rPr>
          <w:rFonts w:ascii="times" w:hAnsi="times"/>
          <w:sz w:val="20"/>
        </w:rPr>
        <w:t xml:space="preserve"> day of January, 2009. </w:t>
      </w:r>
    </w:p>
    <w:tbl>
      <w:tblPr>
        <w:tblW w:w="5000" w:type="pct"/>
        <w:jc w:val="center"/>
        <w:tblInd w:w="0" w:type="dxa"/>
        <w:tblCellMar>
          <w:top w:w="0" w:type="dxa"/>
          <w:left w:w="0" w:type="dxa"/>
          <w:bottom w:w="0" w:type="dxa"/>
          <w:right w:w="0" w:type="dxa"/>
        </w:tblCellMar>
      </w:tblPr>
      <w:tblGrid>
        <w:gridCol w:w="5071"/>
        <w:gridCol w:w="252"/>
        <w:gridCol w:w="421"/>
        <w:gridCol w:w="252"/>
        <w:gridCol w:w="737"/>
        <w:gridCol w:w="252"/>
        <w:gridCol w:w="3220"/>
      </w:tblGrid>
      <w:tr>
        <w:trPr/>
        <w:tc>
          <w:tcPr>
            <w:tcW w:w="5071" w:type="dxa"/>
            <w:tcBorders/>
            <w:shd w:fill="auto" w:val="clear"/>
            <w:vAlign w:val="center"/>
          </w:tcPr>
          <w:p>
            <w:pPr>
              <w:pStyle w:val="TableContents"/>
              <w:spacing w:before="0" w:after="283"/>
              <w:rPr>
                <w:sz w:val="4"/>
                <w:szCs w:val="4"/>
              </w:rPr>
            </w:pPr>
            <w:r>
              <w:rPr>
                <w:sz w:val="4"/>
                <w:szCs w:val="4"/>
              </w:rPr>
            </w:r>
          </w:p>
        </w:tc>
        <w:tc>
          <w:tcPr>
            <w:tcW w:w="252" w:type="dxa"/>
            <w:tcBorders/>
            <w:shd w:fill="auto" w:val="clear"/>
            <w:vAlign w:val="center"/>
          </w:tcPr>
          <w:p>
            <w:pPr>
              <w:pStyle w:val="TableContents"/>
              <w:spacing w:before="0" w:after="283"/>
              <w:rPr>
                <w:sz w:val="4"/>
                <w:szCs w:val="4"/>
              </w:rPr>
            </w:pPr>
            <w:r>
              <w:rPr>
                <w:sz w:val="4"/>
                <w:szCs w:val="4"/>
              </w:rPr>
            </w:r>
          </w:p>
        </w:tc>
        <w:tc>
          <w:tcPr>
            <w:tcW w:w="421" w:type="dxa"/>
            <w:tcBorders/>
            <w:shd w:fill="auto" w:val="clear"/>
            <w:vAlign w:val="center"/>
          </w:tcPr>
          <w:p>
            <w:pPr>
              <w:pStyle w:val="TableContents"/>
              <w:spacing w:before="0" w:after="283"/>
              <w:rPr>
                <w:sz w:val="4"/>
                <w:szCs w:val="4"/>
              </w:rPr>
            </w:pPr>
            <w:r>
              <w:rPr>
                <w:sz w:val="4"/>
                <w:szCs w:val="4"/>
              </w:rPr>
            </w:r>
          </w:p>
        </w:tc>
        <w:tc>
          <w:tcPr>
            <w:tcW w:w="252" w:type="dxa"/>
            <w:tcBorders/>
            <w:shd w:fill="auto" w:val="clear"/>
            <w:vAlign w:val="center"/>
          </w:tcPr>
          <w:p>
            <w:pPr>
              <w:pStyle w:val="TableContents"/>
              <w:spacing w:before="0" w:after="283"/>
              <w:rPr>
                <w:sz w:val="4"/>
                <w:szCs w:val="4"/>
              </w:rPr>
            </w:pPr>
            <w:r>
              <w:rPr>
                <w:sz w:val="4"/>
                <w:szCs w:val="4"/>
              </w:rPr>
            </w:r>
          </w:p>
        </w:tc>
        <w:tc>
          <w:tcPr>
            <w:tcW w:w="737" w:type="dxa"/>
            <w:tcBorders/>
            <w:shd w:fill="auto" w:val="clear"/>
            <w:vAlign w:val="center"/>
          </w:tcPr>
          <w:p>
            <w:pPr>
              <w:pStyle w:val="TableContents"/>
              <w:spacing w:before="0" w:after="283"/>
              <w:rPr>
                <w:sz w:val="4"/>
                <w:szCs w:val="4"/>
              </w:rPr>
            </w:pPr>
            <w:r>
              <w:rPr>
                <w:sz w:val="4"/>
                <w:szCs w:val="4"/>
              </w:rPr>
            </w:r>
          </w:p>
        </w:tc>
        <w:tc>
          <w:tcPr>
            <w:tcW w:w="252" w:type="dxa"/>
            <w:tcBorders/>
            <w:shd w:fill="auto" w:val="clear"/>
            <w:vAlign w:val="center"/>
          </w:tcPr>
          <w:p>
            <w:pPr>
              <w:pStyle w:val="TableContents"/>
              <w:spacing w:before="0" w:after="283"/>
              <w:rPr>
                <w:sz w:val="4"/>
                <w:szCs w:val="4"/>
              </w:rPr>
            </w:pPr>
            <w:r>
              <w:rPr>
                <w:sz w:val="4"/>
                <w:szCs w:val="4"/>
              </w:rPr>
            </w:r>
          </w:p>
        </w:tc>
        <w:tc>
          <w:tcPr>
            <w:tcW w:w="3220" w:type="dxa"/>
            <w:tcBorders/>
            <w:shd w:fill="auto" w:val="clear"/>
            <w:vAlign w:val="center"/>
          </w:tcPr>
          <w:p>
            <w:pPr>
              <w:pStyle w:val="TableContents"/>
              <w:spacing w:before="0" w:after="283"/>
              <w:rPr>
                <w:sz w:val="4"/>
                <w:szCs w:val="4"/>
              </w:rPr>
            </w:pPr>
            <w:r>
              <w:rPr>
                <w:sz w:val="4"/>
                <w:szCs w:val="4"/>
              </w:rPr>
            </w:r>
          </w:p>
        </w:tc>
      </w:tr>
      <w:tr>
        <w:trPr/>
        <w:tc>
          <w:tcPr>
            <w:tcW w:w="5071" w:type="dxa"/>
            <w:tcBorders/>
            <w:shd w:fill="auto" w:val="clear"/>
          </w:tcPr>
          <w:p>
            <w:pPr>
              <w:pStyle w:val="TableContents"/>
              <w:spacing w:before="0" w:after="283"/>
              <w:rPr/>
            </w:pPr>
            <w:r>
              <w:rPr/>
              <w:t> </w:t>
            </w:r>
          </w:p>
        </w:tc>
        <w:tc>
          <w:tcPr>
            <w:tcW w:w="252" w:type="dxa"/>
            <w:tcBorders/>
            <w:shd w:fill="auto" w:val="clear"/>
          </w:tcPr>
          <w:p>
            <w:pPr>
              <w:pStyle w:val="TableContents"/>
              <w:spacing w:before="0" w:after="283"/>
              <w:rPr/>
            </w:pPr>
            <w:r>
              <w:rPr/>
              <w:t> </w:t>
            </w:r>
          </w:p>
        </w:tc>
        <w:tc>
          <w:tcPr>
            <w:tcW w:w="4882" w:type="dxa"/>
            <w:gridSpan w:val="5"/>
            <w:tcBorders/>
            <w:shd w:fill="auto" w:val="clear"/>
          </w:tcPr>
          <w:p>
            <w:pPr>
              <w:pStyle w:val="TableContents"/>
              <w:spacing w:before="0" w:after="283"/>
              <w:rPr>
                <w:rFonts w:ascii="times" w:hAnsi="times"/>
                <w:sz w:val="20"/>
              </w:rPr>
            </w:pPr>
            <w:r>
              <w:rPr>
                <w:rFonts w:ascii="times" w:hAnsi="times"/>
                <w:sz w:val="20"/>
              </w:rPr>
              <w:t>AGNICO-EAGLE MINES LIMITED</w:t>
            </w:r>
          </w:p>
        </w:tc>
      </w:tr>
      <w:tr>
        <w:trPr/>
        <w:tc>
          <w:tcPr>
            <w:tcW w:w="5071" w:type="dxa"/>
            <w:tcBorders/>
            <w:shd w:fill="auto" w:val="clear"/>
          </w:tcPr>
          <w:p>
            <w:pPr>
              <w:pStyle w:val="TableContents"/>
              <w:spacing w:before="0" w:after="283"/>
              <w:rPr>
                <w:rFonts w:ascii="times" w:hAnsi="times"/>
                <w:sz w:val="20"/>
              </w:rPr>
            </w:pPr>
            <w:r>
              <w:rPr>
                <w:rFonts w:ascii="times" w:hAnsi="times"/>
                <w:sz w:val="20"/>
              </w:rPr>
              <w:br/>
              <w:t> </w:t>
            </w:r>
          </w:p>
        </w:tc>
        <w:tc>
          <w:tcPr>
            <w:tcW w:w="252" w:type="dxa"/>
            <w:tcBorders/>
            <w:shd w:fill="auto" w:val="clear"/>
          </w:tcPr>
          <w:p>
            <w:pPr>
              <w:pStyle w:val="TableContents"/>
              <w:spacing w:before="0" w:after="283"/>
              <w:rPr>
                <w:rFonts w:ascii="times" w:hAnsi="times"/>
                <w:sz w:val="20"/>
              </w:rPr>
            </w:pPr>
            <w:r>
              <w:rPr>
                <w:rFonts w:ascii="times" w:hAnsi="times"/>
                <w:sz w:val="20"/>
              </w:rPr>
              <w:br/>
              <w:t> </w:t>
            </w:r>
          </w:p>
        </w:tc>
        <w:tc>
          <w:tcPr>
            <w:tcW w:w="421" w:type="dxa"/>
            <w:tcBorders/>
            <w:shd w:fill="auto" w:val="clear"/>
          </w:tcPr>
          <w:p>
            <w:pPr>
              <w:pStyle w:val="TableContents"/>
              <w:spacing w:before="0" w:after="283"/>
              <w:rPr>
                <w:rFonts w:ascii="times" w:hAnsi="times"/>
              </w:rPr>
            </w:pPr>
            <w:r>
              <w:rPr>
                <w:rFonts w:ascii="times" w:hAnsi="times"/>
              </w:rPr>
              <w:br/>
            </w:r>
            <w:r>
              <w:rPr>
                <w:rFonts w:ascii="times" w:hAnsi="times"/>
                <w:sz w:val="20"/>
              </w:rPr>
              <w:t>By:</w:t>
            </w:r>
          </w:p>
        </w:tc>
        <w:tc>
          <w:tcPr>
            <w:tcW w:w="252" w:type="dxa"/>
            <w:tcBorders/>
            <w:shd w:fill="auto" w:val="clear"/>
          </w:tcPr>
          <w:p>
            <w:pPr>
              <w:pStyle w:val="TableContents"/>
              <w:spacing w:before="0" w:after="283"/>
              <w:rPr>
                <w:rFonts w:ascii="times" w:hAnsi="times"/>
                <w:sz w:val="20"/>
              </w:rPr>
            </w:pPr>
            <w:r>
              <w:rPr>
                <w:rFonts w:ascii="times" w:hAnsi="times"/>
                <w:sz w:val="20"/>
              </w:rPr>
              <w:br/>
              <w:t> </w:t>
            </w:r>
          </w:p>
        </w:tc>
        <w:tc>
          <w:tcPr>
            <w:tcW w:w="4209" w:type="dxa"/>
            <w:gridSpan w:val="3"/>
            <w:tcBorders/>
            <w:shd w:fill="auto" w:val="clear"/>
          </w:tcPr>
          <w:p>
            <w:pPr>
              <w:pStyle w:val="TableContents"/>
              <w:spacing w:before="0" w:after="0"/>
              <w:rPr>
                <w:rFonts w:ascii="times" w:hAnsi="times"/>
              </w:rPr>
            </w:pPr>
            <w:r>
              <w:rPr>
                <w:rFonts w:ascii="times" w:hAnsi="times"/>
              </w:rPr>
              <w:br/>
            </w:r>
            <w:r>
              <w:rPr>
                <w:rFonts w:ascii="times" w:hAnsi="times"/>
                <w:sz w:val="20"/>
              </w:rPr>
              <w:t>/s/ DAVID GAROFALO</w:t>
            </w:r>
          </w:p>
          <w:p>
            <w:pPr>
              <w:pStyle w:val="HorizontalLine"/>
              <w:pBdr>
                <w:bottom w:val="single" w:sz="6" w:space="0" w:color="000000"/>
              </w:pBdr>
              <w:spacing w:before="0" w:after="283"/>
              <w:rPr>
                <w:rFonts w:ascii="times" w:hAnsi="times" w:eastAsia="times" w:cs="times"/>
              </w:rPr>
            </w:pPr>
            <w:r>
              <w:rPr>
                <w:rFonts w:eastAsia="times" w:cs="times" w:ascii="times" w:hAnsi="times"/>
              </w:rPr>
            </w:r>
          </w:p>
        </w:tc>
      </w:tr>
      <w:tr>
        <w:trPr/>
        <w:tc>
          <w:tcPr>
            <w:tcW w:w="5071" w:type="dxa"/>
            <w:tcBorders/>
            <w:shd w:fill="auto" w:val="clear"/>
          </w:tcPr>
          <w:p>
            <w:pPr>
              <w:pStyle w:val="TableContents"/>
              <w:spacing w:before="0" w:after="283"/>
              <w:rPr/>
            </w:pPr>
            <w:r>
              <w:rPr/>
              <w:t> </w:t>
            </w:r>
          </w:p>
        </w:tc>
        <w:tc>
          <w:tcPr>
            <w:tcW w:w="252" w:type="dxa"/>
            <w:tcBorders/>
            <w:shd w:fill="auto" w:val="clear"/>
          </w:tcPr>
          <w:p>
            <w:pPr>
              <w:pStyle w:val="TableContents"/>
              <w:spacing w:before="0" w:after="283"/>
              <w:rPr/>
            </w:pPr>
            <w:r>
              <w:rPr/>
              <w:t> </w:t>
            </w:r>
          </w:p>
        </w:tc>
        <w:tc>
          <w:tcPr>
            <w:tcW w:w="421" w:type="dxa"/>
            <w:tcBorders/>
            <w:shd w:fill="auto" w:val="clear"/>
          </w:tcPr>
          <w:p>
            <w:pPr>
              <w:pStyle w:val="TableContents"/>
              <w:spacing w:before="0" w:after="283"/>
              <w:rPr/>
            </w:pPr>
            <w:r>
              <w:rPr/>
              <w:t> </w:t>
            </w:r>
          </w:p>
        </w:tc>
        <w:tc>
          <w:tcPr>
            <w:tcW w:w="252" w:type="dxa"/>
            <w:tcBorders/>
            <w:shd w:fill="auto" w:val="clear"/>
          </w:tcPr>
          <w:p>
            <w:pPr>
              <w:pStyle w:val="TableContents"/>
              <w:spacing w:before="0" w:after="283"/>
              <w:rPr/>
            </w:pPr>
            <w:r>
              <w:rPr/>
              <w:t> </w:t>
            </w:r>
          </w:p>
        </w:tc>
        <w:tc>
          <w:tcPr>
            <w:tcW w:w="737" w:type="dxa"/>
            <w:tcBorders/>
            <w:shd w:fill="auto" w:val="clear"/>
          </w:tcPr>
          <w:p>
            <w:pPr>
              <w:pStyle w:val="TableContents"/>
              <w:spacing w:before="0" w:after="283"/>
              <w:rPr>
                <w:rFonts w:ascii="times" w:hAnsi="times"/>
                <w:sz w:val="20"/>
              </w:rPr>
            </w:pPr>
            <w:r>
              <w:rPr>
                <w:rFonts w:ascii="times" w:hAnsi="times"/>
                <w:sz w:val="20"/>
              </w:rPr>
              <w:t>Name:</w:t>
            </w:r>
          </w:p>
        </w:tc>
        <w:tc>
          <w:tcPr>
            <w:tcW w:w="252" w:type="dxa"/>
            <w:tcBorders/>
            <w:shd w:fill="auto" w:val="clear"/>
          </w:tcPr>
          <w:p>
            <w:pPr>
              <w:pStyle w:val="TableContents"/>
              <w:spacing w:before="0" w:after="283"/>
              <w:rPr/>
            </w:pPr>
            <w:r>
              <w:rPr/>
              <w:t> </w:t>
            </w:r>
          </w:p>
        </w:tc>
        <w:tc>
          <w:tcPr>
            <w:tcW w:w="3220" w:type="dxa"/>
            <w:tcBorders/>
            <w:shd w:fill="auto" w:val="clear"/>
          </w:tcPr>
          <w:p>
            <w:pPr>
              <w:pStyle w:val="TableContents"/>
              <w:spacing w:before="0" w:after="283"/>
              <w:rPr>
                <w:rFonts w:ascii="times" w:hAnsi="times"/>
                <w:sz w:val="20"/>
              </w:rPr>
            </w:pPr>
            <w:r>
              <w:rPr>
                <w:rFonts w:ascii="times" w:hAnsi="times"/>
                <w:sz w:val="20"/>
              </w:rPr>
              <w:t>David Garofalo</w:t>
            </w:r>
          </w:p>
        </w:tc>
      </w:tr>
      <w:tr>
        <w:trPr/>
        <w:tc>
          <w:tcPr>
            <w:tcW w:w="5071" w:type="dxa"/>
            <w:tcBorders/>
            <w:shd w:fill="auto" w:val="clear"/>
          </w:tcPr>
          <w:p>
            <w:pPr>
              <w:pStyle w:val="TableContents"/>
              <w:spacing w:before="0" w:after="283"/>
              <w:rPr/>
            </w:pPr>
            <w:r>
              <w:rPr/>
              <w:t> </w:t>
            </w:r>
          </w:p>
        </w:tc>
        <w:tc>
          <w:tcPr>
            <w:tcW w:w="252" w:type="dxa"/>
            <w:tcBorders/>
            <w:shd w:fill="auto" w:val="clear"/>
          </w:tcPr>
          <w:p>
            <w:pPr>
              <w:pStyle w:val="TableContents"/>
              <w:spacing w:before="0" w:after="283"/>
              <w:rPr/>
            </w:pPr>
            <w:r>
              <w:rPr/>
              <w:t> </w:t>
            </w:r>
          </w:p>
        </w:tc>
        <w:tc>
          <w:tcPr>
            <w:tcW w:w="421" w:type="dxa"/>
            <w:tcBorders/>
            <w:shd w:fill="auto" w:val="clear"/>
          </w:tcPr>
          <w:p>
            <w:pPr>
              <w:pStyle w:val="TableContents"/>
              <w:spacing w:before="0" w:after="283"/>
              <w:rPr/>
            </w:pPr>
            <w:r>
              <w:rPr/>
              <w:t> </w:t>
            </w:r>
          </w:p>
        </w:tc>
        <w:tc>
          <w:tcPr>
            <w:tcW w:w="252" w:type="dxa"/>
            <w:tcBorders/>
            <w:shd w:fill="auto" w:val="clear"/>
          </w:tcPr>
          <w:p>
            <w:pPr>
              <w:pStyle w:val="TableContents"/>
              <w:spacing w:before="0" w:after="283"/>
              <w:rPr/>
            </w:pPr>
            <w:r>
              <w:rPr/>
              <w:t> </w:t>
            </w:r>
          </w:p>
        </w:tc>
        <w:tc>
          <w:tcPr>
            <w:tcW w:w="737" w:type="dxa"/>
            <w:tcBorders/>
            <w:shd w:fill="auto" w:val="clear"/>
          </w:tcPr>
          <w:p>
            <w:pPr>
              <w:pStyle w:val="TableContents"/>
              <w:spacing w:before="0" w:after="283"/>
              <w:rPr>
                <w:rFonts w:ascii="times" w:hAnsi="times"/>
                <w:sz w:val="20"/>
              </w:rPr>
            </w:pPr>
            <w:r>
              <w:rPr>
                <w:rFonts w:ascii="times" w:hAnsi="times"/>
                <w:sz w:val="20"/>
              </w:rPr>
              <w:t>Title:</w:t>
            </w:r>
          </w:p>
        </w:tc>
        <w:tc>
          <w:tcPr>
            <w:tcW w:w="252" w:type="dxa"/>
            <w:tcBorders/>
            <w:shd w:fill="auto" w:val="clear"/>
          </w:tcPr>
          <w:p>
            <w:pPr>
              <w:pStyle w:val="TableContents"/>
              <w:spacing w:before="0" w:after="283"/>
              <w:rPr/>
            </w:pPr>
            <w:r>
              <w:rPr/>
              <w:t> </w:t>
            </w:r>
          </w:p>
        </w:tc>
        <w:tc>
          <w:tcPr>
            <w:tcW w:w="3220" w:type="dxa"/>
            <w:tcBorders/>
            <w:shd w:fill="auto" w:val="clear"/>
          </w:tcPr>
          <w:p>
            <w:pPr>
              <w:pStyle w:val="TableContents"/>
              <w:spacing w:before="0" w:after="283"/>
              <w:rPr>
                <w:rFonts w:ascii="times" w:hAnsi="times"/>
                <w:sz w:val="20"/>
              </w:rPr>
            </w:pPr>
            <w:r>
              <w:rPr>
                <w:rFonts w:ascii="times" w:hAnsi="times"/>
                <w:sz w:val="20"/>
              </w:rPr>
              <w:t>Senior Vice-President, Finance and Chief Financial Officer and Director</w:t>
            </w:r>
          </w:p>
        </w:tc>
      </w:tr>
    </w:tbl>
    <w:p>
      <w:pPr>
        <w:pStyle w:val="TextBody"/>
        <w:rPr/>
      </w:pPr>
      <w:r>
        <w:rPr/>
        <w:t>        </w:t>
      </w:r>
      <w:r>
        <w:rPr>
          <w:rFonts w:ascii="times" w:hAnsi="times"/>
          <w:sz w:val="20"/>
        </w:rPr>
        <w:t xml:space="preserve">This statement has been signed by the following person in the capacity and on the date indicated. </w:t>
      </w:r>
    </w:p>
    <w:p>
      <w:pPr>
        <w:pStyle w:val="TextBody"/>
        <w:rPr>
          <w:rFonts w:ascii="times" w:hAnsi="times"/>
          <w:sz w:val="20"/>
        </w:rPr>
      </w:pPr>
      <w:r>
        <w:rPr>
          <w:rFonts w:ascii="times" w:hAnsi="times"/>
          <w:sz w:val="20"/>
        </w:rPr>
        <w:t xml:space="preserve">Authorized Agent in the United States </w:t>
      </w:r>
    </w:p>
    <w:tbl>
      <w:tblPr>
        <w:tblW w:w="5000" w:type="pct"/>
        <w:jc w:val="center"/>
        <w:tblInd w:w="0" w:type="dxa"/>
        <w:tblCellMar>
          <w:top w:w="0" w:type="dxa"/>
          <w:left w:w="0" w:type="dxa"/>
          <w:bottom w:w="0" w:type="dxa"/>
          <w:right w:w="0" w:type="dxa"/>
        </w:tblCellMar>
      </w:tblPr>
      <w:tblGrid>
        <w:gridCol w:w="433"/>
        <w:gridCol w:w="260"/>
        <w:gridCol w:w="3401"/>
        <w:gridCol w:w="260"/>
        <w:gridCol w:w="5851"/>
      </w:tblGrid>
      <w:tr>
        <w:trPr/>
        <w:tc>
          <w:tcPr>
            <w:tcW w:w="433" w:type="dxa"/>
            <w:tcBorders/>
            <w:shd w:fill="auto" w:val="clear"/>
            <w:vAlign w:val="center"/>
          </w:tcPr>
          <w:p>
            <w:pPr>
              <w:pStyle w:val="TableContents"/>
              <w:spacing w:before="0" w:after="283"/>
              <w:rPr>
                <w:sz w:val="4"/>
                <w:szCs w:val="4"/>
              </w:rPr>
            </w:pPr>
            <w:r>
              <w:rPr>
                <w:sz w:val="4"/>
                <w:szCs w:val="4"/>
              </w:rPr>
            </w:r>
          </w:p>
        </w:tc>
        <w:tc>
          <w:tcPr>
            <w:tcW w:w="260" w:type="dxa"/>
            <w:tcBorders/>
            <w:shd w:fill="auto" w:val="clear"/>
            <w:vAlign w:val="center"/>
          </w:tcPr>
          <w:p>
            <w:pPr>
              <w:pStyle w:val="TableContents"/>
              <w:spacing w:before="0" w:after="283"/>
              <w:rPr>
                <w:sz w:val="4"/>
                <w:szCs w:val="4"/>
              </w:rPr>
            </w:pPr>
            <w:r>
              <w:rPr>
                <w:sz w:val="4"/>
                <w:szCs w:val="4"/>
              </w:rPr>
            </w:r>
          </w:p>
        </w:tc>
        <w:tc>
          <w:tcPr>
            <w:tcW w:w="3401" w:type="dxa"/>
            <w:tcBorders/>
            <w:shd w:fill="auto" w:val="clear"/>
            <w:vAlign w:val="center"/>
          </w:tcPr>
          <w:p>
            <w:pPr>
              <w:pStyle w:val="TableContents"/>
              <w:spacing w:before="0" w:after="283"/>
              <w:rPr>
                <w:sz w:val="4"/>
                <w:szCs w:val="4"/>
              </w:rPr>
            </w:pPr>
            <w:r>
              <w:rPr>
                <w:sz w:val="4"/>
                <w:szCs w:val="4"/>
              </w:rPr>
            </w:r>
          </w:p>
        </w:tc>
        <w:tc>
          <w:tcPr>
            <w:tcW w:w="260" w:type="dxa"/>
            <w:tcBorders/>
            <w:shd w:fill="auto" w:val="clear"/>
            <w:vAlign w:val="center"/>
          </w:tcPr>
          <w:p>
            <w:pPr>
              <w:pStyle w:val="TableContents"/>
              <w:spacing w:before="0" w:after="283"/>
              <w:rPr>
                <w:sz w:val="4"/>
                <w:szCs w:val="4"/>
              </w:rPr>
            </w:pPr>
            <w:r>
              <w:rPr>
                <w:sz w:val="4"/>
                <w:szCs w:val="4"/>
              </w:rPr>
            </w:r>
          </w:p>
        </w:tc>
        <w:tc>
          <w:tcPr>
            <w:tcW w:w="5851" w:type="dxa"/>
            <w:tcBorders/>
            <w:shd w:fill="auto" w:val="clear"/>
            <w:vAlign w:val="center"/>
          </w:tcPr>
          <w:p>
            <w:pPr>
              <w:pStyle w:val="TableContents"/>
              <w:spacing w:before="0" w:after="283"/>
              <w:rPr>
                <w:sz w:val="4"/>
                <w:szCs w:val="4"/>
              </w:rPr>
            </w:pPr>
            <w:r>
              <w:rPr>
                <w:sz w:val="4"/>
                <w:szCs w:val="4"/>
              </w:rPr>
            </w:r>
          </w:p>
        </w:tc>
      </w:tr>
      <w:tr>
        <w:trPr/>
        <w:tc>
          <w:tcPr>
            <w:tcW w:w="433" w:type="dxa"/>
            <w:tcBorders/>
            <w:shd w:fill="auto" w:val="clear"/>
          </w:tcPr>
          <w:p>
            <w:pPr>
              <w:pStyle w:val="TableContents"/>
              <w:spacing w:before="0" w:after="283"/>
              <w:rPr>
                <w:rFonts w:ascii="times" w:hAnsi="times"/>
                <w:sz w:val="20"/>
              </w:rPr>
            </w:pPr>
            <w:r>
              <w:rPr>
                <w:rFonts w:ascii="times" w:hAnsi="times"/>
                <w:sz w:val="20"/>
              </w:rPr>
              <w:t>By:</w:t>
            </w:r>
          </w:p>
        </w:tc>
        <w:tc>
          <w:tcPr>
            <w:tcW w:w="260" w:type="dxa"/>
            <w:tcBorders/>
            <w:shd w:fill="auto" w:val="clear"/>
          </w:tcPr>
          <w:p>
            <w:pPr>
              <w:pStyle w:val="TableContents"/>
              <w:spacing w:before="0" w:after="283"/>
              <w:rPr/>
            </w:pPr>
            <w:r>
              <w:rPr/>
              <w:t> </w:t>
            </w:r>
          </w:p>
        </w:tc>
        <w:tc>
          <w:tcPr>
            <w:tcW w:w="3401" w:type="dxa"/>
            <w:tcBorders/>
            <w:shd w:fill="auto" w:val="clear"/>
          </w:tcPr>
          <w:p>
            <w:pPr>
              <w:pStyle w:val="TableContents"/>
              <w:spacing w:before="0" w:after="0"/>
              <w:rPr>
                <w:rFonts w:ascii="times" w:hAnsi="times"/>
              </w:rPr>
            </w:pPr>
            <w:r>
              <w:rPr>
                <w:rFonts w:ascii="times" w:hAnsi="times"/>
              </w:rPr>
              <w:t>/s/ GERALD D. SHEPHERD</w:t>
            </w:r>
          </w:p>
          <w:p>
            <w:pPr>
              <w:pStyle w:val="HorizontalLine"/>
              <w:pBdr>
                <w:bottom w:val="single" w:sz="6" w:space="0" w:color="000000"/>
              </w:pBdr>
              <w:spacing w:before="0" w:after="283"/>
              <w:rPr>
                <w:rFonts w:ascii="times" w:hAnsi="times" w:eastAsia="times" w:cs="times"/>
              </w:rPr>
            </w:pPr>
            <w:r>
              <w:rPr>
                <w:rFonts w:eastAsia="times" w:cs="times" w:ascii="times" w:hAnsi="times"/>
              </w:rPr>
            </w:r>
          </w:p>
        </w:tc>
        <w:tc>
          <w:tcPr>
            <w:tcW w:w="260" w:type="dxa"/>
            <w:tcBorders/>
            <w:shd w:fill="auto" w:val="clear"/>
          </w:tcPr>
          <w:p>
            <w:pPr>
              <w:pStyle w:val="TableContents"/>
              <w:spacing w:before="0" w:after="283"/>
              <w:rPr/>
            </w:pPr>
            <w:r>
              <w:rPr/>
              <w:t> </w:t>
            </w:r>
          </w:p>
        </w:tc>
        <w:tc>
          <w:tcPr>
            <w:tcW w:w="5851" w:type="dxa"/>
            <w:tcBorders/>
            <w:shd w:fill="auto" w:val="clear"/>
          </w:tcPr>
          <w:p>
            <w:pPr>
              <w:pStyle w:val="TableContents"/>
              <w:spacing w:before="0" w:after="283"/>
              <w:rPr/>
            </w:pPr>
            <w:r>
              <w:rPr/>
              <w:t> </w:t>
            </w:r>
          </w:p>
        </w:tc>
      </w:tr>
      <w:tr>
        <w:trPr/>
        <w:tc>
          <w:tcPr>
            <w:tcW w:w="433" w:type="dxa"/>
            <w:tcBorders/>
            <w:shd w:fill="auto" w:val="clear"/>
          </w:tcPr>
          <w:p>
            <w:pPr>
              <w:pStyle w:val="TableContents"/>
              <w:spacing w:before="0" w:after="283"/>
              <w:rPr/>
            </w:pPr>
            <w:r>
              <w:rPr/>
              <w:t> </w:t>
            </w:r>
          </w:p>
        </w:tc>
        <w:tc>
          <w:tcPr>
            <w:tcW w:w="260" w:type="dxa"/>
            <w:tcBorders/>
            <w:shd w:fill="auto" w:val="clear"/>
          </w:tcPr>
          <w:p>
            <w:pPr>
              <w:pStyle w:val="TableContents"/>
              <w:spacing w:before="0" w:after="283"/>
              <w:rPr/>
            </w:pPr>
            <w:r>
              <w:rPr/>
              <w:t> </w:t>
            </w:r>
          </w:p>
        </w:tc>
        <w:tc>
          <w:tcPr>
            <w:tcW w:w="3401" w:type="dxa"/>
            <w:tcBorders/>
            <w:shd w:fill="auto" w:val="clear"/>
          </w:tcPr>
          <w:p>
            <w:pPr>
              <w:pStyle w:val="TableContents"/>
              <w:spacing w:before="0" w:after="283"/>
              <w:rPr>
                <w:rFonts w:ascii="times" w:hAnsi="times"/>
                <w:sz w:val="20"/>
              </w:rPr>
            </w:pPr>
            <w:r>
              <w:rPr>
                <w:rFonts w:ascii="times" w:hAnsi="times"/>
                <w:sz w:val="20"/>
              </w:rPr>
              <w:t>Gerald D. Shepherd</w:t>
            </w:r>
          </w:p>
        </w:tc>
        <w:tc>
          <w:tcPr>
            <w:tcW w:w="260" w:type="dxa"/>
            <w:tcBorders/>
            <w:shd w:fill="auto" w:val="clear"/>
          </w:tcPr>
          <w:p>
            <w:pPr>
              <w:pStyle w:val="TableContents"/>
              <w:spacing w:before="0" w:after="283"/>
              <w:rPr/>
            </w:pPr>
            <w:r>
              <w:rPr/>
              <w:t> </w:t>
            </w:r>
          </w:p>
        </w:tc>
        <w:tc>
          <w:tcPr>
            <w:tcW w:w="5851" w:type="dxa"/>
            <w:tcBorders/>
            <w:shd w:fill="auto" w:val="clear"/>
          </w:tcPr>
          <w:p>
            <w:pPr>
              <w:pStyle w:val="TableContents"/>
              <w:spacing w:before="0" w:after="283"/>
              <w:rPr/>
            </w:pPr>
            <w:r>
              <w:rPr/>
              <w:t> </w:t>
            </w:r>
          </w:p>
        </w:tc>
      </w:tr>
    </w:tbl>
    <w:p>
      <w:pPr>
        <w:pStyle w:val="TextBody"/>
        <w:rPr>
          <w:rFonts w:ascii="times" w:hAnsi="times"/>
          <w:sz w:val="20"/>
        </w:rPr>
      </w:pPr>
      <w:r>
        <w:rPr>
          <w:rFonts w:ascii="times" w:hAnsi="times"/>
          <w:sz w:val="20"/>
        </w:rPr>
        <w:t xml:space="preserve">Date: January 13, 2009 </w:t>
      </w:r>
    </w:p>
    <w:p>
      <w:pPr>
        <w:pStyle w:val="TextBody"/>
        <w:jc w:val="center"/>
        <w:rPr>
          <w:rFonts w:ascii="times" w:hAnsi="times"/>
          <w:sz w:val="20"/>
        </w:rPr>
      </w:pPr>
      <w:r>
        <w:rPr>
          <w:rFonts w:ascii="times" w:hAnsi="times"/>
          <w:sz w:val="20"/>
        </w:rPr>
        <w:t>3</w:t>
      </w:r>
    </w:p>
    <w:p>
      <w:pPr>
        <w:pStyle w:val="HorizontalLine"/>
        <w:pBdr>
          <w:bottom w:val="single" w:sz="20" w:space="0" w:color="808080"/>
        </w:pBdr>
        <w:rPr/>
      </w:pPr>
      <w:r>
        <w:rPr/>
      </w:r>
      <w:r>
        <w:br w:type="page"/>
      </w:r>
    </w:p>
    <w:p>
      <w:pPr>
        <w:pStyle w:val="TextBody"/>
        <w:rPr/>
      </w:pPr>
      <w:r>
        <w:rPr/>
      </w:r>
    </w:p>
    <w:p>
      <w:pPr>
        <w:pStyle w:val="TextBody"/>
        <w:rPr/>
      </w:pPr>
      <w:r>
        <w:rPr/>
        <w:br/>
      </w:r>
      <w:bookmarkStart w:id="7" w:name="09ZAF79903_1"/>
      <w:bookmarkEnd w:id="7"/>
      <w:r>
        <w:rPr/>
        <w:t>QuickLinks</w:t>
      </w:r>
    </w:p>
    <w:p>
      <w:pPr>
        <w:pStyle w:val="TextBody"/>
        <w:spacing w:before="0" w:after="283"/>
        <w:rPr/>
      </w:pPr>
      <w:hyperlink w:anchor="toc_ba79903_1">
        <w:r>
          <w:rPr>
            <w:rStyle w:val="InternetLink"/>
            <w:rFonts w:ascii="times" w:hAnsi="times"/>
            <w:sz w:val="20"/>
          </w:rPr>
          <w:t>AGNICO-EAGLE MINES LIMITED</w:t>
        </w:r>
      </w:hyperlink>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OpenSymbol">
    <w:altName w:val="Arial Unicode MS"/>
    <w:charset w:val="02"/>
    <w:family w:val="auto"/>
    <w:pitch w:val="default"/>
  </w:font>
  <w:font w:name="Liberation Sans">
    <w:altName w:val="Arial"/>
    <w:charset w:val="00"/>
    <w:family w:val="swiss"/>
    <w:pitch w:val="variable"/>
  </w:font>
  <w:font w:name="times">
    <w:altName w:val="Times New Roman"/>
    <w:charset w:val="00"/>
    <w:family w:val="auto"/>
    <w:pitch w:val="default"/>
  </w:font>
  <w:font w:name="WINGDINGS">
    <w:charset w:val="00"/>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ListHeading">
    <w:name w:val="List Heading"/>
    <w:basedOn w:val="Normal"/>
    <w:next w:val="ListContents"/>
    <w:qFormat/>
    <w:pPr>
      <w:ind w:left="0" w:right="0" w:hanging="0"/>
    </w:pPr>
    <w:rPr/>
  </w:style>
  <w:style w:type="paragraph" w:styleId="ListContents">
    <w:name w:val="List Contents"/>
    <w:basedOn w:val="Normal"/>
    <w:qFormat/>
    <w:pPr>
      <w:ind w:left="567" w:right="0" w:hanging="0"/>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4</Pages>
  <Words>1064</Words>
  <CharactersWithSpaces>6264</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