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rPr/>
      </w:pPr>
      <w:bookmarkStart w:id="0" w:name="a2177776z6-k.htm"/>
      <w:bookmarkStart w:id="1" w:name="ksa2177776z6k"/>
      <w:bookmarkEnd w:id="0"/>
      <w:bookmarkEnd w:id="1"/>
      <w:r>
        <w:rPr/>
        <w:br/>
      </w:r>
      <w:hyperlink w:anchor="07ZBP46202_1">
        <w:r>
          <w:rPr>
            <w:rStyle w:val="InternetLink"/>
            <w:sz w:val="24"/>
          </w:rPr>
          <w:t>QuickLinks</w:t>
        </w:r>
      </w:hyperlink>
      <w:r>
        <w:rPr/>
        <w:t xml:space="preserve"> </w:t>
      </w:r>
      <w:r>
        <w:rPr>
          <w:sz w:val="24"/>
        </w:rPr>
        <w:t>-- Click here to rapidly navigate through this document</w:t>
      </w:r>
      <w:r>
        <w:rPr/>
        <w:t xml:space="preserve"> </w:t>
      </w:r>
    </w:p>
    <w:p>
      <w:pPr>
        <w:pStyle w:val="HorizontalLine"/>
        <w:pBdr>
          <w:bottom w:val="single" w:sz="24" w:space="0" w:color="808080"/>
        </w:pBdr>
        <w:rPr/>
      </w:pPr>
      <w:r>
        <w:rPr/>
      </w:r>
    </w:p>
    <w:p>
      <w:pPr>
        <w:pStyle w:val="HorizontalLine"/>
        <w:pBdr>
          <w:bottom w:val="single" w:sz="6" w:space="0" w:color="808080"/>
        </w:pBdr>
        <w:rPr/>
      </w:pPr>
      <w:r>
        <w:rPr/>
      </w:r>
    </w:p>
    <w:p>
      <w:pPr>
        <w:pStyle w:val="TextBody"/>
        <w:jc w:val="center"/>
        <w:rPr>
          <w:b/>
          <w:sz w:val="36"/>
        </w:rPr>
      </w:pPr>
      <w:r>
        <w:rPr>
          <w:b/>
          <w:sz w:val="36"/>
        </w:rPr>
        <w:t xml:space="preserve">FORM 6-K </w:t>
      </w:r>
    </w:p>
    <w:p>
      <w:pPr>
        <w:pStyle w:val="TextBody"/>
        <w:jc w:val="center"/>
        <w:rPr/>
      </w:pPr>
      <w:r>
        <w:rPr>
          <w:b/>
          <w:sz w:val="36"/>
        </w:rPr>
        <w:t>SECURITIES AND EXCHANGE COMMISSION</w:t>
        <w:br/>
      </w:r>
      <w:r>
        <w:rPr>
          <w:b/>
          <w:sz w:val="20"/>
        </w:rPr>
        <w:t xml:space="preserve">Washington, D.C. 20549 </w:t>
      </w:r>
    </w:p>
    <w:p>
      <w:pPr>
        <w:pStyle w:val="TextBody"/>
        <w:jc w:val="center"/>
        <w:rPr>
          <w:b/>
          <w:sz w:val="24"/>
        </w:rPr>
      </w:pPr>
      <w:r>
        <w:rPr>
          <w:b/>
          <w:sz w:val="24"/>
        </w:rPr>
        <w:t xml:space="preserve">Report of Foreign Private Issuer </w:t>
      </w:r>
    </w:p>
    <w:p>
      <w:pPr>
        <w:pStyle w:val="TextBody"/>
        <w:jc w:val="center"/>
        <w:rPr>
          <w:b/>
          <w:sz w:val="24"/>
        </w:rPr>
      </w:pPr>
      <w:r>
        <w:rPr>
          <w:b/>
          <w:sz w:val="24"/>
        </w:rPr>
        <w:t>Pursuant to Rule 13a-16 or 15d-16 under the</w:t>
        <w:br/>
        <w:t xml:space="preserve">Securities Exchange Act of 1934 </w:t>
      </w:r>
    </w:p>
    <w:p>
      <w:pPr>
        <w:pStyle w:val="TextBody"/>
        <w:jc w:val="center"/>
        <w:rPr>
          <w:sz w:val="20"/>
        </w:rPr>
      </w:pPr>
      <w:r>
        <w:rPr>
          <w:sz w:val="20"/>
        </w:rPr>
        <w:t xml:space="preserve">Commission File Number 001-13422 </w:t>
      </w:r>
    </w:p>
    <w:p>
      <w:pPr>
        <w:pStyle w:val="TextBody"/>
        <w:jc w:val="center"/>
        <w:rPr/>
      </w:pPr>
      <w:r>
        <w:rPr>
          <w:b/>
          <w:sz w:val="36"/>
        </w:rPr>
        <w:t>AGNICO-EAGLE MINES LIMITED</w:t>
        <w:br/>
      </w:r>
      <w:r>
        <w:rPr>
          <w:sz w:val="20"/>
        </w:rPr>
        <w:t>145 King Street</w:t>
        <w:br/>
        <w:t>Suite 500</w:t>
        <w:br/>
        <w:t>Toronto, Ontario</w:t>
        <w:br/>
        <w:t>Canada M5C 2Y7</w:t>
        <w:br/>
      </w:r>
      <w:r>
        <w:rPr>
          <w:i/>
          <w:sz w:val="20"/>
        </w:rPr>
        <w:t xml:space="preserve">(Address of principal executive offices.) </w:t>
      </w:r>
    </w:p>
    <w:p>
      <w:pPr>
        <w:pStyle w:val="TextBody"/>
        <w:rPr>
          <w:sz w:val="20"/>
        </w:rPr>
      </w:pPr>
      <w:r>
        <w:rPr>
          <w:sz w:val="20"/>
        </w:rPr>
        <w:t xml:space="preserve">Indicate by check mark whether the registrant files or will file annual reports under cover of Form 20-F or Form 40-F. </w:t>
      </w:r>
    </w:p>
    <w:tbl>
      <w:tblPr>
        <w:tblW w:w="4500" w:type="pct"/>
        <w:jc w:val="center"/>
        <w:tblInd w:w="0" w:type="dxa"/>
        <w:tblCellMar>
          <w:top w:w="0" w:type="dxa"/>
          <w:left w:w="0" w:type="dxa"/>
          <w:bottom w:w="0" w:type="dxa"/>
          <w:right w:w="0" w:type="dxa"/>
        </w:tblCellMar>
      </w:tblPr>
      <w:tblGrid>
        <w:gridCol w:w="2156"/>
        <w:gridCol w:w="186"/>
        <w:gridCol w:w="2156"/>
        <w:gridCol w:w="187"/>
        <w:gridCol w:w="2156"/>
        <w:gridCol w:w="186"/>
        <w:gridCol w:w="2157"/>
      </w:tblGrid>
      <w:tr>
        <w:trPr/>
        <w:tc>
          <w:tcPr>
            <w:tcW w:w="2156" w:type="dxa"/>
            <w:tcBorders/>
            <w:shd w:fill="auto" w:val="clear"/>
          </w:tcPr>
          <w:p>
            <w:pPr>
              <w:pStyle w:val="TableContents"/>
              <w:spacing w:before="0" w:after="283"/>
              <w:jc w:val="right"/>
              <w:rPr>
                <w:sz w:val="20"/>
              </w:rPr>
            </w:pPr>
            <w:r>
              <w:rPr>
                <w:sz w:val="20"/>
              </w:rPr>
              <w:t>Form 20-F</w:t>
            </w:r>
          </w:p>
        </w:tc>
        <w:tc>
          <w:tcPr>
            <w:tcW w:w="186" w:type="dxa"/>
            <w:tcBorders/>
            <w:shd w:fill="auto" w:val="clear"/>
          </w:tcPr>
          <w:p>
            <w:pPr>
              <w:pStyle w:val="TableContents"/>
              <w:spacing w:before="0" w:after="283"/>
              <w:rPr/>
            </w:pPr>
            <w:r>
              <w:rPr/>
              <w:t> </w:t>
            </w:r>
          </w:p>
        </w:tc>
        <w:tc>
          <w:tcPr>
            <w:tcW w:w="2156" w:type="dxa"/>
            <w:tcBorders/>
            <w:shd w:fill="auto" w:val="clear"/>
          </w:tcPr>
          <w:p>
            <w:pPr>
              <w:pStyle w:val="TableContents"/>
              <w:spacing w:before="0" w:after="283"/>
              <w:rPr/>
            </w:pPr>
            <w:r>
              <w:rPr/>
              <w:t>☒</w:t>
            </w:r>
          </w:p>
        </w:tc>
        <w:tc>
          <w:tcPr>
            <w:tcW w:w="187" w:type="dxa"/>
            <w:tcBorders/>
            <w:shd w:fill="auto" w:val="clear"/>
          </w:tcPr>
          <w:p>
            <w:pPr>
              <w:pStyle w:val="TableContents"/>
              <w:spacing w:before="0" w:after="283"/>
              <w:rPr/>
            </w:pPr>
            <w:r>
              <w:rPr/>
              <w:t> </w:t>
            </w:r>
          </w:p>
        </w:tc>
        <w:tc>
          <w:tcPr>
            <w:tcW w:w="2156" w:type="dxa"/>
            <w:tcBorders/>
            <w:shd w:fill="auto" w:val="clear"/>
          </w:tcPr>
          <w:p>
            <w:pPr>
              <w:pStyle w:val="TableContents"/>
              <w:spacing w:before="0" w:after="283"/>
              <w:jc w:val="right"/>
              <w:rPr>
                <w:sz w:val="20"/>
              </w:rPr>
            </w:pPr>
            <w:r>
              <w:rPr>
                <w:sz w:val="20"/>
              </w:rPr>
              <w:t>Form 40-F</w:t>
            </w:r>
          </w:p>
        </w:tc>
        <w:tc>
          <w:tcPr>
            <w:tcW w:w="186" w:type="dxa"/>
            <w:tcBorders/>
            <w:shd w:fill="auto" w:val="clear"/>
          </w:tcPr>
          <w:p>
            <w:pPr>
              <w:pStyle w:val="TableContents"/>
              <w:spacing w:before="0" w:after="283"/>
              <w:rPr/>
            </w:pPr>
            <w:r>
              <w:rPr/>
              <w:t> </w:t>
            </w:r>
          </w:p>
        </w:tc>
        <w:tc>
          <w:tcPr>
            <w:tcW w:w="2157" w:type="dxa"/>
            <w:tcBorders/>
            <w:shd w:fill="auto" w:val="clear"/>
          </w:tcPr>
          <w:p>
            <w:pPr>
              <w:pStyle w:val="TableContents"/>
              <w:spacing w:before="0" w:after="283"/>
              <w:rPr>
                <w:rFonts w:ascii="WINGDINGS" w:hAnsi="WINGDINGS"/>
                <w:sz w:val="20"/>
              </w:rPr>
            </w:pPr>
            <w:r>
              <w:rPr>
                <w:rFonts w:ascii="WINGDINGS" w:hAnsi="WINGDINGS"/>
                <w:sz w:val="20"/>
              </w:rPr>
              <w:t>o</w:t>
            </w:r>
          </w:p>
        </w:tc>
      </w:tr>
    </w:tbl>
    <w:p>
      <w:pPr>
        <w:pStyle w:val="TextBody"/>
        <w:rPr>
          <w:sz w:val="20"/>
        </w:rPr>
      </w:pPr>
      <w:r>
        <w:rPr>
          <w:sz w:val="20"/>
        </w:rPr>
        <w:t>Indicate by check mark if the registrant is submitting the Form 6-K in paper as permitted by Regulation S-T Rule 101(b)(1): </w:t>
      </w:r>
      <w:r>
        <w:rPr>
          <w:sz w:val="20"/>
          <w:u w:val="single"/>
        </w:rPr>
        <w:t>                             </w:t>
      </w:r>
      <w:r>
        <w:rPr>
          <w:sz w:val="20"/>
        </w:rPr>
        <w:t xml:space="preserve"> </w:t>
      </w:r>
    </w:p>
    <w:p>
      <w:pPr>
        <w:pStyle w:val="TextBody"/>
        <w:rPr>
          <w:sz w:val="20"/>
        </w:rPr>
      </w:pPr>
      <w:r>
        <w:rPr>
          <w:sz w:val="20"/>
        </w:rPr>
        <w:t>Indicate by check mark if the registrant is submitting the Form 6-K in paper as permitted by Regulation S-T Rule 101(b)(7): </w:t>
      </w:r>
      <w:r>
        <w:rPr>
          <w:sz w:val="20"/>
          <w:u w:val="single"/>
        </w:rPr>
        <w:t>                             </w:t>
      </w:r>
      <w:r>
        <w:rPr>
          <w:sz w:val="20"/>
        </w:rPr>
        <w:t xml:space="preserve"> </w:t>
      </w:r>
    </w:p>
    <w:p>
      <w:pPr>
        <w:pStyle w:val="TextBody"/>
        <w:rPr>
          <w:sz w:val="20"/>
        </w:rPr>
      </w:pPr>
      <w:r>
        <w:rPr>
          <w:sz w:val="20"/>
        </w:rPr>
        <w:t xml:space="preserve">Indicate by check mark whether by furnishing the information contained in this Form, the registrant is also thereby furnishing the information to the Commission pursuant to Rule 12g3-2(b) under the Securities Exchange Act of 1934. </w:t>
      </w:r>
    </w:p>
    <w:tbl>
      <w:tblPr>
        <w:tblW w:w="4500" w:type="pct"/>
        <w:jc w:val="center"/>
        <w:tblInd w:w="0" w:type="dxa"/>
        <w:tblCellMar>
          <w:top w:w="0" w:type="dxa"/>
          <w:left w:w="0" w:type="dxa"/>
          <w:bottom w:w="0" w:type="dxa"/>
          <w:right w:w="0" w:type="dxa"/>
        </w:tblCellMar>
      </w:tblPr>
      <w:tblGrid>
        <w:gridCol w:w="2155"/>
        <w:gridCol w:w="187"/>
        <w:gridCol w:w="2156"/>
        <w:gridCol w:w="187"/>
        <w:gridCol w:w="2156"/>
        <w:gridCol w:w="187"/>
        <w:gridCol w:w="2156"/>
      </w:tblGrid>
      <w:tr>
        <w:trPr/>
        <w:tc>
          <w:tcPr>
            <w:tcW w:w="2155" w:type="dxa"/>
            <w:tcBorders/>
            <w:shd w:fill="auto" w:val="clear"/>
          </w:tcPr>
          <w:p>
            <w:pPr>
              <w:pStyle w:val="TableContents"/>
              <w:spacing w:before="0" w:after="283"/>
              <w:jc w:val="right"/>
              <w:rPr>
                <w:sz w:val="20"/>
              </w:rPr>
            </w:pPr>
            <w:r>
              <w:rPr>
                <w:sz w:val="20"/>
              </w:rPr>
              <w:t>Yes</w:t>
            </w:r>
          </w:p>
        </w:tc>
        <w:tc>
          <w:tcPr>
            <w:tcW w:w="187" w:type="dxa"/>
            <w:tcBorders/>
            <w:shd w:fill="auto" w:val="clear"/>
          </w:tcPr>
          <w:p>
            <w:pPr>
              <w:pStyle w:val="TableContents"/>
              <w:spacing w:before="0" w:after="283"/>
              <w:rPr/>
            </w:pPr>
            <w:r>
              <w:rPr/>
              <w:t> </w:t>
            </w:r>
          </w:p>
        </w:tc>
        <w:tc>
          <w:tcPr>
            <w:tcW w:w="2156" w:type="dxa"/>
            <w:tcBorders/>
            <w:shd w:fill="auto" w:val="clear"/>
          </w:tcPr>
          <w:p>
            <w:pPr>
              <w:pStyle w:val="TableContents"/>
              <w:spacing w:before="0" w:after="283"/>
              <w:rPr>
                <w:rFonts w:ascii="WINGDINGS" w:hAnsi="WINGDINGS"/>
                <w:sz w:val="20"/>
              </w:rPr>
            </w:pPr>
            <w:r>
              <w:rPr>
                <w:rFonts w:ascii="WINGDINGS" w:hAnsi="WINGDINGS"/>
                <w:sz w:val="20"/>
              </w:rPr>
              <w:t>o</w:t>
            </w:r>
          </w:p>
        </w:tc>
        <w:tc>
          <w:tcPr>
            <w:tcW w:w="187" w:type="dxa"/>
            <w:tcBorders/>
            <w:shd w:fill="auto" w:val="clear"/>
          </w:tcPr>
          <w:p>
            <w:pPr>
              <w:pStyle w:val="TableContents"/>
              <w:spacing w:before="0" w:after="283"/>
              <w:rPr/>
            </w:pPr>
            <w:r>
              <w:rPr/>
              <w:t> </w:t>
            </w:r>
          </w:p>
        </w:tc>
        <w:tc>
          <w:tcPr>
            <w:tcW w:w="2156" w:type="dxa"/>
            <w:tcBorders/>
            <w:shd w:fill="auto" w:val="clear"/>
          </w:tcPr>
          <w:p>
            <w:pPr>
              <w:pStyle w:val="TableContents"/>
              <w:spacing w:before="0" w:after="283"/>
              <w:jc w:val="right"/>
              <w:rPr>
                <w:sz w:val="20"/>
              </w:rPr>
            </w:pPr>
            <w:r>
              <w:rPr>
                <w:sz w:val="20"/>
              </w:rPr>
              <w:t>No</w:t>
            </w:r>
          </w:p>
        </w:tc>
        <w:tc>
          <w:tcPr>
            <w:tcW w:w="187" w:type="dxa"/>
            <w:tcBorders/>
            <w:shd w:fill="auto" w:val="clear"/>
          </w:tcPr>
          <w:p>
            <w:pPr>
              <w:pStyle w:val="TableContents"/>
              <w:spacing w:before="0" w:after="283"/>
              <w:rPr/>
            </w:pPr>
            <w:r>
              <w:rPr/>
              <w:t> </w:t>
            </w:r>
          </w:p>
        </w:tc>
        <w:tc>
          <w:tcPr>
            <w:tcW w:w="2156" w:type="dxa"/>
            <w:tcBorders/>
            <w:shd w:fill="auto" w:val="clear"/>
          </w:tcPr>
          <w:p>
            <w:pPr>
              <w:pStyle w:val="TableContents"/>
              <w:spacing w:before="0" w:after="283"/>
              <w:rPr/>
            </w:pPr>
            <w:r>
              <w:rPr/>
              <w:t>☒</w:t>
            </w:r>
          </w:p>
        </w:tc>
      </w:tr>
    </w:tbl>
    <w:p>
      <w:pPr>
        <w:pStyle w:val="TextBody"/>
        <w:rPr>
          <w:sz w:val="20"/>
        </w:rPr>
      </w:pPr>
      <w:r>
        <w:rPr>
          <w:sz w:val="20"/>
        </w:rPr>
        <w:t>If "Yes" is marked, indicate below the file number assigned to the registrant in connection with</w:t>
        <w:br/>
        <w:t>Rule 12g3-2(b): 82-</w:t>
      </w:r>
      <w:r>
        <w:rPr>
          <w:sz w:val="20"/>
          <w:u w:val="single"/>
        </w:rPr>
        <w:t>                             </w:t>
      </w:r>
      <w:r>
        <w:rPr>
          <w:sz w:val="20"/>
        </w:rPr>
        <w:t xml:space="preserve"> </w:t>
      </w:r>
    </w:p>
    <w:p>
      <w:pPr>
        <w:pStyle w:val="HorizontalLine"/>
        <w:pBdr>
          <w:bottom w:val="single" w:sz="6" w:space="0" w:color="808080"/>
        </w:pBdr>
        <w:rPr/>
      </w:pPr>
      <w:r>
        <w:rPr/>
      </w:r>
    </w:p>
    <w:p>
      <w:pPr>
        <w:pStyle w:val="HorizontalLine"/>
        <w:pBdr>
          <w:bottom w:val="single" w:sz="24" w:space="0" w:color="808080"/>
        </w:pBdr>
        <w:rPr/>
      </w:pPr>
      <w:r>
        <w:rPr/>
      </w:r>
    </w:p>
    <w:p>
      <w:pPr>
        <w:pStyle w:val="HorizontalLine"/>
        <w:pBdr>
          <w:bottom w:val="single" w:sz="20" w:space="0" w:color="808080"/>
        </w:pBdr>
        <w:rPr/>
      </w:pPr>
      <w:r>
        <w:rPr/>
      </w:r>
      <w:r>
        <w:br w:type="page"/>
      </w:r>
    </w:p>
    <w:p>
      <w:pPr>
        <w:pStyle w:val="TextBody"/>
        <w:jc w:val="center"/>
        <w:rPr/>
      </w:pPr>
      <w:bookmarkStart w:id="2" w:name="toc_bc46202_1"/>
      <w:bookmarkStart w:id="3" w:name="bc46202_signature"/>
      <w:bookmarkEnd w:id="2"/>
      <w:bookmarkEnd w:id="3"/>
      <w:r>
        <w:rPr>
          <w:sz w:val="20"/>
        </w:rPr>
        <w:br/>
      </w:r>
      <w:r>
        <w:rPr>
          <w:b/>
          <w:sz w:val="20"/>
        </w:rPr>
        <w:t xml:space="preserve">SIGNATURE </w:t>
      </w:r>
    </w:p>
    <w:p>
      <w:pPr>
        <w:pStyle w:val="TextBody"/>
        <w:rPr/>
      </w:pPr>
      <w:r>
        <w:rPr/>
        <w:t>        </w:t>
      </w:r>
      <w:r>
        <w:rPr>
          <w:sz w:val="20"/>
        </w:rPr>
        <w:t xml:space="preserve">Pursuant to the requirements of the Securities Exchange Act of 1934, the registrant has duly caused this report to be signed on its behalf by the undersigned, thereunto duly authorized. </w:t>
      </w:r>
    </w:p>
    <w:tbl>
      <w:tblPr>
        <w:tblW w:w="5000" w:type="pct"/>
        <w:jc w:val="left"/>
        <w:tblInd w:w="0" w:type="dxa"/>
        <w:tblCellMar>
          <w:top w:w="0" w:type="dxa"/>
          <w:left w:w="0" w:type="dxa"/>
          <w:bottom w:w="0" w:type="dxa"/>
          <w:right w:w="0" w:type="dxa"/>
        </w:tblCellMar>
      </w:tblPr>
      <w:tblGrid>
        <w:gridCol w:w="4490"/>
        <w:gridCol w:w="204"/>
        <w:gridCol w:w="407"/>
        <w:gridCol w:w="5104"/>
      </w:tblGrid>
      <w:tr>
        <w:trPr/>
        <w:tc>
          <w:tcPr>
            <w:tcW w:w="4490" w:type="dxa"/>
            <w:tcBorders/>
            <w:shd w:fill="auto" w:val="clear"/>
          </w:tcPr>
          <w:p>
            <w:pPr>
              <w:pStyle w:val="TableContents"/>
              <w:spacing w:before="0" w:after="283"/>
              <w:rPr/>
            </w:pPr>
            <w:r>
              <w:rPr/>
              <w:t> </w:t>
            </w:r>
          </w:p>
        </w:tc>
        <w:tc>
          <w:tcPr>
            <w:tcW w:w="204" w:type="dxa"/>
            <w:tcBorders/>
            <w:shd w:fill="auto" w:val="clear"/>
          </w:tcPr>
          <w:p>
            <w:pPr>
              <w:pStyle w:val="TableContents"/>
              <w:spacing w:before="0" w:after="283"/>
              <w:rPr/>
            </w:pPr>
            <w:r>
              <w:rPr/>
              <w:t> </w:t>
            </w:r>
          </w:p>
        </w:tc>
        <w:tc>
          <w:tcPr>
            <w:tcW w:w="5511" w:type="dxa"/>
            <w:gridSpan w:val="2"/>
            <w:tcBorders/>
            <w:shd w:fill="auto" w:val="clear"/>
          </w:tcPr>
          <w:p>
            <w:pPr>
              <w:pStyle w:val="TableContents"/>
              <w:spacing w:before="0" w:after="283"/>
              <w:rPr>
                <w:b/>
                <w:sz w:val="20"/>
              </w:rPr>
            </w:pPr>
            <w:r>
              <w:rPr>
                <w:b/>
                <w:sz w:val="20"/>
              </w:rPr>
              <w:t>AGNICO-EAGLE MINES LIMITED</w:t>
            </w:r>
          </w:p>
        </w:tc>
      </w:tr>
      <w:tr>
        <w:trPr/>
        <w:tc>
          <w:tcPr>
            <w:tcW w:w="4490" w:type="dxa"/>
            <w:tcBorders/>
            <w:shd w:fill="auto" w:val="clear"/>
          </w:tcPr>
          <w:p>
            <w:pPr>
              <w:pStyle w:val="TableContents"/>
              <w:spacing w:before="0" w:after="283"/>
              <w:rPr/>
            </w:pPr>
            <w:r>
              <w:rPr/>
              <w:br/>
            </w:r>
            <w:r>
              <w:rPr>
                <w:sz w:val="20"/>
              </w:rPr>
              <w:t>Date: May 8, 2007</w:t>
            </w:r>
          </w:p>
        </w:tc>
        <w:tc>
          <w:tcPr>
            <w:tcW w:w="204" w:type="dxa"/>
            <w:tcBorders/>
            <w:shd w:fill="auto" w:val="clear"/>
          </w:tcPr>
          <w:p>
            <w:pPr>
              <w:pStyle w:val="TableContents"/>
              <w:spacing w:before="0" w:after="283"/>
              <w:rPr>
                <w:sz w:val="20"/>
              </w:rPr>
            </w:pPr>
            <w:r>
              <w:rPr>
                <w:sz w:val="20"/>
              </w:rPr>
              <w:br/>
              <w:t> </w:t>
            </w:r>
          </w:p>
        </w:tc>
        <w:tc>
          <w:tcPr>
            <w:tcW w:w="407" w:type="dxa"/>
            <w:tcBorders/>
            <w:shd w:fill="auto" w:val="clear"/>
          </w:tcPr>
          <w:p>
            <w:pPr>
              <w:pStyle w:val="TableContents"/>
              <w:spacing w:before="0" w:after="283"/>
              <w:rPr>
                <w:sz w:val="20"/>
              </w:rPr>
            </w:pPr>
            <w:r>
              <w:rPr>
                <w:sz w:val="20"/>
              </w:rPr>
              <w:br/>
              <w:t> </w:t>
            </w:r>
          </w:p>
        </w:tc>
        <w:tc>
          <w:tcPr>
            <w:tcW w:w="5104" w:type="dxa"/>
            <w:tcBorders/>
            <w:shd w:fill="auto" w:val="clear"/>
          </w:tcPr>
          <w:p>
            <w:pPr>
              <w:pStyle w:val="TableContents"/>
              <w:spacing w:before="0" w:after="283"/>
              <w:rPr>
                <w:sz w:val="20"/>
              </w:rPr>
            </w:pPr>
            <w:r>
              <w:rPr>
                <w:sz w:val="20"/>
              </w:rPr>
              <w:br/>
              <w:t> </w:t>
            </w:r>
          </w:p>
        </w:tc>
      </w:tr>
      <w:tr>
        <w:trPr/>
        <w:tc>
          <w:tcPr>
            <w:tcW w:w="4490" w:type="dxa"/>
            <w:tcBorders/>
            <w:shd w:fill="auto" w:val="clear"/>
          </w:tcPr>
          <w:p>
            <w:pPr>
              <w:pStyle w:val="TableContents"/>
              <w:spacing w:before="0" w:after="283"/>
              <w:rPr/>
            </w:pPr>
            <w:r>
              <w:rPr/>
              <w:br/>
              <w:t> </w:t>
            </w:r>
          </w:p>
        </w:tc>
        <w:tc>
          <w:tcPr>
            <w:tcW w:w="204" w:type="dxa"/>
            <w:tcBorders/>
            <w:shd w:fill="auto" w:val="clear"/>
          </w:tcPr>
          <w:p>
            <w:pPr>
              <w:pStyle w:val="TableContents"/>
              <w:spacing w:before="0" w:after="283"/>
              <w:rPr>
                <w:sz w:val="20"/>
              </w:rPr>
            </w:pPr>
            <w:r>
              <w:rPr>
                <w:sz w:val="20"/>
              </w:rPr>
              <w:br/>
              <w:t> </w:t>
            </w:r>
          </w:p>
        </w:tc>
        <w:tc>
          <w:tcPr>
            <w:tcW w:w="407" w:type="dxa"/>
            <w:tcBorders/>
            <w:shd w:fill="auto" w:val="clear"/>
          </w:tcPr>
          <w:p>
            <w:pPr>
              <w:pStyle w:val="TableContents"/>
              <w:spacing w:before="0" w:after="283"/>
              <w:rPr>
                <w:sz w:val="20"/>
              </w:rPr>
            </w:pPr>
            <w:r>
              <w:rPr>
                <w:sz w:val="20"/>
              </w:rPr>
              <w:br/>
              <w:t>By:</w:t>
            </w:r>
          </w:p>
        </w:tc>
        <w:tc>
          <w:tcPr>
            <w:tcW w:w="5104" w:type="dxa"/>
            <w:tcBorders/>
            <w:shd w:fill="auto" w:val="clear"/>
          </w:tcPr>
          <w:p>
            <w:pPr>
              <w:pStyle w:val="TableContents"/>
              <w:spacing w:before="0" w:after="0"/>
              <w:rPr/>
            </w:pPr>
            <w:r>
              <w:rPr>
                <w:sz w:val="20"/>
              </w:rPr>
              <w:br/>
              <w:t>/s/  R. GREGORY LAING</w:t>
            </w:r>
            <w:r>
              <w:rPr/>
              <w:t>      </w:t>
            </w:r>
          </w:p>
          <w:p>
            <w:pPr>
              <w:pStyle w:val="HorizontalLine"/>
              <w:pBdr>
                <w:bottom w:val="single" w:sz="20" w:space="0" w:color="808080"/>
              </w:pBdr>
              <w:rPr/>
            </w:pPr>
            <w:r>
              <w:rPr/>
            </w:r>
          </w:p>
          <w:p>
            <w:pPr>
              <w:pStyle w:val="TableContents"/>
              <w:spacing w:before="0" w:after="283"/>
              <w:rPr>
                <w:sz w:val="20"/>
              </w:rPr>
            </w:pPr>
            <w:r>
              <w:rPr>
                <w:sz w:val="20"/>
              </w:rPr>
              <w:t>By: R. Gregory Laing</w:t>
              <w:br/>
              <w:t>Title:  General Counsel, Senior Vice President, Legal and</w:t>
              <w:br/>
              <w:t>           Corporate Secretary</w:t>
            </w:r>
          </w:p>
        </w:tc>
      </w:tr>
    </w:tbl>
    <w:p>
      <w:pPr>
        <w:pStyle w:val="HorizontalLine"/>
        <w:pBdr>
          <w:bottom w:val="single" w:sz="20" w:space="0" w:color="808080"/>
        </w:pBdr>
        <w:rPr/>
      </w:pPr>
      <w:r>
        <w:rPr/>
      </w:r>
      <w:r>
        <w:br w:type="page"/>
      </w:r>
    </w:p>
    <w:p>
      <w:pPr>
        <w:pStyle w:val="TextBody"/>
        <w:jc w:val="center"/>
        <w:rPr/>
      </w:pPr>
      <w:bookmarkStart w:id="4" w:name="toc_be46202_1"/>
      <w:bookmarkStart w:id="5" w:name="be46202_exhibit_index"/>
      <w:bookmarkEnd w:id="4"/>
      <w:bookmarkEnd w:id="5"/>
      <w:r>
        <w:rPr>
          <w:sz w:val="20"/>
        </w:rPr>
        <w:br/>
      </w:r>
      <w:r>
        <w:rPr>
          <w:b/>
          <w:sz w:val="20"/>
        </w:rPr>
        <w:t xml:space="preserve">EXHIBIT INDEX </w:t>
      </w:r>
    </w:p>
    <w:tbl>
      <w:tblPr>
        <w:tblW w:w="5000" w:type="pct"/>
        <w:jc w:val="left"/>
        <w:tblInd w:w="0" w:type="dxa"/>
        <w:tblCellMar>
          <w:top w:w="0" w:type="dxa"/>
          <w:left w:w="0" w:type="dxa"/>
          <w:bottom w:w="0" w:type="dxa"/>
          <w:right w:w="0" w:type="dxa"/>
        </w:tblCellMar>
      </w:tblPr>
      <w:tblGrid>
        <w:gridCol w:w="713"/>
        <w:gridCol w:w="203"/>
        <w:gridCol w:w="9289"/>
      </w:tblGrid>
      <w:tr>
        <w:trPr/>
        <w:tc>
          <w:tcPr>
            <w:tcW w:w="713" w:type="dxa"/>
            <w:tcBorders/>
            <w:shd w:fill="auto" w:val="clear"/>
            <w:vAlign w:val="bottom"/>
          </w:tcPr>
          <w:p>
            <w:pPr>
              <w:pStyle w:val="TableHeading"/>
              <w:spacing w:before="0" w:after="0"/>
              <w:jc w:val="center"/>
              <w:rPr>
                <w:b/>
                <w:sz w:val="14"/>
              </w:rPr>
            </w:pPr>
            <w:r>
              <w:rPr>
                <w:b/>
                <w:sz w:val="14"/>
              </w:rPr>
              <w:t>Exhibit</w:t>
            </w:r>
          </w:p>
          <w:p>
            <w:pPr>
              <w:pStyle w:val="HorizontalLine"/>
              <w:pBdr>
                <w:bottom w:val="single" w:sz="20" w:space="0" w:color="808080"/>
              </w:pBdr>
              <w:spacing w:before="0" w:after="283"/>
              <w:rPr/>
            </w:pPr>
            <w:r>
              <w:rPr/>
            </w:r>
          </w:p>
        </w:tc>
        <w:tc>
          <w:tcPr>
            <w:tcW w:w="203" w:type="dxa"/>
            <w:tcBorders/>
            <w:shd w:fill="auto" w:val="clear"/>
            <w:vAlign w:val="bottom"/>
          </w:tcPr>
          <w:p>
            <w:pPr>
              <w:pStyle w:val="TableHeading"/>
              <w:suppressLineNumbers/>
              <w:spacing w:before="0" w:after="283"/>
              <w:jc w:val="center"/>
              <w:rPr/>
            </w:pPr>
            <w:r>
              <w:rPr/>
              <w:t> </w:t>
            </w:r>
          </w:p>
        </w:tc>
        <w:tc>
          <w:tcPr>
            <w:tcW w:w="9289" w:type="dxa"/>
            <w:tcBorders/>
            <w:shd w:fill="auto" w:val="clear"/>
            <w:vAlign w:val="bottom"/>
          </w:tcPr>
          <w:p>
            <w:pPr>
              <w:pStyle w:val="TableHeading"/>
              <w:spacing w:before="0" w:after="0"/>
              <w:jc w:val="center"/>
              <w:rPr>
                <w:b/>
                <w:sz w:val="14"/>
              </w:rPr>
            </w:pPr>
            <w:r>
              <w:rPr>
                <w:b/>
                <w:sz w:val="14"/>
              </w:rPr>
              <w:t>Description of Exhibit</w:t>
            </w:r>
          </w:p>
          <w:p>
            <w:pPr>
              <w:pStyle w:val="HorizontalLine"/>
              <w:pBdr>
                <w:bottom w:val="single" w:sz="20" w:space="0" w:color="808080"/>
              </w:pBdr>
              <w:spacing w:before="0" w:after="283"/>
              <w:rPr/>
            </w:pPr>
            <w:r>
              <w:rPr/>
            </w:r>
          </w:p>
        </w:tc>
      </w:tr>
      <w:tr>
        <w:trPr/>
        <w:tc>
          <w:tcPr>
            <w:tcW w:w="713" w:type="dxa"/>
            <w:tcBorders/>
            <w:shd w:fill="CCEEFF" w:val="clear"/>
          </w:tcPr>
          <w:p>
            <w:pPr>
              <w:pStyle w:val="TableContents"/>
              <w:spacing w:before="0" w:after="283"/>
              <w:jc w:val="right"/>
              <w:rPr>
                <w:sz w:val="20"/>
              </w:rPr>
            </w:pPr>
            <w:r>
              <w:rPr>
                <w:sz w:val="20"/>
              </w:rPr>
              <w:t>99.1</w:t>
            </w:r>
          </w:p>
        </w:tc>
        <w:tc>
          <w:tcPr>
            <w:tcW w:w="203" w:type="dxa"/>
            <w:tcBorders/>
            <w:shd w:fill="CCEEFF" w:val="clear"/>
          </w:tcPr>
          <w:p>
            <w:pPr>
              <w:pStyle w:val="TableContents"/>
              <w:spacing w:before="0" w:after="283"/>
              <w:rPr/>
            </w:pPr>
            <w:r>
              <w:rPr/>
              <w:t> </w:t>
            </w:r>
          </w:p>
        </w:tc>
        <w:tc>
          <w:tcPr>
            <w:tcW w:w="9289" w:type="dxa"/>
            <w:tcBorders/>
            <w:shd w:fill="CCEEFF" w:val="clear"/>
          </w:tcPr>
          <w:p>
            <w:pPr>
              <w:pStyle w:val="TableContents"/>
              <w:spacing w:before="0" w:after="283"/>
              <w:rPr>
                <w:sz w:val="20"/>
              </w:rPr>
            </w:pPr>
            <w:r>
              <w:rPr>
                <w:sz w:val="20"/>
              </w:rPr>
              <w:t>Report of Result of Take-Over Bid, dated May 8, 2007.</w:t>
            </w:r>
          </w:p>
        </w:tc>
      </w:tr>
    </w:tbl>
    <w:p>
      <w:pPr>
        <w:pStyle w:val="HorizontalLine"/>
        <w:pBdr>
          <w:bottom w:val="single" w:sz="20" w:space="0" w:color="808080"/>
        </w:pBdr>
        <w:rPr/>
      </w:pPr>
      <w:r>
        <w:rPr/>
      </w:r>
      <w:r>
        <w:br w:type="page"/>
      </w:r>
    </w:p>
    <w:p>
      <w:pPr>
        <w:pStyle w:val="TextBody"/>
        <w:rPr/>
      </w:pPr>
      <w:r>
        <w:rPr/>
      </w:r>
    </w:p>
    <w:p>
      <w:pPr>
        <w:pStyle w:val="TextBody"/>
        <w:rPr/>
      </w:pPr>
      <w:r>
        <w:rPr/>
        <w:br/>
      </w:r>
      <w:bookmarkStart w:id="6" w:name="07ZBP46202_1"/>
      <w:bookmarkEnd w:id="6"/>
      <w:r>
        <w:rPr/>
        <w:t>QuickLinks</w:t>
      </w:r>
    </w:p>
    <w:p>
      <w:pPr>
        <w:pStyle w:val="TextBody"/>
        <w:rPr/>
      </w:pPr>
      <w:hyperlink w:anchor="toc_bc46202_1">
        <w:r>
          <w:rPr>
            <w:rStyle w:val="InternetLink"/>
            <w:sz w:val="20"/>
          </w:rPr>
          <w:t>SIGNATURE</w:t>
        </w:r>
      </w:hyperlink>
      <w:r>
        <w:rPr/>
        <w:br/>
      </w:r>
      <w:hyperlink w:anchor="toc_be46202_1">
        <w:r>
          <w:rPr>
            <w:rStyle w:val="InternetLink"/>
            <w:sz w:val="20"/>
          </w:rPr>
          <w:t>EXHIBIT INDEX</w:t>
        </w:r>
      </w:hyperlink>
      <w:r>
        <w:br w:type="page"/>
      </w:r>
    </w:p>
    <w:p>
      <w:pPr>
        <w:pStyle w:val="TextBody"/>
        <w:rPr/>
      </w:pPr>
      <w:bookmarkStart w:id="7" w:name="a2177776zex-99_1.htm"/>
      <w:bookmarkStart w:id="8" w:name="ksa2177776zex99_1"/>
      <w:bookmarkEnd w:id="7"/>
      <w:bookmarkEnd w:id="8"/>
      <w:r>
        <w:rPr/>
        <w:br/>
      </w:r>
      <w:hyperlink w:anchor="07ZBP46202_2">
        <w:r>
          <w:rPr>
            <w:rStyle w:val="InternetLink"/>
            <w:sz w:val="24"/>
          </w:rPr>
          <w:t>QuickLinks</w:t>
        </w:r>
      </w:hyperlink>
      <w:r>
        <w:rPr/>
        <w:t xml:space="preserve"> </w:t>
      </w:r>
      <w:r>
        <w:rPr>
          <w:sz w:val="24"/>
        </w:rPr>
        <w:t>-- Click here to rapidly navigate through this document</w:t>
      </w:r>
      <w:r>
        <w:rPr/>
        <w:t xml:space="preserve"> </w:t>
      </w:r>
    </w:p>
    <w:p>
      <w:pPr>
        <w:pStyle w:val="TextBody"/>
        <w:jc w:val="right"/>
        <w:rPr>
          <w:b/>
          <w:sz w:val="20"/>
        </w:rPr>
      </w:pPr>
      <w:r>
        <w:rPr>
          <w:b/>
          <w:sz w:val="20"/>
        </w:rPr>
        <w:t xml:space="preserve">Exhibit 99.1 </w:t>
      </w:r>
    </w:p>
    <w:p>
      <w:pPr>
        <w:pStyle w:val="TextBody"/>
        <w:jc w:val="center"/>
        <w:rPr/>
      </w:pPr>
      <w:bookmarkStart w:id="9" w:name="toc_bg46202_1"/>
      <w:bookmarkStart w:id="10" w:name="bg46202_report_of_result_of_take-over___"/>
      <w:bookmarkEnd w:id="9"/>
      <w:bookmarkEnd w:id="10"/>
      <w:r>
        <w:rPr>
          <w:sz w:val="20"/>
        </w:rPr>
        <w:br/>
      </w:r>
      <w:r>
        <w:rPr>
          <w:b/>
          <w:sz w:val="20"/>
        </w:rPr>
        <w:t>REPORT OF RESULT OF TAKE-OVER BID</w:t>
        <w:br/>
        <w:t xml:space="preserve">SECTION 147.10 OF THE SECURITIES ACT (QUÉBEC) </w:t>
      </w:r>
    </w:p>
    <w:p>
      <w:pPr>
        <w:pStyle w:val="ListHeading"/>
        <w:spacing w:before="0" w:after="0"/>
        <w:rPr>
          <w:sz w:val="20"/>
        </w:rPr>
      </w:pPr>
      <w:r>
        <w:rPr>
          <w:sz w:val="20"/>
        </w:rPr>
        <w:t>1.</w:t>
      </w:r>
    </w:p>
    <w:p>
      <w:pPr>
        <w:pStyle w:val="ListContents"/>
        <w:spacing w:before="0" w:after="283"/>
        <w:rPr>
          <w:b/>
          <w:sz w:val="20"/>
        </w:rPr>
      </w:pPr>
      <w:r>
        <w:rPr>
          <w:b/>
          <w:sz w:val="20"/>
        </w:rPr>
        <w:t>Name and address of the Offeree issuer:</w:t>
      </w:r>
    </w:p>
    <w:p>
      <w:pPr>
        <w:pStyle w:val="TextBody"/>
        <w:numPr>
          <w:ilvl w:val="0"/>
          <w:numId w:val="0"/>
        </w:numPr>
        <w:ind w:left="707" w:hanging="0"/>
        <w:rPr/>
      </w:pPr>
      <w:r>
        <w:rPr>
          <w:sz w:val="20"/>
        </w:rPr>
        <w:t>Cumberland Resources Limited ("</w:t>
      </w:r>
      <w:r>
        <w:rPr>
          <w:b/>
          <w:sz w:val="20"/>
        </w:rPr>
        <w:t>Cumberland</w:t>
      </w:r>
      <w:r>
        <w:rPr>
          <w:sz w:val="20"/>
        </w:rPr>
        <w:t>")</w:t>
        <w:br/>
        <w:t>#950 - 505 Burrard Street</w:t>
        <w:br/>
        <w:t>Vancouver, British Columbia</w:t>
        <w:br/>
        <w:t xml:space="preserve">V7X 1M4 </w:t>
      </w:r>
    </w:p>
    <w:p>
      <w:pPr>
        <w:pStyle w:val="ListHeading"/>
        <w:spacing w:before="0" w:after="0"/>
        <w:rPr>
          <w:sz w:val="20"/>
        </w:rPr>
      </w:pPr>
      <w:r>
        <w:rPr>
          <w:sz w:val="20"/>
        </w:rPr>
        <w:t>2.</w:t>
      </w:r>
    </w:p>
    <w:p>
      <w:pPr>
        <w:pStyle w:val="ListContents"/>
        <w:spacing w:before="0" w:after="283"/>
        <w:rPr>
          <w:b/>
          <w:sz w:val="20"/>
        </w:rPr>
      </w:pPr>
      <w:r>
        <w:rPr>
          <w:b/>
          <w:sz w:val="20"/>
        </w:rPr>
        <w:t>Name and address of the Offeror:</w:t>
      </w:r>
    </w:p>
    <w:p>
      <w:pPr>
        <w:pStyle w:val="TextBody"/>
        <w:numPr>
          <w:ilvl w:val="0"/>
          <w:numId w:val="0"/>
        </w:numPr>
        <w:ind w:left="707" w:hanging="0"/>
        <w:rPr/>
      </w:pPr>
      <w:r>
        <w:rPr>
          <w:sz w:val="20"/>
        </w:rPr>
        <w:t>Agnico-Eagle Mines Limited ("</w:t>
      </w:r>
      <w:r>
        <w:rPr>
          <w:b/>
          <w:sz w:val="20"/>
        </w:rPr>
        <w:t>Agnico-Eagle</w:t>
      </w:r>
      <w:r>
        <w:rPr>
          <w:sz w:val="20"/>
        </w:rPr>
        <w:t>")</w:t>
        <w:br/>
        <w:t>Suite 500</w:t>
        <w:br/>
        <w:t>145 King Street East</w:t>
        <w:br/>
        <w:t>Toronto, Ontario</w:t>
        <w:br/>
        <w:t xml:space="preserve">M5C 2Y7 </w:t>
      </w:r>
    </w:p>
    <w:p>
      <w:pPr>
        <w:pStyle w:val="TextBody"/>
        <w:numPr>
          <w:ilvl w:val="0"/>
          <w:numId w:val="0"/>
        </w:numPr>
        <w:ind w:left="707" w:hanging="0"/>
        <w:rPr/>
      </w:pPr>
      <w:r>
        <w:rPr>
          <w:sz w:val="20"/>
        </w:rPr>
        <w:t>Agnico-Eagle Acquisition Corporation ("</w:t>
      </w:r>
      <w:r>
        <w:rPr>
          <w:b/>
          <w:sz w:val="20"/>
        </w:rPr>
        <w:t>Agnico Acquisition</w:t>
      </w:r>
      <w:r>
        <w:rPr>
          <w:sz w:val="20"/>
        </w:rPr>
        <w:t>")</w:t>
        <w:br/>
        <w:t>c/o Agnico Eagle Mines Limited</w:t>
        <w:br/>
        <w:t>Suite 500</w:t>
        <w:br/>
        <w:t>145 King Street East</w:t>
        <w:br/>
        <w:t>Toronto, Ontario</w:t>
        <w:br/>
        <w:t xml:space="preserve">M5C 2Y7 </w:t>
      </w:r>
    </w:p>
    <w:p>
      <w:pPr>
        <w:pStyle w:val="ListHeading"/>
        <w:spacing w:before="0" w:after="0"/>
        <w:rPr>
          <w:sz w:val="20"/>
        </w:rPr>
      </w:pPr>
      <w:r>
        <w:rPr>
          <w:sz w:val="20"/>
        </w:rPr>
        <w:t>3.</w:t>
      </w:r>
    </w:p>
    <w:p>
      <w:pPr>
        <w:pStyle w:val="ListContents"/>
        <w:spacing w:before="0" w:after="283"/>
        <w:rPr>
          <w:b/>
          <w:sz w:val="20"/>
        </w:rPr>
      </w:pPr>
      <w:r>
        <w:rPr>
          <w:b/>
          <w:sz w:val="20"/>
        </w:rPr>
        <w:t>The Bid:</w:t>
      </w:r>
    </w:p>
    <w:p>
      <w:pPr>
        <w:pStyle w:val="TextBody"/>
        <w:numPr>
          <w:ilvl w:val="0"/>
          <w:numId w:val="0"/>
        </w:numPr>
        <w:ind w:left="707" w:hanging="0"/>
        <w:rPr/>
      </w:pPr>
      <w:r>
        <w:rPr>
          <w:sz w:val="20"/>
        </w:rPr>
        <w:t>Agnico-Eagle and its wholly-owned subsidiary, Agnico Acquisition (together, the "</w:t>
      </w:r>
      <w:r>
        <w:rPr>
          <w:b/>
          <w:sz w:val="20"/>
        </w:rPr>
        <w:t>Offerors</w:t>
      </w:r>
      <w:r>
        <w:rPr>
          <w:sz w:val="20"/>
        </w:rPr>
        <w:t>"), pursuant to an offer and circular dated March 12, 2007 (the "</w:t>
      </w:r>
      <w:r>
        <w:rPr>
          <w:b/>
          <w:sz w:val="20"/>
        </w:rPr>
        <w:t>Original Offer</w:t>
      </w:r>
      <w:r>
        <w:rPr>
          <w:sz w:val="20"/>
        </w:rPr>
        <w:t>"), as amended and supplemented by the notice of extension and subsequent offering period dated April 17, 2007 (as amended and supplemented, the "</w:t>
      </w:r>
      <w:r>
        <w:rPr>
          <w:b/>
          <w:sz w:val="20"/>
        </w:rPr>
        <w:t>Offer</w:t>
      </w:r>
      <w:r>
        <w:rPr>
          <w:sz w:val="20"/>
        </w:rPr>
        <w:t>"), made an offer to purchase all of the outstanding common shares (the "</w:t>
      </w:r>
      <w:r>
        <w:rPr>
          <w:b/>
          <w:sz w:val="20"/>
        </w:rPr>
        <w:t>Cumberland Shares</w:t>
      </w:r>
      <w:r>
        <w:rPr>
          <w:sz w:val="20"/>
        </w:rPr>
        <w:t xml:space="preserve">") of Cumberland together with associated rights under Cumberland's shareholder rights plan, other than Cumberland Shares already owned by Agnico-Eagle or its affiliates, including Cumberland Shares that may become outstanding after the date of the Original Offer upon the exercise of Options to acquire Cumberland Shares. </w:t>
      </w:r>
    </w:p>
    <w:p>
      <w:pPr>
        <w:pStyle w:val="ListHeading"/>
        <w:spacing w:before="0" w:after="0"/>
        <w:rPr>
          <w:sz w:val="20"/>
        </w:rPr>
      </w:pPr>
      <w:r>
        <w:rPr>
          <w:sz w:val="20"/>
        </w:rPr>
        <w:t>4.</w:t>
      </w:r>
    </w:p>
    <w:p>
      <w:pPr>
        <w:pStyle w:val="ListContents"/>
        <w:spacing w:before="0" w:after="283"/>
        <w:rPr>
          <w:b/>
          <w:sz w:val="20"/>
        </w:rPr>
      </w:pPr>
      <w:r>
        <w:rPr>
          <w:b/>
          <w:sz w:val="20"/>
        </w:rPr>
        <w:t>Results of the Bid:</w:t>
      </w:r>
    </w:p>
    <w:p>
      <w:pPr>
        <w:pStyle w:val="TextBody"/>
        <w:numPr>
          <w:ilvl w:val="0"/>
          <w:numId w:val="0"/>
        </w:numPr>
        <w:ind w:left="707" w:hanging="0"/>
        <w:rPr>
          <w:sz w:val="20"/>
        </w:rPr>
      </w:pPr>
      <w:r>
        <w:rPr>
          <w:sz w:val="20"/>
        </w:rPr>
        <w:t xml:space="preserve">The Offerors took up and paid for an aggregate of 67,709,867 Cumberland Shares pursuant to the Original Offer. The additional 4,957,905 of Cumberland Shares taken up pursuant to the extension of the Offer, together with the 62,751,962 Cumberland Shares taken up on April 17, 2007 and the other Cumberland Shares owned by the Offerors, represents approximately 92.50% of the outstanding Cumberland Shares. The Offer expired on April 30, 2007 and will not be extended. </w:t>
      </w:r>
    </w:p>
    <w:p>
      <w:pPr>
        <w:pStyle w:val="HorizontalLine"/>
        <w:pBdr>
          <w:bottom w:val="single" w:sz="20" w:space="0" w:color="808080"/>
        </w:pBdr>
        <w:rPr/>
      </w:pPr>
      <w:r>
        <w:rPr/>
      </w:r>
      <w:r>
        <w:br w:type="page"/>
      </w:r>
    </w:p>
    <w:p>
      <w:pPr>
        <w:pStyle w:val="TextBody"/>
        <w:numPr>
          <w:ilvl w:val="0"/>
          <w:numId w:val="0"/>
        </w:numPr>
        <w:ind w:left="707" w:hanging="0"/>
        <w:rPr/>
      </w:pPr>
      <w:bookmarkStart w:id="11" w:name="page_bg46202_1_2"/>
      <w:bookmarkEnd w:id="11"/>
      <w:r>
        <w:rPr>
          <w:sz w:val="20"/>
        </w:rPr>
        <w:t xml:space="preserve">The Offerors intend to exercise their right, pursuant to the compulsory acquisition provisions of section 300 of the </w:t>
      </w:r>
      <w:r>
        <w:rPr>
          <w:i/>
          <w:sz w:val="20"/>
        </w:rPr>
        <w:t>Business Corporations Act</w:t>
      </w:r>
      <w:r>
        <w:rPr/>
        <w:t xml:space="preserve"> </w:t>
      </w:r>
      <w:r>
        <w:rPr>
          <w:sz w:val="20"/>
        </w:rPr>
        <w:t xml:space="preserve">(British Columbia), to acquire all the outstanding Cumberland Shares not already owned by the Offerors. </w:t>
      </w:r>
    </w:p>
    <w:p>
      <w:pPr>
        <w:pStyle w:val="TextBody"/>
        <w:rPr>
          <w:sz w:val="20"/>
        </w:rPr>
      </w:pPr>
      <w:r>
        <w:rPr>
          <w:sz w:val="20"/>
        </w:rPr>
        <w:t>DATED this 8</w:t>
      </w:r>
      <w:r>
        <w:rPr>
          <w:position w:val="7"/>
          <w:sz w:val="16"/>
          <w:sz w:val="20"/>
        </w:rPr>
        <w:t>th</w:t>
      </w:r>
      <w:r>
        <w:rPr>
          <w:sz w:val="20"/>
        </w:rPr>
        <w:t xml:space="preserve"> day of May, 2007. </w:t>
      </w:r>
    </w:p>
    <w:tbl>
      <w:tblPr>
        <w:tblW w:w="5000" w:type="pct"/>
        <w:jc w:val="left"/>
        <w:tblInd w:w="0" w:type="dxa"/>
        <w:tblCellMar>
          <w:top w:w="0" w:type="dxa"/>
          <w:left w:w="0" w:type="dxa"/>
          <w:bottom w:w="0" w:type="dxa"/>
          <w:right w:w="0" w:type="dxa"/>
        </w:tblCellMar>
      </w:tblPr>
      <w:tblGrid>
        <w:gridCol w:w="4490"/>
        <w:gridCol w:w="204"/>
        <w:gridCol w:w="408"/>
        <w:gridCol w:w="5103"/>
      </w:tblGrid>
      <w:tr>
        <w:trPr/>
        <w:tc>
          <w:tcPr>
            <w:tcW w:w="4490" w:type="dxa"/>
            <w:tcBorders/>
            <w:shd w:fill="auto" w:val="clear"/>
          </w:tcPr>
          <w:p>
            <w:pPr>
              <w:pStyle w:val="TableContents"/>
              <w:spacing w:before="0" w:after="283"/>
              <w:rPr/>
            </w:pPr>
            <w:r>
              <w:rPr/>
              <w:t> </w:t>
            </w:r>
          </w:p>
        </w:tc>
        <w:tc>
          <w:tcPr>
            <w:tcW w:w="204" w:type="dxa"/>
            <w:tcBorders/>
            <w:shd w:fill="auto" w:val="clear"/>
          </w:tcPr>
          <w:p>
            <w:pPr>
              <w:pStyle w:val="TableContents"/>
              <w:spacing w:before="0" w:after="283"/>
              <w:rPr/>
            </w:pPr>
            <w:r>
              <w:rPr/>
              <w:t> </w:t>
            </w:r>
          </w:p>
        </w:tc>
        <w:tc>
          <w:tcPr>
            <w:tcW w:w="5511" w:type="dxa"/>
            <w:gridSpan w:val="2"/>
            <w:tcBorders/>
            <w:shd w:fill="auto" w:val="clear"/>
          </w:tcPr>
          <w:p>
            <w:pPr>
              <w:pStyle w:val="TableContents"/>
              <w:spacing w:before="0" w:after="283"/>
              <w:rPr>
                <w:b/>
                <w:sz w:val="20"/>
              </w:rPr>
            </w:pPr>
            <w:r>
              <w:rPr>
                <w:b/>
                <w:sz w:val="20"/>
              </w:rPr>
              <w:t>AGNICO-EAGLE MINES LIMITED.</w:t>
            </w:r>
          </w:p>
        </w:tc>
      </w:tr>
      <w:tr>
        <w:trPr/>
        <w:tc>
          <w:tcPr>
            <w:tcW w:w="4490" w:type="dxa"/>
            <w:tcBorders/>
            <w:shd w:fill="auto" w:val="clear"/>
          </w:tcPr>
          <w:p>
            <w:pPr>
              <w:pStyle w:val="TableContents"/>
              <w:spacing w:before="0" w:after="283"/>
              <w:rPr/>
            </w:pPr>
            <w:r>
              <w:rPr/>
              <w:br/>
              <w:t> </w:t>
            </w:r>
          </w:p>
        </w:tc>
        <w:tc>
          <w:tcPr>
            <w:tcW w:w="204" w:type="dxa"/>
            <w:tcBorders/>
            <w:shd w:fill="auto" w:val="clear"/>
          </w:tcPr>
          <w:p>
            <w:pPr>
              <w:pStyle w:val="TableContents"/>
              <w:spacing w:before="0" w:after="283"/>
              <w:rPr>
                <w:sz w:val="20"/>
              </w:rPr>
            </w:pPr>
            <w:r>
              <w:rPr>
                <w:sz w:val="20"/>
              </w:rPr>
              <w:br/>
              <w:t> </w:t>
            </w:r>
          </w:p>
        </w:tc>
        <w:tc>
          <w:tcPr>
            <w:tcW w:w="408" w:type="dxa"/>
            <w:tcBorders/>
            <w:shd w:fill="auto" w:val="clear"/>
          </w:tcPr>
          <w:p>
            <w:pPr>
              <w:pStyle w:val="TableContents"/>
              <w:spacing w:before="0" w:after="283"/>
              <w:rPr>
                <w:sz w:val="20"/>
              </w:rPr>
            </w:pPr>
            <w:r>
              <w:rPr>
                <w:sz w:val="20"/>
              </w:rPr>
              <w:br/>
              <w:t>By:</w:t>
            </w:r>
          </w:p>
        </w:tc>
        <w:tc>
          <w:tcPr>
            <w:tcW w:w="5103" w:type="dxa"/>
            <w:tcBorders/>
            <w:shd w:fill="auto" w:val="clear"/>
          </w:tcPr>
          <w:p>
            <w:pPr>
              <w:pStyle w:val="TableContents"/>
              <w:spacing w:before="0" w:after="0"/>
              <w:rPr/>
            </w:pPr>
            <w:r>
              <w:rPr>
                <w:sz w:val="20"/>
              </w:rPr>
              <w:br/>
              <w:t>/s/  R. GREGORY LAING</w:t>
            </w:r>
            <w:r>
              <w:rPr/>
              <w:t>      </w:t>
            </w:r>
          </w:p>
          <w:p>
            <w:pPr>
              <w:pStyle w:val="HorizontalLine"/>
              <w:pBdr>
                <w:bottom w:val="single" w:sz="20" w:space="0" w:color="808080"/>
              </w:pBdr>
              <w:rPr/>
            </w:pPr>
            <w:r>
              <w:rPr/>
            </w:r>
          </w:p>
          <w:p>
            <w:pPr>
              <w:pStyle w:val="TableContents"/>
              <w:spacing w:before="0" w:after="283"/>
              <w:rPr>
                <w:sz w:val="20"/>
              </w:rPr>
            </w:pPr>
            <w:r>
              <w:rPr>
                <w:sz w:val="20"/>
              </w:rPr>
              <w:t>R. Gregory Laing</w:t>
              <w:br/>
              <w:t>General Counsel, Senior Vice President,</w:t>
              <w:br/>
              <w:t>Legal and Corporate Secretary</w:t>
            </w:r>
          </w:p>
        </w:tc>
      </w:tr>
    </w:tbl>
    <w:tbl>
      <w:tblPr>
        <w:tblW w:w="4500" w:type="pct"/>
        <w:jc w:val="left"/>
        <w:tblInd w:w="0" w:type="dxa"/>
        <w:tblCellMar>
          <w:top w:w="0" w:type="dxa"/>
          <w:left w:w="0" w:type="dxa"/>
          <w:bottom w:w="0" w:type="dxa"/>
          <w:right w:w="0" w:type="dxa"/>
        </w:tblCellMar>
      </w:tblPr>
      <w:tblGrid>
        <w:gridCol w:w="9184"/>
      </w:tblGrid>
      <w:tr>
        <w:trPr/>
        <w:tc>
          <w:tcPr>
            <w:tcW w:w="9184" w:type="dxa"/>
            <w:tcBorders/>
            <w:shd w:fill="auto" w:val="clear"/>
          </w:tcPr>
          <w:p>
            <w:pPr>
              <w:pStyle w:val="TableContents"/>
              <w:spacing w:before="0" w:after="283"/>
              <w:rPr/>
            </w:pPr>
            <w:r>
              <w:rPr/>
              <w:t> </w:t>
            </w:r>
          </w:p>
        </w:tc>
      </w:tr>
    </w:tbl>
    <w:tbl>
      <w:tblPr>
        <w:tblW w:w="4500" w:type="pct"/>
        <w:jc w:val="left"/>
        <w:tblInd w:w="0" w:type="dxa"/>
        <w:tblCellMar>
          <w:top w:w="0" w:type="dxa"/>
          <w:left w:w="0" w:type="dxa"/>
          <w:bottom w:w="0" w:type="dxa"/>
          <w:right w:w="0" w:type="dxa"/>
        </w:tblCellMar>
      </w:tblPr>
      <w:tblGrid>
        <w:gridCol w:w="9184"/>
      </w:tblGrid>
      <w:tr>
        <w:trPr/>
        <w:tc>
          <w:tcPr>
            <w:tcW w:w="9184" w:type="dxa"/>
            <w:tcBorders/>
            <w:shd w:fill="auto" w:val="clear"/>
          </w:tcPr>
          <w:p>
            <w:pPr>
              <w:pStyle w:val="TableContents"/>
              <w:spacing w:before="0" w:after="283"/>
              <w:rPr/>
            </w:pPr>
            <w:r>
              <w:rPr/>
              <w:t> </w:t>
            </w:r>
          </w:p>
        </w:tc>
      </w:tr>
    </w:tbl>
    <w:tbl>
      <w:tblPr>
        <w:tblW w:w="5000" w:type="pct"/>
        <w:jc w:val="left"/>
        <w:tblInd w:w="0" w:type="dxa"/>
        <w:tblCellMar>
          <w:top w:w="0" w:type="dxa"/>
          <w:left w:w="0" w:type="dxa"/>
          <w:bottom w:w="0" w:type="dxa"/>
          <w:right w:w="0" w:type="dxa"/>
        </w:tblCellMar>
      </w:tblPr>
      <w:tblGrid>
        <w:gridCol w:w="4475"/>
        <w:gridCol w:w="207"/>
        <w:gridCol w:w="332"/>
        <w:gridCol w:w="5191"/>
      </w:tblGrid>
      <w:tr>
        <w:trPr/>
        <w:tc>
          <w:tcPr>
            <w:tcW w:w="4475" w:type="dxa"/>
            <w:tcBorders/>
            <w:shd w:fill="auto" w:val="clear"/>
          </w:tcPr>
          <w:p>
            <w:pPr>
              <w:pStyle w:val="TableContents"/>
              <w:spacing w:before="0" w:after="283"/>
              <w:rPr/>
            </w:pPr>
            <w:r>
              <w:rPr/>
              <w:t> </w:t>
            </w:r>
          </w:p>
        </w:tc>
        <w:tc>
          <w:tcPr>
            <w:tcW w:w="207" w:type="dxa"/>
            <w:tcBorders/>
            <w:shd w:fill="auto" w:val="clear"/>
          </w:tcPr>
          <w:p>
            <w:pPr>
              <w:pStyle w:val="TableContents"/>
              <w:spacing w:before="0" w:after="283"/>
              <w:rPr/>
            </w:pPr>
            <w:r>
              <w:rPr/>
              <w:t> </w:t>
            </w:r>
          </w:p>
        </w:tc>
        <w:tc>
          <w:tcPr>
            <w:tcW w:w="5523" w:type="dxa"/>
            <w:gridSpan w:val="2"/>
            <w:tcBorders/>
            <w:shd w:fill="auto" w:val="clear"/>
          </w:tcPr>
          <w:p>
            <w:pPr>
              <w:pStyle w:val="TableContents"/>
              <w:spacing w:before="0" w:after="283"/>
              <w:rPr>
                <w:b/>
                <w:sz w:val="20"/>
              </w:rPr>
            </w:pPr>
            <w:r>
              <w:rPr>
                <w:b/>
                <w:sz w:val="20"/>
              </w:rPr>
              <w:t>AGNICO-EAGLE ACQUISITION CORPORATION.</w:t>
            </w:r>
          </w:p>
        </w:tc>
      </w:tr>
      <w:tr>
        <w:trPr/>
        <w:tc>
          <w:tcPr>
            <w:tcW w:w="4475" w:type="dxa"/>
            <w:tcBorders/>
            <w:shd w:fill="auto" w:val="clear"/>
          </w:tcPr>
          <w:p>
            <w:pPr>
              <w:pStyle w:val="TableContents"/>
              <w:spacing w:before="0" w:after="283"/>
              <w:rPr/>
            </w:pPr>
            <w:r>
              <w:rPr/>
              <w:br/>
              <w:t> </w:t>
            </w:r>
          </w:p>
        </w:tc>
        <w:tc>
          <w:tcPr>
            <w:tcW w:w="207" w:type="dxa"/>
            <w:tcBorders/>
            <w:shd w:fill="auto" w:val="clear"/>
          </w:tcPr>
          <w:p>
            <w:pPr>
              <w:pStyle w:val="TableContents"/>
              <w:spacing w:before="0" w:after="283"/>
              <w:rPr>
                <w:sz w:val="20"/>
              </w:rPr>
            </w:pPr>
            <w:r>
              <w:rPr>
                <w:sz w:val="20"/>
              </w:rPr>
              <w:br/>
              <w:t> </w:t>
            </w:r>
          </w:p>
        </w:tc>
        <w:tc>
          <w:tcPr>
            <w:tcW w:w="332" w:type="dxa"/>
            <w:tcBorders/>
            <w:shd w:fill="auto" w:val="clear"/>
          </w:tcPr>
          <w:p>
            <w:pPr>
              <w:pStyle w:val="TableContents"/>
              <w:spacing w:before="0" w:after="283"/>
              <w:rPr>
                <w:sz w:val="20"/>
              </w:rPr>
            </w:pPr>
            <w:r>
              <w:rPr>
                <w:sz w:val="20"/>
              </w:rPr>
              <w:br/>
              <w:t>By:</w:t>
            </w:r>
          </w:p>
        </w:tc>
        <w:tc>
          <w:tcPr>
            <w:tcW w:w="5191" w:type="dxa"/>
            <w:tcBorders/>
            <w:shd w:fill="auto" w:val="clear"/>
          </w:tcPr>
          <w:p>
            <w:pPr>
              <w:pStyle w:val="TableContents"/>
              <w:spacing w:before="0" w:after="0"/>
              <w:rPr/>
            </w:pPr>
            <w:r>
              <w:rPr>
                <w:sz w:val="20"/>
              </w:rPr>
              <w:br/>
              <w:t>/s/  R. GREGORY LAING</w:t>
            </w:r>
            <w:r>
              <w:rPr/>
              <w:t>      </w:t>
            </w:r>
          </w:p>
          <w:p>
            <w:pPr>
              <w:pStyle w:val="HorizontalLine"/>
              <w:pBdr>
                <w:bottom w:val="single" w:sz="20" w:space="0" w:color="808080"/>
              </w:pBdr>
              <w:rPr/>
            </w:pPr>
            <w:r>
              <w:rPr/>
            </w:r>
          </w:p>
          <w:p>
            <w:pPr>
              <w:pStyle w:val="TableContents"/>
              <w:spacing w:before="0" w:after="283"/>
              <w:rPr>
                <w:sz w:val="20"/>
              </w:rPr>
            </w:pPr>
            <w:r>
              <w:rPr>
                <w:sz w:val="20"/>
              </w:rPr>
              <w:t>R. Gregory Laing</w:t>
              <w:br/>
              <w:t>Vice President</w:t>
            </w:r>
          </w:p>
        </w:tc>
      </w:tr>
    </w:tbl>
    <w:tbl>
      <w:tblPr>
        <w:tblW w:w="4500" w:type="pct"/>
        <w:jc w:val="left"/>
        <w:tblInd w:w="0" w:type="dxa"/>
        <w:tblCellMar>
          <w:top w:w="0" w:type="dxa"/>
          <w:left w:w="0" w:type="dxa"/>
          <w:bottom w:w="0" w:type="dxa"/>
          <w:right w:w="0" w:type="dxa"/>
        </w:tblCellMar>
      </w:tblPr>
      <w:tblGrid>
        <w:gridCol w:w="9184"/>
      </w:tblGrid>
      <w:tr>
        <w:trPr/>
        <w:tc>
          <w:tcPr>
            <w:tcW w:w="9184" w:type="dxa"/>
            <w:tcBorders/>
            <w:shd w:fill="auto" w:val="clear"/>
          </w:tcPr>
          <w:p>
            <w:pPr>
              <w:pStyle w:val="TableContents"/>
              <w:spacing w:before="0" w:after="283"/>
              <w:rPr/>
            </w:pPr>
            <w:r>
              <w:rPr/>
              <w:t> </w:t>
            </w:r>
          </w:p>
        </w:tc>
      </w:tr>
    </w:tbl>
    <w:tbl>
      <w:tblPr>
        <w:tblW w:w="4500" w:type="pct"/>
        <w:jc w:val="left"/>
        <w:tblInd w:w="0" w:type="dxa"/>
        <w:tblCellMar>
          <w:top w:w="0" w:type="dxa"/>
          <w:left w:w="0" w:type="dxa"/>
          <w:bottom w:w="0" w:type="dxa"/>
          <w:right w:w="0" w:type="dxa"/>
        </w:tblCellMar>
      </w:tblPr>
      <w:tblGrid>
        <w:gridCol w:w="9184"/>
      </w:tblGrid>
      <w:tr>
        <w:trPr/>
        <w:tc>
          <w:tcPr>
            <w:tcW w:w="9184" w:type="dxa"/>
            <w:tcBorders/>
            <w:shd w:fill="auto" w:val="clear"/>
          </w:tcPr>
          <w:p>
            <w:pPr>
              <w:pStyle w:val="TableContents"/>
              <w:spacing w:before="0" w:after="283"/>
              <w:rPr/>
            </w:pPr>
            <w:r>
              <w:rPr/>
              <w:t> </w:t>
            </w:r>
          </w:p>
        </w:tc>
      </w:tr>
    </w:tbl>
    <w:p>
      <w:pPr>
        <w:pStyle w:val="TextBody"/>
        <w:jc w:val="center"/>
        <w:rPr>
          <w:sz w:val="20"/>
        </w:rPr>
      </w:pPr>
      <w:r>
        <w:rPr>
          <w:sz w:val="20"/>
        </w:rPr>
        <w:t>2</w:t>
      </w:r>
    </w:p>
    <w:p>
      <w:pPr>
        <w:pStyle w:val="HorizontalLine"/>
        <w:pBdr>
          <w:bottom w:val="single" w:sz="20" w:space="0" w:color="808080"/>
        </w:pBdr>
        <w:rPr/>
      </w:pPr>
      <w:r>
        <w:rPr/>
      </w:r>
      <w:r>
        <w:br w:type="page"/>
      </w:r>
    </w:p>
    <w:p>
      <w:pPr>
        <w:pStyle w:val="TextBody"/>
        <w:rPr/>
      </w:pPr>
      <w:r>
        <w:rPr/>
      </w:r>
    </w:p>
    <w:p>
      <w:pPr>
        <w:pStyle w:val="TextBody"/>
        <w:rPr/>
      </w:pPr>
      <w:r>
        <w:rPr/>
        <w:br/>
      </w:r>
      <w:bookmarkStart w:id="12" w:name="07ZBP46202_2"/>
      <w:bookmarkEnd w:id="12"/>
      <w:r>
        <w:rPr/>
        <w:t>QuickLinks</w:t>
      </w:r>
    </w:p>
    <w:p>
      <w:pPr>
        <w:pStyle w:val="TextBody"/>
        <w:spacing w:before="0" w:after="283"/>
        <w:rPr/>
      </w:pPr>
      <w:hyperlink w:anchor="toc_bg46202_1">
        <w:r>
          <w:rPr>
            <w:rStyle w:val="InternetLink"/>
            <w:sz w:val="20"/>
          </w:rPr>
          <w:t>REPORT OF RESULT OF TAKE-OVER BID SECTION 147.10 OF THE SECURITIES ACT (QUÉBEC)</w:t>
        </w:r>
      </w:hyperlink>
    </w:p>
    <w:sectPr>
      <w:type w:val="nextPage"/>
      <w:pgSz w:w="11906" w:h="16838"/>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Unicode MS">
    <w:charset w:val="00"/>
    <w:family w:val="auto"/>
    <w:pitch w:val="variable"/>
  </w:font>
  <w:font w:name="OpenSymbol">
    <w:altName w:val="Arial Unicode MS"/>
    <w:charset w:val="02"/>
    <w:family w:val="auto"/>
    <w:pitch w:val="default"/>
  </w:font>
  <w:font w:name="Liberation Sans">
    <w:altName w:val="Arial"/>
    <w:charset w:val="00"/>
    <w:family w:val="swiss"/>
    <w:pitch w:val="variable"/>
  </w:font>
  <w:font w:name="WINGDINGS">
    <w:charset w:val="00"/>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Bullets">
    <w:name w:val="Bullets"/>
    <w:qFormat/>
    <w:rPr>
      <w:rFonts w:ascii="OpenSymbol" w:hAnsi="OpenSymbol" w:eastAsia="OpenSymbol" w:cs="OpenSymbol"/>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extBody">
    <w:name w:val="Body Text"/>
    <w:basedOn w:val="Normal"/>
    <w:pPr>
      <w:spacing w:before="0" w:after="283"/>
    </w:pPr>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Index">
    <w:name w:val="Index"/>
    <w:basedOn w:val="Normal"/>
    <w:qFormat/>
    <w:pPr>
      <w:suppressLineNumbers/>
    </w:pPr>
    <w:rPr/>
  </w:style>
  <w:style w:type="paragraph" w:styleId="Caption">
    <w:name w:val="Caption"/>
    <w:basedOn w:val="Normal"/>
    <w:qFormat/>
    <w:pPr>
      <w:suppressLineNumbers/>
      <w:spacing w:before="120" w:after="120"/>
    </w:pPr>
    <w:rPr>
      <w:i/>
      <w:iCs/>
      <w:sz w:val="24"/>
      <w:szCs w:val="24"/>
    </w:rPr>
  </w:style>
  <w:style w:type="paragraph" w:styleId="List">
    <w:name w:val="List"/>
    <w:basedOn w:val="TextBody"/>
    <w:pPr/>
    <w:rPr/>
  </w:style>
  <w:style w:type="paragraph" w:styleId="TableHeading">
    <w:name w:val="Table Heading"/>
    <w:basedOn w:val="TableContents"/>
    <w:qFormat/>
    <w:pPr>
      <w:suppressLineNumbers/>
      <w:jc w:val="center"/>
    </w:pPr>
    <w:rPr>
      <w:b/>
      <w:bCs/>
    </w:rPr>
  </w:style>
  <w:style w:type="paragraph" w:styleId="ListHeading">
    <w:name w:val="List Heading"/>
    <w:basedOn w:val="Normal"/>
    <w:next w:val="ListContents"/>
    <w:qFormat/>
    <w:pPr>
      <w:ind w:left="0" w:right="0" w:hanging="0"/>
    </w:pPr>
    <w:rPr/>
  </w:style>
  <w:style w:type="paragraph" w:styleId="ListContents">
    <w:name w:val="List Contents"/>
    <w:basedOn w:val="Normal"/>
    <w:qFormat/>
    <w:pPr>
      <w:ind w:left="567" w:right="0"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LibreOffice/6.2.2.2$Linux_X86_64 LibreOffice_project/2b840030fec2aae0fd2658d8d4f9548af4e3518d</Application>
  <Pages>7</Pages>
  <Words>636</Words>
  <CharactersWithSpaces>4238</CharactersWithSpaces>
  <Paragraphs>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