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June, 2018</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3" w:lineRule="exact"/>
        <w:rPr>
          <w:sz w:val="24"/>
          <w:szCs w:val="24"/>
          <w:color w:val="auto"/>
        </w:rPr>
      </w:pPr>
    </w:p>
    <w:p>
      <w:pPr>
        <w:spacing w:after="0"/>
        <w:tabs>
          <w:tab w:leader="none" w:pos="1080" w:val="left"/>
        </w:tabs>
        <w:rPr>
          <w:sz w:val="20"/>
          <w:szCs w:val="20"/>
          <w:color w:val="auto"/>
        </w:rPr>
      </w:pPr>
      <w:r>
        <w:rPr>
          <w:rFonts w:ascii="Arial" w:cs="Arial" w:eastAsia="Arial" w:hAnsi="Arial"/>
          <w:sz w:val="18"/>
          <w:szCs w:val="18"/>
          <w:color w:val="auto"/>
        </w:rPr>
        <w:t>Form 20-F o</w:t>
      </w:r>
      <w:r>
        <w:rPr>
          <w:sz w:val="20"/>
          <w:szCs w:val="20"/>
          <w:color w:val="auto"/>
        </w:rPr>
        <w:tab/>
      </w:r>
      <w:r>
        <w:rPr>
          <w:rFonts w:ascii="Arial" w:cs="Arial" w:eastAsia="Arial" w:hAnsi="Arial"/>
          <w:sz w:val="16"/>
          <w:szCs w:val="16"/>
          <w:color w:val="auto"/>
        </w:rPr>
        <w:t>Form 40-F x</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50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920" w:type="dxa"/>
            <w:vAlign w:val="bottom"/>
          </w:tcPr>
          <w:p>
            <w:pPr>
              <w:jc w:val="center"/>
              <w:ind w:right="141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160" w:type="dxa"/>
            <w:vAlign w:val="bottom"/>
            <w:gridSpan w:val="2"/>
          </w:tcPr>
          <w:p>
            <w:pPr>
              <w:jc w:val="right"/>
              <w:ind w:right="350"/>
              <w:spacing w:after="0"/>
              <w:rPr>
                <w:sz w:val="20"/>
                <w:szCs w:val="20"/>
                <w:color w:val="auto"/>
              </w:rPr>
            </w:pPr>
            <w:r>
              <w:rPr>
                <w:rFonts w:ascii="Arial" w:cs="Arial" w:eastAsia="Arial" w:hAnsi="Arial"/>
                <w:sz w:val="14"/>
                <w:szCs w:val="14"/>
                <w:b w:val="1"/>
                <w:bCs w:val="1"/>
                <w:color w:val="auto"/>
                <w:w w:val="95"/>
              </w:rPr>
              <w:t>Exhibit No.</w:t>
            </w:r>
          </w:p>
        </w:tc>
        <w:tc>
          <w:tcPr>
            <w:tcW w:w="340" w:type="dxa"/>
            <w:vAlign w:val="bottom"/>
          </w:tcPr>
          <w:p>
            <w:pPr>
              <w:spacing w:after="0"/>
              <w:rPr>
                <w:sz w:val="24"/>
                <w:szCs w:val="24"/>
                <w:color w:val="auto"/>
              </w:rPr>
            </w:pPr>
          </w:p>
        </w:tc>
        <w:tc>
          <w:tcPr>
            <w:tcW w:w="9920" w:type="dxa"/>
            <w:vAlign w:val="bottom"/>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195"/>
        </w:trPr>
        <w:tc>
          <w:tcPr>
            <w:tcW w:w="20" w:type="dxa"/>
            <w:vAlign w:val="bottom"/>
          </w:tcPr>
          <w:p>
            <w:pPr>
              <w:spacing w:after="0"/>
              <w:rPr>
                <w:sz w:val="16"/>
                <w:szCs w:val="16"/>
                <w:color w:val="auto"/>
              </w:rPr>
            </w:pPr>
          </w:p>
        </w:tc>
        <w:tc>
          <w:tcPr>
            <w:tcW w:w="1140" w:type="dxa"/>
            <w:vAlign w:val="bottom"/>
            <w:tcBorders>
              <w:top w:val="single" w:sz="8" w:color="auto"/>
            </w:tcBorders>
          </w:tcPr>
          <w:p>
            <w:pPr>
              <w:jc w:val="right"/>
              <w:ind w:right="330"/>
              <w:spacing w:after="0" w:line="195" w:lineRule="exact"/>
              <w:rPr>
                <w:sz w:val="20"/>
                <w:szCs w:val="20"/>
                <w:color w:val="auto"/>
              </w:rPr>
            </w:pPr>
            <w:r>
              <w:rPr>
                <w:rFonts w:ascii="Arial" w:cs="Arial" w:eastAsia="Arial" w:hAnsi="Arial"/>
                <w:sz w:val="18"/>
                <w:szCs w:val="18"/>
                <w:color w:val="auto"/>
              </w:rPr>
              <w:t>99.1</w:t>
            </w:r>
          </w:p>
        </w:tc>
        <w:tc>
          <w:tcPr>
            <w:tcW w:w="340" w:type="dxa"/>
            <w:vAlign w:val="bottom"/>
          </w:tcPr>
          <w:p>
            <w:pPr>
              <w:spacing w:after="0"/>
              <w:rPr>
                <w:sz w:val="16"/>
                <w:szCs w:val="16"/>
                <w:color w:val="auto"/>
              </w:rPr>
            </w:pPr>
          </w:p>
        </w:tc>
        <w:tc>
          <w:tcPr>
            <w:tcW w:w="99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1"/>
              </w:rPr>
              <w:t>Press Release dated June 21, 2018 providing notice of Release of the Corporation’s Second Quarter 2018 Results, Conference Call and</w:t>
            </w:r>
          </w:p>
        </w:tc>
      </w:tr>
      <w:tr>
        <w:trPr>
          <w:trHeight w:val="230"/>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Webcast</w:t>
            </w:r>
          </w:p>
        </w:tc>
      </w:tr>
      <w:tr>
        <w:trPr>
          <w:trHeight w:val="432"/>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920" w:type="dxa"/>
            <w:vAlign w:val="bottom"/>
          </w:tcPr>
          <w:p>
            <w:pPr>
              <w:jc w:val="center"/>
              <w:ind w:right="139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46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5420" w:type="dxa"/>
            <w:vAlign w:val="bottom"/>
            <w:gridSpan w:val="3"/>
          </w:tcPr>
          <w:p>
            <w:pPr>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46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2320" w:type="dxa"/>
            <w:vAlign w:val="bottom"/>
            <w:tcBorders>
              <w:top w:val="single" w:sz="8" w:color="auto"/>
            </w:tcBorders>
          </w:tcPr>
          <w:p>
            <w:pPr>
              <w:ind w:left="260"/>
              <w:spacing w:after="0"/>
              <w:rPr>
                <w:sz w:val="20"/>
                <w:szCs w:val="20"/>
                <w:color w:val="auto"/>
              </w:rPr>
            </w:pPr>
            <w:r>
              <w:rPr>
                <w:rFonts w:ascii="Arial" w:cs="Arial" w:eastAsia="Arial" w:hAnsi="Arial"/>
                <w:sz w:val="18"/>
                <w:szCs w:val="18"/>
                <w:color w:val="auto"/>
              </w:rPr>
              <w:t>(Registrant)</w:t>
            </w:r>
          </w:p>
        </w:tc>
        <w:tc>
          <w:tcPr>
            <w:tcW w:w="27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3460" w:type="dxa"/>
            <w:vAlign w:val="bottom"/>
          </w:tcPr>
          <w:p>
            <w:pPr>
              <w:spacing w:after="0"/>
              <w:rPr>
                <w:sz w:val="20"/>
                <w:szCs w:val="20"/>
                <w:color w:val="auto"/>
              </w:rPr>
            </w:pPr>
            <w:r>
              <w:rPr>
                <w:rFonts w:ascii="Arial" w:cs="Arial" w:eastAsia="Arial" w:hAnsi="Arial"/>
                <w:sz w:val="18"/>
                <w:szCs w:val="18"/>
                <w:color w:val="auto"/>
              </w:rPr>
              <w:t>Date: 06/25/2018</w:t>
            </w:r>
          </w:p>
        </w:tc>
        <w:tc>
          <w:tcPr>
            <w:tcW w:w="2540" w:type="dxa"/>
            <w:vAlign w:val="bottom"/>
          </w:tcPr>
          <w:p>
            <w:pPr>
              <w:spacing w:after="0"/>
              <w:rPr>
                <w:sz w:val="24"/>
                <w:szCs w:val="24"/>
                <w:color w:val="auto"/>
              </w:rPr>
            </w:pPr>
          </w:p>
        </w:tc>
        <w:tc>
          <w:tcPr>
            <w:tcW w:w="5420" w:type="dxa"/>
            <w:vAlign w:val="bottom"/>
            <w:gridSpan w:val="3"/>
          </w:tcPr>
          <w:p>
            <w:pPr>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460" w:type="dxa"/>
            <w:vAlign w:val="bottom"/>
          </w:tcPr>
          <w:p>
            <w:pPr>
              <w:spacing w:after="0"/>
              <w:rPr>
                <w:sz w:val="16"/>
                <w:szCs w:val="16"/>
                <w:color w:val="auto"/>
              </w:rPr>
            </w:pPr>
          </w:p>
        </w:tc>
        <w:tc>
          <w:tcPr>
            <w:tcW w:w="25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502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46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020" w:type="dxa"/>
            <w:vAlign w:val="bottom"/>
            <w:gridSpan w:val="2"/>
          </w:tcPr>
          <w:p>
            <w:pPr>
              <w:spacing w:after="0"/>
              <w:rPr>
                <w:sz w:val="20"/>
                <w:szCs w:val="20"/>
                <w:color w:val="auto"/>
              </w:rPr>
            </w:pPr>
            <w:r>
              <w:rPr>
                <w:rFonts w:ascii="Arial" w:cs="Arial" w:eastAsia="Arial" w:hAnsi="Arial"/>
                <w:sz w:val="18"/>
                <w:szCs w:val="18"/>
                <w:color w:val="auto"/>
              </w:rPr>
              <w:t>General Counsel, Sr. Vice-President, Legal</w:t>
            </w:r>
          </w:p>
        </w:tc>
        <w:tc>
          <w:tcPr>
            <w:tcW w:w="40" w:type="dxa"/>
            <w:vAlign w:val="bottom"/>
          </w:tcPr>
          <w:p>
            <w:pPr>
              <w:spacing w:after="0"/>
              <w:rPr>
                <w:sz w:val="18"/>
                <w:szCs w:val="18"/>
                <w:color w:val="auto"/>
              </w:rPr>
            </w:pPr>
          </w:p>
        </w:tc>
      </w:tr>
      <w:tr>
        <w:trPr>
          <w:trHeight w:val="230"/>
        </w:trPr>
        <w:tc>
          <w:tcPr>
            <w:tcW w:w="346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020" w:type="dxa"/>
            <w:vAlign w:val="bottom"/>
            <w:gridSpan w:val="2"/>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460" w:type="dxa"/>
            <w:vAlign w:val="bottom"/>
          </w:tcPr>
          <w:p>
            <w:pPr>
              <w:spacing w:after="0"/>
              <w:rPr>
                <w:sz w:val="24"/>
                <w:szCs w:val="24"/>
                <w:color w:val="auto"/>
              </w:rPr>
            </w:pPr>
          </w:p>
        </w:tc>
        <w:tc>
          <w:tcPr>
            <w:tcW w:w="2540" w:type="dxa"/>
            <w:vAlign w:val="bottom"/>
          </w:tcPr>
          <w:p>
            <w:pPr>
              <w:jc w:val="right"/>
              <w:ind w:right="150"/>
              <w:spacing w:after="0"/>
              <w:rPr>
                <w:sz w:val="20"/>
                <w:szCs w:val="20"/>
                <w:color w:val="auto"/>
              </w:rPr>
            </w:pPr>
            <w:r>
              <w:rPr>
                <w:rFonts w:ascii="Arial" w:cs="Arial" w:eastAsia="Arial" w:hAnsi="Arial"/>
                <w:sz w:val="18"/>
                <w:szCs w:val="18"/>
                <w:color w:val="auto"/>
              </w:rPr>
              <w:t>2</w:t>
            </w:r>
          </w:p>
        </w:tc>
        <w:tc>
          <w:tcPr>
            <w:tcW w:w="40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460" w:type="dxa"/>
            <w:vAlign w:val="bottom"/>
            <w:tcBorders>
              <w:bottom w:val="single" w:sz="8" w:color="808080"/>
            </w:tcBorders>
          </w:tcPr>
          <w:p>
            <w:pPr>
              <w:spacing w:after="0"/>
              <w:rPr>
                <w:sz w:val="11"/>
                <w:szCs w:val="11"/>
                <w:color w:val="auto"/>
              </w:rPr>
            </w:pPr>
          </w:p>
        </w:tc>
        <w:tc>
          <w:tcPr>
            <w:tcW w:w="2540" w:type="dxa"/>
            <w:vAlign w:val="bottom"/>
            <w:tcBorders>
              <w:bottom w:val="single" w:sz="8" w:color="808080"/>
            </w:tcBorders>
          </w:tcPr>
          <w:p>
            <w:pPr>
              <w:spacing w:after="0"/>
              <w:rPr>
                <w:sz w:val="11"/>
                <w:szCs w:val="11"/>
                <w:color w:val="auto"/>
              </w:rPr>
            </w:pPr>
          </w:p>
        </w:tc>
        <w:tc>
          <w:tcPr>
            <w:tcW w:w="400" w:type="dxa"/>
            <w:vAlign w:val="bottom"/>
            <w:tcBorders>
              <w:bottom w:val="single" w:sz="8" w:color="808080"/>
            </w:tcBorders>
          </w:tcPr>
          <w:p>
            <w:pPr>
              <w:spacing w:after="0"/>
              <w:rPr>
                <w:sz w:val="11"/>
                <w:szCs w:val="11"/>
                <w:color w:val="auto"/>
              </w:rPr>
            </w:pPr>
          </w:p>
        </w:tc>
        <w:tc>
          <w:tcPr>
            <w:tcW w:w="2320" w:type="dxa"/>
            <w:vAlign w:val="bottom"/>
            <w:tcBorders>
              <w:bottom w:val="single" w:sz="8" w:color="808080"/>
            </w:tcBorders>
          </w:tcPr>
          <w:p>
            <w:pPr>
              <w:spacing w:after="0"/>
              <w:rPr>
                <w:sz w:val="11"/>
                <w:szCs w:val="11"/>
                <w:color w:val="auto"/>
              </w:rPr>
            </w:pPr>
          </w:p>
        </w:tc>
        <w:tc>
          <w:tcPr>
            <w:tcW w:w="27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694"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1576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1576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further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(416) 947-1212</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PROVIDES NOTICE OF RELEASE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SECOND QUARTER 2018 RESULTS, CONFERENCE CALL AND WEBCAST</w:t>
      </w:r>
    </w:p>
    <w:p>
      <w:pPr>
        <w:spacing w:after="0" w:line="207" w:lineRule="exact"/>
        <w:rPr>
          <w:sz w:val="20"/>
          <w:szCs w:val="20"/>
          <w:color w:val="auto"/>
        </w:rPr>
      </w:pPr>
    </w:p>
    <w:p>
      <w:pPr>
        <w:ind w:right="460"/>
        <w:spacing w:after="0" w:line="282" w:lineRule="auto"/>
        <w:rPr>
          <w:sz w:val="20"/>
          <w:szCs w:val="20"/>
          <w:color w:val="auto"/>
        </w:rPr>
      </w:pPr>
      <w:r>
        <w:rPr>
          <w:rFonts w:ascii="Arial" w:cs="Arial" w:eastAsia="Arial" w:hAnsi="Arial"/>
          <w:sz w:val="18"/>
          <w:szCs w:val="18"/>
          <w:color w:val="auto"/>
        </w:rPr>
        <w:t xml:space="preserve">Toronto (June 21, 2018) – </w:t>
      </w:r>
      <w:r>
        <w:rPr>
          <w:rFonts w:ascii="Arial" w:cs="Arial" w:eastAsia="Arial" w:hAnsi="Arial"/>
          <w:sz w:val="18"/>
          <w:szCs w:val="18"/>
          <w:b w:val="1"/>
          <w:bCs w:val="1"/>
          <w:color w:val="auto"/>
        </w:rPr>
        <w:t>Agnico Eagle Mines Limited</w:t>
      </w:r>
      <w:r>
        <w:rPr>
          <w:rFonts w:ascii="Arial" w:cs="Arial" w:eastAsia="Arial" w:hAnsi="Arial"/>
          <w:sz w:val="18"/>
          <w:szCs w:val="18"/>
          <w:color w:val="auto"/>
        </w:rPr>
        <w:t xml:space="preserve"> (NYSE: AEM) (TSX: AEM) (“Agnico Eagle” or the “Company”) today announced that it will release its second quarter 2018 results on Wednesday, July 25, 2018, after normal trading hours.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Second Quarter 2018 Results Conference Call and Webcast</w:t>
      </w:r>
    </w:p>
    <w:p>
      <w:pPr>
        <w:spacing w:after="0" w:line="229"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Agnico Eagle’s senior management will host a conference call on Thursday, July 26, 2018 at 11:00 AM (E.D.T.) to discuss the Company’s financial and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Webcast: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conference call will be available on the Company’s website at www.agnicoeagle.com.</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Telephone:</w:t>
      </w:r>
    </w:p>
    <w:p>
      <w:pPr>
        <w:spacing w:after="0" w:line="27" w:lineRule="exact"/>
        <w:rPr>
          <w:sz w:val="20"/>
          <w:szCs w:val="20"/>
          <w:color w:val="auto"/>
        </w:rPr>
      </w:pPr>
    </w:p>
    <w:p>
      <w:pPr>
        <w:ind w:right="220"/>
        <w:spacing w:after="0" w:line="261" w:lineRule="auto"/>
        <w:rPr>
          <w:sz w:val="20"/>
          <w:szCs w:val="20"/>
          <w:color w:val="auto"/>
        </w:rPr>
      </w:pPr>
      <w:r>
        <w:rPr>
          <w:rFonts w:ascii="Arial" w:cs="Arial" w:eastAsia="Arial" w:hAnsi="Arial"/>
          <w:sz w:val="18"/>
          <w:szCs w:val="18"/>
          <w:color w:val="auto"/>
        </w:rPr>
        <w:t>For those preferring to listen by telephone, please dial 1-647-427-7450 or toll-free 1-888-231-8191. To ensure your participation, please call approximately ten minutes prior to the scheduled start of the call.</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Replay archive: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Please dial 1-416-849-0833 or toll-free 1-855-859-2056, access code 3680786. The conference call replay will expire on August 26, 2018.</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the Company’s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Agnico Eagle Mines Limited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145 King Street East,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Toronto, Ontario, M5C 2Y7</w:t>
      </w:r>
    </w:p>
    <w:p>
      <w:pPr>
        <w:spacing w:after="0" w:line="9" w:lineRule="exact"/>
        <w:rPr>
          <w:sz w:val="20"/>
          <w:szCs w:val="20"/>
          <w:color w:val="auto"/>
        </w:rPr>
      </w:pPr>
    </w:p>
    <w:p>
      <w:pPr>
        <w:spacing w:after="0"/>
        <w:tabs>
          <w:tab w:leader="none" w:pos="1240" w:val="left"/>
        </w:tabs>
        <w:rPr>
          <w:sz w:val="20"/>
          <w:szCs w:val="20"/>
          <w:color w:val="auto"/>
        </w:rPr>
      </w:pPr>
      <w:r>
        <w:rPr>
          <w:rFonts w:ascii="Arial" w:cs="Arial" w:eastAsia="Arial" w:hAnsi="Arial"/>
          <w:sz w:val="18"/>
          <w:szCs w:val="18"/>
          <w:color w:val="auto"/>
        </w:rPr>
        <w:t>Telephone:</w:t>
      </w:r>
      <w:r>
        <w:rPr>
          <w:sz w:val="20"/>
          <w:szCs w:val="20"/>
          <w:color w:val="auto"/>
        </w:rPr>
        <w:tab/>
      </w:r>
      <w:r>
        <w:rPr>
          <w:rFonts w:ascii="Arial" w:cs="Arial" w:eastAsia="Arial" w:hAnsi="Arial"/>
          <w:sz w:val="18"/>
          <w:szCs w:val="18"/>
          <w:color w:val="auto"/>
        </w:rPr>
        <w:t>416-947-1212</w:t>
      </w:r>
    </w:p>
    <w:p>
      <w:pPr>
        <w:spacing w:after="0" w:line="9" w:lineRule="exact"/>
        <w:rPr>
          <w:sz w:val="20"/>
          <w:szCs w:val="20"/>
          <w:color w:val="auto"/>
        </w:rPr>
      </w:pPr>
    </w:p>
    <w:p>
      <w:pPr>
        <w:spacing w:after="0"/>
        <w:tabs>
          <w:tab w:leader="none" w:pos="1240" w:val="left"/>
        </w:tabs>
        <w:rPr>
          <w:sz w:val="20"/>
          <w:szCs w:val="20"/>
          <w:color w:val="auto"/>
        </w:rPr>
      </w:pPr>
      <w:r>
        <w:rPr>
          <w:rFonts w:ascii="Arial" w:cs="Arial" w:eastAsia="Arial" w:hAnsi="Arial"/>
          <w:sz w:val="18"/>
          <w:szCs w:val="18"/>
          <w:color w:val="auto"/>
        </w:rPr>
        <w:t>Fax:</w:t>
      </w:r>
      <w:r>
        <w:rPr>
          <w:sz w:val="20"/>
          <w:szCs w:val="20"/>
          <w:color w:val="auto"/>
        </w:rPr>
        <w:tab/>
      </w:r>
      <w:r>
        <w:rPr>
          <w:rFonts w:ascii="Arial" w:cs="Arial" w:eastAsia="Arial" w:hAnsi="Arial"/>
          <w:sz w:val="18"/>
          <w:szCs w:val="18"/>
          <w:color w:val="auto"/>
        </w:rPr>
        <w:t>416-367-4681</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Its eight mines are located in Canada, Finland and Mexico, with exploration and development activities in each of these countries as well as in the United States and Sweden. Agnico Eagle and its shareholders have full exposure to gold prices due to its long-standing policy of no forward gold sales. Agnico Eagle has declared a cash dividend every year since 1983.</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2020-01-15T17:47:46Z</dcterms:created>
  <dcterms:modified xsi:type="dcterms:W3CDTF">2020-01-15T17:47:46Z</dcterms:modified>
</cp:coreProperties>
</file>