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March, 2018</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 Form 20-F o Form 40-F x</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8600" w:val="left"/>
        </w:tabs>
        <w:rPr>
          <w:sz w:val="20"/>
          <w:szCs w:val="20"/>
          <w:color w:val="auto"/>
        </w:rPr>
      </w:pPr>
      <w:r>
        <w:rPr>
          <w:rFonts w:ascii="Arial" w:cs="Arial" w:eastAsia="Arial" w:hAnsi="Arial"/>
          <w:sz w:val="17"/>
          <w:szCs w:val="17"/>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202565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440055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6"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920" w:type="dxa"/>
            <w:vAlign w:val="bottom"/>
          </w:tcPr>
          <w:p>
            <w:pPr>
              <w:jc w:val="center"/>
              <w:ind w:right="141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160" w:type="dxa"/>
            <w:vAlign w:val="bottom"/>
            <w:gridSpan w:val="2"/>
          </w:tcPr>
          <w:p>
            <w:pPr>
              <w:jc w:val="right"/>
              <w:ind w:right="350"/>
              <w:spacing w:after="0"/>
              <w:rPr>
                <w:sz w:val="20"/>
                <w:szCs w:val="20"/>
                <w:color w:val="auto"/>
              </w:rPr>
            </w:pPr>
            <w:r>
              <w:rPr>
                <w:rFonts w:ascii="Arial" w:cs="Arial" w:eastAsia="Arial" w:hAnsi="Arial"/>
                <w:sz w:val="14"/>
                <w:szCs w:val="14"/>
                <w:b w:val="1"/>
                <w:bCs w:val="1"/>
                <w:color w:val="auto"/>
                <w:w w:val="95"/>
              </w:rPr>
              <w:t>Exhibit No.</w:t>
            </w:r>
          </w:p>
        </w:tc>
        <w:tc>
          <w:tcPr>
            <w:tcW w:w="340" w:type="dxa"/>
            <w:vAlign w:val="bottom"/>
          </w:tcPr>
          <w:p>
            <w:pPr>
              <w:spacing w:after="0"/>
              <w:rPr>
                <w:sz w:val="24"/>
                <w:szCs w:val="24"/>
                <w:color w:val="auto"/>
              </w:rPr>
            </w:pPr>
          </w:p>
        </w:tc>
        <w:tc>
          <w:tcPr>
            <w:tcW w:w="9920" w:type="dxa"/>
            <w:vAlign w:val="bottom"/>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195"/>
        </w:trPr>
        <w:tc>
          <w:tcPr>
            <w:tcW w:w="20" w:type="dxa"/>
            <w:vAlign w:val="bottom"/>
          </w:tcPr>
          <w:p>
            <w:pPr>
              <w:spacing w:after="0"/>
              <w:rPr>
                <w:sz w:val="16"/>
                <w:szCs w:val="16"/>
                <w:color w:val="auto"/>
              </w:rPr>
            </w:pPr>
          </w:p>
        </w:tc>
        <w:tc>
          <w:tcPr>
            <w:tcW w:w="1140" w:type="dxa"/>
            <w:vAlign w:val="bottom"/>
            <w:tcBorders>
              <w:top w:val="single" w:sz="8" w:color="auto"/>
            </w:tcBorders>
          </w:tcPr>
          <w:p>
            <w:pPr>
              <w:jc w:val="right"/>
              <w:ind w:right="330"/>
              <w:spacing w:after="0" w:line="195" w:lineRule="exact"/>
              <w:rPr>
                <w:sz w:val="20"/>
                <w:szCs w:val="20"/>
                <w:color w:val="auto"/>
              </w:rPr>
            </w:pPr>
            <w:r>
              <w:rPr>
                <w:rFonts w:ascii="Arial" w:cs="Arial" w:eastAsia="Arial" w:hAnsi="Arial"/>
                <w:sz w:val="18"/>
                <w:szCs w:val="18"/>
                <w:color w:val="auto"/>
              </w:rPr>
              <w:t>99.1</w:t>
            </w:r>
          </w:p>
        </w:tc>
        <w:tc>
          <w:tcPr>
            <w:tcW w:w="340" w:type="dxa"/>
            <w:vAlign w:val="bottom"/>
          </w:tcPr>
          <w:p>
            <w:pPr>
              <w:spacing w:after="0"/>
              <w:rPr>
                <w:sz w:val="16"/>
                <w:szCs w:val="16"/>
                <w:color w:val="auto"/>
              </w:rPr>
            </w:pPr>
          </w:p>
        </w:tc>
        <w:tc>
          <w:tcPr>
            <w:tcW w:w="99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4"/>
              </w:rPr>
              <w:t>Press Release dated March 23, 2018 announcing the release of the Corporation’s First Quarter 2018 results, conference call and its</w:t>
            </w:r>
          </w:p>
        </w:tc>
      </w:tr>
      <w:tr>
        <w:trPr>
          <w:trHeight w:val="230"/>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Annual Meeting.</w:t>
            </w:r>
          </w:p>
        </w:tc>
      </w:tr>
      <w:tr>
        <w:trPr>
          <w:trHeight w:val="432"/>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920" w:type="dxa"/>
            <w:vAlign w:val="bottom"/>
          </w:tcPr>
          <w:p>
            <w:pPr>
              <w:jc w:val="center"/>
              <w:ind w:right="139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62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62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2240" w:type="dxa"/>
            <w:vAlign w:val="bottom"/>
            <w:tcBorders>
              <w:top w:val="single" w:sz="8" w:color="auto"/>
            </w:tcBorders>
          </w:tcPr>
          <w:p>
            <w:pPr>
              <w:ind w:left="240"/>
              <w:spacing w:after="0"/>
              <w:rPr>
                <w:sz w:val="20"/>
                <w:szCs w:val="20"/>
                <w:color w:val="auto"/>
              </w:rPr>
            </w:pPr>
            <w:r>
              <w:rPr>
                <w:rFonts w:ascii="Arial" w:cs="Arial" w:eastAsia="Arial" w:hAnsi="Arial"/>
                <w:sz w:val="18"/>
                <w:szCs w:val="18"/>
                <w:color w:val="auto"/>
              </w:rPr>
              <w:t>(Registrant)</w:t>
            </w:r>
          </w:p>
        </w:tc>
        <w:tc>
          <w:tcPr>
            <w:tcW w:w="29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Date: March 23, 2018</w:t>
            </w:r>
          </w:p>
        </w:tc>
        <w:tc>
          <w:tcPr>
            <w:tcW w:w="2100" w:type="dxa"/>
            <w:vAlign w:val="bottom"/>
          </w:tcPr>
          <w:p>
            <w:pPr>
              <w:spacing w:after="0"/>
              <w:rPr>
                <w:sz w:val="24"/>
                <w:szCs w:val="24"/>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620" w:type="dxa"/>
            <w:vAlign w:val="bottom"/>
          </w:tcPr>
          <w:p>
            <w:pPr>
              <w:spacing w:after="0"/>
              <w:rPr>
                <w:sz w:val="16"/>
                <w:szCs w:val="16"/>
                <w:color w:val="auto"/>
              </w:rPr>
            </w:pPr>
          </w:p>
        </w:tc>
        <w:tc>
          <w:tcPr>
            <w:tcW w:w="2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22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62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General Counsel, Sr. Vice-President, Legal</w:t>
            </w:r>
          </w:p>
        </w:tc>
        <w:tc>
          <w:tcPr>
            <w:tcW w:w="40" w:type="dxa"/>
            <w:vAlign w:val="bottom"/>
          </w:tcPr>
          <w:p>
            <w:pPr>
              <w:spacing w:after="0"/>
              <w:rPr>
                <w:sz w:val="18"/>
                <w:szCs w:val="18"/>
                <w:color w:val="auto"/>
              </w:rPr>
            </w:pPr>
          </w:p>
        </w:tc>
      </w:tr>
      <w:tr>
        <w:trPr>
          <w:trHeight w:val="230"/>
        </w:trPr>
        <w:tc>
          <w:tcPr>
            <w:tcW w:w="362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620" w:type="dxa"/>
            <w:vAlign w:val="bottom"/>
          </w:tcPr>
          <w:p>
            <w:pPr>
              <w:spacing w:after="0"/>
              <w:rPr>
                <w:sz w:val="24"/>
                <w:szCs w:val="24"/>
                <w:color w:val="auto"/>
              </w:rPr>
            </w:pPr>
          </w:p>
        </w:tc>
        <w:tc>
          <w:tcPr>
            <w:tcW w:w="2580" w:type="dxa"/>
            <w:vAlign w:val="bottom"/>
            <w:gridSpan w:val="2"/>
          </w:tcPr>
          <w:p>
            <w:pPr>
              <w:jc w:val="right"/>
              <w:ind w:right="350"/>
              <w:spacing w:after="0"/>
              <w:rPr>
                <w:sz w:val="20"/>
                <w:szCs w:val="20"/>
                <w:color w:val="auto"/>
              </w:rPr>
            </w:pPr>
            <w:r>
              <w:rPr>
                <w:rFonts w:ascii="Arial" w:cs="Arial" w:eastAsia="Arial" w:hAnsi="Arial"/>
                <w:sz w:val="18"/>
                <w:szCs w:val="18"/>
                <w:color w:val="auto"/>
              </w:rPr>
              <w:t>2</w:t>
            </w:r>
          </w:p>
        </w:tc>
        <w:tc>
          <w:tcPr>
            <w:tcW w:w="224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620" w:type="dxa"/>
            <w:vAlign w:val="bottom"/>
            <w:tcBorders>
              <w:bottom w:val="single" w:sz="8" w:color="808080"/>
            </w:tcBorders>
          </w:tcPr>
          <w:p>
            <w:pPr>
              <w:spacing w:after="0"/>
              <w:rPr>
                <w:sz w:val="11"/>
                <w:szCs w:val="11"/>
                <w:color w:val="auto"/>
              </w:rPr>
            </w:pPr>
          </w:p>
        </w:tc>
        <w:tc>
          <w:tcPr>
            <w:tcW w:w="210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2240" w:type="dxa"/>
            <w:vAlign w:val="bottom"/>
            <w:tcBorders>
              <w:bottom w:val="single" w:sz="8" w:color="808080"/>
            </w:tcBorders>
          </w:tcPr>
          <w:p>
            <w:pPr>
              <w:spacing w:after="0"/>
              <w:rPr>
                <w:sz w:val="11"/>
                <w:szCs w:val="11"/>
                <w:color w:val="auto"/>
              </w:rPr>
            </w:pPr>
          </w:p>
        </w:tc>
        <w:tc>
          <w:tcPr>
            <w:tcW w:w="29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1126" w:gutter="0" w:footer="0" w:header="0"/>
        </w:sectPr>
      </w:pPr>
    </w:p>
    <w:bookmarkStart w:id="1" w:name="page2"/>
    <w:bookmarkEnd w:id="1"/>
    <w:p>
      <w:pPr>
        <w:spacing w:after="0" w:line="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2522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522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further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(416) 947-1212</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PROVIDES NOTICE OF RELEASE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FIRST QUARTER 2018 RESULTS, CONFERENCE CALL AND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ANNUAL MEETING</w:t>
      </w:r>
    </w:p>
    <w:p>
      <w:pPr>
        <w:spacing w:after="0" w:line="207" w:lineRule="exact"/>
        <w:rPr>
          <w:sz w:val="20"/>
          <w:szCs w:val="20"/>
          <w:color w:val="auto"/>
        </w:rPr>
      </w:pPr>
    </w:p>
    <w:p>
      <w:pPr>
        <w:ind w:right="120"/>
        <w:spacing w:after="0" w:line="266" w:lineRule="auto"/>
        <w:rPr>
          <w:sz w:val="20"/>
          <w:szCs w:val="20"/>
          <w:color w:val="auto"/>
        </w:rPr>
      </w:pPr>
      <w:r>
        <w:rPr>
          <w:rFonts w:ascii="Arial" w:cs="Arial" w:eastAsia="Arial" w:hAnsi="Arial"/>
          <w:sz w:val="18"/>
          <w:szCs w:val="18"/>
          <w:b w:val="1"/>
          <w:bCs w:val="1"/>
          <w:color w:val="auto"/>
        </w:rPr>
        <w:t xml:space="preserve">Toronto (March 23, 2018) — Agnico Eagle Mines Limited (NYSE: AEM, TSX: AEM) </w:t>
      </w:r>
      <w:r>
        <w:rPr>
          <w:rFonts w:ascii="Arial" w:cs="Arial" w:eastAsia="Arial" w:hAnsi="Arial"/>
          <w:sz w:val="18"/>
          <w:szCs w:val="18"/>
          <w:color w:val="auto"/>
        </w:rPr>
        <w:t>(“Agnico Eagle” or the “Company”) today announced that it will</w:t>
      </w:r>
      <w:r>
        <w:rPr>
          <w:rFonts w:ascii="Arial" w:cs="Arial" w:eastAsia="Arial" w:hAnsi="Arial"/>
          <w:sz w:val="18"/>
          <w:szCs w:val="18"/>
          <w:b w:val="1"/>
          <w:bCs w:val="1"/>
          <w:color w:val="auto"/>
        </w:rPr>
        <w:t xml:space="preserve"> </w:t>
      </w:r>
      <w:r>
        <w:rPr>
          <w:rFonts w:ascii="Arial" w:cs="Arial" w:eastAsia="Arial" w:hAnsi="Arial"/>
          <w:sz w:val="18"/>
          <w:szCs w:val="18"/>
          <w:color w:val="auto"/>
        </w:rPr>
        <w:t>release its first quarter 2018 results on Thursday, April 26, 2018, after normal trading hours. Additionally, the Company will host its Annual and Special Meeting of Shareholders (the “AGM”) the following day, Friday, April 27, 2018, in Toronto.</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 Quarter 2018 Results Conference Call Webcast</w:t>
      </w:r>
    </w:p>
    <w:p>
      <w:pPr>
        <w:spacing w:after="0" w:line="229" w:lineRule="exact"/>
        <w:rPr>
          <w:sz w:val="20"/>
          <w:szCs w:val="20"/>
          <w:color w:val="auto"/>
        </w:rPr>
      </w:pPr>
    </w:p>
    <w:p>
      <w:pPr>
        <w:ind w:right="680"/>
        <w:spacing w:after="0" w:line="277" w:lineRule="auto"/>
        <w:rPr>
          <w:sz w:val="20"/>
          <w:szCs w:val="20"/>
          <w:color w:val="auto"/>
        </w:rPr>
      </w:pPr>
      <w:r>
        <w:rPr>
          <w:rFonts w:ascii="Arial" w:cs="Arial" w:eastAsia="Arial" w:hAnsi="Arial"/>
          <w:sz w:val="18"/>
          <w:szCs w:val="18"/>
          <w:color w:val="auto"/>
        </w:rPr>
        <w:t>Agnico Eagle’s senior management will host a conference call on Friday, April 27, 2018 at 8:30 AM (E.D.T.) to discuss the Company’s financial and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Webcast: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conference call will be available on the Company’s website at www.agnicoeagle.com.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Telephone:</w:t>
      </w:r>
    </w:p>
    <w:p>
      <w:pPr>
        <w:spacing w:after="0" w:line="22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For those preferring to listen by telephone, please dial 1-647-427-7450 or toll-free 1-888-231-8191. To ensure your participation, please call approximately five minutes prior to the scheduled start of the call.</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Replay archive: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dial 1-416-849-0833 or toll-free 1-855-859-2056, access code 7288308. The conference call replay will expire on May 27,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the Company’s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Meeting</w:t>
      </w:r>
    </w:p>
    <w:p>
      <w:pPr>
        <w:spacing w:after="0" w:line="225" w:lineRule="exact"/>
        <w:rPr>
          <w:sz w:val="20"/>
          <w:szCs w:val="20"/>
          <w:color w:val="auto"/>
        </w:rPr>
      </w:pPr>
    </w:p>
    <w:p>
      <w:pPr>
        <w:ind w:right="380"/>
        <w:spacing w:after="0" w:line="282" w:lineRule="auto"/>
        <w:rPr>
          <w:sz w:val="20"/>
          <w:szCs w:val="20"/>
          <w:color w:val="auto"/>
        </w:rPr>
      </w:pPr>
      <w:r>
        <w:rPr>
          <w:rFonts w:ascii="Arial" w:cs="Arial" w:eastAsia="Arial" w:hAnsi="Arial"/>
          <w:sz w:val="18"/>
          <w:szCs w:val="18"/>
          <w:color w:val="auto"/>
        </w:rPr>
        <w:t xml:space="preserve">The AGM will begin on </w:t>
      </w:r>
      <w:r>
        <w:rPr>
          <w:rFonts w:ascii="Arial" w:cs="Arial" w:eastAsia="Arial" w:hAnsi="Arial"/>
          <w:sz w:val="18"/>
          <w:szCs w:val="18"/>
          <w:b w:val="1"/>
          <w:bCs w:val="1"/>
          <w:color w:val="auto"/>
        </w:rPr>
        <w:t>Friday, April 27, 2018 at 11:00 am (E.D.T)</w:t>
      </w:r>
      <w:r>
        <w:rPr>
          <w:rFonts w:ascii="Arial" w:cs="Arial" w:eastAsia="Arial" w:hAnsi="Arial"/>
          <w:sz w:val="18"/>
          <w:szCs w:val="18"/>
          <w:color w:val="auto"/>
        </w:rPr>
        <w:t xml:space="preserve">. The AGM will be held at the </w:t>
      </w:r>
      <w:r>
        <w:rPr>
          <w:rFonts w:ascii="Arial" w:cs="Arial" w:eastAsia="Arial" w:hAnsi="Arial"/>
          <w:sz w:val="18"/>
          <w:szCs w:val="18"/>
          <w:b w:val="1"/>
          <w:bCs w:val="1"/>
          <w:color w:val="auto"/>
        </w:rPr>
        <w:t>Delta Toronto Hotel (SoCo Ballroom) - 75 Lower</w:t>
      </w:r>
      <w:r>
        <w:rPr>
          <w:rFonts w:ascii="Arial" w:cs="Arial" w:eastAsia="Arial" w:hAnsi="Arial"/>
          <w:sz w:val="18"/>
          <w:szCs w:val="18"/>
          <w:color w:val="auto"/>
        </w:rPr>
        <w:t xml:space="preserve"> </w:t>
      </w:r>
      <w:r>
        <w:rPr>
          <w:rFonts w:ascii="Arial" w:cs="Arial" w:eastAsia="Arial" w:hAnsi="Arial"/>
          <w:sz w:val="18"/>
          <w:szCs w:val="18"/>
          <w:b w:val="1"/>
          <w:bCs w:val="1"/>
          <w:color w:val="auto"/>
        </w:rPr>
        <w:t>Simcoe St, Toronto, ON M5J 3A6.</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During the AGM, management will provide an overview of the Company’s activities. For those unable to attend in person, the alternatives to participate are listed below.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Webcast: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AGM will be available on the Company’s website at www.agnicoeagle.com.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Telephone:</w:t>
      </w:r>
    </w:p>
    <w:p>
      <w:pPr>
        <w:spacing w:after="0" w:line="22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For those preferring to listen by telephone, please dial 1-647-427-7450 or toll-free 1-888-231-8191. To ensure your participation, please call approximately five minutes prior to the scheduled start of the AGM.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Replay archive: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dial 1-416-849-0833 or toll-free 1-855-859-2056, access code 9189563. The conference call replay will expire on May 27, 2018.</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the Company’s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Agnico Eagle Mines Limited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145 King Street East,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Toronto, Ontario, M5C 2Y7</w:t>
      </w:r>
    </w:p>
    <w:p>
      <w:pPr>
        <w:spacing w:after="0" w:line="9"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color w:val="auto"/>
        </w:rPr>
        <w:t>Telephone:</w:t>
      </w:r>
      <w:r>
        <w:rPr>
          <w:sz w:val="20"/>
          <w:szCs w:val="20"/>
          <w:color w:val="auto"/>
        </w:rPr>
        <w:tab/>
      </w:r>
      <w:r>
        <w:rPr>
          <w:rFonts w:ascii="Arial" w:cs="Arial" w:eastAsia="Arial" w:hAnsi="Arial"/>
          <w:sz w:val="18"/>
          <w:szCs w:val="18"/>
          <w:color w:val="auto"/>
        </w:rPr>
        <w:t>416-947-1212</w:t>
      </w:r>
    </w:p>
    <w:p>
      <w:pPr>
        <w:sectPr>
          <w:pgSz w:w="11900" w:h="16848" w:orient="portrait"/>
          <w:cols w:equalWidth="0" w:num="1">
            <w:col w:w="11420"/>
          </w:cols>
          <w:pgMar w:left="240" w:top="121" w:right="239" w:bottom="0" w:gutter="0" w:footer="0" w:header="0"/>
        </w:sectPr>
      </w:pPr>
    </w:p>
    <w:bookmarkStart w:id="2" w:name="page3"/>
    <w:bookmarkEnd w:id="2"/>
    <w:p>
      <w:pPr>
        <w:spacing w:after="0"/>
        <w:tabs>
          <w:tab w:leader="none" w:pos="1140" w:val="left"/>
        </w:tabs>
        <w:rPr>
          <w:sz w:val="20"/>
          <w:szCs w:val="20"/>
          <w:color w:val="auto"/>
        </w:rPr>
      </w:pPr>
      <w:r>
        <w:rPr>
          <w:rFonts w:ascii="Arial" w:cs="Arial" w:eastAsia="Arial" w:hAnsi="Arial"/>
          <w:sz w:val="18"/>
          <w:szCs w:val="18"/>
          <w:color w:val="auto"/>
        </w:rPr>
        <w:t>Fax:</w:t>
      </w:r>
      <w:r>
        <w:rPr>
          <w:sz w:val="20"/>
          <w:szCs w:val="20"/>
          <w:color w:val="auto"/>
        </w:rPr>
        <w:tab/>
      </w:r>
      <w:r>
        <w:rPr>
          <w:rFonts w:ascii="Arial" w:cs="Arial" w:eastAsia="Arial" w:hAnsi="Arial"/>
          <w:sz w:val="18"/>
          <w:szCs w:val="18"/>
          <w:color w:val="auto"/>
        </w:rPr>
        <w:t>416-367-4681</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Its eight mines are located in Canada, Finland and Mexico, with exploration and development activities in each of these countries as well as in the United States and Sweden. Agnico Eagle and its shareholders have full exposure to gold prices due to its long-standing policy of no forward gold sales. Agnico Eagle has declared a cash dividend every year since 1983.</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00"/>
      </w:cols>
      <w:pgMar w:left="240" w:top="125"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2020-01-14T19:54:04Z</dcterms:created>
  <dcterms:modified xsi:type="dcterms:W3CDTF">2020-01-14T19:54:04Z</dcterms:modified>
</cp:coreProperties>
</file>