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99"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October, 2016</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tabs>
          <w:tab w:leader="none" w:pos="1080" w:val="left"/>
        </w:tabs>
        <w:rPr>
          <w:sz w:val="20"/>
          <w:szCs w:val="20"/>
          <w:color w:val="auto"/>
        </w:rPr>
      </w:pPr>
      <w:r>
        <w:rPr>
          <w:rFonts w:ascii="Arial" w:cs="Arial" w:eastAsia="Arial" w:hAnsi="Arial"/>
          <w:sz w:val="18"/>
          <w:szCs w:val="18"/>
          <w:color w:val="auto"/>
        </w:rPr>
        <w:t>Form 20-F o</w:t>
      </w:r>
      <w:r>
        <w:rPr>
          <w:sz w:val="20"/>
          <w:szCs w:val="20"/>
          <w:color w:val="auto"/>
        </w:rPr>
        <w:tab/>
      </w:r>
      <w:r>
        <w:rPr>
          <w:rFonts w:ascii="Arial" w:cs="Arial" w:eastAsia="Arial" w:hAnsi="Arial"/>
          <w:sz w:val="16"/>
          <w:szCs w:val="16"/>
          <w:color w:val="auto"/>
        </w:rPr>
        <w:t>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8900" w:val="left"/>
        </w:tabs>
        <w:rPr>
          <w:sz w:val="20"/>
          <w:szCs w:val="20"/>
          <w:color w:val="auto"/>
        </w:rPr>
      </w:pPr>
      <w:r>
        <w:rPr>
          <w:rFonts w:ascii="Arial" w:cs="Arial" w:eastAsia="Arial" w:hAnsi="Arial"/>
          <w:sz w:val="17"/>
          <w:szCs w:val="17"/>
          <w:color w:val="auto"/>
        </w:rPr>
        <w:t>If “Yes” is marked, indicate below the file number assigned to the registrant in connection with Rule 12g3-2(b): 82-</w:t>
      </w:r>
      <w:r>
        <w:rPr>
          <w:sz w:val="20"/>
          <w:szCs w:val="20"/>
          <w:color w:val="auto"/>
        </w:rPr>
        <w:tab/>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140" w:type="dxa"/>
            <w:vAlign w:val="bottom"/>
            <w:tcBorders>
              <w:top w:val="single" w:sz="8" w:color="auto"/>
            </w:tcBorders>
          </w:tcPr>
          <w:p>
            <w:pPr>
              <w:jc w:val="right"/>
              <w:ind w:right="330"/>
              <w:spacing w:after="0" w:line="195" w:lineRule="exact"/>
              <w:rPr>
                <w:sz w:val="20"/>
                <w:szCs w:val="20"/>
                <w:color w:val="auto"/>
              </w:rPr>
            </w:pPr>
            <w:r>
              <w:rPr>
                <w:rFonts w:ascii="Arial" w:cs="Arial" w:eastAsia="Arial" w:hAnsi="Arial"/>
                <w:sz w:val="18"/>
                <w:szCs w:val="18"/>
                <w:color w:val="auto"/>
              </w:rPr>
              <w:t>99.1</w:t>
            </w:r>
          </w:p>
        </w:tc>
        <w:tc>
          <w:tcPr>
            <w:tcW w:w="340" w:type="dxa"/>
            <w:vAlign w:val="bottom"/>
          </w:tcPr>
          <w:p>
            <w:pPr>
              <w:spacing w:after="0"/>
              <w:rPr>
                <w:sz w:val="16"/>
                <w:szCs w:val="16"/>
                <w:color w:val="auto"/>
              </w:rPr>
            </w:pPr>
          </w:p>
        </w:tc>
        <w:tc>
          <w:tcPr>
            <w:tcW w:w="99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2"/>
              </w:rPr>
              <w:t>Press Release dated September 29, 2016 announcing the release of the Corporation’s Third Quarter 2016 results, conference call and</w:t>
            </w:r>
          </w:p>
        </w:tc>
      </w:tr>
      <w:tr>
        <w:trPr>
          <w:trHeight w:val="230"/>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webcast.</w:t>
            </w:r>
          </w:p>
        </w:tc>
      </w:tr>
      <w:tr>
        <w:trPr>
          <w:trHeight w:val="432"/>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6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224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640" w:type="dxa"/>
            <w:vAlign w:val="bottom"/>
          </w:tcPr>
          <w:p>
            <w:pPr>
              <w:spacing w:after="0"/>
              <w:rPr>
                <w:sz w:val="20"/>
                <w:szCs w:val="20"/>
                <w:color w:val="auto"/>
              </w:rPr>
            </w:pPr>
            <w:r>
              <w:rPr>
                <w:rFonts w:ascii="Arial" w:cs="Arial" w:eastAsia="Arial" w:hAnsi="Arial"/>
                <w:sz w:val="18"/>
                <w:szCs w:val="18"/>
                <w:color w:val="auto"/>
              </w:rPr>
              <w:t>Date: October 3, 2016</w:t>
            </w:r>
          </w:p>
        </w:tc>
        <w:tc>
          <w:tcPr>
            <w:tcW w:w="208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64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522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6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64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640" w:type="dxa"/>
            <w:vAlign w:val="bottom"/>
          </w:tcPr>
          <w:p>
            <w:pPr>
              <w:spacing w:after="0"/>
              <w:rPr>
                <w:sz w:val="24"/>
                <w:szCs w:val="24"/>
                <w:color w:val="auto"/>
              </w:rPr>
            </w:pPr>
          </w:p>
        </w:tc>
        <w:tc>
          <w:tcPr>
            <w:tcW w:w="2560" w:type="dxa"/>
            <w:vAlign w:val="bottom"/>
            <w:gridSpan w:val="2"/>
          </w:tcPr>
          <w:p>
            <w:pPr>
              <w:jc w:val="right"/>
              <w:ind w:right="350"/>
              <w:spacing w:after="0"/>
              <w:rPr>
                <w:sz w:val="20"/>
                <w:szCs w:val="20"/>
                <w:color w:val="auto"/>
              </w:rPr>
            </w:pPr>
            <w:r>
              <w:rPr>
                <w:rFonts w:ascii="Arial" w:cs="Arial" w:eastAsia="Arial" w:hAnsi="Arial"/>
                <w:sz w:val="18"/>
                <w:szCs w:val="18"/>
                <w:color w:val="auto"/>
              </w:rPr>
              <w:t>2</w:t>
            </w:r>
          </w:p>
        </w:tc>
        <w:tc>
          <w:tcPr>
            <w:tcW w:w="224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40" w:type="dxa"/>
            <w:vAlign w:val="bottom"/>
            <w:tcBorders>
              <w:bottom w:val="single" w:sz="8" w:color="808080"/>
            </w:tcBorders>
          </w:tcPr>
          <w:p>
            <w:pPr>
              <w:spacing w:after="0"/>
              <w:rPr>
                <w:sz w:val="11"/>
                <w:szCs w:val="11"/>
                <w:color w:val="auto"/>
              </w:rPr>
            </w:pPr>
          </w:p>
        </w:tc>
        <w:tc>
          <w:tcPr>
            <w:tcW w:w="2080" w:type="dxa"/>
            <w:vAlign w:val="bottom"/>
            <w:tcBorders>
              <w:bottom w:val="single" w:sz="8" w:color="808080"/>
            </w:tcBorders>
          </w:tcPr>
          <w:p>
            <w:pPr>
              <w:spacing w:after="0"/>
              <w:rPr>
                <w:sz w:val="11"/>
                <w:szCs w:val="11"/>
                <w:color w:val="auto"/>
              </w:rPr>
            </w:pPr>
          </w:p>
        </w:tc>
        <w:tc>
          <w:tcPr>
            <w:tcW w:w="480" w:type="dxa"/>
            <w:vAlign w:val="bottom"/>
            <w:tcBorders>
              <w:bottom w:val="single" w:sz="8" w:color="808080"/>
            </w:tcBorders>
          </w:tcPr>
          <w:p>
            <w:pPr>
              <w:spacing w:after="0"/>
              <w:rPr>
                <w:sz w:val="11"/>
                <w:szCs w:val="11"/>
                <w:color w:val="auto"/>
              </w:rPr>
            </w:pPr>
          </w:p>
        </w:tc>
        <w:tc>
          <w:tcPr>
            <w:tcW w:w="2240" w:type="dxa"/>
            <w:vAlign w:val="bottom"/>
            <w:tcBorders>
              <w:bottom w:val="single" w:sz="8" w:color="808080"/>
            </w:tcBorders>
          </w:tcPr>
          <w:p>
            <w:pPr>
              <w:spacing w:after="0"/>
              <w:rPr>
                <w:sz w:val="11"/>
                <w:szCs w:val="11"/>
                <w:color w:val="auto"/>
              </w:rPr>
            </w:pPr>
          </w:p>
        </w:tc>
        <w:tc>
          <w:tcPr>
            <w:tcW w:w="2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667"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433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433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further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(416) 947-1212</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PROVIDES NOTICE OF RELEASE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 QUARTER 2016 RESULTS, CONFERENCE CALL AND WEBCAST</w:t>
      </w:r>
    </w:p>
    <w:p>
      <w:pPr>
        <w:spacing w:after="0" w:line="207"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color w:val="auto"/>
        </w:rPr>
        <w:t xml:space="preserve">Toronto (September 29, 2016) — </w:t>
      </w:r>
      <w:r>
        <w:rPr>
          <w:rFonts w:ascii="Arial" w:cs="Arial" w:eastAsia="Arial" w:hAnsi="Arial"/>
          <w:sz w:val="18"/>
          <w:szCs w:val="18"/>
          <w:b w:val="1"/>
          <w:bCs w:val="1"/>
          <w:color w:val="auto"/>
        </w:rPr>
        <w:t>Agnico Eagle Mines Limited</w:t>
      </w:r>
      <w:r>
        <w:rPr>
          <w:rFonts w:ascii="Arial" w:cs="Arial" w:eastAsia="Arial" w:hAnsi="Arial"/>
          <w:sz w:val="18"/>
          <w:szCs w:val="18"/>
          <w:color w:val="auto"/>
        </w:rPr>
        <w:t xml:space="preserve"> (NYSE: AEM) (TSX: AEM) (“Agnico Eagle” or the “Company”) today announced that it will release its third quarter 2016 results on Wednesday, October 26, 2016, after normal trading hours.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2016 Results Conference Call and Webcast</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Agnico Eagle’s senior management will host a conference call on Thursday, October 27, 2016 at 11:00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conference call will be available on the Company’s website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For those preferring to listen by telephone, please dial 1-647-427-7450 or toll-free 1-888-231-8191. To ensure your participation, please call approximately ten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Please dial 1-416-849-0833 or toll-free 1-855-859-2056, access code 38842633. The conference call replay will expire on November 24, 2016 11:59 AM (E.S.T).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tabs>
          <w:tab w:leader="none" w:pos="1260" w:val="left"/>
        </w:tabs>
        <w:rPr>
          <w:sz w:val="20"/>
          <w:szCs w:val="20"/>
          <w:color w:val="auto"/>
        </w:rPr>
      </w:pPr>
      <w:r>
        <w:rPr>
          <w:rFonts w:ascii="Arial" w:cs="Arial" w:eastAsia="Arial" w:hAnsi="Arial"/>
          <w:sz w:val="18"/>
          <w:szCs w:val="18"/>
          <w:color w:val="auto"/>
        </w:rPr>
        <w:t>Telephone:</w:t>
      </w:r>
      <w:r>
        <w:rPr>
          <w:sz w:val="20"/>
          <w:szCs w:val="20"/>
          <w:color w:val="auto"/>
        </w:rPr>
        <w:tab/>
      </w:r>
      <w:r>
        <w:rPr>
          <w:rFonts w:ascii="Arial" w:cs="Arial" w:eastAsia="Arial" w:hAnsi="Arial"/>
          <w:sz w:val="18"/>
          <w:szCs w:val="18"/>
          <w:color w:val="auto"/>
        </w:rPr>
        <w:t>416-947-1212</w:t>
      </w:r>
    </w:p>
    <w:p>
      <w:pPr>
        <w:spacing w:after="0" w:line="9" w:lineRule="exact"/>
        <w:rPr>
          <w:sz w:val="20"/>
          <w:szCs w:val="20"/>
          <w:color w:val="auto"/>
        </w:rPr>
      </w:pPr>
    </w:p>
    <w:p>
      <w:pPr>
        <w:spacing w:after="0"/>
        <w:tabs>
          <w:tab w:leader="none" w:pos="1260" w:val="left"/>
        </w:tabs>
        <w:rPr>
          <w:sz w:val="20"/>
          <w:szCs w:val="20"/>
          <w:color w:val="auto"/>
        </w:rPr>
      </w:pPr>
      <w:r>
        <w:rPr>
          <w:rFonts w:ascii="Arial" w:cs="Arial" w:eastAsia="Arial" w:hAnsi="Arial"/>
          <w:sz w:val="18"/>
          <w:szCs w:val="18"/>
          <w:color w:val="auto"/>
        </w:rPr>
        <w:t>Fax:</w:t>
      </w:r>
      <w:r>
        <w:rPr>
          <w:sz w:val="20"/>
          <w:szCs w:val="20"/>
          <w:color w:val="auto"/>
        </w:rPr>
        <w:tab/>
      </w:r>
      <w:r>
        <w:rPr>
          <w:rFonts w:ascii="Arial" w:cs="Arial" w:eastAsia="Arial" w:hAnsi="Arial"/>
          <w:sz w:val="18"/>
          <w:szCs w:val="18"/>
          <w:color w:val="auto"/>
        </w:rPr>
        <w:t>416-367-4681</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Agnico Eagle and its shareholders have full exposure to gold prices due to its long-standing policy of no forward gold sales. Agnico Eagle has declared a cash dividend every year since 1983.</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2020-01-21T12:21:47Z</dcterms:created>
  <dcterms:modified xsi:type="dcterms:W3CDTF">2020-01-21T12:21:47Z</dcterms:modified>
</cp:coreProperties>
</file>