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4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Form 6-K</w:t>
      </w:r>
    </w:p>
    <w:p>
      <w:pPr>
        <w:spacing w:after="0" w:line="226" w:lineRule="exact"/>
        <w:rPr>
          <w:sz w:val="24"/>
          <w:szCs w:val="24"/>
          <w:color w:val="auto"/>
        </w:rPr>
      </w:pPr>
    </w:p>
    <w:p>
      <w:pPr>
        <w:jc w:val="center"/>
        <w:ind w:right="40"/>
        <w:spacing w:after="0" w:line="256" w:lineRule="auto"/>
        <w:rPr>
          <w:sz w:val="20"/>
          <w:szCs w:val="20"/>
          <w:color w:val="auto"/>
        </w:rPr>
      </w:pPr>
      <w:r>
        <w:rPr>
          <w:rFonts w:ascii="Arial" w:cs="Arial" w:eastAsia="Arial" w:hAnsi="Arial"/>
          <w:sz w:val="22"/>
          <w:szCs w:val="22"/>
          <w:b w:val="1"/>
          <w:bCs w:val="1"/>
          <w:color w:val="auto"/>
        </w:rPr>
        <w:t>REPORT OF FOREIGN PRIVATE ISSUER PURSUANT TO RULE 13a-16 OR 15d-16 UNDER THE SECURITIES EXCHANGE ACT OF 1934</w:t>
      </w:r>
    </w:p>
    <w:p>
      <w:pPr>
        <w:spacing w:after="0" w:line="172"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For the month of October, 2015</w:t>
      </w:r>
    </w:p>
    <w:p>
      <w:pPr>
        <w:spacing w:after="0" w:line="22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Commission File Number 001-13422</w:t>
      </w:r>
    </w:p>
    <w:p>
      <w:pPr>
        <w:spacing w:after="0" w:line="202" w:lineRule="exact"/>
        <w:rPr>
          <w:sz w:val="24"/>
          <w:szCs w:val="24"/>
          <w:color w:val="auto"/>
        </w:rPr>
      </w:pPr>
    </w:p>
    <w:p>
      <w:pPr>
        <w:jc w:val="center"/>
        <w:ind w:right="40"/>
        <w:spacing w:after="0"/>
        <w:rPr>
          <w:sz w:val="20"/>
          <w:szCs w:val="20"/>
          <w:color w:val="auto"/>
        </w:rPr>
      </w:pPr>
      <w:r>
        <w:rPr>
          <w:rFonts w:ascii="Arial" w:cs="Arial" w:eastAsia="Arial" w:hAnsi="Arial"/>
          <w:sz w:val="32"/>
          <w:szCs w:val="32"/>
          <w:b w:val="1"/>
          <w:bCs w:val="1"/>
          <w:color w:val="auto"/>
        </w:rPr>
        <w:t>AGNICO EAGLE MINES LIMITED</w:t>
      </w:r>
    </w:p>
    <w:p>
      <w:pPr>
        <w:spacing w:after="0" w:line="40"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(Translation of registrant’s name into English)</w:t>
      </w:r>
    </w:p>
    <w:p>
      <w:pPr>
        <w:spacing w:after="0" w:line="205" w:lineRule="exact"/>
        <w:rPr>
          <w:sz w:val="24"/>
          <w:szCs w:val="24"/>
          <w:color w:val="auto"/>
        </w:rPr>
      </w:pPr>
    </w:p>
    <w:p>
      <w:pPr>
        <w:jc w:val="center"/>
        <w:ind w:right="40"/>
        <w:spacing w:after="0"/>
        <w:rPr>
          <w:sz w:val="20"/>
          <w:szCs w:val="20"/>
          <w:color w:val="auto"/>
        </w:rPr>
      </w:pPr>
      <w:r>
        <w:rPr>
          <w:rFonts w:ascii="Arial" w:cs="Arial" w:eastAsia="Arial" w:hAnsi="Arial"/>
          <w:sz w:val="18"/>
          <w:szCs w:val="18"/>
          <w:b w:val="1"/>
          <w:bCs w:val="1"/>
          <w:color w:val="auto"/>
        </w:rPr>
        <w:t>145 King Street East, Suite 400, Toronto, Ontario M5C 2Y7</w:t>
      </w:r>
    </w:p>
    <w:p>
      <w:pPr>
        <w:spacing w:after="0" w:line="27"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(Address of principal executive office)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whether the registrant files or will file annual reports under cover of Form 20-F or Form 40-F.</w:t>
      </w:r>
    </w:p>
    <w:p>
      <w:pPr>
        <w:spacing w:after="0" w:line="23" w:lineRule="exact"/>
        <w:rPr>
          <w:sz w:val="24"/>
          <w:szCs w:val="24"/>
          <w:color w:val="auto"/>
        </w:rPr>
      </w:pPr>
    </w:p>
    <w:p>
      <w:pPr>
        <w:spacing w:after="0"/>
        <w:tabs>
          <w:tab w:leader="none" w:pos="1080" w:val="left"/>
        </w:tabs>
        <w:rPr>
          <w:sz w:val="20"/>
          <w:szCs w:val="20"/>
          <w:color w:val="auto"/>
        </w:rPr>
      </w:pPr>
      <w:r>
        <w:rPr>
          <w:rFonts w:ascii="Arial" w:cs="Arial" w:eastAsia="Arial" w:hAnsi="Arial"/>
          <w:sz w:val="18"/>
          <w:szCs w:val="18"/>
          <w:color w:val="auto"/>
        </w:rPr>
        <w:t>Form 20-F o</w:t>
      </w:r>
      <w:r>
        <w:rPr>
          <w:sz w:val="20"/>
          <w:szCs w:val="20"/>
          <w:color w:val="auto"/>
        </w:rPr>
        <w:tab/>
      </w:r>
      <w:r>
        <w:rPr>
          <w:rFonts w:ascii="Arial" w:cs="Arial" w:eastAsia="Arial" w:hAnsi="Arial"/>
          <w:sz w:val="16"/>
          <w:szCs w:val="16"/>
          <w:color w:val="auto"/>
        </w:rPr>
        <w:t>Form 40-F x</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(b)( 1): o</w:t>
      </w:r>
    </w:p>
    <w:p>
      <w:pPr>
        <w:spacing w:after="0" w:line="221" w:lineRule="exact"/>
        <w:rPr>
          <w:sz w:val="24"/>
          <w:szCs w:val="24"/>
          <w:color w:val="auto"/>
        </w:rPr>
      </w:pPr>
    </w:p>
    <w:p>
      <w:pPr>
        <w:ind w:right="60"/>
        <w:spacing w:after="0" w:line="282" w:lineRule="auto"/>
        <w:rPr>
          <w:sz w:val="20"/>
          <w:szCs w:val="20"/>
          <w:color w:val="auto"/>
        </w:rPr>
      </w:pPr>
      <w:r>
        <w:rPr>
          <w:rFonts w:ascii="Arial" w:cs="Arial" w:eastAsia="Arial" w:hAnsi="Arial"/>
          <w:sz w:val="18"/>
          <w:szCs w:val="18"/>
          <w:b w:val="1"/>
          <w:bCs w:val="1"/>
          <w:color w:val="auto"/>
        </w:rPr>
        <w:t xml:space="preserve">Note: </w:t>
      </w:r>
      <w:r>
        <w:rPr>
          <w:rFonts w:ascii="Arial" w:cs="Arial" w:eastAsia="Arial" w:hAnsi="Arial"/>
          <w:sz w:val="18"/>
          <w:szCs w:val="18"/>
          <w:color w:val="auto"/>
        </w:rPr>
        <w:t>Regulation S-T Rule 101 (b)( 1) only permits the submission in paper of a Form 6-K if submitted solely to provide an attached annual report to security</w:t>
      </w:r>
      <w:r>
        <w:rPr>
          <w:rFonts w:ascii="Arial" w:cs="Arial" w:eastAsia="Arial" w:hAnsi="Arial"/>
          <w:sz w:val="18"/>
          <w:szCs w:val="18"/>
          <w:b w:val="1"/>
          <w:bCs w:val="1"/>
          <w:color w:val="auto"/>
        </w:rPr>
        <w:t xml:space="preserve"> </w:t>
      </w:r>
      <w:r>
        <w:rPr>
          <w:rFonts w:ascii="Arial" w:cs="Arial" w:eastAsia="Arial" w:hAnsi="Arial"/>
          <w:sz w:val="18"/>
          <w:szCs w:val="18"/>
          <w:color w:val="auto"/>
        </w:rPr>
        <w:t>holders.</w:t>
      </w:r>
    </w:p>
    <w:p>
      <w:pPr>
        <w:spacing w:after="0" w:line="166" w:lineRule="exact"/>
        <w:rPr>
          <w:sz w:val="24"/>
          <w:szCs w:val="24"/>
          <w:color w:val="auto"/>
        </w:rPr>
      </w:pPr>
    </w:p>
    <w:p>
      <w:pPr>
        <w:spacing w:after="0"/>
        <w:rPr>
          <w:sz w:val="20"/>
          <w:szCs w:val="20"/>
          <w:color w:val="auto"/>
        </w:rPr>
      </w:pPr>
      <w:r>
        <w:rPr>
          <w:rFonts w:ascii="Arial" w:cs="Arial" w:eastAsia="Arial" w:hAnsi="Arial"/>
          <w:sz w:val="18"/>
          <w:szCs w:val="18"/>
          <w:color w:val="auto"/>
        </w:rPr>
        <w:t>Indicate by check mark if the registrant is submitting the Form 6-K in paper as permitted by Regulation S-T Rule 101 (b)(7): o</w:t>
      </w:r>
    </w:p>
    <w:p>
      <w:pPr>
        <w:spacing w:after="0" w:line="221" w:lineRule="exact"/>
        <w:rPr>
          <w:sz w:val="24"/>
          <w:szCs w:val="24"/>
          <w:color w:val="auto"/>
        </w:rPr>
      </w:pPr>
    </w:p>
    <w:p>
      <w:pPr>
        <w:ind w:right="60"/>
        <w:spacing w:after="0" w:line="277" w:lineRule="auto"/>
        <w:rPr>
          <w:sz w:val="20"/>
          <w:szCs w:val="20"/>
          <w:color w:val="auto"/>
        </w:rPr>
      </w:pPr>
      <w:r>
        <w:rPr>
          <w:rFonts w:ascii="Arial" w:cs="Arial" w:eastAsia="Arial" w:hAnsi="Arial"/>
          <w:sz w:val="17"/>
          <w:szCs w:val="17"/>
          <w:b w:val="1"/>
          <w:bCs w:val="1"/>
          <w:color w:val="auto"/>
        </w:rPr>
        <w:t xml:space="preserve">Note: </w:t>
      </w:r>
      <w:r>
        <w:rPr>
          <w:rFonts w:ascii="Arial" w:cs="Arial" w:eastAsia="Arial" w:hAnsi="Arial"/>
          <w:sz w:val="17"/>
          <w:szCs w:val="17"/>
          <w:color w:val="auto"/>
        </w:rPr>
        <w:t>Regulation S-T Rule 101(b)(7) only permits the submission in paper of a Form 6-K if submitted to furnish a report or other document that the registrant</w:t>
      </w:r>
      <w:r>
        <w:rPr>
          <w:rFonts w:ascii="Arial" w:cs="Arial" w:eastAsia="Arial" w:hAnsi="Arial"/>
          <w:sz w:val="17"/>
          <w:szCs w:val="17"/>
          <w:b w:val="1"/>
          <w:bCs w:val="1"/>
          <w:color w:val="auto"/>
        </w:rPr>
        <w:t xml:space="preserve"> </w:t>
      </w:r>
      <w:r>
        <w:rPr>
          <w:rFonts w:ascii="Arial" w:cs="Arial" w:eastAsia="Arial" w:hAnsi="Arial"/>
          <w:sz w:val="17"/>
          <w:szCs w:val="17"/>
          <w:color w:val="auto"/>
        </w:rPr>
        <w:t>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pPr>
        <w:spacing w:after="0" w:line="172" w:lineRule="exact"/>
        <w:rPr>
          <w:sz w:val="24"/>
          <w:szCs w:val="24"/>
          <w:color w:val="auto"/>
        </w:rPr>
      </w:pPr>
    </w:p>
    <w:p>
      <w:pPr>
        <w:ind w:right="840"/>
        <w:spacing w:after="0" w:line="277" w:lineRule="auto"/>
        <w:rPr>
          <w:sz w:val="20"/>
          <w:szCs w:val="20"/>
          <w:color w:val="auto"/>
        </w:rPr>
      </w:pPr>
      <w:r>
        <w:rPr>
          <w:rFonts w:ascii="Arial" w:cs="Arial" w:eastAsia="Arial" w:hAnsi="Arial"/>
          <w:sz w:val="18"/>
          <w:szCs w:val="18"/>
          <w:color w:val="auto"/>
        </w:rPr>
        <w:t>Indicate by check mark whether the registrant by furnishing the information contained in this Form is also thereby furnishing the information to the Commission pursuant to Rule 12g3-2(b) under the Securities Exchange Act of 1934. Yes o No x</w:t>
      </w:r>
    </w:p>
    <w:p>
      <w:pPr>
        <w:spacing w:after="0" w:line="170" w:lineRule="exact"/>
        <w:rPr>
          <w:sz w:val="24"/>
          <w:szCs w:val="24"/>
          <w:color w:val="auto"/>
        </w:rPr>
      </w:pPr>
    </w:p>
    <w:p>
      <w:pPr>
        <w:spacing w:after="0"/>
        <w:tabs>
          <w:tab w:leader="none" w:pos="9220" w:val="left"/>
        </w:tabs>
        <w:rPr>
          <w:sz w:val="20"/>
          <w:szCs w:val="20"/>
          <w:color w:val="auto"/>
        </w:rPr>
      </w:pPr>
      <w:r>
        <w:rPr>
          <w:rFonts w:ascii="Arial" w:cs="Arial" w:eastAsia="Arial" w:hAnsi="Arial"/>
          <w:sz w:val="18"/>
          <w:szCs w:val="18"/>
          <w:color w:val="auto"/>
        </w:rPr>
        <w:t>If “Yes” is marked, indicate below the file number assigned to the registrant in connection with Rule 12g3-2(b): 82-</w:t>
      </w:r>
      <w:r>
        <w:rPr>
          <w:sz w:val="20"/>
          <w:szCs w:val="20"/>
          <w:color w:val="auto"/>
        </w:rPr>
        <w:tab/>
      </w:r>
      <w:r>
        <w:rPr>
          <w:rFonts w:ascii="Arial" w:cs="Arial" w:eastAsia="Arial" w:hAnsi="Arial"/>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194945</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433070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920" w:type="dxa"/>
            <w:vAlign w:val="bottom"/>
          </w:tcPr>
          <w:p>
            <w:pPr>
              <w:jc w:val="center"/>
              <w:ind w:right="1414"/>
              <w:spacing w:after="0"/>
              <w:rPr>
                <w:sz w:val="20"/>
                <w:szCs w:val="20"/>
                <w:color w:val="auto"/>
              </w:rPr>
            </w:pPr>
            <w:r>
              <w:rPr>
                <w:rFonts w:ascii="Arial" w:cs="Arial" w:eastAsia="Arial" w:hAnsi="Arial"/>
                <w:sz w:val="18"/>
                <w:szCs w:val="18"/>
                <w:b w:val="1"/>
                <w:bCs w:val="1"/>
                <w:color w:val="auto"/>
              </w:rPr>
              <w:t>EXHIBITS</w:t>
            </w:r>
          </w:p>
        </w:tc>
      </w:tr>
      <w:tr>
        <w:trPr>
          <w:trHeight w:val="365"/>
        </w:trPr>
        <w:tc>
          <w:tcPr>
            <w:tcW w:w="1160" w:type="dxa"/>
            <w:vAlign w:val="bottom"/>
            <w:gridSpan w:val="2"/>
          </w:tcPr>
          <w:p>
            <w:pPr>
              <w:jc w:val="right"/>
              <w:ind w:right="350"/>
              <w:spacing w:after="0"/>
              <w:rPr>
                <w:sz w:val="20"/>
                <w:szCs w:val="20"/>
                <w:color w:val="auto"/>
              </w:rPr>
            </w:pPr>
            <w:r>
              <w:rPr>
                <w:rFonts w:ascii="Arial" w:cs="Arial" w:eastAsia="Arial" w:hAnsi="Arial"/>
                <w:sz w:val="14"/>
                <w:szCs w:val="14"/>
                <w:b w:val="1"/>
                <w:bCs w:val="1"/>
                <w:color w:val="auto"/>
                <w:w w:val="95"/>
              </w:rPr>
              <w:t>Exhibit No.</w:t>
            </w:r>
          </w:p>
        </w:tc>
        <w:tc>
          <w:tcPr>
            <w:tcW w:w="340" w:type="dxa"/>
            <w:vAlign w:val="bottom"/>
          </w:tcPr>
          <w:p>
            <w:pPr>
              <w:spacing w:after="0"/>
              <w:rPr>
                <w:sz w:val="24"/>
                <w:szCs w:val="24"/>
                <w:color w:val="auto"/>
              </w:rPr>
            </w:pPr>
          </w:p>
        </w:tc>
        <w:tc>
          <w:tcPr>
            <w:tcW w:w="9920" w:type="dxa"/>
            <w:vAlign w:val="bottom"/>
          </w:tcPr>
          <w:p>
            <w:pPr>
              <w:ind w:left="4360"/>
              <w:spacing w:after="0"/>
              <w:rPr>
                <w:sz w:val="20"/>
                <w:szCs w:val="20"/>
                <w:color w:val="auto"/>
              </w:rPr>
            </w:pPr>
            <w:r>
              <w:rPr>
                <w:rFonts w:ascii="Arial" w:cs="Arial" w:eastAsia="Arial" w:hAnsi="Arial"/>
                <w:sz w:val="14"/>
                <w:szCs w:val="14"/>
                <w:b w:val="1"/>
                <w:bCs w:val="1"/>
                <w:color w:val="auto"/>
              </w:rPr>
              <w:t>Exhibit Description</w:t>
            </w:r>
          </w:p>
        </w:tc>
      </w:tr>
      <w:tr>
        <w:trPr>
          <w:trHeight w:val="224"/>
        </w:trPr>
        <w:tc>
          <w:tcPr>
            <w:tcW w:w="20" w:type="dxa"/>
            <w:vAlign w:val="bottom"/>
          </w:tcPr>
          <w:p>
            <w:pPr>
              <w:spacing w:after="0"/>
              <w:rPr>
                <w:sz w:val="19"/>
                <w:szCs w:val="19"/>
                <w:color w:val="auto"/>
              </w:rPr>
            </w:pPr>
          </w:p>
        </w:tc>
        <w:tc>
          <w:tcPr>
            <w:tcW w:w="1140" w:type="dxa"/>
            <w:vAlign w:val="bottom"/>
            <w:tcBorders>
              <w:top w:val="single" w:sz="8" w:color="auto"/>
            </w:tcBorders>
          </w:tcPr>
          <w:p>
            <w:pPr>
              <w:jc w:val="right"/>
              <w:ind w:right="330"/>
              <w:spacing w:after="0"/>
              <w:rPr>
                <w:sz w:val="20"/>
                <w:szCs w:val="20"/>
                <w:color w:val="auto"/>
              </w:rPr>
            </w:pPr>
            <w:r>
              <w:rPr>
                <w:rFonts w:ascii="Arial" w:cs="Arial" w:eastAsia="Arial" w:hAnsi="Arial"/>
                <w:sz w:val="18"/>
                <w:szCs w:val="18"/>
                <w:color w:val="auto"/>
              </w:rPr>
              <w:t>99.1</w:t>
            </w:r>
          </w:p>
        </w:tc>
        <w:tc>
          <w:tcPr>
            <w:tcW w:w="340" w:type="dxa"/>
            <w:vAlign w:val="bottom"/>
          </w:tcPr>
          <w:p>
            <w:pPr>
              <w:spacing w:after="0"/>
              <w:rPr>
                <w:sz w:val="19"/>
                <w:szCs w:val="19"/>
                <w:color w:val="auto"/>
              </w:rPr>
            </w:pPr>
          </w:p>
        </w:tc>
        <w:tc>
          <w:tcPr>
            <w:tcW w:w="992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92"/>
              </w:rPr>
              <w:t>Press Release dated September 30, 2015 announcing the release of the Corporation’s Third Quarter 2015 results and conference call.</w:t>
            </w:r>
          </w:p>
        </w:tc>
      </w:tr>
      <w:tr>
        <w:trPr>
          <w:trHeight w:val="418"/>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920" w:type="dxa"/>
            <w:vAlign w:val="bottom"/>
          </w:tcPr>
          <w:p>
            <w:pPr>
              <w:jc w:val="center"/>
              <w:ind w:right="1394"/>
              <w:spacing w:after="0"/>
              <w:rPr>
                <w:sz w:val="20"/>
                <w:szCs w:val="20"/>
                <w:color w:val="auto"/>
              </w:rPr>
            </w:pPr>
            <w:r>
              <w:rPr>
                <w:rFonts w:ascii="Arial" w:cs="Arial" w:eastAsia="Arial" w:hAnsi="Arial"/>
                <w:sz w:val="18"/>
                <w:szCs w:val="18"/>
                <w:b w:val="1"/>
                <w:bCs w:val="1"/>
                <w:color w:val="auto"/>
                <w:w w:val="98"/>
              </w:rPr>
              <w:t>SIGNATURES</w:t>
            </w:r>
          </w:p>
        </w:tc>
      </w:tr>
    </w:tbl>
    <w:p>
      <w:pPr>
        <w:spacing w:after="0" w:line="202" w:lineRule="exact"/>
        <w:rPr>
          <w:sz w:val="24"/>
          <w:szCs w:val="24"/>
          <w:color w:val="auto"/>
        </w:rPr>
      </w:pPr>
    </w:p>
    <w:p>
      <w:pPr>
        <w:ind w:right="860"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53" w:lineRule="exact"/>
        <w:rPr>
          <w:sz w:val="24"/>
          <w:szCs w:val="24"/>
          <w:color w:val="auto"/>
        </w:rPr>
      </w:pPr>
    </w:p>
    <w:tbl>
      <w:tblPr>
        <w:tblLayout w:type="fixed"/>
        <w:tblInd w:w="0" w:type="dxa"/>
        <w:tblCellMar>
          <w:top w:w="0" w:type="dxa"/>
          <w:left w:w="0" w:type="dxa"/>
          <w:bottom w:w="0" w:type="dxa"/>
          <w:right w:w="0" w:type="dxa"/>
        </w:tblCellMar>
      </w:tblPr>
      <w:tr>
        <w:trPr>
          <w:trHeight w:val="207"/>
        </w:trPr>
        <w:tc>
          <w:tcPr>
            <w:tcW w:w="364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272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auto"/>
                <w:w w:val="98"/>
              </w:rPr>
              <w:t>AGNICO EAGLE MINES LIMITED</w:t>
            </w:r>
          </w:p>
        </w:tc>
        <w:tc>
          <w:tcPr>
            <w:tcW w:w="29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7"/>
        </w:trPr>
        <w:tc>
          <w:tcPr>
            <w:tcW w:w="364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180" w:type="dxa"/>
            <w:vAlign w:val="bottom"/>
            <w:gridSpan w:val="2"/>
          </w:tcPr>
          <w:p>
            <w:pPr>
              <w:ind w:left="80"/>
              <w:spacing w:after="0"/>
              <w:rPr>
                <w:sz w:val="20"/>
                <w:szCs w:val="20"/>
                <w:color w:val="auto"/>
              </w:rPr>
            </w:pPr>
            <w:r>
              <w:rPr>
                <w:rFonts w:ascii="Arial" w:cs="Arial" w:eastAsia="Arial" w:hAnsi="Arial"/>
                <w:sz w:val="18"/>
                <w:szCs w:val="18"/>
                <w:color w:val="auto"/>
              </w:rPr>
              <w:t>(Registrant)</w:t>
            </w:r>
          </w:p>
        </w:tc>
        <w:tc>
          <w:tcPr>
            <w:tcW w:w="40" w:type="dxa"/>
            <w:vAlign w:val="bottom"/>
          </w:tcPr>
          <w:p>
            <w:pPr>
              <w:spacing w:after="0"/>
              <w:rPr>
                <w:sz w:val="20"/>
                <w:szCs w:val="20"/>
                <w:color w:val="auto"/>
              </w:rPr>
            </w:pPr>
          </w:p>
        </w:tc>
      </w:tr>
      <w:tr>
        <w:trPr>
          <w:trHeight w:val="648"/>
        </w:trPr>
        <w:tc>
          <w:tcPr>
            <w:tcW w:w="3640" w:type="dxa"/>
            <w:vAlign w:val="bottom"/>
          </w:tcPr>
          <w:p>
            <w:pPr>
              <w:spacing w:after="0"/>
              <w:rPr>
                <w:sz w:val="20"/>
                <w:szCs w:val="20"/>
                <w:color w:val="auto"/>
              </w:rPr>
            </w:pPr>
            <w:r>
              <w:rPr>
                <w:rFonts w:ascii="Arial" w:cs="Arial" w:eastAsia="Arial" w:hAnsi="Arial"/>
                <w:sz w:val="18"/>
                <w:szCs w:val="18"/>
                <w:color w:val="auto"/>
              </w:rPr>
              <w:t>Date: October 2, 2015</w:t>
            </w:r>
          </w:p>
        </w:tc>
        <w:tc>
          <w:tcPr>
            <w:tcW w:w="2140" w:type="dxa"/>
            <w:vAlign w:val="bottom"/>
          </w:tcPr>
          <w:p>
            <w:pPr>
              <w:spacing w:after="0"/>
              <w:rPr>
                <w:sz w:val="24"/>
                <w:szCs w:val="24"/>
                <w:color w:val="auto"/>
              </w:rPr>
            </w:pPr>
          </w:p>
        </w:tc>
        <w:tc>
          <w:tcPr>
            <w:tcW w:w="5640" w:type="dxa"/>
            <w:vAlign w:val="bottom"/>
            <w:gridSpan w:val="3"/>
          </w:tcPr>
          <w:p>
            <w:pPr>
              <w:spacing w:after="0"/>
              <w:rPr>
                <w:sz w:val="20"/>
                <w:szCs w:val="20"/>
                <w:color w:val="auto"/>
              </w:rPr>
            </w:pPr>
            <w:r>
              <w:rPr>
                <w:rFonts w:ascii="Arial" w:cs="Arial" w:eastAsia="Arial" w:hAnsi="Arial"/>
                <w:sz w:val="18"/>
                <w:szCs w:val="18"/>
                <w:color w:val="auto"/>
              </w:rPr>
              <w:t>By:   /s/ R. Gregory Laing</w:t>
            </w:r>
          </w:p>
        </w:tc>
        <w:tc>
          <w:tcPr>
            <w:tcW w:w="40" w:type="dxa"/>
            <w:vAlign w:val="bottom"/>
          </w:tcPr>
          <w:p>
            <w:pPr>
              <w:spacing w:after="0"/>
              <w:rPr>
                <w:sz w:val="24"/>
                <w:szCs w:val="24"/>
                <w:color w:val="auto"/>
              </w:rPr>
            </w:pPr>
          </w:p>
        </w:tc>
      </w:tr>
      <w:tr>
        <w:trPr>
          <w:trHeight w:val="195"/>
        </w:trPr>
        <w:tc>
          <w:tcPr>
            <w:tcW w:w="364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180" w:type="dxa"/>
            <w:vAlign w:val="bottom"/>
            <w:tcBorders>
              <w:top w:val="single" w:sz="8" w:color="auto"/>
            </w:tcBorders>
            <w:gridSpan w:val="2"/>
          </w:tcPr>
          <w:p>
            <w:pPr>
              <w:spacing w:after="0" w:line="195" w:lineRule="exact"/>
              <w:rPr>
                <w:sz w:val="20"/>
                <w:szCs w:val="20"/>
                <w:color w:val="auto"/>
              </w:rPr>
            </w:pPr>
            <w:r>
              <w:rPr>
                <w:rFonts w:ascii="Arial" w:cs="Arial" w:eastAsia="Arial" w:hAnsi="Arial"/>
                <w:sz w:val="18"/>
                <w:szCs w:val="18"/>
                <w:color w:val="auto"/>
              </w:rPr>
              <w:t>R. Gregory Laing</w:t>
            </w:r>
          </w:p>
        </w:tc>
        <w:tc>
          <w:tcPr>
            <w:tcW w:w="40" w:type="dxa"/>
            <w:vAlign w:val="bottom"/>
          </w:tcPr>
          <w:p>
            <w:pPr>
              <w:spacing w:after="0"/>
              <w:rPr>
                <w:sz w:val="16"/>
                <w:szCs w:val="16"/>
                <w:color w:val="auto"/>
              </w:rPr>
            </w:pPr>
          </w:p>
        </w:tc>
      </w:tr>
      <w:tr>
        <w:trPr>
          <w:trHeight w:val="216"/>
        </w:trPr>
        <w:tc>
          <w:tcPr>
            <w:tcW w:w="364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180" w:type="dxa"/>
            <w:vAlign w:val="bottom"/>
            <w:gridSpan w:val="2"/>
          </w:tcPr>
          <w:p>
            <w:pPr>
              <w:spacing w:after="0"/>
              <w:rPr>
                <w:sz w:val="20"/>
                <w:szCs w:val="20"/>
                <w:color w:val="auto"/>
              </w:rPr>
            </w:pPr>
            <w:r>
              <w:rPr>
                <w:rFonts w:ascii="Arial" w:cs="Arial" w:eastAsia="Arial" w:hAnsi="Arial"/>
                <w:sz w:val="18"/>
                <w:szCs w:val="18"/>
                <w:color w:val="auto"/>
              </w:rPr>
              <w:t>General Counsel, Sr. Vice-President, Legal</w:t>
            </w:r>
          </w:p>
        </w:tc>
        <w:tc>
          <w:tcPr>
            <w:tcW w:w="40" w:type="dxa"/>
            <w:vAlign w:val="bottom"/>
          </w:tcPr>
          <w:p>
            <w:pPr>
              <w:spacing w:after="0"/>
              <w:rPr>
                <w:sz w:val="18"/>
                <w:szCs w:val="18"/>
                <w:color w:val="auto"/>
              </w:rPr>
            </w:pPr>
          </w:p>
        </w:tc>
      </w:tr>
      <w:tr>
        <w:trPr>
          <w:trHeight w:val="230"/>
        </w:trPr>
        <w:tc>
          <w:tcPr>
            <w:tcW w:w="3640" w:type="dxa"/>
            <w:vAlign w:val="bottom"/>
          </w:tcPr>
          <w:p>
            <w:pPr>
              <w:spacing w:after="0"/>
              <w:rPr>
                <w:sz w:val="20"/>
                <w:szCs w:val="20"/>
                <w:color w:val="auto"/>
              </w:rPr>
            </w:pPr>
          </w:p>
        </w:tc>
        <w:tc>
          <w:tcPr>
            <w:tcW w:w="21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5180" w:type="dxa"/>
            <w:vAlign w:val="bottom"/>
            <w:gridSpan w:val="2"/>
          </w:tcPr>
          <w:p>
            <w:pPr>
              <w:spacing w:after="0"/>
              <w:rPr>
                <w:sz w:val="20"/>
                <w:szCs w:val="20"/>
                <w:color w:val="auto"/>
              </w:rPr>
            </w:pPr>
            <w:r>
              <w:rPr>
                <w:rFonts w:ascii="Arial" w:cs="Arial" w:eastAsia="Arial" w:hAnsi="Arial"/>
                <w:sz w:val="18"/>
                <w:szCs w:val="18"/>
                <w:color w:val="auto"/>
              </w:rPr>
              <w:t>and Corporate Secretary</w:t>
            </w:r>
          </w:p>
        </w:tc>
        <w:tc>
          <w:tcPr>
            <w:tcW w:w="40" w:type="dxa"/>
            <w:vAlign w:val="bottom"/>
          </w:tcPr>
          <w:p>
            <w:pPr>
              <w:spacing w:after="0"/>
              <w:rPr>
                <w:sz w:val="20"/>
                <w:szCs w:val="20"/>
                <w:color w:val="auto"/>
              </w:rPr>
            </w:pPr>
          </w:p>
        </w:tc>
      </w:tr>
      <w:tr>
        <w:trPr>
          <w:trHeight w:val="432"/>
        </w:trPr>
        <w:tc>
          <w:tcPr>
            <w:tcW w:w="3640" w:type="dxa"/>
            <w:vAlign w:val="bottom"/>
          </w:tcPr>
          <w:p>
            <w:pPr>
              <w:spacing w:after="0"/>
              <w:rPr>
                <w:sz w:val="24"/>
                <w:szCs w:val="24"/>
                <w:color w:val="auto"/>
              </w:rPr>
            </w:pPr>
          </w:p>
        </w:tc>
        <w:tc>
          <w:tcPr>
            <w:tcW w:w="2140" w:type="dxa"/>
            <w:vAlign w:val="bottom"/>
          </w:tcPr>
          <w:p>
            <w:pPr>
              <w:jc w:val="right"/>
              <w:spacing w:after="0"/>
              <w:rPr>
                <w:sz w:val="20"/>
                <w:szCs w:val="20"/>
                <w:color w:val="auto"/>
              </w:rPr>
            </w:pPr>
            <w:r>
              <w:rPr>
                <w:rFonts w:ascii="Arial" w:cs="Arial" w:eastAsia="Arial" w:hAnsi="Arial"/>
                <w:sz w:val="18"/>
                <w:szCs w:val="18"/>
                <w:color w:val="auto"/>
              </w:rPr>
              <w:t>2</w:t>
            </w:r>
          </w:p>
        </w:tc>
        <w:tc>
          <w:tcPr>
            <w:tcW w:w="46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292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3640" w:type="dxa"/>
            <w:vAlign w:val="bottom"/>
            <w:tcBorders>
              <w:bottom w:val="single" w:sz="8" w:color="808080"/>
            </w:tcBorders>
          </w:tcPr>
          <w:p>
            <w:pPr>
              <w:spacing w:after="0"/>
              <w:rPr>
                <w:sz w:val="11"/>
                <w:szCs w:val="11"/>
                <w:color w:val="auto"/>
              </w:rPr>
            </w:pPr>
          </w:p>
        </w:tc>
        <w:tc>
          <w:tcPr>
            <w:tcW w:w="2140" w:type="dxa"/>
            <w:vAlign w:val="bottom"/>
            <w:tcBorders>
              <w:bottom w:val="single" w:sz="8" w:color="808080"/>
            </w:tcBorders>
          </w:tcPr>
          <w:p>
            <w:pPr>
              <w:spacing w:after="0"/>
              <w:rPr>
                <w:sz w:val="11"/>
                <w:szCs w:val="11"/>
                <w:color w:val="auto"/>
              </w:rPr>
            </w:pPr>
          </w:p>
        </w:tc>
        <w:tc>
          <w:tcPr>
            <w:tcW w:w="460" w:type="dxa"/>
            <w:vAlign w:val="bottom"/>
            <w:tcBorders>
              <w:bottom w:val="single" w:sz="8" w:color="808080"/>
            </w:tcBorders>
          </w:tcPr>
          <w:p>
            <w:pPr>
              <w:spacing w:after="0"/>
              <w:rPr>
                <w:sz w:val="11"/>
                <w:szCs w:val="11"/>
                <w:color w:val="auto"/>
              </w:rPr>
            </w:pPr>
          </w:p>
        </w:tc>
        <w:tc>
          <w:tcPr>
            <w:tcW w:w="2260" w:type="dxa"/>
            <w:vAlign w:val="bottom"/>
            <w:tcBorders>
              <w:bottom w:val="single" w:sz="8" w:color="808080"/>
            </w:tcBorders>
          </w:tcPr>
          <w:p>
            <w:pPr>
              <w:spacing w:after="0"/>
              <w:rPr>
                <w:sz w:val="11"/>
                <w:szCs w:val="11"/>
                <w:color w:val="auto"/>
              </w:rPr>
            </w:pPr>
          </w:p>
        </w:tc>
        <w:tc>
          <w:tcPr>
            <w:tcW w:w="292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544" w:right="199" w:bottom="910" w:gutter="0" w:footer="0" w:header="0"/>
        </w:sectPr>
      </w:pPr>
    </w:p>
    <w:bookmarkStart w:id="1" w:name="page2"/>
    <w:bookmarkEnd w:id="1"/>
    <w:p>
      <w:pPr>
        <w:jc w:val="right"/>
        <w:spacing w:after="0"/>
        <w:rPr>
          <w:sz w:val="20"/>
          <w:szCs w:val="20"/>
          <w:color w:val="auto"/>
        </w:rPr>
      </w:pPr>
      <w:r>
        <w:rPr>
          <w:rFonts w:ascii="Arial" w:cs="Arial" w:eastAsia="Arial" w:hAnsi="Arial"/>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545465</wp:posOffset>
            </wp:positionH>
            <wp:positionV relativeFrom="paragraph">
              <wp:posOffset>154940</wp:posOffset>
            </wp:positionV>
            <wp:extent cx="6174740" cy="11836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174740" cy="1183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spacing w:after="0"/>
        <w:tabs>
          <w:tab w:leader="none" w:pos="7740" w:val="left"/>
        </w:tabs>
        <w:rPr>
          <w:sz w:val="20"/>
          <w:szCs w:val="20"/>
          <w:color w:val="auto"/>
        </w:rPr>
      </w:pPr>
      <w:r>
        <w:rPr>
          <w:rFonts w:ascii="Arial" w:cs="Arial" w:eastAsia="Arial" w:hAnsi="Arial"/>
          <w:sz w:val="18"/>
          <w:szCs w:val="18"/>
          <w:b w:val="1"/>
          <w:bCs w:val="1"/>
          <w:color w:val="auto"/>
        </w:rPr>
        <w:t>For further information:</w:t>
      </w:r>
      <w:r>
        <w:rPr>
          <w:sz w:val="20"/>
          <w:szCs w:val="20"/>
          <w:color w:val="auto"/>
        </w:rPr>
        <w:tab/>
      </w:r>
      <w:r>
        <w:rPr>
          <w:rFonts w:ascii="Arial" w:cs="Arial" w:eastAsia="Arial" w:hAnsi="Arial"/>
          <w:sz w:val="16"/>
          <w:szCs w:val="16"/>
          <w:b w:val="1"/>
          <w:bCs w:val="1"/>
          <w:color w:val="auto"/>
        </w:rPr>
        <w:t>Investor Relations (416) 947-1212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AGNICO EAGLE PROVIDES NOTICE OF RELEASE OF</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THIRD QUARTER 2015 RESULTS AND CONFERENCE CALL</w:t>
      </w:r>
    </w:p>
    <w:p>
      <w:pPr>
        <w:spacing w:after="0" w:line="207" w:lineRule="exact"/>
        <w:rPr>
          <w:sz w:val="20"/>
          <w:szCs w:val="20"/>
          <w:color w:val="auto"/>
        </w:rPr>
      </w:pPr>
    </w:p>
    <w:p>
      <w:pPr>
        <w:ind w:right="40"/>
        <w:spacing w:after="0" w:line="282" w:lineRule="auto"/>
        <w:rPr>
          <w:sz w:val="20"/>
          <w:szCs w:val="20"/>
          <w:color w:val="auto"/>
        </w:rPr>
      </w:pPr>
      <w:r>
        <w:rPr>
          <w:rFonts w:ascii="Arial" w:cs="Arial" w:eastAsia="Arial" w:hAnsi="Arial"/>
          <w:sz w:val="18"/>
          <w:szCs w:val="18"/>
          <w:color w:val="auto"/>
        </w:rPr>
        <w:t xml:space="preserve">Toronto (September 30, 2015) — </w:t>
      </w:r>
      <w:r>
        <w:rPr>
          <w:rFonts w:ascii="Arial" w:cs="Arial" w:eastAsia="Arial" w:hAnsi="Arial"/>
          <w:sz w:val="18"/>
          <w:szCs w:val="18"/>
          <w:b w:val="1"/>
          <w:bCs w:val="1"/>
          <w:color w:val="auto"/>
        </w:rPr>
        <w:t>Agnico Eagle Mines Limited (NYSE:AEM, TSX:AEM)</w:t>
      </w:r>
      <w:r>
        <w:rPr>
          <w:rFonts w:ascii="Arial" w:cs="Arial" w:eastAsia="Arial" w:hAnsi="Arial"/>
          <w:sz w:val="18"/>
          <w:szCs w:val="18"/>
          <w:color w:val="auto"/>
        </w:rPr>
        <w:t xml:space="preserve"> (“Agnico Eagle” or the “Company”) will release its third quarter 2015 results on Wednesday, October 28, 2015, after normal trading hours.</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Third Quarter 2015 Results Conference Call Webcast</w:t>
      </w:r>
    </w:p>
    <w:p>
      <w:pPr>
        <w:spacing w:after="0" w:line="229"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Agnico Eagle’s senior management will host a conference call on Thursday, October 29, 2015 at 11:00 AM (E.D.T.) to discuss the Company’s financial and operating results.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Webcast:</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 live audio webcast of the meeting will be available on the Company’s website homepage at www.agnicoeagle.com.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Via Telephone:</w:t>
      </w:r>
    </w:p>
    <w:p>
      <w:pPr>
        <w:spacing w:after="0" w:line="229" w:lineRule="exact"/>
        <w:rPr>
          <w:sz w:val="20"/>
          <w:szCs w:val="20"/>
          <w:color w:val="auto"/>
        </w:rPr>
      </w:pPr>
    </w:p>
    <w:p>
      <w:pPr>
        <w:ind w:right="20"/>
        <w:spacing w:after="0" w:line="277" w:lineRule="auto"/>
        <w:rPr>
          <w:sz w:val="20"/>
          <w:szCs w:val="20"/>
          <w:color w:val="auto"/>
        </w:rPr>
      </w:pPr>
      <w:r>
        <w:rPr>
          <w:rFonts w:ascii="Arial" w:cs="Arial" w:eastAsia="Arial" w:hAnsi="Arial"/>
          <w:sz w:val="18"/>
          <w:szCs w:val="18"/>
          <w:color w:val="auto"/>
        </w:rPr>
        <w:t>For those preferring to listen by telephone, please dial 416-260-0113 or Toll-free 1-800-524-8950. To ensure your participation, please call approximately five minutes prior to the scheduled start of the call.</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Replay archive:</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dial 647-436-0148 or Toll-free 1-888-203-1112, access code 3791390.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conference call replay will expire on November 29, 2015.</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webcast along with presentation slides will be archived for 180 days on the website.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Agnico Eagle</w:t>
      </w:r>
    </w:p>
    <w:p>
      <w:pPr>
        <w:spacing w:after="0" w:line="229"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Agnico Eagle is a senior Canadian gold mining company that has produced precious metals since 1957. Its eight mines are located in Canada, Finland and Mexico, with exploration and development activities in each of these regions as well as in the United States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184150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right="460"/>
        <w:spacing w:after="0" w:line="277" w:lineRule="auto"/>
        <w:rPr>
          <w:sz w:val="20"/>
          <w:szCs w:val="20"/>
          <w:color w:val="auto"/>
        </w:rPr>
      </w:pPr>
      <w:r>
        <w:rPr>
          <w:rFonts w:ascii="Arial" w:cs="Arial" w:eastAsia="Arial" w:hAnsi="Arial"/>
          <w:sz w:val="18"/>
          <w:szCs w:val="18"/>
          <w:color w:val="auto"/>
        </w:rPr>
        <w:t>Sweden. The Company and its shareholders have full exposure to gold prices due to its long-standing policy of no forward gold sales. Agnico Eagle has declared a cash dividend every year since 1983.</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Contact:</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Investor Relations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Agnico Eagle Mines Limited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145 King Street East, Suite 400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Toronto, Ontario, M5C 2Y7</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Telephone:  416-947-1212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Email: info@agnicoeagle.com</w:t>
      </w:r>
    </w:p>
    <w:p>
      <w:pPr>
        <w:sectPr>
          <w:pgSz w:w="11900" w:h="16838" w:orient="portrait"/>
          <w:cols w:equalWidth="0" w:num="1">
            <w:col w:w="11420"/>
          </w:cols>
          <w:pgMar w:left="240" w:top="121" w:right="239" w:bottom="1440" w:gutter="0" w:footer="0" w:header="0"/>
        </w:sectPr>
      </w:pP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88900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20"/>
      </w:cols>
      <w:pgMar w:left="240" w:top="121" w:right="2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2020-01-24T19:46:12Z</dcterms:created>
  <dcterms:modified xsi:type="dcterms:W3CDTF">2020-01-24T19:46:12Z</dcterms:modified>
</cp:coreProperties>
</file>