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21"/>
          <w:szCs w:val="21"/>
          <w:color w:val="0000EE"/>
        </w:rPr>
      </w:pPr>
      <w:hyperlink w:anchor="page4">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143510</wp:posOffset>
            </wp:positionV>
            <wp:extent cx="7250430"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41910"/>
                    </a:xfrm>
                    <a:prstGeom prst="rect">
                      <a:avLst/>
                    </a:prstGeom>
                    <a:noFill/>
                  </pic:spPr>
                </pic:pic>
              </a:graphicData>
            </a:graphic>
          </wp:anchor>
        </w:drawing>
      </w:r>
    </w:p>
    <w:p>
      <w:pPr>
        <w:spacing w:after="0" w:line="200" w:lineRule="exact"/>
        <w:rPr>
          <w:sz w:val="24"/>
          <w:szCs w:val="24"/>
          <w:color w:val="auto"/>
        </w:rPr>
      </w:pPr>
    </w:p>
    <w:p>
      <w:pPr>
        <w:spacing w:after="0" w:line="240" w:lineRule="exact"/>
        <w:rPr>
          <w:sz w:val="24"/>
          <w:szCs w:val="24"/>
          <w:color w:val="auto"/>
        </w:rPr>
      </w:pPr>
    </w:p>
    <w:p>
      <w:pPr>
        <w:jc w:val="center"/>
        <w:ind w:right="-99"/>
        <w:spacing w:after="0"/>
        <w:rPr>
          <w:sz w:val="20"/>
          <w:szCs w:val="20"/>
          <w:color w:val="auto"/>
        </w:rPr>
      </w:pPr>
      <w:r>
        <w:rPr>
          <w:rFonts w:ascii="Arial" w:cs="Arial" w:eastAsia="Arial" w:hAnsi="Arial"/>
          <w:sz w:val="31"/>
          <w:szCs w:val="31"/>
          <w:b w:val="1"/>
          <w:bCs w:val="1"/>
          <w:color w:val="auto"/>
        </w:rPr>
        <w:t>UNITED STATES</w:t>
      </w:r>
    </w:p>
    <w:p>
      <w:pPr>
        <w:spacing w:after="0" w:line="33" w:lineRule="exact"/>
        <w:rPr>
          <w:sz w:val="24"/>
          <w:szCs w:val="24"/>
          <w:color w:val="auto"/>
        </w:rPr>
      </w:pPr>
    </w:p>
    <w:p>
      <w:pPr>
        <w:jc w:val="center"/>
        <w:ind w:right="-99"/>
        <w:spacing w:after="0"/>
        <w:rPr>
          <w:sz w:val="20"/>
          <w:szCs w:val="20"/>
          <w:color w:val="auto"/>
        </w:rPr>
      </w:pPr>
      <w:r>
        <w:rPr>
          <w:rFonts w:ascii="Arial" w:cs="Arial" w:eastAsia="Arial" w:hAnsi="Arial"/>
          <w:sz w:val="31"/>
          <w:szCs w:val="31"/>
          <w:b w:val="1"/>
          <w:bCs w:val="1"/>
          <w:color w:val="auto"/>
        </w:rPr>
        <w:t>SECURITIES AND EXCHANGE COMMISSION</w:t>
      </w:r>
    </w:p>
    <w:p>
      <w:pPr>
        <w:spacing w:after="0" w:line="8" w:lineRule="exact"/>
        <w:rPr>
          <w:sz w:val="24"/>
          <w:szCs w:val="24"/>
          <w:color w:val="auto"/>
        </w:rPr>
      </w:pPr>
    </w:p>
    <w:p>
      <w:pPr>
        <w:jc w:val="center"/>
        <w:ind w:right="-99"/>
        <w:spacing w:after="0"/>
        <w:rPr>
          <w:sz w:val="20"/>
          <w:szCs w:val="20"/>
          <w:color w:val="auto"/>
        </w:rPr>
      </w:pPr>
      <w:r>
        <w:rPr>
          <w:rFonts w:ascii="Arial" w:cs="Arial" w:eastAsia="Arial" w:hAnsi="Arial"/>
          <w:sz w:val="17"/>
          <w:szCs w:val="17"/>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23" w:lineRule="exact"/>
        <w:rPr>
          <w:sz w:val="24"/>
          <w:szCs w:val="24"/>
          <w:color w:val="auto"/>
        </w:rPr>
      </w:pPr>
    </w:p>
    <w:p>
      <w:pPr>
        <w:jc w:val="center"/>
        <w:ind w:right="-99"/>
        <w:spacing w:after="0"/>
        <w:rPr>
          <w:sz w:val="20"/>
          <w:szCs w:val="20"/>
          <w:color w:val="auto"/>
        </w:rPr>
      </w:pPr>
      <w:r>
        <w:rPr>
          <w:rFonts w:ascii="Arial" w:cs="Arial" w:eastAsia="Arial" w:hAnsi="Arial"/>
          <w:sz w:val="31"/>
          <w:szCs w:val="31"/>
          <w:b w:val="1"/>
          <w:bCs w:val="1"/>
          <w:color w:val="auto"/>
        </w:rPr>
        <w:t>Form 6-K</w:t>
      </w:r>
    </w:p>
    <w:p>
      <w:pPr>
        <w:spacing w:after="0" w:line="221" w:lineRule="exact"/>
        <w:rPr>
          <w:sz w:val="24"/>
          <w:szCs w:val="24"/>
          <w:color w:val="auto"/>
        </w:rPr>
      </w:pPr>
    </w:p>
    <w:p>
      <w:pPr>
        <w:jc w:val="center"/>
        <w:ind w:right="-99"/>
        <w:spacing w:after="0"/>
        <w:rPr>
          <w:sz w:val="20"/>
          <w:szCs w:val="20"/>
          <w:color w:val="auto"/>
        </w:rPr>
      </w:pPr>
      <w:r>
        <w:rPr>
          <w:rFonts w:ascii="Arial" w:cs="Arial" w:eastAsia="Arial" w:hAnsi="Arial"/>
          <w:sz w:val="21"/>
          <w:szCs w:val="21"/>
          <w:b w:val="1"/>
          <w:bCs w:val="1"/>
          <w:color w:val="auto"/>
        </w:rPr>
        <w:t>REPORT OF FOREIGN PRIVATE ISSUER PURSUANT TO RULE 13a-16 OR 15d-16</w:t>
      </w:r>
    </w:p>
    <w:p>
      <w:pPr>
        <w:spacing w:after="0" w:line="18" w:lineRule="exact"/>
        <w:rPr>
          <w:sz w:val="24"/>
          <w:szCs w:val="24"/>
          <w:color w:val="auto"/>
        </w:rPr>
      </w:pPr>
    </w:p>
    <w:p>
      <w:pPr>
        <w:jc w:val="center"/>
        <w:ind w:right="-99"/>
        <w:spacing w:after="0"/>
        <w:rPr>
          <w:sz w:val="20"/>
          <w:szCs w:val="20"/>
          <w:color w:val="auto"/>
        </w:rPr>
      </w:pPr>
      <w:r>
        <w:rPr>
          <w:rFonts w:ascii="Arial" w:cs="Arial" w:eastAsia="Arial" w:hAnsi="Arial"/>
          <w:sz w:val="21"/>
          <w:szCs w:val="21"/>
          <w:b w:val="1"/>
          <w:bCs w:val="1"/>
          <w:color w:val="auto"/>
        </w:rPr>
        <w:t>UNDER THE SECURITIES EXCHANGE ACT OF 1934</w:t>
      </w:r>
    </w:p>
    <w:p>
      <w:pPr>
        <w:spacing w:after="0" w:line="199"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For the month of August, 2015.</w:t>
      </w:r>
    </w:p>
    <w:p>
      <w:pPr>
        <w:spacing w:after="0" w:line="224"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Commission File Number 001-13422</w:t>
      </w:r>
    </w:p>
    <w:p>
      <w:pPr>
        <w:spacing w:after="0" w:line="224"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AGNICO EAGLE MINES LIMITED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727075</wp:posOffset>
            </wp:positionH>
            <wp:positionV relativeFrom="paragraph">
              <wp:posOffset>147955</wp:posOffset>
            </wp:positionV>
            <wp:extent cx="581025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0250" cy="8255"/>
                    </a:xfrm>
                    <a:prstGeom prst="rect">
                      <a:avLst/>
                    </a:prstGeom>
                    <a:noFill/>
                  </pic:spPr>
                </pic:pic>
              </a:graphicData>
            </a:graphic>
          </wp:anchor>
        </w:drawing>
      </w:r>
    </w:p>
    <w:p>
      <w:pPr>
        <w:spacing w:after="0" w:line="322"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(Translation of registrant's name into English)</w:t>
      </w:r>
    </w:p>
    <w:p>
      <w:pPr>
        <w:spacing w:after="0" w:line="224"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145 King Street East, Suite 400, Toronto, Ontario M5C 2Y7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727075</wp:posOffset>
            </wp:positionH>
            <wp:positionV relativeFrom="paragraph">
              <wp:posOffset>147955</wp:posOffset>
            </wp:positionV>
            <wp:extent cx="581025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0250" cy="8255"/>
                    </a:xfrm>
                    <a:prstGeom prst="rect">
                      <a:avLst/>
                    </a:prstGeom>
                    <a:noFill/>
                  </pic:spPr>
                </pic:pic>
              </a:graphicData>
            </a:graphic>
          </wp:anchor>
        </w:drawing>
      </w:r>
    </w:p>
    <w:p>
      <w:pPr>
        <w:spacing w:after="0" w:line="322"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(Address of principal executive office)</w:t>
      </w:r>
    </w:p>
    <w:p>
      <w:pPr>
        <w:spacing w:after="0" w:line="224" w:lineRule="exact"/>
        <w:rPr>
          <w:sz w:val="24"/>
          <w:szCs w:val="24"/>
          <w:color w:val="auto"/>
        </w:rPr>
      </w:pPr>
    </w:p>
    <w:p>
      <w:pPr>
        <w:spacing w:after="0"/>
        <w:rPr>
          <w:sz w:val="20"/>
          <w:szCs w:val="20"/>
          <w:color w:val="auto"/>
        </w:rPr>
      </w:pPr>
      <w:r>
        <w:rPr>
          <w:rFonts w:ascii="Arial" w:cs="Arial" w:eastAsia="Arial" w:hAnsi="Arial"/>
          <w:sz w:val="17"/>
          <w:szCs w:val="17"/>
          <w:color w:val="auto"/>
        </w:rPr>
        <w:t>Indicate by check mark whether the registrant files or will file annual reports under cover of Form 20-F or Form 40-F.</w:t>
      </w:r>
    </w:p>
    <w:p>
      <w:pPr>
        <w:spacing w:after="0" w:line="192" w:lineRule="exact"/>
        <w:rPr>
          <w:sz w:val="24"/>
          <w:szCs w:val="24"/>
          <w:color w:val="auto"/>
        </w:rPr>
      </w:pPr>
    </w:p>
    <w:p>
      <w:pPr>
        <w:ind w:left="2520"/>
        <w:spacing w:after="0" w:line="196" w:lineRule="exact"/>
        <w:tabs>
          <w:tab w:leader="none" w:pos="3460" w:val="left"/>
          <w:tab w:leader="none" w:pos="7180" w:val="left"/>
          <w:tab w:leader="none" w:pos="8160" w:val="left"/>
        </w:tabs>
        <w:rPr>
          <w:sz w:val="20"/>
          <w:szCs w:val="20"/>
          <w:color w:val="auto"/>
        </w:rPr>
      </w:pPr>
      <w:r>
        <w:rPr>
          <w:rFonts w:ascii="Arial" w:cs="Arial" w:eastAsia="Arial" w:hAnsi="Arial"/>
          <w:sz w:val="17"/>
          <w:szCs w:val="17"/>
          <w:color w:val="auto"/>
        </w:rPr>
        <w:t>Form 20-F</w:t>
        <w:tab/>
        <w:t>o</w:t>
      </w:r>
      <w:r>
        <w:rPr>
          <w:sz w:val="20"/>
          <w:szCs w:val="20"/>
          <w:color w:val="auto"/>
        </w:rPr>
        <w:tab/>
      </w:r>
      <w:r>
        <w:rPr>
          <w:rFonts w:ascii="Arial" w:cs="Arial" w:eastAsia="Arial" w:hAnsi="Arial"/>
          <w:sz w:val="17"/>
          <w:szCs w:val="17"/>
          <w:color w:val="auto"/>
        </w:rPr>
        <w:t>Form 40-F</w:t>
      </w:r>
      <w:r>
        <w:rPr>
          <w:sz w:val="20"/>
          <w:szCs w:val="20"/>
          <w:color w:val="auto"/>
        </w:rPr>
        <w:tab/>
      </w:r>
      <w:r>
        <w:rPr>
          <w:rFonts w:ascii="MS PGothic" w:cs="MS PGothic" w:eastAsia="MS PGothic" w:hAnsi="MS PGothic"/>
          <w:sz w:val="16"/>
          <w:szCs w:val="16"/>
          <w:color w:val="auto"/>
        </w:rPr>
        <w:t>☒</w:t>
      </w:r>
    </w:p>
    <w:p>
      <w:pPr>
        <w:spacing w:after="0" w:line="256" w:lineRule="exact"/>
        <w:rPr>
          <w:sz w:val="24"/>
          <w:szCs w:val="24"/>
          <w:color w:val="auto"/>
        </w:rPr>
      </w:pPr>
    </w:p>
    <w:p>
      <w:pPr>
        <w:spacing w:after="0"/>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 (b)(1):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5430520</wp:posOffset>
            </wp:positionH>
            <wp:positionV relativeFrom="paragraph">
              <wp:posOffset>-10160</wp:posOffset>
            </wp:positionV>
            <wp:extent cx="78486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84860" cy="8255"/>
                    </a:xfrm>
                    <a:prstGeom prst="rect">
                      <a:avLst/>
                    </a:prstGeom>
                    <a:noFill/>
                  </pic:spPr>
                </pic:pic>
              </a:graphicData>
            </a:graphic>
          </wp:anchor>
        </w:drawing>
      </w:r>
    </w:p>
    <w:p>
      <w:pPr>
        <w:spacing w:after="0" w:line="200"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 xml:space="preserve">Note: </w:t>
      </w:r>
      <w:r>
        <w:rPr>
          <w:rFonts w:ascii="Arial" w:cs="Arial" w:eastAsia="Arial" w:hAnsi="Arial"/>
          <w:sz w:val="15"/>
          <w:szCs w:val="15"/>
          <w:color w:val="auto"/>
        </w:rPr>
        <w:t>Regulation S-T Rule 101 (b)(1) only permits the submission in paper of a Form 6-K if submitted solely to provide an attached annual report to security holders.</w:t>
      </w:r>
    </w:p>
    <w:p>
      <w:pPr>
        <w:spacing w:after="0" w:line="251" w:lineRule="exact"/>
        <w:rPr>
          <w:sz w:val="24"/>
          <w:szCs w:val="24"/>
          <w:color w:val="auto"/>
        </w:rPr>
      </w:pPr>
    </w:p>
    <w:p>
      <w:pPr>
        <w:spacing w:after="0"/>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 (b)(7):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5430520</wp:posOffset>
            </wp:positionH>
            <wp:positionV relativeFrom="paragraph">
              <wp:posOffset>-10160</wp:posOffset>
            </wp:positionV>
            <wp:extent cx="7848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84860" cy="8255"/>
                    </a:xfrm>
                    <a:prstGeom prst="rect">
                      <a:avLst/>
                    </a:prstGeom>
                    <a:noFill/>
                  </pic:spPr>
                </pic:pic>
              </a:graphicData>
            </a:graphic>
          </wp:anchor>
        </w:drawing>
      </w:r>
    </w:p>
    <w:p>
      <w:pPr>
        <w:spacing w:after="0" w:line="200" w:lineRule="exact"/>
        <w:rPr>
          <w:sz w:val="24"/>
          <w:szCs w:val="24"/>
          <w:color w:val="auto"/>
        </w:rPr>
      </w:pPr>
    </w:p>
    <w:p>
      <w:pPr>
        <w:spacing w:after="0" w:line="265"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 foreign</w:t>
      </w:r>
      <w:r>
        <w:rPr>
          <w:rFonts w:ascii="Arial" w:cs="Arial" w:eastAsia="Arial" w:hAnsi="Arial"/>
          <w:sz w:val="17"/>
          <w:szCs w:val="17"/>
          <w:b w:val="1"/>
          <w:bCs w:val="1"/>
          <w:color w:val="auto"/>
        </w:rPr>
        <w:t xml:space="preserve"> </w:t>
      </w:r>
      <w:r>
        <w:rPr>
          <w:rFonts w:ascii="Arial" w:cs="Arial" w:eastAsia="Arial" w:hAnsi="Arial"/>
          <w:sz w:val="17"/>
          <w:szCs w:val="17"/>
          <w:color w:val="auto"/>
        </w:rPr>
        <w:t>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83" w:lineRule="exact"/>
        <w:rPr>
          <w:sz w:val="24"/>
          <w:szCs w:val="24"/>
          <w:color w:val="auto"/>
        </w:rPr>
      </w:pPr>
    </w:p>
    <w:p>
      <w:pPr>
        <w:ind w:right="360"/>
        <w:spacing w:after="0" w:line="223" w:lineRule="exact"/>
        <w:rPr>
          <w:sz w:val="20"/>
          <w:szCs w:val="20"/>
          <w:color w:val="auto"/>
        </w:rPr>
      </w:pPr>
      <w:r>
        <w:rPr>
          <w:rFonts w:ascii="Arial" w:cs="Arial" w:eastAsia="Arial" w:hAnsi="Arial"/>
          <w:sz w:val="17"/>
          <w:szCs w:val="17"/>
          <w:color w:val="auto"/>
        </w:rPr>
        <w:t xml:space="preserve">Indicate by check mark whether the registrant by furnishing the information contained in this Form is also thereby furnishing the information to the Commission pursuant to Rule 12g3-2(b) under the Securities Exchange Act of 1934. Yes o No </w:t>
      </w:r>
      <w:r>
        <w:rPr>
          <w:rFonts w:ascii="MS PGothic" w:cs="MS PGothic" w:eastAsia="MS PGothic" w:hAnsi="MS PGothic"/>
          <w:sz w:val="17"/>
          <w:szCs w:val="17"/>
          <w:color w:val="auto"/>
        </w:rPr>
        <w:t>☒</w:t>
      </w:r>
    </w:p>
    <w:p>
      <w:pPr>
        <w:spacing w:after="0" w:line="185" w:lineRule="exact"/>
        <w:rPr>
          <w:sz w:val="24"/>
          <w:szCs w:val="24"/>
          <w:color w:val="auto"/>
        </w:rPr>
      </w:pPr>
    </w:p>
    <w:p>
      <w:pPr>
        <w:spacing w:after="0"/>
        <w:tabs>
          <w:tab w:leader="none" w:pos="9140" w:val="left"/>
        </w:tabs>
        <w:rPr>
          <w:sz w:val="20"/>
          <w:szCs w:val="20"/>
          <w:color w:val="auto"/>
        </w:rPr>
      </w:pPr>
      <w:r>
        <w:rPr>
          <w:rFonts w:ascii="Arial" w:cs="Arial" w:eastAsia="Arial" w:hAnsi="Arial"/>
          <w:sz w:val="17"/>
          <w:szCs w:val="17"/>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322580</wp:posOffset>
            </wp:positionV>
            <wp:extent cx="72504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339090</wp:posOffset>
            </wp:positionV>
            <wp:extent cx="7250430" cy="330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3302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503555</wp:posOffset>
            </wp:positionV>
            <wp:extent cx="7254875" cy="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4875" cy="20955"/>
                    </a:xfrm>
                    <a:prstGeom prst="rect">
                      <a:avLst/>
                    </a:prstGeom>
                    <a:noFill/>
                  </pic:spPr>
                </pic:pic>
              </a:graphicData>
            </a:graphic>
          </wp:anchor>
        </w:drawing>
        <w:drawing>
          <wp:anchor simplePos="0" relativeHeight="251657728" behindDoc="1" locked="0" layoutInCell="0" allowOverlap="1">
            <wp:simplePos x="0" y="0"/>
            <wp:positionH relativeFrom="column">
              <wp:posOffset>5033010</wp:posOffset>
            </wp:positionH>
            <wp:positionV relativeFrom="paragraph">
              <wp:posOffset>-10160</wp:posOffset>
            </wp:positionV>
            <wp:extent cx="7848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84860" cy="8255"/>
                    </a:xfrm>
                    <a:prstGeom prst="rect">
                      <a:avLst/>
                    </a:prstGeom>
                    <a:noFill/>
                  </pic:spPr>
                </pic:pic>
              </a:graphicData>
            </a:graphic>
          </wp:anchor>
        </w:drawing>
      </w:r>
    </w:p>
    <w:p>
      <w:pPr>
        <w:sectPr>
          <w:pgSz w:w="11900" w:h="16838" w:orient="portrait"/>
          <w:cols w:equalWidth="0" w:num="1">
            <w:col w:w="11320"/>
          </w:cols>
          <w:pgMar w:left="240" w:top="459" w:right="339" w:bottom="1440" w:gutter="0" w:footer="0" w:header="0"/>
        </w:sectPr>
      </w:pPr>
    </w:p>
    <w:bookmarkStart w:id="1" w:name="page2"/>
    <w:bookmarkEnd w:id="1"/>
    <w:p>
      <w:pPr>
        <w:jc w:val="center"/>
        <w:ind w:right="40"/>
        <w:spacing w:after="0"/>
        <w:rPr>
          <w:sz w:val="20"/>
          <w:szCs w:val="20"/>
          <w:color w:val="auto"/>
        </w:rPr>
      </w:pPr>
      <w:r>
        <w:rPr>
          <w:rFonts w:ascii="Arial" w:cs="Arial" w:eastAsia="Arial" w:hAnsi="Arial"/>
          <w:sz w:val="17"/>
          <w:szCs w:val="17"/>
          <w:b w:val="1"/>
          <w:bCs w:val="1"/>
          <w:color w:val="auto"/>
        </w:rPr>
        <w:t>EXHIBITS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14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3"/>
                <w:szCs w:val="13"/>
                <w:b w:val="1"/>
                <w:bCs w:val="1"/>
                <w:color w:val="auto"/>
              </w:rPr>
              <w:t>Exhibit No.</w:t>
            </w:r>
          </w:p>
        </w:tc>
        <w:tc>
          <w:tcPr>
            <w:tcW w:w="300" w:type="dxa"/>
            <w:vAlign w:val="bottom"/>
          </w:tcPr>
          <w:p>
            <w:pPr>
              <w:spacing w:after="0"/>
              <w:rPr>
                <w:sz w:val="13"/>
                <w:szCs w:val="13"/>
                <w:color w:val="auto"/>
              </w:rPr>
            </w:pPr>
          </w:p>
        </w:tc>
        <w:tc>
          <w:tcPr>
            <w:tcW w:w="9260" w:type="dxa"/>
            <w:vAlign w:val="bottom"/>
            <w:gridSpan w:val="2"/>
          </w:tcPr>
          <w:p>
            <w:pPr>
              <w:spacing w:after="0"/>
              <w:rPr>
                <w:sz w:val="20"/>
                <w:szCs w:val="20"/>
                <w:color w:val="auto"/>
              </w:rPr>
            </w:pPr>
            <w:r>
              <w:rPr>
                <w:rFonts w:ascii="Arial" w:cs="Arial" w:eastAsia="Arial" w:hAnsi="Arial"/>
                <w:sz w:val="13"/>
                <w:szCs w:val="13"/>
                <w:b w:val="1"/>
                <w:bCs w:val="1"/>
                <w:color w:val="auto"/>
              </w:rPr>
              <w:t>Exhibit Description</w:t>
            </w:r>
          </w:p>
        </w:tc>
      </w:tr>
      <w:tr>
        <w:trPr>
          <w:trHeight w:val="209"/>
        </w:trPr>
        <w:tc>
          <w:tcPr>
            <w:tcW w:w="1140" w:type="dxa"/>
            <w:vAlign w:val="bottom"/>
          </w:tcPr>
          <w:p>
            <w:pPr>
              <w:spacing w:after="0"/>
              <w:rPr>
                <w:sz w:val="18"/>
                <w:szCs w:val="18"/>
                <w:color w:val="auto"/>
              </w:rPr>
            </w:pPr>
          </w:p>
        </w:tc>
        <w:tc>
          <w:tcPr>
            <w:tcW w:w="720" w:type="dxa"/>
            <w:vAlign w:val="bottom"/>
            <w:tcBorders>
              <w:top w:val="single" w:sz="8" w:color="auto"/>
            </w:tcBorders>
          </w:tcPr>
          <w:p>
            <w:pPr>
              <w:ind w:left="20"/>
              <w:spacing w:after="0"/>
              <w:rPr>
                <w:sz w:val="20"/>
                <w:szCs w:val="20"/>
                <w:color w:val="auto"/>
              </w:rPr>
            </w:pPr>
            <w:r>
              <w:rPr>
                <w:rFonts w:ascii="Arial" w:cs="Arial" w:eastAsia="Arial" w:hAnsi="Arial"/>
                <w:sz w:val="17"/>
                <w:szCs w:val="17"/>
                <w:color w:val="auto"/>
              </w:rPr>
              <w:t>99.1</w:t>
            </w:r>
          </w:p>
        </w:tc>
        <w:tc>
          <w:tcPr>
            <w:tcW w:w="300" w:type="dxa"/>
            <w:vAlign w:val="bottom"/>
          </w:tcPr>
          <w:p>
            <w:pPr>
              <w:spacing w:after="0"/>
              <w:rPr>
                <w:sz w:val="18"/>
                <w:szCs w:val="18"/>
                <w:color w:val="auto"/>
              </w:rPr>
            </w:pPr>
          </w:p>
        </w:tc>
        <w:tc>
          <w:tcPr>
            <w:tcW w:w="1200" w:type="dxa"/>
            <w:vAlign w:val="bottom"/>
            <w:tcBorders>
              <w:top w:val="single" w:sz="8" w:color="auto"/>
            </w:tcBorders>
          </w:tcPr>
          <w:p>
            <w:pPr>
              <w:spacing w:after="0"/>
              <w:rPr>
                <w:sz w:val="20"/>
                <w:szCs w:val="20"/>
                <w:color w:val="auto"/>
              </w:rPr>
            </w:pPr>
            <w:r>
              <w:rPr>
                <w:rFonts w:ascii="Arial" w:cs="Arial" w:eastAsia="Arial" w:hAnsi="Arial"/>
                <w:sz w:val="17"/>
                <w:szCs w:val="17"/>
                <w:color w:val="auto"/>
                <w:w w:val="98"/>
              </w:rPr>
              <w:t>Second Quarter</w:t>
            </w:r>
          </w:p>
        </w:tc>
        <w:tc>
          <w:tcPr>
            <w:tcW w:w="8060" w:type="dxa"/>
            <w:vAlign w:val="bottom"/>
          </w:tcPr>
          <w:p>
            <w:pPr>
              <w:spacing w:after="0"/>
              <w:rPr>
                <w:sz w:val="20"/>
                <w:szCs w:val="20"/>
                <w:color w:val="auto"/>
              </w:rPr>
            </w:pPr>
            <w:r>
              <w:rPr>
                <w:rFonts w:ascii="Arial" w:cs="Arial" w:eastAsia="Arial" w:hAnsi="Arial"/>
                <w:sz w:val="17"/>
                <w:szCs w:val="17"/>
                <w:color w:val="auto"/>
              </w:rPr>
              <w:t>Report</w:t>
            </w:r>
          </w:p>
        </w:tc>
      </w:tr>
      <w:tr>
        <w:trPr>
          <w:trHeight w:val="108"/>
        </w:trPr>
        <w:tc>
          <w:tcPr>
            <w:tcW w:w="114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8060" w:type="dxa"/>
            <w:vAlign w:val="bottom"/>
            <w:tcBorders>
              <w:bottom w:val="single" w:sz="8" w:color="808080"/>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 w:name="page3"/>
    <w:bookmarkEnd w:id="2"/>
    <w:p>
      <w:pPr>
        <w:jc w:val="center"/>
        <w:ind w:right="-319"/>
        <w:spacing w:after="0"/>
        <w:rPr>
          <w:sz w:val="20"/>
          <w:szCs w:val="20"/>
          <w:color w:val="auto"/>
        </w:rPr>
      </w:pPr>
      <w:r>
        <w:rPr>
          <w:rFonts w:ascii="Arial" w:cs="Arial" w:eastAsia="Arial" w:hAnsi="Arial"/>
          <w:sz w:val="17"/>
          <w:szCs w:val="17"/>
          <w:b w:val="1"/>
          <w:bCs w:val="1"/>
          <w:color w:val="auto"/>
        </w:rPr>
        <w:t>SIGNATURES</w:t>
      </w:r>
    </w:p>
    <w:p>
      <w:pPr>
        <w:spacing w:after="0" w:line="228" w:lineRule="exact"/>
        <w:rPr>
          <w:sz w:val="20"/>
          <w:szCs w:val="20"/>
          <w:color w:val="auto"/>
        </w:rPr>
      </w:pPr>
    </w:p>
    <w:p>
      <w:pPr>
        <w:ind w:right="60" w:firstLine="341"/>
        <w:spacing w:after="0" w:line="282"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5360"/>
        <w:spacing w:after="0"/>
        <w:rPr>
          <w:sz w:val="20"/>
          <w:szCs w:val="20"/>
          <w:color w:val="auto"/>
        </w:rPr>
      </w:pPr>
      <w:r>
        <w:rPr>
          <w:rFonts w:ascii="Arial" w:cs="Arial" w:eastAsia="Arial" w:hAnsi="Arial"/>
          <w:sz w:val="17"/>
          <w:szCs w:val="17"/>
          <w:color w:val="auto"/>
        </w:rPr>
        <w:t>AGNICO EAGLE MINES LIMITED</w:t>
      </w:r>
    </w:p>
    <w:p>
      <w:pPr>
        <w:spacing w:after="0" w:line="20" w:lineRule="exact"/>
        <w:rPr>
          <w:sz w:val="20"/>
          <w:szCs w:val="20"/>
          <w:color w:val="auto"/>
        </w:rPr>
      </w:pPr>
    </w:p>
    <w:p>
      <w:pPr>
        <w:ind w:left="6040"/>
        <w:spacing w:after="0"/>
        <w:rPr>
          <w:sz w:val="20"/>
          <w:szCs w:val="20"/>
          <w:color w:val="auto"/>
        </w:rPr>
      </w:pPr>
      <w:r>
        <w:rPr>
          <w:rFonts w:ascii="Arial" w:cs="Arial" w:eastAsia="Arial" w:hAnsi="Arial"/>
          <w:sz w:val="17"/>
          <w:szCs w:val="17"/>
          <w:color w:val="auto"/>
        </w:rPr>
        <w:t>(Registrant)</w:t>
      </w:r>
    </w:p>
    <w:p>
      <w:pPr>
        <w:spacing w:after="0" w:line="200" w:lineRule="exact"/>
        <w:rPr>
          <w:sz w:val="20"/>
          <w:szCs w:val="20"/>
          <w:color w:val="auto"/>
        </w:rPr>
      </w:pPr>
    </w:p>
    <w:p>
      <w:pPr>
        <w:spacing w:after="0" w:line="228" w:lineRule="exact"/>
        <w:rPr>
          <w:sz w:val="20"/>
          <w:szCs w:val="20"/>
          <w:color w:val="auto"/>
        </w:rPr>
      </w:pPr>
    </w:p>
    <w:p>
      <w:pPr>
        <w:spacing w:after="0"/>
        <w:tabs>
          <w:tab w:leader="none" w:pos="5340" w:val="left"/>
          <w:tab w:leader="none" w:pos="5860" w:val="left"/>
        </w:tabs>
        <w:rPr>
          <w:sz w:val="20"/>
          <w:szCs w:val="20"/>
          <w:color w:val="auto"/>
        </w:rPr>
      </w:pPr>
      <w:r>
        <w:rPr>
          <w:rFonts w:ascii="Arial" w:cs="Arial" w:eastAsia="Arial" w:hAnsi="Arial"/>
          <w:sz w:val="17"/>
          <w:szCs w:val="17"/>
          <w:color w:val="auto"/>
        </w:rPr>
        <w:t>Date: August 12, 2015</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6"/>
          <w:szCs w:val="16"/>
          <w:color w:val="auto"/>
        </w:rPr>
        <w:t>/s/ R. GREGORY LAING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3732530</wp:posOffset>
            </wp:positionH>
            <wp:positionV relativeFrom="paragraph">
              <wp:posOffset>147955</wp:posOffset>
            </wp:positionV>
            <wp:extent cx="210629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106295" cy="8255"/>
                    </a:xfrm>
                    <a:prstGeom prst="rect">
                      <a:avLst/>
                    </a:prstGeom>
                    <a:noFill/>
                  </pic:spPr>
                </pic:pic>
              </a:graphicData>
            </a:graphic>
          </wp:anchor>
        </w:drawing>
      </w:r>
    </w:p>
    <w:p>
      <w:pPr>
        <w:spacing w:after="0" w:line="322" w:lineRule="exact"/>
        <w:rPr>
          <w:sz w:val="20"/>
          <w:szCs w:val="20"/>
          <w:color w:val="auto"/>
        </w:rPr>
      </w:pPr>
    </w:p>
    <w:p>
      <w:pPr>
        <w:ind w:left="5880"/>
        <w:spacing w:after="0"/>
        <w:rPr>
          <w:sz w:val="20"/>
          <w:szCs w:val="20"/>
          <w:color w:val="auto"/>
        </w:rPr>
      </w:pPr>
      <w:r>
        <w:rPr>
          <w:rFonts w:ascii="Arial" w:cs="Arial" w:eastAsia="Arial" w:hAnsi="Arial"/>
          <w:sz w:val="17"/>
          <w:szCs w:val="17"/>
          <w:color w:val="auto"/>
        </w:rPr>
        <w:t>R. Gregory Laing</w:t>
      </w:r>
    </w:p>
    <w:p>
      <w:pPr>
        <w:spacing w:after="0" w:line="20" w:lineRule="exact"/>
        <w:rPr>
          <w:sz w:val="20"/>
          <w:szCs w:val="20"/>
          <w:color w:val="auto"/>
        </w:rPr>
      </w:pPr>
    </w:p>
    <w:p>
      <w:pPr>
        <w:ind w:left="5880"/>
        <w:spacing w:after="0"/>
        <w:rPr>
          <w:sz w:val="20"/>
          <w:szCs w:val="20"/>
          <w:color w:val="auto"/>
        </w:rPr>
      </w:pPr>
      <w:r>
        <w:rPr>
          <w:rFonts w:ascii="Arial" w:cs="Arial" w:eastAsia="Arial" w:hAnsi="Arial"/>
          <w:sz w:val="17"/>
          <w:szCs w:val="17"/>
          <w:color w:val="auto"/>
        </w:rPr>
        <w:t>General Counsel, Sr. Vice-President, Legal</w:t>
      </w:r>
    </w:p>
    <w:p>
      <w:pPr>
        <w:spacing w:after="0" w:line="14" w:lineRule="exact"/>
        <w:rPr>
          <w:sz w:val="20"/>
          <w:szCs w:val="20"/>
          <w:color w:val="auto"/>
        </w:rPr>
      </w:pPr>
    </w:p>
    <w:p>
      <w:pPr>
        <w:ind w:left="5880"/>
        <w:spacing w:after="0"/>
        <w:rPr>
          <w:sz w:val="20"/>
          <w:szCs w:val="20"/>
          <w:color w:val="auto"/>
        </w:rPr>
      </w:pPr>
      <w:r>
        <w:rPr>
          <w:rFonts w:ascii="Arial" w:cs="Arial" w:eastAsia="Arial" w:hAnsi="Arial"/>
          <w:sz w:val="17"/>
          <w:szCs w:val="17"/>
          <w:color w:val="auto"/>
        </w:rPr>
        <w:t>and Corporate Secretary</w:t>
      </w:r>
    </w:p>
    <w:p>
      <w:pPr>
        <w:spacing w:after="0" w:line="218" w:lineRule="exact"/>
        <w:rPr>
          <w:sz w:val="20"/>
          <w:szCs w:val="20"/>
          <w:color w:val="auto"/>
        </w:rPr>
      </w:pPr>
    </w:p>
    <w:p>
      <w:pPr>
        <w:spacing w:after="0" w:line="282" w:lineRule="auto"/>
        <w:rPr>
          <w:sz w:val="20"/>
          <w:szCs w:val="20"/>
          <w:color w:val="auto"/>
        </w:rPr>
      </w:pPr>
      <w:r>
        <w:rPr>
          <w:rFonts w:ascii="Arial" w:cs="Arial" w:eastAsia="Arial" w:hAnsi="Arial"/>
          <w:sz w:val="17"/>
          <w:szCs w:val="17"/>
          <w:color w:val="auto"/>
        </w:rPr>
        <w:t>Exhibit Number 99.1 submitted with this Form 6-K is hereby incorporated by reference into Agnico Eagle Mines Limited's Registration Statements on Form F-10 (Reg. No. 333-189715), Form F-3D (Reg. No. 333-190888) and Form S-8 (Reg. Nos. 333-130339 and 333-152004).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111125</wp:posOffset>
            </wp:positionV>
            <wp:extent cx="7254875"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060"/>
          </w:cols>
          <w:pgMar w:left="240" w:top="337" w:right="599" w:bottom="1440" w:gutter="0" w:footer="0" w:header="0"/>
        </w:sectPr>
      </w:pPr>
    </w:p>
    <w:bookmarkStart w:id="3" w:name="page4"/>
    <w:bookmarkEnd w:id="3"/>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spacing w:after="0"/>
        <w:rPr>
          <w:rFonts w:ascii="Arial" w:cs="Arial" w:eastAsia="Arial" w:hAnsi="Arial"/>
          <w:sz w:val="17"/>
          <w:szCs w:val="17"/>
          <w:u w:val="single" w:color="auto"/>
          <w:color w:val="0000EE"/>
        </w:rPr>
      </w:pPr>
      <w:hyperlink w:anchor="page2">
        <w:r>
          <w:rPr>
            <w:rFonts w:ascii="Arial" w:cs="Arial" w:eastAsia="Arial" w:hAnsi="Arial"/>
            <w:sz w:val="17"/>
            <w:szCs w:val="17"/>
            <w:u w:val="single" w:color="auto"/>
            <w:color w:val="0000EE"/>
          </w:rPr>
          <w:t>EXHIBITS</w:t>
        </w:r>
      </w:hyperlink>
    </w:p>
    <w:p>
      <w:pPr>
        <w:spacing w:after="0" w:line="20" w:lineRule="exact"/>
        <w:rPr>
          <w:sz w:val="20"/>
          <w:szCs w:val="20"/>
          <w:color w:val="auto"/>
        </w:rPr>
      </w:pPr>
    </w:p>
    <w:p>
      <w:pPr>
        <w:spacing w:after="0"/>
        <w:rPr>
          <w:rFonts w:ascii="Arial" w:cs="Arial" w:eastAsia="Arial" w:hAnsi="Arial"/>
          <w:sz w:val="15"/>
          <w:szCs w:val="15"/>
          <w:u w:val="single" w:color="auto"/>
          <w:color w:val="0000EE"/>
        </w:rPr>
      </w:pPr>
      <w:hyperlink w:anchor="page3">
        <w:r>
          <w:rPr>
            <w:rFonts w:ascii="Arial" w:cs="Arial" w:eastAsia="Arial" w:hAnsi="Arial"/>
            <w:sz w:val="15"/>
            <w:szCs w:val="15"/>
            <w:u w:val="single" w:color="auto"/>
            <w:color w:val="0000EE"/>
          </w:rPr>
          <w:t>SIGNATURES</w:t>
        </w:r>
      </w:hyperlink>
    </w:p>
    <w:p>
      <w:pPr>
        <w:sectPr>
          <w:pgSz w:w="11900" w:h="16838" w:orient="portrait"/>
          <w:cols w:equalWidth="0" w:num="1">
            <w:col w:w="10219"/>
          </w:cols>
          <w:pgMar w:left="240" w:top="800" w:right="1440" w:bottom="1440" w:gutter="0" w:footer="0" w:header="0"/>
        </w:sectPr>
      </w:pPr>
    </w:p>
    <w:bookmarkStart w:id="4" w:name="page5"/>
    <w:bookmarkEnd w:id="4"/>
    <w:p>
      <w:pPr>
        <w:spacing w:after="0"/>
        <w:rPr>
          <w:rFonts w:ascii="Arial" w:cs="Arial" w:eastAsia="Arial" w:hAnsi="Arial"/>
          <w:sz w:val="19"/>
          <w:szCs w:val="19"/>
          <w:color w:val="0000EE"/>
        </w:rPr>
      </w:pPr>
      <w:hyperlink w:anchor="page59">
        <w:r>
          <w:rPr>
            <w:rFonts w:ascii="Arial" w:cs="Arial" w:eastAsia="Arial" w:hAnsi="Arial"/>
            <w:sz w:val="19"/>
            <w:szCs w:val="19"/>
            <w:u w:val="single" w:color="auto"/>
            <w:color w:val="0000EE"/>
          </w:rPr>
          <w:t>QuickLinks</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9"/>
          <w:szCs w:val="19"/>
          <w:color w:val="000000"/>
        </w:rPr>
        <w:t>Click here to rapidly navigate through this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155575</wp:posOffset>
            </wp:positionV>
            <wp:extent cx="7314565" cy="21520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314565" cy="2152015"/>
                    </a:xfrm>
                    <a:prstGeom prst="rect">
                      <a:avLst/>
                    </a:prstGeom>
                    <a:noFill/>
                  </pic:spPr>
                </pic:pic>
              </a:graphicData>
            </a:graphic>
          </wp:anchor>
        </w:drawing>
      </w:r>
    </w:p>
    <w:p>
      <w:pPr>
        <w:sectPr>
          <w:pgSz w:w="11900" w:h="16838" w:orient="portrait"/>
          <w:cols w:equalWidth="0" w:num="1">
            <w:col w:w="10219"/>
          </w:cols>
          <w:pgMar w:left="240" w:top="354"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3960"/>
        <w:spacing w:after="0"/>
        <w:rPr>
          <w:sz w:val="20"/>
          <w:szCs w:val="20"/>
          <w:color w:val="auto"/>
        </w:rPr>
      </w:pPr>
      <w:r>
        <w:rPr>
          <w:rFonts w:ascii="Arial" w:cs="Arial" w:eastAsia="Arial" w:hAnsi="Arial"/>
          <w:sz w:val="28"/>
          <w:szCs w:val="28"/>
          <w:b w:val="1"/>
          <w:bCs w:val="1"/>
          <w:color w:val="auto"/>
        </w:rPr>
        <w:t>Second Quarter Report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410210</wp:posOffset>
            </wp:positionV>
            <wp:extent cx="7254875"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19"/>
          </w:cols>
          <w:pgMar w:left="240" w:top="354" w:right="1440" w:bottom="1440" w:gutter="0" w:footer="0" w:header="0"/>
          <w:type w:val="continuous"/>
        </w:sectPr>
      </w:pPr>
    </w:p>
    <w:bookmarkStart w:id="5" w:name="page6"/>
    <w:bookmarkEnd w:id="5"/>
    <w:p>
      <w:pPr>
        <w:jc w:val="center"/>
        <w:ind w:right="4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60" w:lineRule="auto"/>
        <w:rPr>
          <w:sz w:val="20"/>
          <w:szCs w:val="20"/>
          <w:color w:val="auto"/>
        </w:rPr>
      </w:pPr>
      <w:r>
        <w:rPr>
          <w:rFonts w:ascii="Arial" w:cs="Arial" w:eastAsia="Arial" w:hAnsi="Arial"/>
          <w:sz w:val="17"/>
          <w:szCs w:val="17"/>
          <w:color w:val="auto"/>
        </w:rPr>
        <w:t>This Management's Discussion and Analysis ("MD&amp;A") dated August 12, 2015 of Agnico Eagle Mines Limited ("Agnico Eagle" or the "Company") should be read in conjunction with the Company's unaudited condensed interim consolidated financial statements for the three and six months ended June 30, 2015, prepared in accordance with International Financial Reporting Standards ("IFRS") as issued by the International Accounting Standards Board ("IASB"). This MD&amp;A should also be read in conjunction with the MD&amp;A and consolidated financial statements included in the Company's Annual Report on Form 40-F for the year ended December 31, 2014 (the "Form 40-F"), prepared in accordance with IFRS. The Company has adopted IFRS as its basis of accounting, replacing US GAAP effective July 1, 2014. The condensed interim consolidated financial statements and MD&amp;A are presented in United States dollars ("$" or "US$") and all units of measurement are expressed in metric, unless otherwise specified. Certain information in this MD&amp;A is presented in Canadian dollars ("C$") or European Union euros ("Euros" or "€"). Additional information relating to the Company, including risk factors in the Form 40-F, is available on the Canadian Securities Administrators' (the "CSA") SEDAR website at www.sedar.com.</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Business Overview</w:t>
      </w:r>
    </w:p>
    <w:p>
      <w:pPr>
        <w:spacing w:after="0" w:line="228" w:lineRule="exact"/>
        <w:rPr>
          <w:sz w:val="20"/>
          <w:szCs w:val="20"/>
          <w:color w:val="auto"/>
        </w:rPr>
      </w:pPr>
    </w:p>
    <w:p>
      <w:pPr>
        <w:jc w:val="both"/>
        <w:ind w:firstLine="332"/>
        <w:spacing w:after="0" w:line="294"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The Company's nine mines are located in Canada, Mexico and Finland, with exploration and development activities in each of these regions as well as in the United States. The Company and its shareholders have full exposure to gold prices due to its long-standing policy of no forward gold sales. Agnico Eagle has declared a cash dividend every year since 1983.</w:t>
      </w:r>
    </w:p>
    <w:p>
      <w:pPr>
        <w:spacing w:after="0" w:line="163" w:lineRule="exact"/>
        <w:rPr>
          <w:sz w:val="20"/>
          <w:szCs w:val="20"/>
          <w:color w:val="auto"/>
        </w:rPr>
      </w:pPr>
    </w:p>
    <w:p>
      <w:pPr>
        <w:jc w:val="both"/>
        <w:ind w:firstLine="483"/>
        <w:spacing w:after="0" w:line="282" w:lineRule="auto"/>
        <w:rPr>
          <w:sz w:val="20"/>
          <w:szCs w:val="20"/>
          <w:color w:val="auto"/>
        </w:rPr>
      </w:pPr>
      <w:r>
        <w:rPr>
          <w:rFonts w:ascii="Arial" w:cs="Arial" w:eastAsia="Arial" w:hAnsi="Arial"/>
          <w:sz w:val="17"/>
          <w:szCs w:val="17"/>
          <w:color w:val="auto"/>
        </w:rPr>
        <w:t>Agnico Eagle earns a significant proportion of its revenue and cash flow from the production and sale of gold in both dore bar and concentrate form. The remainder of revenue and cash flow is generated by the production and sale of by-product metals, primarily silver, zinc and copper.</w:t>
      </w:r>
    </w:p>
    <w:p>
      <w:pPr>
        <w:spacing w:after="0" w:line="170" w:lineRule="exact"/>
        <w:rPr>
          <w:sz w:val="20"/>
          <w:szCs w:val="20"/>
          <w:color w:val="auto"/>
        </w:rPr>
      </w:pPr>
    </w:p>
    <w:p>
      <w:pPr>
        <w:jc w:val="both"/>
        <w:ind w:firstLine="353"/>
        <w:spacing w:after="0" w:line="287" w:lineRule="auto"/>
        <w:rPr>
          <w:sz w:val="20"/>
          <w:szCs w:val="20"/>
          <w:color w:val="auto"/>
        </w:rPr>
      </w:pPr>
      <w:r>
        <w:rPr>
          <w:rFonts w:ascii="Arial" w:cs="Arial" w:eastAsia="Arial" w:hAnsi="Arial"/>
          <w:sz w:val="16"/>
          <w:szCs w:val="16"/>
          <w:color w:val="auto"/>
        </w:rPr>
        <w:t>Over the past six years, Agnico Eagle has evolved from operating two gold mines in Canada to being an international gold mining company with nine gold mines at the end of 2014. Each mine is located in what the Company believes to be a politically stable country that is supportive of the mining industry. The political stability of the regions in which Agnico Eagle operates helps to provide confidence in its current and future prospects and profitability. This is important for Agnico Eagle as it believes that many of its new mines and recently acquired mining projects have long-term mining potential.</w:t>
      </w:r>
    </w:p>
    <w:p>
      <w:pPr>
        <w:spacing w:after="0" w:line="16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Financial and Operating Results</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Balance Sheet Review</w:t>
      </w:r>
    </w:p>
    <w:p>
      <w:pPr>
        <w:spacing w:after="0" w:line="224" w:lineRule="exact"/>
        <w:rPr>
          <w:sz w:val="20"/>
          <w:szCs w:val="20"/>
          <w:color w:val="auto"/>
        </w:rPr>
      </w:pPr>
    </w:p>
    <w:p>
      <w:pPr>
        <w:jc w:val="both"/>
        <w:ind w:firstLine="487"/>
        <w:spacing w:after="0" w:line="278" w:lineRule="auto"/>
        <w:rPr>
          <w:sz w:val="20"/>
          <w:szCs w:val="20"/>
          <w:color w:val="auto"/>
        </w:rPr>
      </w:pPr>
      <w:r>
        <w:rPr>
          <w:rFonts w:ascii="Arial" w:cs="Arial" w:eastAsia="Arial" w:hAnsi="Arial"/>
          <w:sz w:val="16"/>
          <w:szCs w:val="16"/>
          <w:color w:val="auto"/>
        </w:rPr>
        <w:t>Total assets as at June 30, 2015 of $6,749.8 million decreased by 0.9% compared with December 31, 2014 total assets of $6,809.3 million. Cash and cash equivalents decreased by $19.2 million to $158.3 million between December 31, 2014 and June 30, 2015 due primarily to $194.4 million in capital expenditures, a net $151.1 million repayment of long-term debt and $13.0 million in cash consideration paid related to asset acquisitions during the first six months of 2015, partially offset by cash provided by operating activities of $331.8 million and net proceeds from the sale of available-for-sale securities and warrants. Ore in stockpiles and on leach pads inventories increased from $52.0 million at December 31, 2014 to $62.4 million at June 30, 2015 due primarily to planned mine sequencing resulting in the buildup of ore in stockpiles at the Canadian Malartic and Meadowbank mines during the first six months of 2015. Concentrates and dore bar inventories increased from $111.9 million at December 31, 2014 to $127.5 million at June 30, 2015 due primarily to a buildup of concentrates and dore bar inventories at the Canadian Malartic mine as mill throughput is increased toward capacity and to planned mine sequencing resulting in the buildup of concentrates and dore bar inventories at the Pinos Altos and LaRonde mines. Supplies inventories decreased from $282.8 million at December 31, 2014 to $250.0 million at June 30, 2015 due primarily to planned supplies drawdowns at the Meadowbank mine that</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63" w:lineRule="auto"/>
        <w:rPr>
          <w:sz w:val="20"/>
          <w:szCs w:val="20"/>
          <w:color w:val="auto"/>
        </w:rPr>
      </w:pPr>
      <w:r>
        <w:rPr>
          <w:rFonts w:ascii="Arial" w:cs="Arial" w:eastAsia="Arial" w:hAnsi="Arial"/>
          <w:sz w:val="17"/>
          <w:szCs w:val="17"/>
          <w:color w:val="auto"/>
        </w:rPr>
        <w:t>were delivered during the 2014 summer barge shipping season. Available-for-sale securities decreased from $56.5 million at December 31, 2014 to $46.0 million at June 30, 2015 due to $25.9 million in disposals, $8.0 million in unrealized fair value losses and $1.0 million in impairment losses, partially offset by $24.4 million in new investments recorded during the first six months of 2015. Property, plant and mine development decreased from $5,155.9 million at December 31, 2014 to $5,120.1 million at June 30, 2015 due primarily to amortization expense of $293.5 million, partially offset by $194.4 million in capital expenditures and property acquisitions totaling $67.5 million during the first six months of 2015.</w:t>
      </w:r>
    </w:p>
    <w:p>
      <w:pPr>
        <w:spacing w:after="0" w:line="187" w:lineRule="exact"/>
        <w:rPr>
          <w:sz w:val="20"/>
          <w:szCs w:val="20"/>
          <w:color w:val="auto"/>
        </w:rPr>
      </w:pPr>
    </w:p>
    <w:p>
      <w:pPr>
        <w:jc w:val="both"/>
        <w:ind w:firstLine="423"/>
        <w:spacing w:after="0" w:line="261" w:lineRule="auto"/>
        <w:rPr>
          <w:sz w:val="20"/>
          <w:szCs w:val="20"/>
          <w:color w:val="auto"/>
        </w:rPr>
      </w:pPr>
      <w:r>
        <w:rPr>
          <w:rFonts w:ascii="Arial" w:cs="Arial" w:eastAsia="Arial" w:hAnsi="Arial"/>
          <w:sz w:val="17"/>
          <w:szCs w:val="17"/>
          <w:color w:val="auto"/>
        </w:rPr>
        <w:t>Total liabilities decreased to $2,590.0 million at June 30, 2015 from $2,740.8 million at December 31, 2014 due primarily to $125.0 million in Credit Facility repayments during the first six months of 2015 and the June 30, 2015 settlement of the convertible debentures issued by Osisko Mining Corporation ("Osisko") and assumed by Canadian Malartic GP. A $22.8 million increase in accounts payable and accrued liabilities between December 31, 2014 and June 30, 2015 was due primarily to expenditures in preparation for the summer barge shipping season to the Meadowbank mine and to $7.1 million in accrued consideration related to the Company's June 11, 2015 acquisition of 55.0% of Gunnarn Mining AB ("Gunnarn"). Agnico Eagle's net income taxes payable position of $17.7 million at December 31, 2014 was reduced during the first six months of 2015 by payments to tax authorities, resulting in a net income taxes payable position of $6.7 million at June 30, 2015.</w:t>
      </w:r>
    </w:p>
    <w:p>
      <w:pPr>
        <w:spacing w:after="0" w:line="190" w:lineRule="exact"/>
        <w:rPr>
          <w:sz w:val="20"/>
          <w:szCs w:val="20"/>
          <w:color w:val="auto"/>
        </w:rPr>
      </w:pPr>
    </w:p>
    <w:p>
      <w:pPr>
        <w:jc w:val="both"/>
        <w:ind w:firstLine="398"/>
        <w:spacing w:after="0" w:line="263" w:lineRule="auto"/>
        <w:rPr>
          <w:sz w:val="20"/>
          <w:szCs w:val="20"/>
          <w:color w:val="auto"/>
        </w:rPr>
      </w:pPr>
      <w:r>
        <w:rPr>
          <w:rFonts w:ascii="Arial" w:cs="Arial" w:eastAsia="Arial" w:hAnsi="Arial"/>
          <w:sz w:val="17"/>
          <w:szCs w:val="17"/>
          <w:color w:val="auto"/>
        </w:rPr>
        <w:t>Certain previously reported balance sheet line items as at December 31, 2014 have been updated to reflect final estimates of the fair value of identifiable assets acquired and liabilities assumed related to the June 16, 2014 joint acquisition of Osisko. As a result of new information obtained about the facts and circumstances that existed as of the Osisko acquisition date, the following adjustments have been recorded to the December 31, 2014 balance sheet as previously reported: the goodwill line item has increased by $95.6 million; the property, plant and mine development line item has decreased by $125.6 million and the deferred income and mining tax liabilities line item has decreased by $30.0 million.</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Fair Value of Derivative Financial Instruments</w:t>
      </w:r>
    </w:p>
    <w:p>
      <w:pPr>
        <w:spacing w:after="0" w:line="224" w:lineRule="exact"/>
        <w:rPr>
          <w:sz w:val="20"/>
          <w:szCs w:val="20"/>
          <w:color w:val="auto"/>
        </w:rPr>
      </w:pPr>
    </w:p>
    <w:p>
      <w:pPr>
        <w:jc w:val="both"/>
        <w:ind w:firstLine="398"/>
        <w:spacing w:after="0" w:line="265" w:lineRule="auto"/>
        <w:rPr>
          <w:sz w:val="20"/>
          <w:szCs w:val="20"/>
          <w:color w:val="auto"/>
        </w:rPr>
      </w:pPr>
      <w:r>
        <w:rPr>
          <w:rFonts w:ascii="Arial" w:cs="Arial" w:eastAsia="Arial" w:hAnsi="Arial"/>
          <w:sz w:val="17"/>
          <w:szCs w:val="17"/>
          <w:color w:val="auto"/>
        </w:rPr>
        <w:t>The Company occasionally enters into contracts to limit the risk associated with decreased by-product metal prices, increased foreign currency costs (including capital expenditures) and input costs. The contracts act as economic hedges of underlying exposures and are not held for speculative purposes. Agnico Eagle does not use complex derivative contracts to hedge exposures. The fair value of the Company's derivative financial instruments is outlined in the financial instruments note to the condensed interim consolidated financial statements.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Results of Operations</w:t>
      </w:r>
    </w:p>
    <w:p>
      <w:pPr>
        <w:spacing w:after="0" w:line="224" w:lineRule="exact"/>
        <w:rPr>
          <w:sz w:val="20"/>
          <w:szCs w:val="20"/>
          <w:color w:val="auto"/>
        </w:rPr>
      </w:pPr>
    </w:p>
    <w:p>
      <w:pPr>
        <w:jc w:val="both"/>
        <w:ind w:firstLine="397"/>
        <w:spacing w:after="0" w:line="278" w:lineRule="auto"/>
        <w:rPr>
          <w:sz w:val="20"/>
          <w:szCs w:val="20"/>
          <w:color w:val="auto"/>
        </w:rPr>
      </w:pPr>
      <w:r>
        <w:rPr>
          <w:rFonts w:ascii="Arial" w:cs="Arial" w:eastAsia="Arial" w:hAnsi="Arial"/>
          <w:sz w:val="16"/>
          <w:szCs w:val="16"/>
          <w:color w:val="auto"/>
        </w:rPr>
        <w:t>Agnico Eagle reported net income of $10.1 million, or $0.05 per share, in the second quarter of 2015 compared with net income of $22.2 million, or $0.12 per share, in the second quarter of 2014. In the second quarter of 2015, the operating margin (revenues from mining operations less production costs) increased to $246.5 million from $209.1 million in the second quarter of 2014 due primarily to a 23.8% increase in gold production, partially offset by a 14.9% increase in production costs and a 7.4% decrease in the average realized price of gold between periods. Gold production increased to 403,678 ounces in the second quarter of 2015 compared with 326,059 ounces in the second quarter of 2014 due primarily to an incremental 56,563 attributable ounces for the full second quarter of 2015 from the Company's interest in the Canadian Malartic mine which was acquired on June 16, 2014, higher gold grade at the LaRonde mine, a 53.4% increase in tonnes of ore milled at the Kittila mine and the ramp up of production from the La India mine which achieved commercial production in February 2014. Partially offsetting the overall increase in gold production between the second quarter of 2014 and the second quarter of 2015 was a 22.8% decrease in gold production at the Meadowbank mine due primarily to lower gold grade. Cash provided by operating activities amounted to $188.3 million in the second quarter of 2015 compared with $182.7 million in the second quarter of 2014. Total weighted average cash</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82" w:lineRule="auto"/>
        <w:rPr>
          <w:sz w:val="20"/>
          <w:szCs w:val="20"/>
          <w:color w:val="auto"/>
        </w:rPr>
      </w:pPr>
      <w:r>
        <w:rPr>
          <w:rFonts w:ascii="Arial" w:cs="Arial" w:eastAsia="Arial" w:hAnsi="Arial"/>
          <w:sz w:val="17"/>
          <w:szCs w:val="17"/>
          <w:color w:val="auto"/>
        </w:rPr>
        <w:t>costs per ounce of gold produced amounted to $601 on a by-product basis and $666 on a co-product basis in the second quarter of 2015 compared with $631 on a by-product basis and $730 on a co-product basis in the second quarter of 2014.</w:t>
      </w:r>
    </w:p>
    <w:p>
      <w:pPr>
        <w:spacing w:after="0" w:line="170" w:lineRule="exact"/>
        <w:rPr>
          <w:sz w:val="20"/>
          <w:szCs w:val="20"/>
          <w:color w:val="auto"/>
        </w:rPr>
      </w:pPr>
    </w:p>
    <w:p>
      <w:pPr>
        <w:jc w:val="both"/>
        <w:ind w:firstLine="361"/>
        <w:spacing w:after="0" w:line="277" w:lineRule="auto"/>
        <w:rPr>
          <w:sz w:val="20"/>
          <w:szCs w:val="20"/>
          <w:color w:val="auto"/>
        </w:rPr>
      </w:pPr>
      <w:r>
        <w:rPr>
          <w:rFonts w:ascii="Arial" w:cs="Arial" w:eastAsia="Arial" w:hAnsi="Arial"/>
          <w:sz w:val="16"/>
          <w:szCs w:val="16"/>
          <w:color w:val="auto"/>
        </w:rPr>
        <w:t>In the first six months of 2015, Agnico Eagle reported net income of $38.8 million, or $0.18 per share, compared with net income of $119.3 million, or $0.66 per share, in the first six months of 2014. Operating margin (revenues from mining operations less production costs) remained unchanged at $482.8 million between the first six months of 2014 and the first six months of 2015 as a $63.4 million increase in revenues from mining operations between periods was entirely offset by a $63.4 million increase in production costs. Although the average realized price of gold decreased by 7.8% between the first six months of 2014 and the first six months of 2015, gold production increased to 807,888 ounces in the first six months of 2015 compared with 692,480 ounces in the first six months of 2014. The 16.7% increase in gold production between periods was due primarily to an incremental 124,456 attributable ounces for the full first six months of 2015 from the Company's interest in the Canadian Malartic mine which was acquired on June 16, 2014, the ramp up of production from the La India mine and the Goldex mine's M and E Zones which achieved commercial production in February 2014 and October 2013, respectively, a 30.6% increase in tonnes of ore milled at the Kittila mine and higher gold grade at the LaRonde and Pinos Altos mines. Partially offsetting the overall increase in gold production between the first six months of 2014 and the first six months of 2015 was a 34.5% decrease in gold production at the Meadowbank mine due primarily to lower gold grade. Cash provided by operating activities amounted to $331.8 million in the first six months of 2015 compared with $433.1 million in the first six months of 2014. Total weighted average cash costs per ounce of gold produced amounted to $595 on a by-product basis and $658 on a co-product basis in the first six months of 2015 compared with $582 on a by-product basis and $676 on a co-product basis in the first six months of 2014.</w:t>
      </w:r>
    </w:p>
    <w:p>
      <w:pPr>
        <w:spacing w:after="0" w:line="176" w:lineRule="exact"/>
        <w:rPr>
          <w:sz w:val="20"/>
          <w:szCs w:val="20"/>
          <w:color w:val="auto"/>
        </w:rPr>
      </w:pPr>
    </w:p>
    <w:p>
      <w:pPr>
        <w:jc w:val="both"/>
        <w:ind w:firstLine="414"/>
        <w:spacing w:after="0" w:line="282" w:lineRule="auto"/>
        <w:rPr>
          <w:sz w:val="20"/>
          <w:szCs w:val="20"/>
          <w:color w:val="auto"/>
        </w:rPr>
      </w:pPr>
      <w:r>
        <w:rPr>
          <w:rFonts w:ascii="Arial" w:cs="Arial" w:eastAsia="Arial" w:hAnsi="Arial"/>
          <w:sz w:val="17"/>
          <w:szCs w:val="17"/>
          <w:color w:val="auto"/>
        </w:rPr>
        <w:t>The table below sets out variances in the key drivers of net income for the three and six months ended June 30, 2015 compared with the three and six months ended June 30, 2014:</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2080" w:type="dxa"/>
            <w:vAlign w:val="bottom"/>
          </w:tcPr>
          <w:p>
            <w:pPr>
              <w:spacing w:after="0"/>
              <w:rPr>
                <w:sz w:val="13"/>
                <w:szCs w:val="13"/>
                <w:color w:val="auto"/>
              </w:rPr>
            </w:pPr>
          </w:p>
        </w:tc>
        <w:tc>
          <w:tcPr>
            <w:tcW w:w="3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3"/>
                <w:szCs w:val="13"/>
                <w:color w:val="auto"/>
              </w:rPr>
            </w:pPr>
          </w:p>
        </w:tc>
        <w:tc>
          <w:tcPr>
            <w:tcW w:w="2640" w:type="dxa"/>
            <w:vAlign w:val="bottom"/>
            <w:gridSpan w:val="3"/>
          </w:tcPr>
          <w:p>
            <w:pPr>
              <w:jc w:val="center"/>
              <w:ind w:right="140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89"/>
              </w:rPr>
              <w:t>June 30, 2015</w:t>
            </w:r>
          </w:p>
        </w:tc>
        <w:tc>
          <w:tcPr>
            <w:tcW w:w="100" w:type="dxa"/>
            <w:vAlign w:val="bottom"/>
          </w:tcPr>
          <w:p>
            <w:pPr>
              <w:spacing w:after="0"/>
              <w:rPr>
                <w:sz w:val="12"/>
                <w:szCs w:val="12"/>
                <w:color w:val="auto"/>
              </w:rPr>
            </w:pPr>
          </w:p>
        </w:tc>
        <w:tc>
          <w:tcPr>
            <w:tcW w:w="2640" w:type="dxa"/>
            <w:vAlign w:val="bottom"/>
            <w:gridSpan w:val="3"/>
          </w:tcPr>
          <w:p>
            <w:pPr>
              <w:jc w:val="center"/>
              <w:ind w:right="1400"/>
              <w:spacing w:after="0" w:line="144" w:lineRule="exact"/>
              <w:rPr>
                <w:sz w:val="20"/>
                <w:szCs w:val="20"/>
                <w:color w:val="auto"/>
              </w:rPr>
            </w:pPr>
            <w:r>
              <w:rPr>
                <w:rFonts w:ascii="Arial" w:cs="Arial" w:eastAsia="Arial" w:hAnsi="Arial"/>
                <w:sz w:val="13"/>
                <w:szCs w:val="13"/>
                <w:b w:val="1"/>
                <w:bCs w:val="1"/>
                <w:color w:val="auto"/>
                <w:w w:val="89"/>
              </w:rPr>
              <w:t>June 30, 2015</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3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90"/>
              </w:rPr>
              <w:t>vs. Three Months Ended</w:t>
            </w:r>
          </w:p>
        </w:tc>
        <w:tc>
          <w:tcPr>
            <w:tcW w:w="100" w:type="dxa"/>
            <w:vAlign w:val="bottom"/>
          </w:tcPr>
          <w:p>
            <w:pPr>
              <w:spacing w:after="0"/>
              <w:rPr>
                <w:sz w:val="12"/>
                <w:szCs w:val="12"/>
                <w:color w:val="auto"/>
              </w:rPr>
            </w:pPr>
          </w:p>
        </w:tc>
        <w:tc>
          <w:tcPr>
            <w:tcW w:w="2640" w:type="dxa"/>
            <w:vAlign w:val="bottom"/>
            <w:gridSpan w:val="3"/>
          </w:tcPr>
          <w:p>
            <w:pPr>
              <w:jc w:val="center"/>
              <w:ind w:right="1380"/>
              <w:spacing w:after="0" w:line="144" w:lineRule="exact"/>
              <w:rPr>
                <w:sz w:val="20"/>
                <w:szCs w:val="20"/>
                <w:color w:val="auto"/>
              </w:rPr>
            </w:pPr>
            <w:r>
              <w:rPr>
                <w:rFonts w:ascii="Arial" w:cs="Arial" w:eastAsia="Arial" w:hAnsi="Arial"/>
                <w:sz w:val="13"/>
                <w:szCs w:val="13"/>
                <w:b w:val="1"/>
                <w:bCs w:val="1"/>
                <w:color w:val="auto"/>
                <w:w w:val="90"/>
              </w:rPr>
              <w:t>vs. 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08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8"/>
              </w:rPr>
              <w:t>(millions of United States dollars)</w:t>
            </w:r>
          </w:p>
        </w:tc>
        <w:tc>
          <w:tcPr>
            <w:tcW w:w="37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3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2014</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gold revenue</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47.6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tcPr>
          <w:p>
            <w:pPr>
              <w:ind w:left="20"/>
              <w:spacing w:after="0"/>
              <w:rPr>
                <w:sz w:val="20"/>
                <w:szCs w:val="20"/>
                <w:color w:val="auto"/>
              </w:rPr>
            </w:pPr>
            <w:r>
              <w:rPr>
                <w:rFonts w:ascii="Arial" w:cs="Arial" w:eastAsia="Arial" w:hAnsi="Arial"/>
                <w:sz w:val="17"/>
                <w:szCs w:val="17"/>
                <w:color w:val="auto"/>
              </w:rPr>
              <w:t>Increase in silver revenue</w:t>
            </w:r>
          </w:p>
        </w:tc>
        <w:tc>
          <w:tcPr>
            <w:tcW w:w="100" w:type="dxa"/>
            <w:vAlign w:val="bottom"/>
          </w:tcPr>
          <w:p>
            <w:pPr>
              <w:spacing w:after="0"/>
              <w:rPr>
                <w:sz w:val="18"/>
                <w:szCs w:val="18"/>
                <w:color w:val="auto"/>
              </w:rPr>
            </w:pPr>
          </w:p>
        </w:tc>
        <w:tc>
          <w:tcPr>
            <w:tcW w:w="1640" w:type="dxa"/>
            <w:vAlign w:val="bottom"/>
            <w:gridSpan w:val="2"/>
          </w:tcPr>
          <w:p>
            <w:pPr>
              <w:jc w:val="right"/>
              <w:ind w:right="140"/>
              <w:spacing w:after="0"/>
              <w:rPr>
                <w:sz w:val="20"/>
                <w:szCs w:val="20"/>
                <w:color w:val="auto"/>
              </w:rPr>
            </w:pPr>
            <w:r>
              <w:rPr>
                <w:rFonts w:ascii="Arial" w:cs="Arial" w:eastAsia="Arial" w:hAnsi="Arial"/>
                <w:sz w:val="17"/>
                <w:szCs w:val="17"/>
                <w:color w:val="auto"/>
              </w:rPr>
              <w:t>23.8</w:t>
            </w:r>
          </w:p>
        </w:tc>
        <w:tc>
          <w:tcPr>
            <w:tcW w:w="100" w:type="dxa"/>
            <w:vAlign w:val="bottom"/>
          </w:tcPr>
          <w:p>
            <w:pPr>
              <w:spacing w:after="0"/>
              <w:rPr>
                <w:sz w:val="18"/>
                <w:szCs w:val="18"/>
                <w:color w:val="auto"/>
              </w:rPr>
            </w:pPr>
          </w:p>
        </w:tc>
        <w:tc>
          <w:tcPr>
            <w:tcW w:w="1480" w:type="dxa"/>
            <w:vAlign w:val="bottom"/>
            <w:gridSpan w:val="2"/>
          </w:tcPr>
          <w:p>
            <w:pPr>
              <w:jc w:val="right"/>
              <w:ind w:right="140"/>
              <w:spacing w:after="0"/>
              <w:rPr>
                <w:sz w:val="20"/>
                <w:szCs w:val="20"/>
                <w:color w:val="auto"/>
              </w:rPr>
            </w:pPr>
            <w:r>
              <w:rPr>
                <w:rFonts w:ascii="Arial" w:cs="Arial" w:eastAsia="Arial" w:hAnsi="Arial"/>
                <w:sz w:val="17"/>
                <w:szCs w:val="17"/>
                <w:color w:val="auto"/>
              </w:rPr>
              <w:t>21.8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net copper revenue</w:t>
            </w:r>
          </w:p>
        </w:tc>
        <w:tc>
          <w:tcPr>
            <w:tcW w:w="10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(0.6)</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(3.9)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tcPr>
          <w:p>
            <w:pPr>
              <w:ind w:left="20"/>
              <w:spacing w:after="0"/>
              <w:rPr>
                <w:sz w:val="20"/>
                <w:szCs w:val="20"/>
                <w:color w:val="auto"/>
              </w:rPr>
            </w:pPr>
            <w:r>
              <w:rPr>
                <w:rFonts w:ascii="Arial" w:cs="Arial" w:eastAsia="Arial" w:hAnsi="Arial"/>
                <w:sz w:val="17"/>
                <w:szCs w:val="17"/>
                <w:color w:val="auto"/>
              </w:rPr>
              <w:t>Decrease in net zinc revenue</w:t>
            </w:r>
          </w:p>
        </w:tc>
        <w:tc>
          <w:tcPr>
            <w:tcW w:w="100" w:type="dxa"/>
            <w:vAlign w:val="bottom"/>
          </w:tcPr>
          <w:p>
            <w:pPr>
              <w:spacing w:after="0"/>
              <w:rPr>
                <w:sz w:val="18"/>
                <w:szCs w:val="18"/>
                <w:color w:val="auto"/>
              </w:rPr>
            </w:pPr>
          </w:p>
        </w:tc>
        <w:tc>
          <w:tcPr>
            <w:tcW w:w="1640" w:type="dxa"/>
            <w:vAlign w:val="bottom"/>
            <w:gridSpan w:val="2"/>
          </w:tcPr>
          <w:p>
            <w:pPr>
              <w:jc w:val="right"/>
              <w:ind w:right="100"/>
              <w:spacing w:after="0"/>
              <w:rPr>
                <w:sz w:val="20"/>
                <w:szCs w:val="20"/>
                <w:color w:val="auto"/>
              </w:rPr>
            </w:pPr>
            <w:r>
              <w:rPr>
                <w:rFonts w:ascii="Arial" w:cs="Arial" w:eastAsia="Arial" w:hAnsi="Arial"/>
                <w:sz w:val="17"/>
                <w:szCs w:val="17"/>
                <w:color w:val="auto"/>
              </w:rPr>
              <w:t>(1.7)</w:t>
            </w:r>
          </w:p>
        </w:tc>
        <w:tc>
          <w:tcPr>
            <w:tcW w:w="100" w:type="dxa"/>
            <w:vAlign w:val="bottom"/>
          </w:tcPr>
          <w:p>
            <w:pPr>
              <w:spacing w:after="0"/>
              <w:rPr>
                <w:sz w:val="18"/>
                <w:szCs w:val="18"/>
                <w:color w:val="auto"/>
              </w:rPr>
            </w:pPr>
          </w:p>
        </w:tc>
        <w:tc>
          <w:tcPr>
            <w:tcW w:w="1480" w:type="dxa"/>
            <w:vAlign w:val="bottom"/>
            <w:gridSpan w:val="2"/>
          </w:tcPr>
          <w:p>
            <w:pPr>
              <w:jc w:val="right"/>
              <w:ind w:right="80"/>
              <w:spacing w:after="0"/>
              <w:rPr>
                <w:sz w:val="20"/>
                <w:szCs w:val="20"/>
                <w:color w:val="auto"/>
              </w:rPr>
            </w:pPr>
            <w:r>
              <w:rPr>
                <w:rFonts w:ascii="Arial" w:cs="Arial" w:eastAsia="Arial" w:hAnsi="Arial"/>
                <w:sz w:val="17"/>
                <w:szCs w:val="17"/>
                <w:color w:val="auto"/>
              </w:rPr>
              <w:t>(2.1)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95"/>
              </w:rPr>
              <w:t>Decrease in production costs due to weaker Canadian dollar, Mexican peso and</w:t>
            </w:r>
          </w:p>
        </w:tc>
        <w:tc>
          <w:tcPr>
            <w:tcW w:w="10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58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Euro</w:t>
            </w:r>
          </w:p>
        </w:tc>
        <w:tc>
          <w:tcPr>
            <w:tcW w:w="10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35.6</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tcPr>
          <w:p>
            <w:pPr>
              <w:ind w:left="20"/>
              <w:spacing w:after="0"/>
              <w:rPr>
                <w:sz w:val="20"/>
                <w:szCs w:val="20"/>
                <w:color w:val="auto"/>
              </w:rPr>
            </w:pPr>
            <w:r>
              <w:rPr>
                <w:rFonts w:ascii="Arial" w:cs="Arial" w:eastAsia="Arial" w:hAnsi="Arial"/>
                <w:sz w:val="17"/>
                <w:szCs w:val="17"/>
                <w:color w:val="auto"/>
              </w:rPr>
              <w:t>Increase in production costs</w:t>
            </w:r>
          </w:p>
        </w:tc>
        <w:tc>
          <w:tcPr>
            <w:tcW w:w="100" w:type="dxa"/>
            <w:vAlign w:val="bottom"/>
          </w:tcPr>
          <w:p>
            <w:pPr>
              <w:spacing w:after="0"/>
              <w:rPr>
                <w:sz w:val="18"/>
                <w:szCs w:val="18"/>
                <w:color w:val="auto"/>
              </w:rPr>
            </w:pPr>
          </w:p>
        </w:tc>
        <w:tc>
          <w:tcPr>
            <w:tcW w:w="1640" w:type="dxa"/>
            <w:vAlign w:val="bottom"/>
            <w:gridSpan w:val="2"/>
          </w:tcPr>
          <w:p>
            <w:pPr>
              <w:jc w:val="right"/>
              <w:ind w:right="100"/>
              <w:spacing w:after="0"/>
              <w:rPr>
                <w:sz w:val="20"/>
                <w:szCs w:val="20"/>
                <w:color w:val="auto"/>
              </w:rPr>
            </w:pPr>
            <w:r>
              <w:rPr>
                <w:rFonts w:ascii="Arial" w:cs="Arial" w:eastAsia="Arial" w:hAnsi="Arial"/>
                <w:sz w:val="17"/>
                <w:szCs w:val="17"/>
                <w:color w:val="auto"/>
              </w:rPr>
              <w:t>(69.8)</w:t>
            </w:r>
          </w:p>
        </w:tc>
        <w:tc>
          <w:tcPr>
            <w:tcW w:w="100" w:type="dxa"/>
            <w:vAlign w:val="bottom"/>
          </w:tcPr>
          <w:p>
            <w:pPr>
              <w:spacing w:after="0"/>
              <w:rPr>
                <w:sz w:val="18"/>
                <w:szCs w:val="18"/>
                <w:color w:val="auto"/>
              </w:rPr>
            </w:pPr>
          </w:p>
        </w:tc>
        <w:tc>
          <w:tcPr>
            <w:tcW w:w="1480" w:type="dxa"/>
            <w:vAlign w:val="bottom"/>
            <w:gridSpan w:val="2"/>
          </w:tcPr>
          <w:p>
            <w:pPr>
              <w:jc w:val="right"/>
              <w:ind w:right="80"/>
              <w:spacing w:after="0"/>
              <w:rPr>
                <w:sz w:val="20"/>
                <w:szCs w:val="20"/>
                <w:color w:val="auto"/>
              </w:rPr>
            </w:pPr>
            <w:r>
              <w:rPr>
                <w:rFonts w:ascii="Arial" w:cs="Arial" w:eastAsia="Arial" w:hAnsi="Arial"/>
                <w:sz w:val="17"/>
                <w:szCs w:val="17"/>
                <w:color w:val="auto"/>
              </w:rPr>
              <w:t>(131.1)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exploration and corporate development expenses</w:t>
            </w:r>
          </w:p>
        </w:tc>
        <w:tc>
          <w:tcPr>
            <w:tcW w:w="10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(19.0)</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(26.2)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tcPr>
          <w:p>
            <w:pPr>
              <w:ind w:left="20"/>
              <w:spacing w:after="0"/>
              <w:rPr>
                <w:sz w:val="20"/>
                <w:szCs w:val="20"/>
                <w:color w:val="auto"/>
              </w:rPr>
            </w:pPr>
            <w:r>
              <w:rPr>
                <w:rFonts w:ascii="Arial" w:cs="Arial" w:eastAsia="Arial" w:hAnsi="Arial"/>
                <w:sz w:val="17"/>
                <w:szCs w:val="17"/>
                <w:color w:val="auto"/>
              </w:rPr>
              <w:t>Increase in amortization of property, plant and mine development</w:t>
            </w:r>
          </w:p>
        </w:tc>
        <w:tc>
          <w:tcPr>
            <w:tcW w:w="100" w:type="dxa"/>
            <w:vAlign w:val="bottom"/>
          </w:tcPr>
          <w:p>
            <w:pPr>
              <w:spacing w:after="0"/>
              <w:rPr>
                <w:sz w:val="18"/>
                <w:szCs w:val="18"/>
                <w:color w:val="auto"/>
              </w:rPr>
            </w:pPr>
          </w:p>
        </w:tc>
        <w:tc>
          <w:tcPr>
            <w:tcW w:w="1640" w:type="dxa"/>
            <w:vAlign w:val="bottom"/>
            <w:gridSpan w:val="2"/>
          </w:tcPr>
          <w:p>
            <w:pPr>
              <w:jc w:val="right"/>
              <w:ind w:right="100"/>
              <w:spacing w:after="0"/>
              <w:rPr>
                <w:sz w:val="20"/>
                <w:szCs w:val="20"/>
                <w:color w:val="auto"/>
              </w:rPr>
            </w:pPr>
            <w:r>
              <w:rPr>
                <w:rFonts w:ascii="Arial" w:cs="Arial" w:eastAsia="Arial" w:hAnsi="Arial"/>
                <w:sz w:val="17"/>
                <w:szCs w:val="17"/>
                <w:color w:val="auto"/>
              </w:rPr>
              <w:t>(64.0)</w:t>
            </w:r>
          </w:p>
        </w:tc>
        <w:tc>
          <w:tcPr>
            <w:tcW w:w="100" w:type="dxa"/>
            <w:vAlign w:val="bottom"/>
          </w:tcPr>
          <w:p>
            <w:pPr>
              <w:spacing w:after="0"/>
              <w:rPr>
                <w:sz w:val="18"/>
                <w:szCs w:val="18"/>
                <w:color w:val="auto"/>
              </w:rPr>
            </w:pPr>
          </w:p>
        </w:tc>
        <w:tc>
          <w:tcPr>
            <w:tcW w:w="1480" w:type="dxa"/>
            <w:vAlign w:val="bottom"/>
            <w:gridSpan w:val="2"/>
          </w:tcPr>
          <w:p>
            <w:pPr>
              <w:jc w:val="right"/>
              <w:ind w:right="80"/>
              <w:spacing w:after="0"/>
              <w:rPr>
                <w:sz w:val="20"/>
                <w:szCs w:val="20"/>
                <w:color w:val="auto"/>
              </w:rPr>
            </w:pPr>
            <w:r>
              <w:rPr>
                <w:rFonts w:ascii="Arial" w:cs="Arial" w:eastAsia="Arial" w:hAnsi="Arial"/>
                <w:sz w:val="17"/>
                <w:szCs w:val="17"/>
                <w:color w:val="auto"/>
              </w:rPr>
              <w:t>(116.4)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general and administrative expense</w:t>
            </w:r>
          </w:p>
        </w:tc>
        <w:tc>
          <w:tcPr>
            <w:tcW w:w="10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18.0</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tcPr>
          <w:p>
            <w:pPr>
              <w:ind w:left="20"/>
              <w:spacing w:after="0"/>
              <w:rPr>
                <w:sz w:val="20"/>
                <w:szCs w:val="20"/>
                <w:color w:val="auto"/>
              </w:rPr>
            </w:pPr>
            <w:r>
              <w:rPr>
                <w:rFonts w:ascii="Arial" w:cs="Arial" w:eastAsia="Arial" w:hAnsi="Arial"/>
                <w:sz w:val="17"/>
                <w:szCs w:val="17"/>
                <w:color w:val="auto"/>
              </w:rPr>
              <w:t>Change in impairment loss on available-for-sale securities</w:t>
            </w:r>
          </w:p>
        </w:tc>
        <w:tc>
          <w:tcPr>
            <w:tcW w:w="100" w:type="dxa"/>
            <w:vAlign w:val="bottom"/>
          </w:tcPr>
          <w:p>
            <w:pPr>
              <w:spacing w:after="0"/>
              <w:rPr>
                <w:sz w:val="18"/>
                <w:szCs w:val="18"/>
                <w:color w:val="auto"/>
              </w:rPr>
            </w:pPr>
          </w:p>
        </w:tc>
        <w:tc>
          <w:tcPr>
            <w:tcW w:w="1640" w:type="dxa"/>
            <w:vAlign w:val="bottom"/>
            <w:gridSpan w:val="2"/>
          </w:tcPr>
          <w:p>
            <w:pPr>
              <w:jc w:val="right"/>
              <w:ind w:right="140"/>
              <w:spacing w:after="0"/>
              <w:rPr>
                <w:sz w:val="20"/>
                <w:szCs w:val="20"/>
                <w:color w:val="auto"/>
              </w:rPr>
            </w:pPr>
            <w:r>
              <w:rPr>
                <w:rFonts w:ascii="Arial" w:cs="Arial" w:eastAsia="Arial" w:hAnsi="Arial"/>
                <w:sz w:val="17"/>
                <w:szCs w:val="17"/>
                <w:color w:val="auto"/>
              </w:rPr>
              <w:t>2.1</w:t>
            </w:r>
          </w:p>
        </w:tc>
        <w:tc>
          <w:tcPr>
            <w:tcW w:w="100" w:type="dxa"/>
            <w:vAlign w:val="bottom"/>
          </w:tcPr>
          <w:p>
            <w:pPr>
              <w:spacing w:after="0"/>
              <w:rPr>
                <w:sz w:val="18"/>
                <w:szCs w:val="18"/>
                <w:color w:val="auto"/>
              </w:rPr>
            </w:pPr>
          </w:p>
        </w:tc>
        <w:tc>
          <w:tcPr>
            <w:tcW w:w="1480" w:type="dxa"/>
            <w:vAlign w:val="bottom"/>
            <w:gridSpan w:val="2"/>
          </w:tcPr>
          <w:p>
            <w:pPr>
              <w:jc w:val="right"/>
              <w:ind w:right="140"/>
              <w:spacing w:after="0"/>
              <w:rPr>
                <w:sz w:val="20"/>
                <w:szCs w:val="20"/>
                <w:color w:val="auto"/>
              </w:rPr>
            </w:pPr>
            <w:r>
              <w:rPr>
                <w:rFonts w:ascii="Arial" w:cs="Arial" w:eastAsia="Arial" w:hAnsi="Arial"/>
                <w:sz w:val="17"/>
                <w:szCs w:val="17"/>
                <w:color w:val="auto"/>
              </w:rPr>
              <w:t>1.4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finance costs</w:t>
            </w:r>
          </w:p>
        </w:tc>
        <w:tc>
          <w:tcPr>
            <w:tcW w:w="10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(0.7)</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(3.3)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tcPr>
          <w:p>
            <w:pPr>
              <w:ind w:left="20"/>
              <w:spacing w:after="0"/>
              <w:rPr>
                <w:sz w:val="20"/>
                <w:szCs w:val="20"/>
                <w:color w:val="auto"/>
              </w:rPr>
            </w:pPr>
            <w:r>
              <w:rPr>
                <w:rFonts w:ascii="Arial" w:cs="Arial" w:eastAsia="Arial" w:hAnsi="Arial"/>
                <w:sz w:val="17"/>
                <w:szCs w:val="17"/>
                <w:color w:val="auto"/>
              </w:rPr>
              <w:t>Change in gain on sale of available-for-sale securities</w:t>
            </w:r>
          </w:p>
        </w:tc>
        <w:tc>
          <w:tcPr>
            <w:tcW w:w="100" w:type="dxa"/>
            <w:vAlign w:val="bottom"/>
          </w:tcPr>
          <w:p>
            <w:pPr>
              <w:spacing w:after="0"/>
              <w:rPr>
                <w:sz w:val="18"/>
                <w:szCs w:val="18"/>
                <w:color w:val="auto"/>
              </w:rPr>
            </w:pPr>
          </w:p>
        </w:tc>
        <w:tc>
          <w:tcPr>
            <w:tcW w:w="1640" w:type="dxa"/>
            <w:vAlign w:val="bottom"/>
            <w:gridSpan w:val="2"/>
          </w:tcPr>
          <w:p>
            <w:pPr>
              <w:jc w:val="right"/>
              <w:ind w:right="100"/>
              <w:spacing w:after="0"/>
              <w:rPr>
                <w:sz w:val="20"/>
                <w:szCs w:val="20"/>
                <w:color w:val="auto"/>
              </w:rPr>
            </w:pPr>
            <w:r>
              <w:rPr>
                <w:rFonts w:ascii="Arial" w:cs="Arial" w:eastAsia="Arial" w:hAnsi="Arial"/>
                <w:sz w:val="17"/>
                <w:szCs w:val="17"/>
                <w:color w:val="auto"/>
              </w:rPr>
              <w:t>(2.4)</w:t>
            </w:r>
          </w:p>
        </w:tc>
        <w:tc>
          <w:tcPr>
            <w:tcW w:w="100" w:type="dxa"/>
            <w:vAlign w:val="bottom"/>
          </w:tcPr>
          <w:p>
            <w:pPr>
              <w:spacing w:after="0"/>
              <w:rPr>
                <w:sz w:val="18"/>
                <w:szCs w:val="18"/>
                <w:color w:val="auto"/>
              </w:rPr>
            </w:pPr>
          </w:p>
        </w:tc>
        <w:tc>
          <w:tcPr>
            <w:tcW w:w="1480" w:type="dxa"/>
            <w:vAlign w:val="bottom"/>
            <w:gridSpan w:val="2"/>
          </w:tcPr>
          <w:p>
            <w:pPr>
              <w:jc w:val="right"/>
              <w:ind w:right="140"/>
              <w:spacing w:after="0"/>
              <w:rPr>
                <w:sz w:val="20"/>
                <w:szCs w:val="20"/>
                <w:color w:val="auto"/>
              </w:rPr>
            </w:pPr>
            <w:r>
              <w:rPr>
                <w:rFonts w:ascii="Arial" w:cs="Arial" w:eastAsia="Arial" w:hAnsi="Arial"/>
                <w:sz w:val="17"/>
                <w:szCs w:val="17"/>
                <w:color w:val="auto"/>
              </w:rPr>
              <w:t>18.4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Change in non cash foreign currency translation</w:t>
            </w:r>
          </w:p>
        </w:tc>
        <w:tc>
          <w:tcPr>
            <w:tcW w:w="10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tcPr>
          <w:p>
            <w:pPr>
              <w:ind w:left="20"/>
              <w:spacing w:after="0"/>
              <w:rPr>
                <w:sz w:val="20"/>
                <w:szCs w:val="20"/>
                <w:color w:val="auto"/>
              </w:rPr>
            </w:pPr>
            <w:r>
              <w:rPr>
                <w:rFonts w:ascii="Arial" w:cs="Arial" w:eastAsia="Arial" w:hAnsi="Arial"/>
                <w:sz w:val="17"/>
                <w:szCs w:val="17"/>
                <w:color w:val="auto"/>
              </w:rPr>
              <w:t>Decrease in income and mining taxes</w:t>
            </w:r>
          </w:p>
        </w:tc>
        <w:tc>
          <w:tcPr>
            <w:tcW w:w="100" w:type="dxa"/>
            <w:vAlign w:val="bottom"/>
          </w:tcPr>
          <w:p>
            <w:pPr>
              <w:spacing w:after="0"/>
              <w:rPr>
                <w:sz w:val="18"/>
                <w:szCs w:val="18"/>
                <w:color w:val="auto"/>
              </w:rPr>
            </w:pPr>
          </w:p>
        </w:tc>
        <w:tc>
          <w:tcPr>
            <w:tcW w:w="1640" w:type="dxa"/>
            <w:vAlign w:val="bottom"/>
            <w:gridSpan w:val="2"/>
          </w:tcPr>
          <w:p>
            <w:pPr>
              <w:jc w:val="right"/>
              <w:ind w:right="140"/>
              <w:spacing w:after="0"/>
              <w:rPr>
                <w:sz w:val="20"/>
                <w:szCs w:val="20"/>
                <w:color w:val="auto"/>
              </w:rPr>
            </w:pPr>
            <w:r>
              <w:rPr>
                <w:rFonts w:ascii="Arial" w:cs="Arial" w:eastAsia="Arial" w:hAnsi="Arial"/>
                <w:sz w:val="17"/>
                <w:szCs w:val="17"/>
                <w:color w:val="auto"/>
              </w:rPr>
              <w:t>0.8</w:t>
            </w:r>
          </w:p>
        </w:tc>
        <w:tc>
          <w:tcPr>
            <w:tcW w:w="100" w:type="dxa"/>
            <w:vAlign w:val="bottom"/>
          </w:tcPr>
          <w:p>
            <w:pPr>
              <w:spacing w:after="0"/>
              <w:rPr>
                <w:sz w:val="18"/>
                <w:szCs w:val="18"/>
                <w:color w:val="auto"/>
              </w:rPr>
            </w:pPr>
          </w:p>
        </w:tc>
        <w:tc>
          <w:tcPr>
            <w:tcW w:w="1480" w:type="dxa"/>
            <w:vAlign w:val="bottom"/>
            <w:gridSpan w:val="2"/>
          </w:tcPr>
          <w:p>
            <w:pPr>
              <w:jc w:val="right"/>
              <w:ind w:right="140"/>
              <w:spacing w:after="0"/>
              <w:rPr>
                <w:sz w:val="20"/>
                <w:szCs w:val="20"/>
                <w:color w:val="auto"/>
              </w:rPr>
            </w:pPr>
            <w:r>
              <w:rPr>
                <w:rFonts w:ascii="Arial" w:cs="Arial" w:eastAsia="Arial" w:hAnsi="Arial"/>
                <w:sz w:val="17"/>
                <w:szCs w:val="17"/>
                <w:color w:val="auto"/>
              </w:rPr>
              <w:t>22.4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8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w:t>
            </w:r>
          </w:p>
        </w:tc>
        <w:tc>
          <w:tcPr>
            <w:tcW w:w="10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13.9</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(4.2)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800" w:type="dxa"/>
            <w:vAlign w:val="bottom"/>
            <w:gridSpan w:val="2"/>
            <w:vMerge w:val="restart"/>
          </w:tcPr>
          <w:p>
            <w:pPr>
              <w:ind w:left="20"/>
              <w:spacing w:after="0"/>
              <w:rPr>
                <w:sz w:val="20"/>
                <w:szCs w:val="20"/>
                <w:color w:val="auto"/>
              </w:rPr>
            </w:pPr>
            <w:r>
              <w:rPr>
                <w:rFonts w:ascii="Arial" w:cs="Arial" w:eastAsia="Arial" w:hAnsi="Arial"/>
                <w:sz w:val="17"/>
                <w:szCs w:val="17"/>
                <w:b w:val="1"/>
                <w:bCs w:val="1"/>
                <w:color w:val="auto"/>
              </w:rPr>
              <w:t>Total net income variance</w:t>
            </w: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5800" w:type="dxa"/>
            <w:vAlign w:val="bottom"/>
            <w:gridSpan w:val="2"/>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640" w:type="dxa"/>
            <w:vAlign w:val="bottom"/>
            <w:gridSpan w:val="2"/>
          </w:tcPr>
          <w:p>
            <w:pPr>
              <w:jc w:val="right"/>
              <w:ind w:right="100"/>
              <w:spacing w:after="0"/>
              <w:rPr>
                <w:sz w:val="20"/>
                <w:szCs w:val="20"/>
                <w:color w:val="auto"/>
              </w:rPr>
            </w:pPr>
            <w:r>
              <w:rPr>
                <w:rFonts w:ascii="Arial" w:cs="Arial" w:eastAsia="Arial" w:hAnsi="Arial"/>
                <w:sz w:val="17"/>
                <w:szCs w:val="17"/>
                <w:color w:val="auto"/>
              </w:rPr>
              <w:t>(12.1)</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80" w:type="dxa"/>
            <w:vAlign w:val="bottom"/>
            <w:gridSpan w:val="2"/>
          </w:tcPr>
          <w:p>
            <w:pPr>
              <w:jc w:val="right"/>
              <w:ind w:right="80"/>
              <w:spacing w:after="0"/>
              <w:rPr>
                <w:sz w:val="20"/>
                <w:szCs w:val="20"/>
                <w:color w:val="auto"/>
              </w:rPr>
            </w:pPr>
            <w:r>
              <w:rPr>
                <w:rFonts w:ascii="Arial" w:cs="Arial" w:eastAsia="Arial" w:hAnsi="Arial"/>
                <w:sz w:val="17"/>
                <w:szCs w:val="17"/>
                <w:color w:val="auto"/>
              </w:rPr>
              <w:t>(80.5)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40" w:type="dxa"/>
            <w:vAlign w:val="bottom"/>
            <w:gridSpan w:val="3"/>
            <w:vMerge w:val="restart"/>
          </w:tcPr>
          <w:p>
            <w:pPr>
              <w:jc w:val="right"/>
              <w:ind w:right="1180"/>
              <w:spacing w:after="0"/>
              <w:rPr>
                <w:sz w:val="20"/>
                <w:szCs w:val="20"/>
                <w:color w:val="auto"/>
              </w:rPr>
            </w:pPr>
            <w:r>
              <w:rPr>
                <w:rFonts w:ascii="Arial" w:cs="Arial" w:eastAsia="Arial" w:hAnsi="Arial"/>
                <w:sz w:val="17"/>
                <w:szCs w:val="17"/>
                <w:color w:val="auto"/>
              </w:rPr>
              <w:t>4</w:t>
            </w: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6940" w:type="dxa"/>
            <w:vAlign w:val="bottom"/>
            <w:gridSpan w:val="3"/>
            <w:vMerge w:val="continue"/>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6940" w:type="dxa"/>
            <w:vAlign w:val="bottom"/>
            <w:gridSpan w:val="3"/>
            <w:vMerge w:val="continue"/>
          </w:tcPr>
          <w:p>
            <w:pPr>
              <w:spacing w:after="0"/>
              <w:rPr>
                <w:sz w:val="24"/>
                <w:szCs w:val="24"/>
                <w:color w:val="auto"/>
              </w:rPr>
            </w:pPr>
          </w:p>
        </w:tc>
        <w:tc>
          <w:tcPr>
            <w:tcW w:w="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080" w:type="dxa"/>
            <w:vAlign w:val="bottom"/>
            <w:tcBorders>
              <w:bottom w:val="single" w:sz="8" w:color="808080"/>
            </w:tcBorders>
          </w:tcPr>
          <w:p>
            <w:pPr>
              <w:spacing w:after="0"/>
              <w:rPr>
                <w:sz w:val="19"/>
                <w:szCs w:val="19"/>
                <w:color w:val="auto"/>
              </w:rPr>
            </w:pPr>
          </w:p>
        </w:tc>
        <w:tc>
          <w:tcPr>
            <w:tcW w:w="37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3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Three Months Ended June 30, 2015 vs. Three Months Ended June 30, 2014</w:t>
      </w:r>
    </w:p>
    <w:p>
      <w:pPr>
        <w:spacing w:after="0" w:line="224" w:lineRule="exact"/>
        <w:rPr>
          <w:sz w:val="20"/>
          <w:szCs w:val="20"/>
          <w:color w:val="auto"/>
        </w:rPr>
      </w:pPr>
    </w:p>
    <w:p>
      <w:pPr>
        <w:jc w:val="both"/>
        <w:ind w:firstLine="436"/>
        <w:spacing w:after="0" w:line="262" w:lineRule="auto"/>
        <w:rPr>
          <w:sz w:val="20"/>
          <w:szCs w:val="20"/>
          <w:color w:val="auto"/>
        </w:rPr>
      </w:pPr>
      <w:r>
        <w:rPr>
          <w:rFonts w:ascii="Arial" w:cs="Arial" w:eastAsia="Arial" w:hAnsi="Arial"/>
          <w:sz w:val="17"/>
          <w:szCs w:val="17"/>
          <w:color w:val="auto"/>
        </w:rPr>
        <w:t>Revenues from mining operations increased to $510.1 million in the second quarter of 2015 compared with $438.5 million in the second quarter of 2014 due primarily to a 23.8% increase in gold production attributable to a full quarter of production in the second quarter of 2015 from the Canadian Malartic mine which was jointly acquired on June 16, 2014, higher gold grade at the LaRonde mine and an increase in tonnes of ore milled at the Kittila mine and to a 17.9% increase in silver production between periods. Partially offsetting the overall increase in revenues from mining operations between the second quarter of 2014 and the second quarter of 2015 was a 7.4% decrease in the average realized price of gold, a 15.7% decrease in the average realized price of silver and a 78.2% decrease in zinc production between periods.</w:t>
      </w:r>
    </w:p>
    <w:p>
      <w:pPr>
        <w:spacing w:after="0" w:line="188" w:lineRule="exact"/>
        <w:rPr>
          <w:sz w:val="20"/>
          <w:szCs w:val="20"/>
          <w:color w:val="auto"/>
        </w:rPr>
      </w:pPr>
    </w:p>
    <w:p>
      <w:pPr>
        <w:jc w:val="both"/>
        <w:ind w:firstLine="373"/>
        <w:spacing w:after="0" w:line="283" w:lineRule="auto"/>
        <w:rPr>
          <w:sz w:val="20"/>
          <w:szCs w:val="20"/>
          <w:color w:val="auto"/>
        </w:rPr>
      </w:pPr>
      <w:r>
        <w:rPr>
          <w:rFonts w:ascii="Arial" w:cs="Arial" w:eastAsia="Arial" w:hAnsi="Arial"/>
          <w:sz w:val="16"/>
          <w:szCs w:val="16"/>
          <w:color w:val="auto"/>
        </w:rPr>
        <w:t>Production costs were $263.6 million in the second quarter of 2015, a 14.9% increase compared with $229.4 million in the second quarter of 2014 due primarily to a $23.9 million incremental increase in attributable production costs from the acquired interest in the Canadian Malartic mine, a $3.9 million increase in production costs at the Kittila mine due to a 53.4% increase in tonnes of ore milled between periods and $3.8 million in additional production costs at the La India mine which achieved commercial production in February 2014. Partially offsetting the total increase in production costs between the second quarter of 2014 and the second quarter of 2015 was the impact of a weaker Canadian dollar, Mexican peso and Euro relative to the US dollar.</w:t>
      </w:r>
    </w:p>
    <w:p>
      <w:pPr>
        <w:spacing w:after="0" w:line="174" w:lineRule="exact"/>
        <w:rPr>
          <w:sz w:val="20"/>
          <w:szCs w:val="20"/>
          <w:color w:val="auto"/>
        </w:rPr>
      </w:pPr>
    </w:p>
    <w:p>
      <w:pPr>
        <w:jc w:val="both"/>
        <w:ind w:firstLine="395"/>
        <w:spacing w:after="0" w:line="278" w:lineRule="auto"/>
        <w:rPr>
          <w:sz w:val="20"/>
          <w:szCs w:val="20"/>
          <w:color w:val="auto"/>
        </w:rPr>
      </w:pPr>
      <w:r>
        <w:rPr>
          <w:rFonts w:ascii="Arial" w:cs="Arial" w:eastAsia="Arial" w:hAnsi="Arial"/>
          <w:sz w:val="16"/>
          <w:szCs w:val="16"/>
          <w:color w:val="auto"/>
        </w:rPr>
        <w:t>Total weighted average cash costs per ounce of gold produced decreased to $601 on a by-product basis and $666 on a co-product basis in the second quarter of 2015 compared with $631 on a by-product basis and $730 on a co-product basis in the second quarter of 2014 due primarily to increased gold production at the LaRonde, Kittila and Pinos Altos mines between periods, the addition of the acquired interest in the Canadian Malartic mine at total cash costs per ounce of gold produced of $609 on a by-product basis and $626 on a co-product basis and the impact on costs of a weaker Canadian dollar, Mexican peso and Euro relative to the US dollar. Partially offsetting the overall decrease in total weighted average cash costs per ounce of gold produced between the second quarter of 2014 and the second quarter of 2015 was decreased gold production at the Meadowbank mine. Lower by-product revenue credits at the LaRonde mine contributed to incrementally increased weighted average cash costs per ounce of gold produced on a by-product basis between the second quarter of 2014 and the second quarter of 2015. For a reconciliation of total cash costs per ounce of gold produced on both a by-product basis (deducting by-product metal revenues from production costs) and co-product basis (before by-product metal revenues) to production costs as presented in the condensed interim consolidated statements of income and comprehensive income in accordance with IFRS, see Non-GAAP Financial Performance Measures in this MD&amp;A.</w:t>
      </w:r>
    </w:p>
    <w:p>
      <w:pPr>
        <w:spacing w:after="0" w:line="176" w:lineRule="exact"/>
        <w:rPr>
          <w:sz w:val="20"/>
          <w:szCs w:val="20"/>
          <w:color w:val="auto"/>
        </w:rPr>
      </w:pPr>
    </w:p>
    <w:p>
      <w:pPr>
        <w:jc w:val="both"/>
        <w:ind w:firstLine="388"/>
        <w:spacing w:after="0" w:line="294" w:lineRule="auto"/>
        <w:rPr>
          <w:sz w:val="20"/>
          <w:szCs w:val="20"/>
          <w:color w:val="auto"/>
        </w:rPr>
      </w:pPr>
      <w:r>
        <w:rPr>
          <w:rFonts w:ascii="Arial" w:cs="Arial" w:eastAsia="Arial" w:hAnsi="Arial"/>
          <w:sz w:val="16"/>
          <w:szCs w:val="16"/>
          <w:color w:val="auto"/>
        </w:rPr>
        <w:t>Exploration and corporate development expenses increased to $30.6 million in the second quarter of 2015 compared with $11.6 million in the second quarter of 2014 due primarily to exploration at the El Barqueno project in Mexico and the Amaruq project in Nunavut, exploration related to the acquired interest in the Canadian Malartic General Partnership and increased corporate development and project evaluation expenses between periods.</w:t>
      </w:r>
    </w:p>
    <w:p>
      <w:pPr>
        <w:spacing w:after="0" w:line="163" w:lineRule="exact"/>
        <w:rPr>
          <w:sz w:val="20"/>
          <w:szCs w:val="20"/>
          <w:color w:val="auto"/>
        </w:rPr>
      </w:pPr>
    </w:p>
    <w:p>
      <w:pPr>
        <w:jc w:val="both"/>
        <w:ind w:firstLine="341"/>
        <w:spacing w:after="0" w:line="270" w:lineRule="auto"/>
        <w:rPr>
          <w:sz w:val="20"/>
          <w:szCs w:val="20"/>
          <w:color w:val="auto"/>
        </w:rPr>
      </w:pPr>
      <w:r>
        <w:rPr>
          <w:rFonts w:ascii="Arial" w:cs="Arial" w:eastAsia="Arial" w:hAnsi="Arial"/>
          <w:sz w:val="17"/>
          <w:szCs w:val="17"/>
          <w:color w:val="auto"/>
        </w:rPr>
        <w:t>Amortization of property, plant and mine development increased by $64.0 million to $157.6 million between the second quarter of 2014 and the second quarter of 2015 due primarily to the consolidation of the acquired interest in the Canadian Malartic mine, increased gold production at the Kittila mine and a ramp up in gold production at the La India mine related to the achievement of commercial production in February 2014.</w:t>
      </w:r>
    </w:p>
    <w:p>
      <w:pPr>
        <w:spacing w:after="0" w:line="179" w:lineRule="exact"/>
        <w:rPr>
          <w:sz w:val="20"/>
          <w:szCs w:val="20"/>
          <w:color w:val="auto"/>
        </w:rPr>
      </w:pPr>
    </w:p>
    <w:p>
      <w:pPr>
        <w:jc w:val="both"/>
        <w:ind w:firstLine="358"/>
        <w:spacing w:after="0" w:line="265" w:lineRule="auto"/>
        <w:rPr>
          <w:sz w:val="20"/>
          <w:szCs w:val="20"/>
          <w:color w:val="auto"/>
        </w:rPr>
      </w:pPr>
      <w:r>
        <w:rPr>
          <w:rFonts w:ascii="Arial" w:cs="Arial" w:eastAsia="Arial" w:hAnsi="Arial"/>
          <w:sz w:val="17"/>
          <w:szCs w:val="17"/>
          <w:color w:val="auto"/>
        </w:rPr>
        <w:t>General and administrative expense decreased to $23.6 million during the second quarter of 2015 compared with $41.5 million during the second quarter of 2014 due primarily to $16.7 million in transaction costs associated with the June 16, 2014 joint acquisition of Osisko and lower compensation expenses between periods. Partially offsetting the overall decrease in general and administrative expense, the Company consolidated its interest in the Canadian Malartic mine's general and administrative expense for the full second quarter of 2015.</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82" w:lineRule="auto"/>
        <w:rPr>
          <w:sz w:val="20"/>
          <w:szCs w:val="20"/>
          <w:color w:val="auto"/>
        </w:rPr>
      </w:pPr>
      <w:r>
        <w:rPr>
          <w:rFonts w:ascii="Arial" w:cs="Arial" w:eastAsia="Arial" w:hAnsi="Arial"/>
          <w:sz w:val="17"/>
          <w:szCs w:val="17"/>
          <w:color w:val="auto"/>
        </w:rPr>
        <w:t>Transaction costs associated with the June 2015 acquisitions of Soltoro Ltd. ("Soltoro") and Gunnarn were capitalized to the mining properties acquired as both were accounted for as asset acquisitions.</w:t>
      </w:r>
    </w:p>
    <w:p>
      <w:pPr>
        <w:spacing w:after="0" w:line="170" w:lineRule="exact"/>
        <w:rPr>
          <w:sz w:val="20"/>
          <w:szCs w:val="20"/>
          <w:color w:val="auto"/>
        </w:rPr>
      </w:pPr>
    </w:p>
    <w:p>
      <w:pPr>
        <w:jc w:val="both"/>
        <w:ind w:firstLine="433"/>
        <w:spacing w:after="0" w:line="294" w:lineRule="auto"/>
        <w:rPr>
          <w:sz w:val="20"/>
          <w:szCs w:val="20"/>
          <w:color w:val="auto"/>
        </w:rPr>
      </w:pPr>
      <w:r>
        <w:rPr>
          <w:rFonts w:ascii="Arial" w:cs="Arial" w:eastAsia="Arial" w:hAnsi="Arial"/>
          <w:sz w:val="16"/>
          <w:szCs w:val="16"/>
          <w:color w:val="auto"/>
        </w:rPr>
        <w:t>An impairment loss on certain available-for-sale securities of $0.3 million was recorded as at June 30, 2015 compared with $2.4 million as at June 30, 2014. Impairment loss evaluations of available-for-sale securities are based on whether a decline in fair value is considered to be significant or prolonged. A gain of $2.7 million was recorded on the sale of available-for-sale securities in the second quarter of 2015 compared with $5.0 million in the second quarter of 2014.</w:t>
      </w:r>
    </w:p>
    <w:p>
      <w:pPr>
        <w:spacing w:after="0" w:line="163" w:lineRule="exact"/>
        <w:rPr>
          <w:sz w:val="20"/>
          <w:szCs w:val="20"/>
          <w:color w:val="auto"/>
        </w:rPr>
      </w:pPr>
    </w:p>
    <w:p>
      <w:pPr>
        <w:jc w:val="both"/>
        <w:ind w:firstLine="390"/>
        <w:spacing w:after="0" w:line="270" w:lineRule="auto"/>
        <w:rPr>
          <w:sz w:val="20"/>
          <w:szCs w:val="20"/>
          <w:color w:val="auto"/>
        </w:rPr>
      </w:pPr>
      <w:r>
        <w:rPr>
          <w:rFonts w:ascii="Arial" w:cs="Arial" w:eastAsia="Arial" w:hAnsi="Arial"/>
          <w:sz w:val="17"/>
          <w:szCs w:val="17"/>
          <w:color w:val="auto"/>
        </w:rPr>
        <w:t>During the second quarter of 2015, there was a non-cash foreign currency translation loss of $4.8 million mainly attributable to a strengthening of the Canadian dollar and Euro versus the US dollar at June 30, 2015 relative to March 31, 2015. A non-cash foreign currency translation loss of $6.6 million was recorded during the comparative second quarter of 2014.</w:t>
      </w:r>
    </w:p>
    <w:p>
      <w:pPr>
        <w:spacing w:after="0" w:line="179" w:lineRule="exact"/>
        <w:rPr>
          <w:sz w:val="20"/>
          <w:szCs w:val="20"/>
          <w:color w:val="auto"/>
        </w:rPr>
      </w:pPr>
    </w:p>
    <w:p>
      <w:pPr>
        <w:jc w:val="both"/>
        <w:ind w:firstLine="534"/>
        <w:spacing w:after="0" w:line="311" w:lineRule="auto"/>
        <w:rPr>
          <w:sz w:val="20"/>
          <w:szCs w:val="20"/>
          <w:color w:val="auto"/>
        </w:rPr>
      </w:pPr>
      <w:r>
        <w:rPr>
          <w:rFonts w:ascii="Arial" w:cs="Arial" w:eastAsia="Arial" w:hAnsi="Arial"/>
          <w:sz w:val="15"/>
          <w:szCs w:val="15"/>
          <w:color w:val="auto"/>
        </w:rPr>
        <w:t>In the second quarter of 2015, the Company recorded income and mining taxes expense of $10.8 million on income before income and mining taxes of $20.9 million, resulting in an effective tax rate of 51.8%. In the second quarter of 2014, the Company recorded income and mining taxes expense of $11.7 million on income before income and mining taxes of $33.8 million, resulting in an effective tax rate of 34.5%. The increase in the effective tax rate between the second quarter of 2014 and the second quarter of 2015 is due primarily to an increase in taxable permanent differences, partially offset by foreign exchange rate movements.</w:t>
      </w:r>
    </w:p>
    <w:p>
      <w:pPr>
        <w:spacing w:after="0" w:line="155" w:lineRule="exact"/>
        <w:rPr>
          <w:sz w:val="20"/>
          <w:szCs w:val="20"/>
          <w:color w:val="auto"/>
        </w:rPr>
      </w:pPr>
    </w:p>
    <w:p>
      <w:pPr>
        <w:jc w:val="both"/>
        <w:ind w:firstLine="369"/>
        <w:spacing w:after="0" w:line="265" w:lineRule="auto"/>
        <w:rPr>
          <w:sz w:val="20"/>
          <w:szCs w:val="20"/>
          <w:color w:val="auto"/>
        </w:rPr>
      </w:pPr>
      <w:r>
        <w:rPr>
          <w:rFonts w:ascii="Arial" w:cs="Arial" w:eastAsia="Arial" w:hAnsi="Arial"/>
          <w:sz w:val="17"/>
          <w:szCs w:val="17"/>
          <w:color w:val="auto"/>
        </w:rPr>
        <w:t>There are a number of factors that can significantly impact the Company's effective tax rate including varying rates in different jurisdictions, the non-recognition of certain tax assets, mining allowances, foreign currency exchange rate movements, changes in tax laws, the impact of specific transactions and assessments and the relative distribution of income in the Company's operating jurisdictions. As a result of these factors, the Company's effective tax rate is expected to fluctuate in future periods.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Six Months Ended June 30, 2015 vs. Six Months Ended June 30, 2014</w:t>
      </w:r>
    </w:p>
    <w:p>
      <w:pPr>
        <w:spacing w:after="0" w:line="224" w:lineRule="exact"/>
        <w:rPr>
          <w:sz w:val="20"/>
          <w:szCs w:val="20"/>
          <w:color w:val="auto"/>
        </w:rPr>
      </w:pPr>
    </w:p>
    <w:p>
      <w:pPr>
        <w:jc w:val="both"/>
        <w:ind w:firstLine="365"/>
        <w:spacing w:after="0" w:line="280" w:lineRule="auto"/>
        <w:rPr>
          <w:sz w:val="20"/>
          <w:szCs w:val="20"/>
          <w:color w:val="auto"/>
        </w:rPr>
      </w:pPr>
      <w:r>
        <w:rPr>
          <w:rFonts w:ascii="Arial" w:cs="Arial" w:eastAsia="Arial" w:hAnsi="Arial"/>
          <w:sz w:val="16"/>
          <w:szCs w:val="16"/>
          <w:color w:val="auto"/>
        </w:rPr>
        <w:t>In the first six months of 2015, revenues from mining operations increased to $993.7 million from $930.3 million in the first six months of 2014 due primarily to a 16.7% increase in gold production and a 17.5% increase in silver production between periods. An incremental increase of 124,456 ounces of gold production from the Canadian Malartic mine which was jointly acquired on June 16, 2014, the ramp up of production from the La India mine which achieved commercial production in February 2014, an increase in tonnes of ore milled at the Kittila mine and higher gold grade at the LaRonde mine, partially offset by a 31.1% decrease in gold grade at the Meadowbank mine, resulted in a 115,408 ounce net increase in total gold production between the first six months of 2014 and the first six months of 2015. Partially offsetting the impact of increased gold and silver production on revenues from mining operations was a 7.8% decrease in the average realized price of gold, a 16.8% decrease in the average realized price of silver and a 69.9% decrease in zinc production between periods.</w:t>
      </w:r>
    </w:p>
    <w:p>
      <w:pPr>
        <w:spacing w:after="0" w:line="175" w:lineRule="exact"/>
        <w:rPr>
          <w:sz w:val="20"/>
          <w:szCs w:val="20"/>
          <w:color w:val="auto"/>
        </w:rPr>
      </w:pPr>
    </w:p>
    <w:p>
      <w:pPr>
        <w:jc w:val="both"/>
        <w:ind w:firstLine="344"/>
        <w:spacing w:after="0" w:line="283" w:lineRule="auto"/>
        <w:rPr>
          <w:sz w:val="20"/>
          <w:szCs w:val="20"/>
          <w:color w:val="auto"/>
        </w:rPr>
      </w:pPr>
      <w:r>
        <w:rPr>
          <w:rFonts w:ascii="Arial" w:cs="Arial" w:eastAsia="Arial" w:hAnsi="Arial"/>
          <w:sz w:val="16"/>
          <w:szCs w:val="16"/>
          <w:color w:val="auto"/>
        </w:rPr>
        <w:t>Production costs were $510.9 million in the first six months of 2015, a 14.2% increase compared with $447.4 million in the first six months of 2014 due primarily to a $65.0 million incremental increase in attributable production costs from the acquired interest in the Canadian Malartic mine, $10.4 million in additional production costs at the La India mine which achieved commercial production in February 2014 and a $6.4 million increase in production costs at the Kittila mine due to a 30.6% increase in tonnes of ore milled between periods. Partially offsetting the total increase in production costs between the first six months of 2014 and the first six months of 2015 was the impact of a weaker Canadian dollar, Mexican peso and Euro relative to the US dollar.</w:t>
      </w:r>
    </w:p>
    <w:p>
      <w:pPr>
        <w:spacing w:after="0" w:line="174" w:lineRule="exact"/>
        <w:rPr>
          <w:sz w:val="20"/>
          <w:szCs w:val="20"/>
          <w:color w:val="auto"/>
        </w:rPr>
      </w:pPr>
    </w:p>
    <w:p>
      <w:pPr>
        <w:jc w:val="both"/>
        <w:ind w:firstLine="349"/>
        <w:spacing w:after="0" w:line="270" w:lineRule="auto"/>
        <w:rPr>
          <w:sz w:val="20"/>
          <w:szCs w:val="20"/>
          <w:color w:val="auto"/>
        </w:rPr>
      </w:pPr>
      <w:r>
        <w:rPr>
          <w:rFonts w:ascii="Arial" w:cs="Arial" w:eastAsia="Arial" w:hAnsi="Arial"/>
          <w:sz w:val="17"/>
          <w:szCs w:val="17"/>
          <w:color w:val="auto"/>
        </w:rPr>
        <w:t>Total weighted average cash costs per ounce of gold produced increased to $595 on a by-product basis and decreased to $658 on a co-product basis in the first six months of 2015 compared with $582 on a by-product basis and $676 on a co-product basis in the first six months of 2014. Lower by-product revenue credits at the LaRonde</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78" w:lineRule="auto"/>
        <w:rPr>
          <w:sz w:val="20"/>
          <w:szCs w:val="20"/>
          <w:color w:val="auto"/>
        </w:rPr>
      </w:pPr>
      <w:r>
        <w:rPr>
          <w:rFonts w:ascii="Arial" w:cs="Arial" w:eastAsia="Arial" w:hAnsi="Arial"/>
          <w:sz w:val="16"/>
          <w:szCs w:val="16"/>
          <w:color w:val="auto"/>
        </w:rPr>
        <w:t>and Pinos Altos mines contributed to incrementally increased weighted average cash costs per ounce of gold produced on a by-product basis between the first six months of 2014 and the first six months of 2015. Total weighted average cash costs per ounce of gold produced on a co-product basis decreased between periods due primarily to increased gold production, the addition of the acquired interest in the Canadian Malartic mine at total cash costs per ounce of gold produced of $621 on a by-product basis and $638 on a co-product basis and the impact on costs of a weaker Canadian dollar, Mexican peso and Euro relative to the US dollar. Partially offsetting the overall decrease in total weighted average cash costs per ounce of gold produced on a co-product basis between the first six months of 2014 and the first six months of 2015 was decreased gold production at the Meadowbank mine between periods. For a reconciliation of total cash costs per ounce of gold produced on both a by-product basis (deducting by-product metal revenues from production costs) and co-product basis (before by-product metal revenues) to production costs as presented in the condensed interim consolidated statements of income and comprehensive income in accordance with IFRS, see Non-GAAP Financial Performance Measures in this MD&amp;A.</w:t>
      </w:r>
    </w:p>
    <w:p>
      <w:pPr>
        <w:spacing w:after="0" w:line="179" w:lineRule="exact"/>
        <w:rPr>
          <w:sz w:val="20"/>
          <w:szCs w:val="20"/>
          <w:color w:val="auto"/>
        </w:rPr>
      </w:pPr>
    </w:p>
    <w:p>
      <w:pPr>
        <w:jc w:val="both"/>
        <w:ind w:firstLine="354"/>
        <w:spacing w:after="0" w:line="294" w:lineRule="auto"/>
        <w:rPr>
          <w:sz w:val="20"/>
          <w:szCs w:val="20"/>
          <w:color w:val="auto"/>
        </w:rPr>
      </w:pPr>
      <w:r>
        <w:rPr>
          <w:rFonts w:ascii="Arial" w:cs="Arial" w:eastAsia="Arial" w:hAnsi="Arial"/>
          <w:sz w:val="16"/>
          <w:szCs w:val="16"/>
          <w:color w:val="auto"/>
        </w:rPr>
        <w:t>Exploration and corporate development expenses increased to $47.3 million in the first six months of 2015 compared with $21.0 million in the first six months of 2014 due primarily to exploration at the El Barqueno project in Mexico and the Amaruq project in Nunavut, exploration related to the acquired interest in the Canadian Malartic General Partnership and increased corporate development and project evaluation expenses between periods.</w:t>
      </w:r>
    </w:p>
    <w:p>
      <w:pPr>
        <w:spacing w:after="0" w:line="163" w:lineRule="exact"/>
        <w:rPr>
          <w:sz w:val="20"/>
          <w:szCs w:val="20"/>
          <w:color w:val="auto"/>
        </w:rPr>
      </w:pPr>
    </w:p>
    <w:p>
      <w:pPr>
        <w:jc w:val="both"/>
        <w:ind w:firstLine="338"/>
        <w:spacing w:after="0" w:line="270" w:lineRule="auto"/>
        <w:rPr>
          <w:sz w:val="20"/>
          <w:szCs w:val="20"/>
          <w:color w:val="auto"/>
        </w:rPr>
      </w:pPr>
      <w:r>
        <w:rPr>
          <w:rFonts w:ascii="Arial" w:cs="Arial" w:eastAsia="Arial" w:hAnsi="Arial"/>
          <w:sz w:val="17"/>
          <w:szCs w:val="17"/>
          <w:color w:val="auto"/>
        </w:rPr>
        <w:t>Amortization of property, plant and mine development increased by $116.4 million to $293.5 million between the first six months of 2014 and the first six months of 2015 due primarily to the consolidation of the acquired interest in the Canadian Malartic mine and a ramp up in gold production related to the achievement of commercial production at the Goldex mine's M and E Zones in October 2013 and at the La India mine in February 2014.</w:t>
      </w:r>
    </w:p>
    <w:p>
      <w:pPr>
        <w:spacing w:after="0" w:line="179" w:lineRule="exact"/>
        <w:rPr>
          <w:sz w:val="20"/>
          <w:szCs w:val="20"/>
          <w:color w:val="auto"/>
        </w:rPr>
      </w:pPr>
    </w:p>
    <w:p>
      <w:pPr>
        <w:jc w:val="both"/>
        <w:ind w:firstLine="423"/>
        <w:spacing w:after="0" w:line="263" w:lineRule="auto"/>
        <w:rPr>
          <w:sz w:val="20"/>
          <w:szCs w:val="20"/>
          <w:color w:val="auto"/>
        </w:rPr>
      </w:pPr>
      <w:r>
        <w:rPr>
          <w:rFonts w:ascii="Arial" w:cs="Arial" w:eastAsia="Arial" w:hAnsi="Arial"/>
          <w:sz w:val="17"/>
          <w:szCs w:val="17"/>
          <w:color w:val="auto"/>
        </w:rPr>
        <w:t>General and administrative expense decreased to $48.8 million during the first six months of 2015 compared with $67.8 million during the first six months of 2014 due primarily to $16.7 million in transaction costs associated with the June 16, 2014 joint acquisition of Osisko and lower compensation expenses between periods. Partially offsetting the overall decrease in general and administrative expense, the Company consolidated its interest in the Canadian Malartic mine's general and administrative expense for the full first six months of 2015. Transaction costs associated with the June 2015 acquisitions of Soltoro Ltd. ("Soltoro") and Gunnarn were capitalized to the mining properties acquired as both were accounted for as asset acquisitions.</w:t>
      </w:r>
    </w:p>
    <w:p>
      <w:pPr>
        <w:spacing w:after="0" w:line="187" w:lineRule="exact"/>
        <w:rPr>
          <w:sz w:val="20"/>
          <w:szCs w:val="20"/>
          <w:color w:val="auto"/>
        </w:rPr>
      </w:pPr>
    </w:p>
    <w:p>
      <w:pPr>
        <w:jc w:val="both"/>
        <w:ind w:firstLine="366"/>
        <w:spacing w:after="0" w:line="265" w:lineRule="auto"/>
        <w:rPr>
          <w:sz w:val="20"/>
          <w:szCs w:val="20"/>
          <w:color w:val="auto"/>
        </w:rPr>
      </w:pPr>
      <w:r>
        <w:rPr>
          <w:rFonts w:ascii="Arial" w:cs="Arial" w:eastAsia="Arial" w:hAnsi="Arial"/>
          <w:sz w:val="17"/>
          <w:szCs w:val="17"/>
          <w:color w:val="auto"/>
        </w:rPr>
        <w:t>Impairment losses on certain available-for-sale securities of $1.0 million were recorded in the first six months of 2015 compared with $2.4 million in the first six months of 2014. Impairment loss evaluations of available-for-sale securities are based on whether a decline in fair value is considered to be significant or prolonged. A gain of $23.7 million was recorded on the sale of available-for-sale securities in the first six months of 2015 compared with $5.3 million in the first six months of 2014.</w:t>
      </w:r>
    </w:p>
    <w:p>
      <w:pPr>
        <w:spacing w:after="0" w:line="185" w:lineRule="exact"/>
        <w:rPr>
          <w:sz w:val="20"/>
          <w:szCs w:val="20"/>
          <w:color w:val="auto"/>
        </w:rPr>
      </w:pPr>
    </w:p>
    <w:p>
      <w:pPr>
        <w:jc w:val="both"/>
        <w:ind w:firstLine="411"/>
        <w:spacing w:after="0" w:line="270" w:lineRule="auto"/>
        <w:rPr>
          <w:sz w:val="20"/>
          <w:szCs w:val="20"/>
          <w:color w:val="auto"/>
        </w:rPr>
      </w:pPr>
      <w:r>
        <w:rPr>
          <w:rFonts w:ascii="Arial" w:cs="Arial" w:eastAsia="Arial" w:hAnsi="Arial"/>
          <w:sz w:val="17"/>
          <w:szCs w:val="17"/>
          <w:color w:val="auto"/>
        </w:rPr>
        <w:t>During the first six months of 2015, there was a non-cash foreign currency translation gain of $6.9 million mainly attributable to a weakening of the Canadian dollar, Mexican peso and Euro versus the US dollar at June 30, 2015 relative to December 31, 2014. A non-cash foreign currency translation loss of $1.5 million was recorded during the comparative first six months of 2014.</w:t>
      </w:r>
    </w:p>
    <w:p>
      <w:pPr>
        <w:spacing w:after="0" w:line="179" w:lineRule="exact"/>
        <w:rPr>
          <w:sz w:val="20"/>
          <w:szCs w:val="20"/>
          <w:color w:val="auto"/>
        </w:rPr>
      </w:pPr>
    </w:p>
    <w:p>
      <w:pPr>
        <w:jc w:val="both"/>
        <w:ind w:firstLine="513"/>
        <w:spacing w:after="0" w:line="287" w:lineRule="auto"/>
        <w:rPr>
          <w:sz w:val="20"/>
          <w:szCs w:val="20"/>
          <w:color w:val="auto"/>
        </w:rPr>
      </w:pPr>
      <w:r>
        <w:rPr>
          <w:rFonts w:ascii="Arial" w:cs="Arial" w:eastAsia="Arial" w:hAnsi="Arial"/>
          <w:sz w:val="16"/>
          <w:szCs w:val="16"/>
          <w:color w:val="auto"/>
        </w:rPr>
        <w:t>In the first six months of 2015, the Company recorded income and mining taxes expense of $38.8 million on income before income and mining taxes of $77.6 million, resulting in an effective tax rate of 50.0%. In the first six months of 2014, the Company recorded income and mining taxes expense of $61.2 million on income before income and mining taxes of $180.5 million, resulting in an effective tax rate of 33.9%. The increase in the effective tax rate between the first six months of 2014 and the first six months of 2015 is due primarily to foreign exchange rate movements and an increase in taxable permanent differences.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LaRonde mine</w:t>
      </w:r>
    </w:p>
    <w:p>
      <w:pPr>
        <w:spacing w:after="0" w:line="224" w:lineRule="exact"/>
        <w:rPr>
          <w:sz w:val="20"/>
          <w:szCs w:val="20"/>
          <w:color w:val="auto"/>
        </w:rPr>
      </w:pPr>
    </w:p>
    <w:p>
      <w:pPr>
        <w:jc w:val="both"/>
        <w:ind w:firstLine="350"/>
        <w:spacing w:after="0" w:line="263" w:lineRule="auto"/>
        <w:rPr>
          <w:sz w:val="20"/>
          <w:szCs w:val="20"/>
          <w:color w:val="auto"/>
        </w:rPr>
      </w:pPr>
      <w:r>
        <w:rPr>
          <w:rFonts w:ascii="Arial" w:cs="Arial" w:eastAsia="Arial" w:hAnsi="Arial"/>
          <w:sz w:val="17"/>
          <w:szCs w:val="17"/>
          <w:color w:val="auto"/>
        </w:rPr>
        <w:t>At the LaRonde mine, gold production increased by 32.0% to 64,007 ounces in the second quarter of 2015 compared with 48,494 ounces in the second quarter of 2014 due primarily to higher gold grade and increased mill recoveries. Production costs at the LaRonde mine were $45.1 million in the second quarter of 2015, a decrease of 3.5% compared with production costs of $46.8 million in the second quarter of 2014 driven primarily by a weakening of the Canadian dollar relative to the US dollar, partially offset by increased mill throughput and higher local currency costs related to underground development, mill maintenance and site administration costs.</w:t>
      </w:r>
    </w:p>
    <w:p>
      <w:pPr>
        <w:spacing w:after="0" w:line="187" w:lineRule="exact"/>
        <w:rPr>
          <w:sz w:val="20"/>
          <w:szCs w:val="20"/>
          <w:color w:val="auto"/>
        </w:rPr>
      </w:pPr>
    </w:p>
    <w:p>
      <w:pPr>
        <w:jc w:val="both"/>
        <w:ind w:firstLine="455"/>
        <w:spacing w:after="0" w:line="263" w:lineRule="auto"/>
        <w:rPr>
          <w:sz w:val="20"/>
          <w:szCs w:val="20"/>
          <w:color w:val="auto"/>
        </w:rPr>
      </w:pPr>
      <w:r>
        <w:rPr>
          <w:rFonts w:ascii="Arial" w:cs="Arial" w:eastAsia="Arial" w:hAnsi="Arial"/>
          <w:sz w:val="17"/>
          <w:szCs w:val="17"/>
          <w:color w:val="auto"/>
        </w:rPr>
        <w:t>Gold production increased by 14.0% to 122,900 ounces in the first six months of 2015 compared with 107,846 ounces in the first six months of 2014 at the LaRonde mine, due primarily to higher gold grade. Production costs at the LaRonde mine were $91.0 million in the first six months of 2015, a decrease of 3.2% compared with production costs of $94.0 million in the first six months of 2014 driven primarily by a weakening of the Canadian dollar relative to the US dollar, partially offset by increased mill throughput, higher local currency costs related to underground development, mill maintenance and site administration costs and costs related to temporary issues with the paste fill piping network during the first six months of 2015.</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Lapa mine</w:t>
      </w:r>
    </w:p>
    <w:p>
      <w:pPr>
        <w:spacing w:after="0" w:line="224" w:lineRule="exact"/>
        <w:rPr>
          <w:sz w:val="20"/>
          <w:szCs w:val="20"/>
          <w:color w:val="auto"/>
        </w:rPr>
      </w:pPr>
    </w:p>
    <w:p>
      <w:pPr>
        <w:jc w:val="both"/>
        <w:ind w:firstLine="346"/>
        <w:spacing w:after="0" w:line="287" w:lineRule="auto"/>
        <w:rPr>
          <w:sz w:val="20"/>
          <w:szCs w:val="20"/>
          <w:color w:val="auto"/>
        </w:rPr>
      </w:pPr>
      <w:r>
        <w:rPr>
          <w:rFonts w:ascii="Arial" w:cs="Arial" w:eastAsia="Arial" w:hAnsi="Arial"/>
          <w:sz w:val="16"/>
          <w:szCs w:val="16"/>
          <w:color w:val="auto"/>
        </w:rPr>
        <w:t>At the Lapa mine, gold production increased by 3.3% to 19,450 ounces in the second quarter of 2015 compared with 18,821 ounces in the second quarter of 2014 due primarily to higher gold grade and increased mill recoveries. Production costs at the Lapa mine were $13.7 million in the second quarter of 2015, a decrease of 4.9% compared with production costs of $14.4 million in the second quarter of 2014 driven primarily by a weakening of the Canadian dollar relative to the US dollar and decreased mill throughput due to downtime related to the discovery of fatigue cracks in the feed head of the Lapa mine's ball mill.</w:t>
      </w:r>
    </w:p>
    <w:p>
      <w:pPr>
        <w:spacing w:after="0" w:line="169" w:lineRule="exact"/>
        <w:rPr>
          <w:sz w:val="20"/>
          <w:szCs w:val="20"/>
          <w:color w:val="auto"/>
        </w:rPr>
      </w:pPr>
    </w:p>
    <w:p>
      <w:pPr>
        <w:jc w:val="both"/>
        <w:ind w:firstLine="422"/>
        <w:spacing w:after="0" w:line="263" w:lineRule="auto"/>
        <w:rPr>
          <w:sz w:val="20"/>
          <w:szCs w:val="20"/>
          <w:color w:val="auto"/>
        </w:rPr>
      </w:pPr>
      <w:r>
        <w:rPr>
          <w:rFonts w:ascii="Arial" w:cs="Arial" w:eastAsia="Arial" w:hAnsi="Arial"/>
          <w:sz w:val="17"/>
          <w:szCs w:val="17"/>
          <w:color w:val="auto"/>
        </w:rPr>
        <w:t>Gold production increased by 7.4% to 45,370 ounces in the first six months of 2015 compared with 42,230 ounces in the first six months of 2014 at the Lapa mine, due primarily to higher gold grade and increased mill recoveries. Production costs at the Lapa mine were $27.6 million in the first six months of 2015, a decrease of 7.0% compared with production costs of $29.7 million in the first six months of 2014 driven primarily by a weakening of the Canadian dollar relative to the US dollar and decreased mill throughput due to a reduction in the number of stopes available for mining between periods and downtime related to the discovery of fatigue cracks in the feed head of the Lapa mine's ball mill.</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Goldex mine</w:t>
      </w:r>
    </w:p>
    <w:p>
      <w:pPr>
        <w:spacing w:after="0" w:line="224" w:lineRule="exact"/>
        <w:rPr>
          <w:sz w:val="20"/>
          <w:szCs w:val="20"/>
          <w:color w:val="auto"/>
        </w:rPr>
      </w:pPr>
    </w:p>
    <w:p>
      <w:pPr>
        <w:jc w:val="both"/>
        <w:ind w:firstLine="390"/>
        <w:spacing w:after="0" w:line="262" w:lineRule="auto"/>
        <w:rPr>
          <w:sz w:val="20"/>
          <w:szCs w:val="20"/>
          <w:color w:val="auto"/>
        </w:rPr>
      </w:pPr>
      <w:r>
        <w:rPr>
          <w:rFonts w:ascii="Arial" w:cs="Arial" w:eastAsia="Arial" w:hAnsi="Arial"/>
          <w:sz w:val="17"/>
          <w:szCs w:val="17"/>
          <w:color w:val="auto"/>
        </w:rPr>
        <w:t>On October 19, 2011, the Company suspended mining operations and gold production at the Goldex mine due to geotechnical concerns with the rock above the mining horizon. As of September 30, 2011, Agnico Eagle recorded an impairment loss on its investment in the Goldex mine (net of expected residual value) and its underground ore stockpile. All of the remaining 1.6 million ounces of proven and probable mineral reserves at the Goldex mine, other than ore stockpiled on the surface, were reclassified as mineral resources. An environmental remediation liability was recorded as of September 30, 2011 reflecting anticipated costs of remediation. The Goldex mill completed processing feed from the remaining Goldex Extension Zone ("GEZ") surface stockpile in October of 2011. Operations in the GEZ remain suspended indefinitely.</w:t>
      </w:r>
    </w:p>
    <w:p>
      <w:pPr>
        <w:spacing w:after="0" w:line="188" w:lineRule="exact"/>
        <w:rPr>
          <w:sz w:val="20"/>
          <w:szCs w:val="20"/>
          <w:color w:val="auto"/>
        </w:rPr>
      </w:pPr>
    </w:p>
    <w:p>
      <w:pPr>
        <w:jc w:val="both"/>
        <w:ind w:firstLine="393"/>
        <w:spacing w:after="0" w:line="294" w:lineRule="auto"/>
        <w:rPr>
          <w:sz w:val="20"/>
          <w:szCs w:val="20"/>
          <w:color w:val="auto"/>
        </w:rPr>
      </w:pPr>
      <w:r>
        <w:rPr>
          <w:rFonts w:ascii="Arial" w:cs="Arial" w:eastAsia="Arial" w:hAnsi="Arial"/>
          <w:sz w:val="16"/>
          <w:szCs w:val="16"/>
          <w:color w:val="auto"/>
        </w:rPr>
        <w:t>During the three and six months ended June 30, 2015, the Company incurred $0.1 million and $0.2 million in remediation costs, respectively, that were applied against the environmental remediation liability recognized in 2011. During the three and six months ended June 30, 2014, the Company incurred $0.1 million and $2.0 million in remediation costs, respectively, that were applied against the environmental remediation liability recognized in 2011.</w:t>
      </w:r>
    </w:p>
    <w:p>
      <w:pPr>
        <w:spacing w:after="0" w:line="163" w:lineRule="exact"/>
        <w:rPr>
          <w:sz w:val="20"/>
          <w:szCs w:val="20"/>
          <w:color w:val="auto"/>
        </w:rPr>
      </w:pPr>
    </w:p>
    <w:p>
      <w:pPr>
        <w:ind w:firstLine="425"/>
        <w:spacing w:after="0" w:line="282" w:lineRule="auto"/>
        <w:rPr>
          <w:sz w:val="20"/>
          <w:szCs w:val="20"/>
          <w:color w:val="auto"/>
        </w:rPr>
      </w:pPr>
      <w:r>
        <w:rPr>
          <w:rFonts w:ascii="Arial" w:cs="Arial" w:eastAsia="Arial" w:hAnsi="Arial"/>
          <w:sz w:val="17"/>
          <w:szCs w:val="17"/>
          <w:color w:val="auto"/>
        </w:rPr>
        <w:t>Exploration drilling continued on several mineralized zones on the Goldex mine property near the GEZ after mining operations were suspended in October of 2011. A team of independent consultants and Agnico</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322" w:lineRule="auto"/>
        <w:rPr>
          <w:sz w:val="20"/>
          <w:szCs w:val="20"/>
          <w:color w:val="auto"/>
        </w:rPr>
      </w:pPr>
      <w:r>
        <w:rPr>
          <w:rFonts w:ascii="Arial" w:cs="Arial" w:eastAsia="Arial" w:hAnsi="Arial"/>
          <w:sz w:val="15"/>
          <w:szCs w:val="15"/>
          <w:color w:val="auto"/>
        </w:rPr>
        <w:t>Eagle staff performed a thorough review, including a preliminary economic assessment, to determine whether future mining operations on the property, including the M and E zones, would be viable. After a review of the assessment, Agnico Eagle's Board of Directors (the "Board") approved the M and E Zones for development using existing mine infrastructure such as the shaft and mill. Commercial production was achieved at the Goldex mine's M and E Zones in October 2013.</w:t>
      </w:r>
    </w:p>
    <w:p>
      <w:pPr>
        <w:spacing w:after="0" w:line="145" w:lineRule="exact"/>
        <w:rPr>
          <w:sz w:val="20"/>
          <w:szCs w:val="20"/>
          <w:color w:val="auto"/>
        </w:rPr>
      </w:pPr>
    </w:p>
    <w:p>
      <w:pPr>
        <w:jc w:val="both"/>
        <w:ind w:firstLine="410"/>
        <w:spacing w:after="0" w:line="265" w:lineRule="auto"/>
        <w:rPr>
          <w:sz w:val="20"/>
          <w:szCs w:val="20"/>
          <w:color w:val="auto"/>
        </w:rPr>
      </w:pPr>
      <w:r>
        <w:rPr>
          <w:rFonts w:ascii="Arial" w:cs="Arial" w:eastAsia="Arial" w:hAnsi="Arial"/>
          <w:sz w:val="17"/>
          <w:szCs w:val="17"/>
          <w:color w:val="auto"/>
        </w:rPr>
        <w:t>As a result of the Company's restatement of comparative information under IFRS, a $109.7 million impairment loss reversal was recorded as at the January 1, 2013 IFRS transition date. Specific long-lived assets associated with the GEZ that were impaired as at September 30, 2011 due to the suspension of mining operations, including the Goldex mine's shaft and mill, were subsequently incorporated into the development plan for the Goldex mine's M and E Zones which was approved by the Board in July 2012.</w:t>
      </w:r>
    </w:p>
    <w:p>
      <w:pPr>
        <w:spacing w:after="0" w:line="185" w:lineRule="exact"/>
        <w:rPr>
          <w:sz w:val="20"/>
          <w:szCs w:val="20"/>
          <w:color w:val="auto"/>
        </w:rPr>
      </w:pPr>
    </w:p>
    <w:p>
      <w:pPr>
        <w:jc w:val="both"/>
        <w:ind w:firstLine="388"/>
        <w:spacing w:after="0" w:line="263" w:lineRule="auto"/>
        <w:rPr>
          <w:sz w:val="20"/>
          <w:szCs w:val="20"/>
          <w:color w:val="auto"/>
        </w:rPr>
      </w:pPr>
      <w:r>
        <w:rPr>
          <w:rFonts w:ascii="Arial" w:cs="Arial" w:eastAsia="Arial" w:hAnsi="Arial"/>
          <w:sz w:val="17"/>
          <w:szCs w:val="17"/>
          <w:color w:val="auto"/>
        </w:rPr>
        <w:t>At the Goldex mine's M and E Zones, gold production increased by 10.6% to 26,462 ounces in the second quarter of 2015 compared with 23,929 ounces in the second quarter of 2014 due primarily to an increase in tonnes of ore milled, partially offset by lower gold grade. Production costs at the Goldex mine's M and E Zones were $16.9 million in the second quarter of 2015, an increase of 9.7% compared with production costs of $15.4 million in the second quarter of 2014 driven primarily by increased mill throughput due to mining front maturity and productivity improvements, partially offset by a weakening of the Canadian dollar relative to the US dollar.</w:t>
      </w:r>
    </w:p>
    <w:p>
      <w:pPr>
        <w:spacing w:after="0" w:line="187" w:lineRule="exact"/>
        <w:rPr>
          <w:sz w:val="20"/>
          <w:szCs w:val="20"/>
          <w:color w:val="auto"/>
        </w:rPr>
      </w:pPr>
    </w:p>
    <w:p>
      <w:pPr>
        <w:jc w:val="both"/>
        <w:ind w:firstLine="367"/>
        <w:spacing w:after="0" w:line="261" w:lineRule="auto"/>
        <w:rPr>
          <w:sz w:val="20"/>
          <w:szCs w:val="20"/>
          <w:color w:val="auto"/>
        </w:rPr>
      </w:pPr>
      <w:r>
        <w:rPr>
          <w:rFonts w:ascii="Arial" w:cs="Arial" w:eastAsia="Arial" w:hAnsi="Arial"/>
          <w:sz w:val="17"/>
          <w:szCs w:val="17"/>
          <w:color w:val="auto"/>
        </w:rPr>
        <w:t>Gold production increased by 28.5% to 55,712 ounces in the first six months of 2015 compared with 43,359 ounces in the first six months of 2014 at the Goldex mine's M and E Zones, due primarily to an increase in tonnes of ore milled, higher gold grade and increased mill recoveries. Production costs at the Goldex mine's M and E Zones were $31.8 million in the first six months of 2015, an increase of 1.7% compared with production costs of $31.3 million in the first six months of 2014 driven primarily by increased mill throughput between periods due to the exploitation of more mature mining fronts in the first six months of 2015 as the operations ramp up continued at the Goldex mine's M and E Zones in the first six months of 2014 after achieving commercial production in October 2013. Partially offsetting the overall increase in production costs between periods, the Canadian dollar weakened relative to the US dollar between the first six months of 2014 and the first six months of 2015.</w:t>
      </w:r>
    </w:p>
    <w:p>
      <w:pPr>
        <w:spacing w:after="0" w:line="19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Meadowbank mine</w:t>
      </w:r>
    </w:p>
    <w:p>
      <w:pPr>
        <w:spacing w:after="0" w:line="224" w:lineRule="exact"/>
        <w:rPr>
          <w:sz w:val="20"/>
          <w:szCs w:val="20"/>
          <w:color w:val="auto"/>
        </w:rPr>
      </w:pPr>
    </w:p>
    <w:p>
      <w:pPr>
        <w:jc w:val="both"/>
        <w:ind w:firstLine="427"/>
        <w:spacing w:after="0" w:line="311" w:lineRule="auto"/>
        <w:rPr>
          <w:sz w:val="20"/>
          <w:szCs w:val="20"/>
          <w:color w:val="auto"/>
        </w:rPr>
      </w:pPr>
      <w:r>
        <w:rPr>
          <w:rFonts w:ascii="Arial" w:cs="Arial" w:eastAsia="Arial" w:hAnsi="Arial"/>
          <w:sz w:val="15"/>
          <w:szCs w:val="15"/>
          <w:color w:val="auto"/>
        </w:rPr>
        <w:t>At the Meadowbank mine, gold production decreased by 22.8% to 91,276 ounces in the second quarter of 2015 compared with 118,161 ounces in the second quarter of 2014 due primarily to lower gold grade. Production costs at the Meadowbank mine were $66.9 million in the second quarter of 2015, an increase of 4.8% compared with production costs of $63.8 million in the second quarter of 2014 driven primarily by higher local currency costs related to site services, mill production and mill maintenance costs, partially offset by a weakening of the Canadian dollar relative to the US dollar and decreased mill throughput between periods.</w:t>
      </w:r>
    </w:p>
    <w:p>
      <w:pPr>
        <w:spacing w:after="0" w:line="155" w:lineRule="exact"/>
        <w:rPr>
          <w:sz w:val="20"/>
          <w:szCs w:val="20"/>
          <w:color w:val="auto"/>
        </w:rPr>
      </w:pPr>
    </w:p>
    <w:p>
      <w:pPr>
        <w:jc w:val="both"/>
        <w:ind w:firstLine="449"/>
        <w:spacing w:after="0" w:line="263" w:lineRule="auto"/>
        <w:rPr>
          <w:sz w:val="20"/>
          <w:szCs w:val="20"/>
          <w:color w:val="auto"/>
        </w:rPr>
      </w:pPr>
      <w:r>
        <w:rPr>
          <w:rFonts w:ascii="Arial" w:cs="Arial" w:eastAsia="Arial" w:hAnsi="Arial"/>
          <w:sz w:val="17"/>
          <w:szCs w:val="17"/>
          <w:color w:val="auto"/>
        </w:rPr>
        <w:t>Gold production decreased by 34.5% to 179,799 ounces in the first six months of 2015 compared with 274,605 ounces in the first six months of 2014 at the Meadowbank mine, due primarily to lower gold grade and decreased mill recoveries. Production costs at the Meadowbank mine were $124.0 million in the first six months of 2015, a decrease of 5.3% compared with production costs of $130.9 million in the first six months of 2014 driven primarily by a weakening of the Canadian dollar relative to the US dollar and decreased mill throughput, partially offset by higher local currency costs related to site services and mill maintenance costs between periods.</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Canadian Malartic mine</w:t>
      </w:r>
    </w:p>
    <w:p>
      <w:pPr>
        <w:spacing w:after="0" w:line="224" w:lineRule="exact"/>
        <w:rPr>
          <w:sz w:val="20"/>
          <w:szCs w:val="20"/>
          <w:color w:val="auto"/>
        </w:rPr>
      </w:pPr>
    </w:p>
    <w:p>
      <w:pPr>
        <w:jc w:val="both"/>
        <w:ind w:firstLine="481"/>
        <w:spacing w:after="0" w:line="270" w:lineRule="auto"/>
        <w:rPr>
          <w:sz w:val="20"/>
          <w:szCs w:val="20"/>
          <w:color w:val="auto"/>
        </w:rPr>
      </w:pPr>
      <w:r>
        <w:rPr>
          <w:rFonts w:ascii="Arial" w:cs="Arial" w:eastAsia="Arial" w:hAnsi="Arial"/>
          <w:sz w:val="17"/>
          <w:szCs w:val="17"/>
          <w:color w:val="auto"/>
        </w:rPr>
        <w:t xml:space="preserve">Agnico Eagle and Yamana Gold Inc. ("Yamana") jointly acquired 100.0% of Osisko on June 16, 2014 by way of a plan of arrangement under the </w:t>
      </w:r>
      <w:r>
        <w:rPr>
          <w:rFonts w:ascii="Arial" w:cs="Arial" w:eastAsia="Arial" w:hAnsi="Arial"/>
          <w:sz w:val="17"/>
          <w:szCs w:val="17"/>
          <w:i w:val="1"/>
          <w:iCs w:val="1"/>
          <w:color w:val="auto"/>
        </w:rPr>
        <w:t>Canada</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Business Corporations Act </w:t>
      </w:r>
      <w:r>
        <w:rPr>
          <w:rFonts w:ascii="Arial" w:cs="Arial" w:eastAsia="Arial" w:hAnsi="Arial"/>
          <w:sz w:val="17"/>
          <w:szCs w:val="17"/>
          <w:color w:val="auto"/>
        </w:rPr>
        <w:t>(the "Arrangement"). As a result of the Arrangement, Agnico Eagle and Yamana each indirectly own 50.0% of Osisko and Canadian</w:t>
      </w:r>
      <w:r>
        <w:rPr>
          <w:rFonts w:ascii="Arial" w:cs="Arial" w:eastAsia="Arial" w:hAnsi="Arial"/>
          <w:sz w:val="17"/>
          <w:szCs w:val="17"/>
          <w:i w:val="1"/>
          <w:iCs w:val="1"/>
          <w:color w:val="auto"/>
        </w:rPr>
        <w:t xml:space="preserve"> </w:t>
      </w:r>
      <w:r>
        <w:rPr>
          <w:rFonts w:ascii="Arial" w:cs="Arial" w:eastAsia="Arial" w:hAnsi="Arial"/>
          <w:sz w:val="17"/>
          <w:szCs w:val="17"/>
          <w:color w:val="auto"/>
        </w:rPr>
        <w:t>Malartic GP,</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82" w:lineRule="auto"/>
        <w:rPr>
          <w:sz w:val="20"/>
          <w:szCs w:val="20"/>
          <w:color w:val="auto"/>
        </w:rPr>
      </w:pPr>
      <w:r>
        <w:rPr>
          <w:rFonts w:ascii="Arial" w:cs="Arial" w:eastAsia="Arial" w:hAnsi="Arial"/>
          <w:sz w:val="17"/>
          <w:szCs w:val="17"/>
          <w:color w:val="auto"/>
        </w:rPr>
        <w:t>which now holds the Canadian Malartic mine. Agnico Eagle and Yamana will also jointly explore, through their indirect ownership of Canadian Malartic Corporation (the successor to Osisko), the Kirkland Lake assets, the Hammond Reef project and the Pandora and Wood-Pandora properties.</w:t>
      </w:r>
    </w:p>
    <w:p>
      <w:pPr>
        <w:spacing w:after="0" w:line="170" w:lineRule="exact"/>
        <w:rPr>
          <w:sz w:val="20"/>
          <w:szCs w:val="20"/>
          <w:color w:val="auto"/>
        </w:rPr>
      </w:pPr>
    </w:p>
    <w:p>
      <w:pPr>
        <w:jc w:val="both"/>
        <w:ind w:firstLine="515"/>
        <w:spacing w:after="0" w:line="265" w:lineRule="auto"/>
        <w:rPr>
          <w:sz w:val="20"/>
          <w:szCs w:val="20"/>
          <w:color w:val="auto"/>
        </w:rPr>
      </w:pPr>
      <w:r>
        <w:rPr>
          <w:rFonts w:ascii="Arial" w:cs="Arial" w:eastAsia="Arial" w:hAnsi="Arial"/>
          <w:sz w:val="17"/>
          <w:szCs w:val="17"/>
          <w:color w:val="auto"/>
        </w:rPr>
        <w:t>During the second quarter of 2015, the Canadian Malartic mine produced 68,441 attributable ounces of gold and incurred attributable production costs of $42.2 million. During the first six months of 2015, the Canadian Malartic mine produced 136,334 attributable ounces of gold and incurred attributable production costs of $83.4 million. Between its June 16, 2014 joint acquisition date and June 30, 2014, the Canadian Malartic mine produced 11,878 attributable ounces of gold and incurred attributable production costs of $18.3 million.</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Kittila mine</w:t>
      </w:r>
    </w:p>
    <w:p>
      <w:pPr>
        <w:spacing w:after="0" w:line="224" w:lineRule="exact"/>
        <w:rPr>
          <w:sz w:val="20"/>
          <w:szCs w:val="20"/>
          <w:color w:val="auto"/>
        </w:rPr>
      </w:pPr>
    </w:p>
    <w:p>
      <w:pPr>
        <w:jc w:val="both"/>
        <w:ind w:firstLine="396"/>
        <w:spacing w:after="0" w:line="263" w:lineRule="auto"/>
        <w:rPr>
          <w:sz w:val="20"/>
          <w:szCs w:val="20"/>
          <w:color w:val="auto"/>
        </w:rPr>
      </w:pPr>
      <w:r>
        <w:rPr>
          <w:rFonts w:ascii="Arial" w:cs="Arial" w:eastAsia="Arial" w:hAnsi="Arial"/>
          <w:sz w:val="17"/>
          <w:szCs w:val="17"/>
          <w:color w:val="auto"/>
        </w:rPr>
        <w:t>At the Kittila mine, gold production increased by 31.9% to 41,986 ounces in the second quarter of 2015 compared with 31,830 ounces in the second quarter of 2014 due primarily to an increase in tonnes of ore milled, partially offset by lower gold grade and mill recoveries between periods. Production costs at the Kittila mine were $30.8 million in the second quarter of 2015, an increase of 14.3% compared with production costs of $26.9 million in the second quarter of 2014 driven primarily by a 53.3% increase in mill throughput facilitated by the mill expansion completed in the fourth quarter of 2014 and higher local currency mill production costs between periods, partially offset by a weakening of the Euro relative to the US dollar.</w:t>
      </w:r>
    </w:p>
    <w:p>
      <w:pPr>
        <w:spacing w:after="0" w:line="187" w:lineRule="exact"/>
        <w:rPr>
          <w:sz w:val="20"/>
          <w:szCs w:val="20"/>
          <w:color w:val="auto"/>
        </w:rPr>
      </w:pPr>
    </w:p>
    <w:p>
      <w:pPr>
        <w:jc w:val="both"/>
        <w:ind w:firstLine="382"/>
        <w:spacing w:after="0" w:line="263" w:lineRule="auto"/>
        <w:rPr>
          <w:sz w:val="20"/>
          <w:szCs w:val="20"/>
          <w:color w:val="auto"/>
        </w:rPr>
      </w:pPr>
      <w:r>
        <w:rPr>
          <w:rFonts w:ascii="Arial" w:cs="Arial" w:eastAsia="Arial" w:hAnsi="Arial"/>
          <w:sz w:val="17"/>
          <w:szCs w:val="17"/>
          <w:color w:val="auto"/>
        </w:rPr>
        <w:t>Gold production increased by 23.1% to 86,640 ounces in the first six months of 2015 compared with 70,382 ounces in the first six months of 2014 at the Kittila mine, due primarily to an increase in tonnes of ore milled, partially offset by lower gold grade and mill recoveries between periods. Production costs at the Kittila mine were $62.8 million in the first six months of 2015, an increase of 11.3% compared with production costs of $56.4 million in the first six months of 2014 driven primarily by a 30.6% increase in mill throughput facilitated by the mill expansion completed in the fourth quarter of 2014, partially offset by a weakening of the Euro relative to the US dollar between periods.</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Pinos Altos mine</w:t>
      </w:r>
    </w:p>
    <w:p>
      <w:pPr>
        <w:spacing w:after="0" w:line="224" w:lineRule="exact"/>
        <w:rPr>
          <w:sz w:val="20"/>
          <w:szCs w:val="20"/>
          <w:color w:val="auto"/>
        </w:rPr>
      </w:pPr>
    </w:p>
    <w:p>
      <w:pPr>
        <w:jc w:val="both"/>
        <w:ind w:firstLine="356"/>
        <w:spacing w:after="0" w:line="263" w:lineRule="auto"/>
        <w:rPr>
          <w:sz w:val="20"/>
          <w:szCs w:val="20"/>
          <w:color w:val="auto"/>
        </w:rPr>
      </w:pPr>
      <w:r>
        <w:rPr>
          <w:rFonts w:ascii="Arial" w:cs="Arial" w:eastAsia="Arial" w:hAnsi="Arial"/>
          <w:sz w:val="17"/>
          <w:szCs w:val="17"/>
          <w:color w:val="auto"/>
        </w:rPr>
        <w:t>At the Pinos Altos mine, gold production increased by 15.2% to 50,647 ounces in the second quarter of 2015 compared with 43,978 ounces in the second quarter of 2014 due primarily to increases in gold grade and tonnes of ore milled, partially offset by a decrease in tonnes of ore stacked on the heap leach pad between periods. Production costs at the Pinos Altos mine were $29.8 million in the second quarter of 2015, a decrease of 0.6% compared with production costs of $29.9 million in the second quarter of 2014 driven primarily by a weakening of the Mexican peso relative to the US dollar and a decrease in tonnes of ore stacked on the heap leach pad, partially offset by an increase in mill throughput between periods.</w:t>
      </w:r>
    </w:p>
    <w:p>
      <w:pPr>
        <w:spacing w:after="0" w:line="187" w:lineRule="exact"/>
        <w:rPr>
          <w:sz w:val="20"/>
          <w:szCs w:val="20"/>
          <w:color w:val="auto"/>
        </w:rPr>
      </w:pPr>
    </w:p>
    <w:p>
      <w:pPr>
        <w:jc w:val="both"/>
        <w:ind w:firstLine="376"/>
        <w:spacing w:after="0" w:line="283" w:lineRule="auto"/>
        <w:rPr>
          <w:sz w:val="20"/>
          <w:szCs w:val="20"/>
          <w:color w:val="auto"/>
        </w:rPr>
      </w:pPr>
      <w:r>
        <w:rPr>
          <w:rFonts w:ascii="Arial" w:cs="Arial" w:eastAsia="Arial" w:hAnsi="Arial"/>
          <w:sz w:val="16"/>
          <w:szCs w:val="16"/>
          <w:color w:val="auto"/>
        </w:rPr>
        <w:t>Gold production increased by 13.0% to 100,753 ounces in the first six months of 2015 compared with 89,195 ounces in the first six months of 2014 at the Pinos Altos mine, due primarily to increases in gold grade and tonnes of ore milled, partially offset by a decrease in tonnes of ore stacked on the heap leach pad between periods. Production costs at the Pinos Altos mine were $54.0 million in the first six months of 2015, a decrease of 12.0% compared with production costs of $61.4 million in the first six months of 2014 driven primarily by a weakening of the Mexican peso relative to the US dollar and a decrease in tonnes of ore stacked on the heap leach pad between periods, partially offset by an increase in mill throughput between periods.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Creston Mascota deposit at Pinos Altos</w:t>
      </w:r>
    </w:p>
    <w:p>
      <w:pPr>
        <w:spacing w:after="0" w:line="224" w:lineRule="exact"/>
        <w:rPr>
          <w:sz w:val="20"/>
          <w:szCs w:val="20"/>
          <w:color w:val="auto"/>
        </w:rPr>
      </w:pPr>
    </w:p>
    <w:p>
      <w:pPr>
        <w:jc w:val="both"/>
        <w:ind w:firstLine="347"/>
        <w:spacing w:after="0" w:line="270" w:lineRule="auto"/>
        <w:rPr>
          <w:sz w:val="20"/>
          <w:szCs w:val="20"/>
          <w:color w:val="auto"/>
        </w:rPr>
      </w:pPr>
      <w:r>
        <w:rPr>
          <w:rFonts w:ascii="Arial" w:cs="Arial" w:eastAsia="Arial" w:hAnsi="Arial"/>
          <w:sz w:val="17"/>
          <w:szCs w:val="17"/>
          <w:color w:val="auto"/>
        </w:rPr>
        <w:t>At the Creston Mascota deposit at Pinos Altos, gold production increased by 39.9% to 15,606 ounces in the second quarter of 2015 compared with 11,159 ounces in the second quarter of 2014 due primarily to a 54.1% increase in ore stacked on the heap leach pad, partially offset by a decrease in gold grade between periods. Production costs at the Creston Mascota deposit at Pinos Altos were $7.5 million in the second quarter of 2015,</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352" w:lineRule="auto"/>
        <w:rPr>
          <w:sz w:val="20"/>
          <w:szCs w:val="20"/>
          <w:color w:val="auto"/>
        </w:rPr>
      </w:pPr>
      <w:r>
        <w:rPr>
          <w:rFonts w:ascii="Arial" w:cs="Arial" w:eastAsia="Arial" w:hAnsi="Arial"/>
          <w:sz w:val="15"/>
          <w:szCs w:val="15"/>
          <w:color w:val="auto"/>
        </w:rPr>
        <w:t>an increase of 10.2% compared with production costs of $6.8 million in the second quarter of 2014 driven primarily by an increase in tonnes of ore stacked on the heap leach pad, partially offset by a weakening of the Mexican peso relative to the US dollar and reduced fuel consumption and power requirements between periods.</w:t>
      </w:r>
    </w:p>
    <w:p>
      <w:pPr>
        <w:spacing w:after="0" w:line="123" w:lineRule="exact"/>
        <w:rPr>
          <w:sz w:val="20"/>
          <w:szCs w:val="20"/>
          <w:color w:val="auto"/>
        </w:rPr>
      </w:pPr>
    </w:p>
    <w:p>
      <w:pPr>
        <w:jc w:val="both"/>
        <w:ind w:firstLine="361"/>
        <w:spacing w:after="0" w:line="263" w:lineRule="auto"/>
        <w:rPr>
          <w:sz w:val="20"/>
          <w:szCs w:val="20"/>
          <w:color w:val="auto"/>
        </w:rPr>
      </w:pPr>
      <w:r>
        <w:rPr>
          <w:rFonts w:ascii="Arial" w:cs="Arial" w:eastAsia="Arial" w:hAnsi="Arial"/>
          <w:sz w:val="17"/>
          <w:szCs w:val="17"/>
          <w:color w:val="auto"/>
        </w:rPr>
        <w:t>Gold production increased by 30.6% to 28,054 ounces in the first six months of 2015 compared with 21,476 ounces in the first six months of 2014 at the Creston Mascota deposit at Pinos Altos, due primarily to increases in ore stacked on the heap leach pad and gold grade. Production costs at the Creston Mascota deposit at Pinos Altos were $13.1 million in the first six months of 2015, an increase of 3.8% compared with production costs of $12.6 million in the first six months of 2014 driven primarily by an increase in tonnes of ore stacked on the heap leach pad between periods, partially offset by a weakening of the Mexican peso relative to the US dollar.</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 India mine</w:t>
      </w:r>
    </w:p>
    <w:p>
      <w:pPr>
        <w:spacing w:after="0" w:line="224" w:lineRule="exact"/>
        <w:rPr>
          <w:sz w:val="20"/>
          <w:szCs w:val="20"/>
          <w:color w:val="auto"/>
        </w:rPr>
      </w:pPr>
    </w:p>
    <w:p>
      <w:pPr>
        <w:jc w:val="both"/>
        <w:ind w:firstLine="338"/>
        <w:spacing w:after="0" w:line="263" w:lineRule="auto"/>
        <w:rPr>
          <w:sz w:val="20"/>
          <w:szCs w:val="20"/>
          <w:color w:val="auto"/>
        </w:rPr>
      </w:pPr>
      <w:r>
        <w:rPr>
          <w:rFonts w:ascii="Arial" w:cs="Arial" w:eastAsia="Arial" w:hAnsi="Arial"/>
          <w:sz w:val="17"/>
          <w:szCs w:val="17"/>
          <w:color w:val="auto"/>
        </w:rPr>
        <w:t>The La India mine achieved commercial production on February 1, 2014. During the second quarter of 2015, the La India mine produced 25,803 ounces of gold, a 44.9% increase compared with 17,809 ounces of gold in the second quarter of 2014 due primarily to an increase in ore stacked on the heap leach pad, partially offset by a decrease in gold grade between periods. Production costs at the La India mine were $10.8 million in the second quarter of 2015, an increase of 53.4% compared with production costs of $7.0 million in the second quarter of 2014 driven primarily by the ramp up of ore stacked on the heap leach pad to design capacity, partially offset by a weakening of the Mexican peso relative to the US dollar.</w:t>
      </w:r>
    </w:p>
    <w:p>
      <w:pPr>
        <w:spacing w:after="0" w:line="187" w:lineRule="exact"/>
        <w:rPr>
          <w:sz w:val="20"/>
          <w:szCs w:val="20"/>
          <w:color w:val="auto"/>
        </w:rPr>
      </w:pPr>
    </w:p>
    <w:p>
      <w:pPr>
        <w:jc w:val="both"/>
        <w:ind w:firstLine="425"/>
        <w:spacing w:after="0" w:line="263" w:lineRule="auto"/>
        <w:rPr>
          <w:sz w:val="20"/>
          <w:szCs w:val="20"/>
          <w:color w:val="auto"/>
        </w:rPr>
      </w:pPr>
      <w:r>
        <w:rPr>
          <w:rFonts w:ascii="Arial" w:cs="Arial" w:eastAsia="Arial" w:hAnsi="Arial"/>
          <w:sz w:val="17"/>
          <w:szCs w:val="17"/>
          <w:color w:val="auto"/>
        </w:rPr>
        <w:t>During the first six months of 2015, the La India mine produced 52,326 ounces of gold compared with 31,509 ounces of gold in the first six months of 2014, including 3,492 ounces of gold produced prior to the achievement of commercial production on February 1, 2014. Production costs at the La India mine were $23.3 million in the first six months of 2015 compared with $12.8 million in the first six months of 2014 due primarily to the operations ramp up during the period in which commercial production was achieved. Partially offsetting the overall increase in production costs between periods was the impact of a weakening of the Mexican peso relative to the US dollar.</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228" w:lineRule="exact"/>
        <w:rPr>
          <w:sz w:val="20"/>
          <w:szCs w:val="20"/>
          <w:color w:val="auto"/>
        </w:rPr>
      </w:pPr>
    </w:p>
    <w:p>
      <w:pPr>
        <w:jc w:val="both"/>
        <w:ind w:firstLine="534"/>
        <w:spacing w:after="0" w:line="287" w:lineRule="auto"/>
        <w:rPr>
          <w:sz w:val="20"/>
          <w:szCs w:val="20"/>
          <w:color w:val="auto"/>
        </w:rPr>
      </w:pPr>
      <w:r>
        <w:rPr>
          <w:rFonts w:ascii="Arial" w:cs="Arial" w:eastAsia="Arial" w:hAnsi="Arial"/>
          <w:sz w:val="16"/>
          <w:szCs w:val="16"/>
          <w:color w:val="auto"/>
        </w:rPr>
        <w:t>As at June 30, 2015, the Company's cash and cash equivalents, short-term investments and current restricted cash totaled $183.9 million compared with $215.3 million at December 31, 2014. The Company's policy is to invest excess cash in highly liquid investments of the highest credit quality to eliminate risks associated with these investments. Such investments with remaining maturities of greater than three months at the time of purchase are classified as short-term investments. Decisions regarding the length of maturities are based on cash flow requirements, rates of return and various other factors.</w:t>
      </w:r>
    </w:p>
    <w:p>
      <w:pPr>
        <w:spacing w:after="0" w:line="16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Working capital (current assets less current liabilities) decreased to $573.8 million at June 30, 2015 compared with $575.7 million at December 31, 2014.</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Operating Activities</w:t>
      </w:r>
    </w:p>
    <w:p>
      <w:pPr>
        <w:spacing w:after="0" w:line="224" w:lineRule="exact"/>
        <w:rPr>
          <w:sz w:val="20"/>
          <w:szCs w:val="20"/>
          <w:color w:val="auto"/>
        </w:rPr>
      </w:pPr>
    </w:p>
    <w:p>
      <w:pPr>
        <w:jc w:val="both"/>
        <w:ind w:firstLine="452"/>
        <w:spacing w:after="0" w:line="287" w:lineRule="auto"/>
        <w:rPr>
          <w:sz w:val="20"/>
          <w:szCs w:val="20"/>
          <w:color w:val="auto"/>
        </w:rPr>
      </w:pPr>
      <w:r>
        <w:rPr>
          <w:rFonts w:ascii="Arial" w:cs="Arial" w:eastAsia="Arial" w:hAnsi="Arial"/>
          <w:sz w:val="16"/>
          <w:szCs w:val="16"/>
          <w:color w:val="auto"/>
        </w:rPr>
        <w:t>Cash provided by operating activities increased by $5.6 million to $188.3 million in the second quarter of 2015 compared with $182.7 million in the second quarter of 2014 due primarily to a 23.8% increase in gold production and the impact of a weaker Canadian dollar, Mexican peso and Euro relative to the US dollar on costs between periods. Partially offsetting these positive impacts on cash provided by operating activities was a 7.4% decrease in the average realized price of gold and increases in production costs and exploration and corporate development expenses between periods.</w:t>
      </w:r>
    </w:p>
    <w:p>
      <w:pPr>
        <w:spacing w:after="0" w:line="169" w:lineRule="exact"/>
        <w:rPr>
          <w:sz w:val="20"/>
          <w:szCs w:val="20"/>
          <w:color w:val="auto"/>
        </w:rPr>
      </w:pPr>
    </w:p>
    <w:p>
      <w:pPr>
        <w:jc w:val="both"/>
        <w:ind w:firstLine="375"/>
        <w:spacing w:after="0" w:line="282" w:lineRule="auto"/>
        <w:rPr>
          <w:sz w:val="20"/>
          <w:szCs w:val="20"/>
          <w:color w:val="auto"/>
        </w:rPr>
      </w:pPr>
      <w:r>
        <w:rPr>
          <w:rFonts w:ascii="Arial" w:cs="Arial" w:eastAsia="Arial" w:hAnsi="Arial"/>
          <w:sz w:val="17"/>
          <w:szCs w:val="17"/>
          <w:color w:val="auto"/>
        </w:rPr>
        <w:t>Cash provided by operating activities decreased by $101.3 million to $331.8 million in the first six months of 2015 compared with $433.1 million in the first six months of 2014 due primarily to a 7.8% decrease in the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average realized price of gold and increases in production costs and exploration and corporate development expenses between periods. Partially offsetting these negative impacts on cash provided by operating activities was a 16.7% increase in gold production and the impact of a weaker Canadian dollar, Mexican peso and Euro relative to the US dollar on costs between periods.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Investing Activities</w:t>
      </w:r>
    </w:p>
    <w:p>
      <w:pPr>
        <w:spacing w:after="0" w:line="224" w:lineRule="exact"/>
        <w:rPr>
          <w:sz w:val="20"/>
          <w:szCs w:val="20"/>
          <w:color w:val="auto"/>
        </w:rPr>
      </w:pPr>
    </w:p>
    <w:p>
      <w:pPr>
        <w:jc w:val="both"/>
        <w:ind w:firstLine="455"/>
        <w:spacing w:after="0" w:line="287" w:lineRule="auto"/>
        <w:rPr>
          <w:sz w:val="20"/>
          <w:szCs w:val="20"/>
          <w:color w:val="auto"/>
        </w:rPr>
      </w:pPr>
      <w:r>
        <w:rPr>
          <w:rFonts w:ascii="Arial" w:cs="Arial" w:eastAsia="Arial" w:hAnsi="Arial"/>
          <w:sz w:val="16"/>
          <w:szCs w:val="16"/>
          <w:color w:val="auto"/>
        </w:rPr>
        <w:t>Cash used in investing activities decreased to $104.5 million in the second quarter of 2015 compared with $488.5 million in the second quarter of 2014 due primarily to $403.5 million in net cash expenditures associated with the Company's June 16, 2014 joint acquisition of Osisko and a $3.6 million decrease in capital expenditures between periods. The decrease in capital expenditures between periods is mainly attributable to significant construction expenditures incurred in the second quarter of 2014 related to the Kittila mine's mill expansion project which was completed ahead of schedule in 2014.</w:t>
      </w:r>
    </w:p>
    <w:p>
      <w:pPr>
        <w:spacing w:after="0" w:line="169" w:lineRule="exact"/>
        <w:rPr>
          <w:sz w:val="20"/>
          <w:szCs w:val="20"/>
          <w:color w:val="auto"/>
        </w:rPr>
      </w:pPr>
    </w:p>
    <w:p>
      <w:pPr>
        <w:jc w:val="both"/>
        <w:ind w:firstLine="341"/>
        <w:spacing w:after="0" w:line="265" w:lineRule="auto"/>
        <w:rPr>
          <w:sz w:val="20"/>
          <w:szCs w:val="20"/>
          <w:color w:val="auto"/>
        </w:rPr>
      </w:pPr>
      <w:r>
        <w:rPr>
          <w:rFonts w:ascii="Arial" w:cs="Arial" w:eastAsia="Arial" w:hAnsi="Arial"/>
          <w:sz w:val="17"/>
          <w:szCs w:val="17"/>
          <w:color w:val="auto"/>
        </w:rPr>
        <w:t>In the second quarter of 2015, the Company purchased $14.2 million in available-for-sale securities and warrants compared with nil in the second quarter of 2014. In the second quarter of 2015, the Company received net proceeds of $18.6 million from the sale of available-for-sale securities and warrants compared with $39.5 million in the second quarter of 2014. The Company's investments in available-for-sale securities consist primarily of investments in common shares of entities in the mining industry.</w:t>
      </w:r>
    </w:p>
    <w:p>
      <w:pPr>
        <w:spacing w:after="0" w:line="185" w:lineRule="exact"/>
        <w:rPr>
          <w:sz w:val="20"/>
          <w:szCs w:val="20"/>
          <w:color w:val="auto"/>
        </w:rPr>
      </w:pPr>
    </w:p>
    <w:p>
      <w:pPr>
        <w:jc w:val="both"/>
        <w:ind w:firstLine="422"/>
        <w:spacing w:after="0" w:line="281" w:lineRule="auto"/>
        <w:rPr>
          <w:sz w:val="20"/>
          <w:szCs w:val="20"/>
          <w:color w:val="auto"/>
        </w:rPr>
      </w:pPr>
      <w:r>
        <w:rPr>
          <w:rFonts w:ascii="Arial" w:cs="Arial" w:eastAsia="Arial" w:hAnsi="Arial"/>
          <w:sz w:val="16"/>
          <w:szCs w:val="16"/>
          <w:color w:val="auto"/>
        </w:rPr>
        <w:t>Cash used in investing activities decreased to $158.4 million in the first six months of 2015 compared with $596.8 million in the first six months of 2014 due primarily to $403.5 million in net cash expenditures associated with the Company's June 16, 2014 joint acquisition of Osisko, a $22.2 million decrease in capital expenditures and a $16.2 million increase in net proceeds from the sale of available-for-sale securities and warrants and between periods. The decrease in capital expenditures between periods is mainly attributable to significant construction expenditures incurred in the first six months of 2014 related to the Kittila mine's mill expansion project which was completed ahead of schedule in 2014 and the La India mine which achieved commercial production in February 2014, partially offset by capital expenditures associated with the Canadian Malartic mine which was jointly acquired on June 16, 2014.</w:t>
      </w:r>
    </w:p>
    <w:p>
      <w:pPr>
        <w:spacing w:after="0" w:line="176" w:lineRule="exact"/>
        <w:rPr>
          <w:sz w:val="20"/>
          <w:szCs w:val="20"/>
          <w:color w:val="auto"/>
        </w:rPr>
      </w:pPr>
    </w:p>
    <w:p>
      <w:pPr>
        <w:jc w:val="both"/>
        <w:ind w:firstLine="416"/>
        <w:spacing w:after="0" w:line="270" w:lineRule="auto"/>
        <w:rPr>
          <w:sz w:val="20"/>
          <w:szCs w:val="20"/>
          <w:color w:val="auto"/>
        </w:rPr>
      </w:pPr>
      <w:r>
        <w:rPr>
          <w:rFonts w:ascii="Arial" w:cs="Arial" w:eastAsia="Arial" w:hAnsi="Arial"/>
          <w:sz w:val="17"/>
          <w:szCs w:val="17"/>
          <w:color w:val="auto"/>
        </w:rPr>
        <w:t>In the first six months of 2015, the Company purchased $19.4 million in available-for-sale securities and warrants compared with $13.4 million in the first six months of 2014. In the first six months of 2015, the Company received net proceeds of $56.3 million from the sale of available-for-sale securities and warrants compared with $40.1 million in the first six months of 2014.</w:t>
      </w:r>
    </w:p>
    <w:p>
      <w:pPr>
        <w:spacing w:after="0" w:line="179" w:lineRule="exact"/>
        <w:rPr>
          <w:sz w:val="20"/>
          <w:szCs w:val="20"/>
          <w:color w:val="auto"/>
        </w:rPr>
      </w:pPr>
    </w:p>
    <w:p>
      <w:pPr>
        <w:jc w:val="both"/>
        <w:ind w:firstLine="400"/>
        <w:spacing w:after="0" w:line="260" w:lineRule="auto"/>
        <w:rPr>
          <w:sz w:val="20"/>
          <w:szCs w:val="20"/>
          <w:color w:val="auto"/>
        </w:rPr>
      </w:pPr>
      <w:r>
        <w:rPr>
          <w:rFonts w:ascii="Arial" w:cs="Arial" w:eastAsia="Arial" w:hAnsi="Arial"/>
          <w:sz w:val="17"/>
          <w:szCs w:val="17"/>
          <w:color w:val="auto"/>
        </w:rPr>
        <w:t xml:space="preserve">On June 9, 2015, the Company acquired all of the issued and outstanding common shares of Soltoro Ltd. ("Soltoro"), including common shares issuable on the exercise of Soltoro's outstanding options and warrants, by way of a plan of arrangement under the </w:t>
      </w:r>
      <w:r>
        <w:rPr>
          <w:rFonts w:ascii="Arial" w:cs="Arial" w:eastAsia="Arial" w:hAnsi="Arial"/>
          <w:sz w:val="17"/>
          <w:szCs w:val="17"/>
          <w:i w:val="1"/>
          <w:iCs w:val="1"/>
          <w:color w:val="auto"/>
        </w:rPr>
        <w:t>Canada Business Corporations Act</w:t>
      </w:r>
      <w:r>
        <w:rPr>
          <w:rFonts w:ascii="Arial" w:cs="Arial" w:eastAsia="Arial" w:hAnsi="Arial"/>
          <w:sz w:val="17"/>
          <w:szCs w:val="17"/>
          <w:color w:val="auto"/>
        </w:rPr>
        <w:t xml:space="preserve"> (the "Soltoro Arrangement"). Each outstanding share of Soltoro was exchanged under the Soltoro Arrangement for: (i) C$0.01 in cash; (ii) 0.00793 of an Agnico Eagle common share; and (iii) 1 common share of Palamina Corp., a company that was newly formed in connection with the Soltoro Arrangement. Pursuant to the Soltoro Arrangement, Soltoro transferred all mining properties located outside of the state of Jalisco, Mexico to Palamina Corp., while Soltoro retained all mining properties located within the state of Jalisco, Mexico. Agnico Eagle had no interest in Palamina Corp. upon the closing of the Soltoro Arrangement. Agnico Eagle's total purchase price of $26.7 million was comprised of $2.4 million in cash, including $1.6 million in cash contributed to Palamina Corp., and 770,429 Agnico Eagle common shares issued from treasury. The Soltoro acquisition was accounted for as an asset acquisition and transaction costs associated with the acquisition totaling $1.4 million were capitalized to the mining properties acquired.</w:t>
      </w:r>
    </w:p>
    <w:p>
      <w:pPr>
        <w:spacing w:after="0" w:line="192" w:lineRule="exact"/>
        <w:rPr>
          <w:sz w:val="20"/>
          <w:szCs w:val="20"/>
          <w:color w:val="auto"/>
        </w:rPr>
      </w:pPr>
    </w:p>
    <w:p>
      <w:pPr>
        <w:jc w:val="both"/>
        <w:ind w:firstLine="439"/>
        <w:spacing w:after="0" w:line="352" w:lineRule="auto"/>
        <w:rPr>
          <w:sz w:val="20"/>
          <w:szCs w:val="20"/>
          <w:color w:val="auto"/>
        </w:rPr>
      </w:pPr>
      <w:r>
        <w:rPr>
          <w:rFonts w:ascii="Arial" w:cs="Arial" w:eastAsia="Arial" w:hAnsi="Arial"/>
          <w:sz w:val="15"/>
          <w:szCs w:val="15"/>
          <w:color w:val="auto"/>
        </w:rPr>
        <w:t>On June 11, 2015, the Company acquired 55.0% of the issued and outstanding common shares of Gunnarn Mining AB ("Gunnarn") from Orex Minerals Inc. ("Orex"), by way of a share purchase agreement and joint venture agreement (the "Gunnarn Agreements"). Agnico Eagle's total purchase price of $13.1 million was</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61" w:lineRule="auto"/>
        <w:rPr>
          <w:sz w:val="20"/>
          <w:szCs w:val="20"/>
          <w:color w:val="auto"/>
        </w:rPr>
      </w:pPr>
      <w:r>
        <w:rPr>
          <w:rFonts w:ascii="Arial" w:cs="Arial" w:eastAsia="Arial" w:hAnsi="Arial"/>
          <w:sz w:val="17"/>
          <w:szCs w:val="17"/>
          <w:color w:val="auto"/>
        </w:rPr>
        <w:t>comprised of $6.0 million in cash and $7.1 million in accrued consideration. Pursuant to the Gunnarn Agreements, the $7.1 million in accrued consideration includes two $2.0 million payments to be made by the Company to Orex in cash or Agnico Eagle common shares at Agnico Eagle's sole discretion on June 11, 2016 and June 11, 2017, respectively. Agnico Eagle has also committed to $7.0 million in exploration expenditures associated with the Barsele project by June 11, 2018 and may earn an additional 15.0% interest in Gunnarn if the Company completes a pre-feasibility study related to the Barsele project. Under the Gunnarn Agreements, Agnico Eagle will hold a majority of the seats on the board of directors of Gunnarn and will be the sole operator of the Barsele project in exchange for customary management fees. The Gunnarn acquisition was accounted for as an asset acquisition and transaction costs associated with the acquisition totaling $0.6 million were capitalized to the mining properties acquired.</w:t>
      </w:r>
    </w:p>
    <w:p>
      <w:pPr>
        <w:spacing w:after="0" w:line="190" w:lineRule="exact"/>
        <w:rPr>
          <w:sz w:val="20"/>
          <w:szCs w:val="20"/>
          <w:color w:val="auto"/>
        </w:rPr>
      </w:pPr>
    </w:p>
    <w:p>
      <w:pPr>
        <w:jc w:val="both"/>
        <w:ind w:firstLine="344"/>
        <w:spacing w:after="0" w:line="270" w:lineRule="auto"/>
        <w:rPr>
          <w:sz w:val="20"/>
          <w:szCs w:val="20"/>
          <w:color w:val="auto"/>
        </w:rPr>
      </w:pPr>
      <w:r>
        <w:rPr>
          <w:rFonts w:ascii="Arial" w:cs="Arial" w:eastAsia="Arial" w:hAnsi="Arial"/>
          <w:sz w:val="17"/>
          <w:szCs w:val="17"/>
          <w:color w:val="auto"/>
        </w:rPr>
        <w:t>On May 21, 2015, the Company subscribed for 62,500,000 common shares of Belo Sun Mining Corp. ("Belo Sun") in a non-brokered private placement at a price of C$0.24 per Belo Sun common share, for total cash consideration of C$15.0 million. After closing the transaction, the Company holds approximately 17.4% of the issued and outstanding common shares of Belo Sun.</w:t>
      </w:r>
    </w:p>
    <w:p>
      <w:pPr>
        <w:spacing w:after="0" w:line="179" w:lineRule="exact"/>
        <w:rPr>
          <w:sz w:val="20"/>
          <w:szCs w:val="20"/>
          <w:color w:val="auto"/>
        </w:rPr>
      </w:pPr>
    </w:p>
    <w:p>
      <w:pPr>
        <w:jc w:val="both"/>
        <w:ind w:firstLine="381"/>
        <w:spacing w:after="0" w:line="262" w:lineRule="auto"/>
        <w:rPr>
          <w:sz w:val="20"/>
          <w:szCs w:val="20"/>
          <w:color w:val="auto"/>
        </w:rPr>
      </w:pPr>
      <w:r>
        <w:rPr>
          <w:rFonts w:ascii="Arial" w:cs="Arial" w:eastAsia="Arial" w:hAnsi="Arial"/>
          <w:sz w:val="17"/>
          <w:szCs w:val="17"/>
          <w:color w:val="auto"/>
        </w:rPr>
        <w:t>On June 16, 2014, Agnico Eagle and Yamana jointly acquired 100.0% of Osisko by way of the Arrangement. As a result of the Arrangement, Agnico Eagle and Yamana each indirectly own 50.0% of Osisko and Canadian Malartic GP, which now holds the Canadian Malartic mine. Agnico Eagle and Yamana will also jointly explore other properties that were held by Osisko (now Canadian Malartic Corporation) at the time of acquisition. Agnico Eagle has recognized its interest in the assets, liabilities, revenues and expenses of Osisko in accordance with the Company's rights and obligations prescribed by the Arrangement under IFRS. Agnico Eagle's share of Osisko's June 16, 2014 purchase price was comprised of cash payments totaling $462.7 million and 33,923,212 Agnico Eagle common shares valued at $1,135.1 million.</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Financing Activities</w:t>
      </w:r>
    </w:p>
    <w:p>
      <w:pPr>
        <w:spacing w:after="0" w:line="224" w:lineRule="exact"/>
        <w:rPr>
          <w:sz w:val="20"/>
          <w:szCs w:val="20"/>
          <w:color w:val="auto"/>
        </w:rPr>
      </w:pPr>
    </w:p>
    <w:p>
      <w:pPr>
        <w:jc w:val="both"/>
        <w:ind w:firstLine="439"/>
        <w:spacing w:after="0" w:line="270" w:lineRule="auto"/>
        <w:rPr>
          <w:sz w:val="20"/>
          <w:szCs w:val="20"/>
          <w:color w:val="auto"/>
        </w:rPr>
      </w:pPr>
      <w:r>
        <w:rPr>
          <w:rFonts w:ascii="Arial" w:cs="Arial" w:eastAsia="Arial" w:hAnsi="Arial"/>
          <w:sz w:val="17"/>
          <w:szCs w:val="17"/>
          <w:color w:val="auto"/>
        </w:rPr>
        <w:t>Cash used in financing activities of $64.5 million in the second quarter of 2015 compared with cash provided by financing activities of $382.0 million in the second quarter of 2014 due primarily to a swing from $386.1 million in net proceeds from long-term debt in the second quarter of 2014 to a $51.1 million net repayment of long-term debt in the second quarter of 2015.</w:t>
      </w:r>
    </w:p>
    <w:p>
      <w:pPr>
        <w:spacing w:after="0" w:line="179" w:lineRule="exact"/>
        <w:rPr>
          <w:sz w:val="20"/>
          <w:szCs w:val="20"/>
          <w:color w:val="auto"/>
        </w:rPr>
      </w:pPr>
    </w:p>
    <w:p>
      <w:pPr>
        <w:jc w:val="both"/>
        <w:ind w:firstLine="403"/>
        <w:spacing w:after="0" w:line="270" w:lineRule="auto"/>
        <w:rPr>
          <w:sz w:val="20"/>
          <w:szCs w:val="20"/>
          <w:color w:val="auto"/>
        </w:rPr>
      </w:pPr>
      <w:r>
        <w:rPr>
          <w:rFonts w:ascii="Arial" w:cs="Arial" w:eastAsia="Arial" w:hAnsi="Arial"/>
          <w:sz w:val="17"/>
          <w:szCs w:val="17"/>
          <w:color w:val="auto"/>
        </w:rPr>
        <w:t>Cash used in financing activities of $187.7 million in the first six months of 2015 compared with cash provided by financing activities of $283.9 million in the first six months of 2014 due primarily to a swing from $306.1 million in net proceeds from long-term debt in the first six months of 2014 to a $151.1 million net repayment of long-term debt in the first six months of 2015.</w:t>
      </w:r>
    </w:p>
    <w:p>
      <w:pPr>
        <w:spacing w:after="0" w:line="179" w:lineRule="exact"/>
        <w:rPr>
          <w:sz w:val="20"/>
          <w:szCs w:val="20"/>
          <w:color w:val="auto"/>
        </w:rPr>
      </w:pPr>
    </w:p>
    <w:p>
      <w:pPr>
        <w:jc w:val="both"/>
        <w:ind w:firstLine="353"/>
        <w:spacing w:after="0" w:line="263" w:lineRule="auto"/>
        <w:rPr>
          <w:sz w:val="20"/>
          <w:szCs w:val="20"/>
          <w:color w:val="auto"/>
        </w:rPr>
      </w:pPr>
      <w:r>
        <w:rPr>
          <w:rFonts w:ascii="Arial" w:cs="Arial" w:eastAsia="Arial" w:hAnsi="Arial"/>
          <w:sz w:val="17"/>
          <w:szCs w:val="17"/>
          <w:color w:val="auto"/>
        </w:rPr>
        <w:t>On April 30, 2015, Agnico Eagle declared a quarterly cash dividend of $0.08 per common share paid on June 15, 2015 to holders of record of the common shares of the Company on June 1, 2015. Agnico Eagle has declared a cash dividend every year since 1983. In the second quarter of 2015, the Company paid dividends of $14.4 million compared with $12.9 million in the second quarter of 2014. In the first six months of 2015, the Company paid dividends of $29.2 million compared with $24.9 million in the first six months of 2014. Although the Company expects to continue paying dividends, future dividends will be at the discretion of the Board and will be subject to factors such as income, financial condition and capital requirements.</w:t>
      </w:r>
    </w:p>
    <w:p>
      <w:pPr>
        <w:spacing w:after="0" w:line="187" w:lineRule="exact"/>
        <w:rPr>
          <w:sz w:val="20"/>
          <w:szCs w:val="20"/>
          <w:color w:val="auto"/>
        </w:rPr>
      </w:pPr>
    </w:p>
    <w:p>
      <w:pPr>
        <w:jc w:val="both"/>
        <w:ind w:firstLine="344"/>
        <w:spacing w:after="0" w:line="270" w:lineRule="auto"/>
        <w:rPr>
          <w:sz w:val="20"/>
          <w:szCs w:val="20"/>
          <w:color w:val="auto"/>
        </w:rPr>
      </w:pPr>
      <w:r>
        <w:rPr>
          <w:rFonts w:ascii="Arial" w:cs="Arial" w:eastAsia="Arial" w:hAnsi="Arial"/>
          <w:sz w:val="17"/>
          <w:szCs w:val="17"/>
          <w:color w:val="auto"/>
        </w:rPr>
        <w:t>On July 24, 2012, the Company closed a private placement consisting of $200.0 million of guaranteed senior unsecured notes (the "2012 Notes"). The 2012 Notes mature in 2022 and 2024 and at issuance had a weighted average maturity of 11.0 years and weighted average yield of 4.95%. Proceeds from the 2012 Notes were used to repay amounts outstanding under the Credit Facility.</w:t>
      </w:r>
    </w:p>
    <w:p>
      <w:pPr>
        <w:spacing w:after="0" w:line="179" w:lineRule="exact"/>
        <w:rPr>
          <w:sz w:val="20"/>
          <w:szCs w:val="20"/>
          <w:color w:val="auto"/>
        </w:rPr>
      </w:pPr>
    </w:p>
    <w:p>
      <w:pPr>
        <w:jc w:val="both"/>
        <w:ind w:firstLine="384"/>
        <w:spacing w:after="0" w:line="315" w:lineRule="auto"/>
        <w:rPr>
          <w:sz w:val="20"/>
          <w:szCs w:val="20"/>
          <w:color w:val="auto"/>
        </w:rPr>
      </w:pPr>
      <w:r>
        <w:rPr>
          <w:rFonts w:ascii="Arial" w:cs="Arial" w:eastAsia="Arial" w:hAnsi="Arial"/>
          <w:sz w:val="16"/>
          <w:szCs w:val="16"/>
          <w:color w:val="auto"/>
        </w:rPr>
        <w:t>On September 5, 2014, the Company amended and restated its $1.2 billion Credit Facility, extending the maturity date from June 22, 2017 to June 22, 2019 and amending pricing terms. As at June 30, 2015, the Company's outstanding balance under the Credit Facility was $375.0 million. Credit Facility availability is</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7" w:name="page18"/>
    <w:bookmarkEnd w:id="1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82" w:lineRule="auto"/>
        <w:rPr>
          <w:sz w:val="20"/>
          <w:szCs w:val="20"/>
          <w:color w:val="auto"/>
        </w:rPr>
      </w:pPr>
      <w:r>
        <w:rPr>
          <w:rFonts w:ascii="Arial" w:cs="Arial" w:eastAsia="Arial" w:hAnsi="Arial"/>
          <w:sz w:val="17"/>
          <w:szCs w:val="17"/>
          <w:color w:val="auto"/>
        </w:rPr>
        <w:t>reduced by outstanding letters of credit, amounting to $1.0 million at June 30, 2015. As at June 30, 2015, $824.0 million was available for future drawdown under the Credit Facility.</w:t>
      </w:r>
    </w:p>
    <w:p>
      <w:pPr>
        <w:spacing w:after="0" w:line="170" w:lineRule="exact"/>
        <w:rPr>
          <w:sz w:val="20"/>
          <w:szCs w:val="20"/>
          <w:color w:val="auto"/>
        </w:rPr>
      </w:pPr>
    </w:p>
    <w:p>
      <w:pPr>
        <w:jc w:val="both"/>
        <w:ind w:firstLine="400"/>
        <w:spacing w:after="0" w:line="306" w:lineRule="auto"/>
        <w:rPr>
          <w:sz w:val="20"/>
          <w:szCs w:val="20"/>
          <w:color w:val="auto"/>
        </w:rPr>
      </w:pPr>
      <w:r>
        <w:rPr>
          <w:rFonts w:ascii="Arial" w:cs="Arial" w:eastAsia="Arial" w:hAnsi="Arial"/>
          <w:sz w:val="15"/>
          <w:szCs w:val="15"/>
          <w:color w:val="auto"/>
        </w:rPr>
        <w:t>On November 5, 2013, the Company amended its credit agreement with a financial institution relating to its uncommitted letter of credit facility (the "Letter of Credit Facility"). The amount available under the Letter of Credit Facility increased from C$150.0 million to C$175.0 million. The obligations of the Company under the Letter of Credit Facility are guaranteed by certain of its subsidiaries. The Letter of Credit Facility may be used to support the reclamation obligations or non-financial or performance obligations of the Company or its subsidiaries. As at June 30, 2015, $147.7 million had been drawn under the Letter of Credit Facility. On August 22, 2014, the financial institution and the Company agreed that the Company may draw up to C$185.0 million under the Letter of Credit Facility.</w:t>
      </w:r>
    </w:p>
    <w:p>
      <w:pPr>
        <w:spacing w:after="0" w:line="159" w:lineRule="exact"/>
        <w:rPr>
          <w:sz w:val="20"/>
          <w:szCs w:val="20"/>
          <w:color w:val="auto"/>
        </w:rPr>
      </w:pPr>
    </w:p>
    <w:p>
      <w:pPr>
        <w:jc w:val="both"/>
        <w:ind w:firstLine="485"/>
        <w:spacing w:after="0" w:line="270" w:lineRule="auto"/>
        <w:rPr>
          <w:sz w:val="20"/>
          <w:szCs w:val="20"/>
          <w:color w:val="auto"/>
        </w:rPr>
      </w:pPr>
      <w:r>
        <w:rPr>
          <w:rFonts w:ascii="Arial" w:cs="Arial" w:eastAsia="Arial" w:hAnsi="Arial"/>
          <w:sz w:val="17"/>
          <w:szCs w:val="17"/>
          <w:color w:val="auto"/>
        </w:rPr>
        <w:t>On April 7, 2010, the Company closed a private placement consisting of $600.0 million of guaranteed senior unsecured notes due in 2017, 2020 and 2022 (the "2010 Notes") with a weighted average maturity of 9.84 years and weighted average yield of 6.59%. Proceeds from the offering of the 2010 Notes were used to repay amounts under the Company's then outstanding credit facilities.</w:t>
      </w:r>
    </w:p>
    <w:p>
      <w:pPr>
        <w:spacing w:after="0" w:line="179" w:lineRule="exact"/>
        <w:rPr>
          <w:sz w:val="20"/>
          <w:szCs w:val="20"/>
          <w:color w:val="auto"/>
        </w:rPr>
      </w:pPr>
    </w:p>
    <w:p>
      <w:pPr>
        <w:jc w:val="both"/>
        <w:ind w:firstLine="384"/>
        <w:spacing w:after="0" w:line="352" w:lineRule="auto"/>
        <w:rPr>
          <w:sz w:val="20"/>
          <w:szCs w:val="20"/>
          <w:color w:val="auto"/>
        </w:rPr>
      </w:pPr>
      <w:r>
        <w:rPr>
          <w:rFonts w:ascii="Arial" w:cs="Arial" w:eastAsia="Arial" w:hAnsi="Arial"/>
          <w:sz w:val="15"/>
          <w:szCs w:val="15"/>
          <w:color w:val="auto"/>
        </w:rPr>
        <w:t>In connection with its joint acquisition of Osisko on June 16, 2014, Canadian Malartic GP was assigned and assumed certain outstanding debt and finance lease obligations of Osisko relating to the Canadian Malartic mine. Agnico Eagle's indirect attributable interest in such debt and finance lease obligations is as follows:</w:t>
      </w:r>
    </w:p>
    <w:p>
      <w:pPr>
        <w:spacing w:after="0" w:line="136" w:lineRule="exact"/>
        <w:rPr>
          <w:sz w:val="20"/>
          <w:szCs w:val="20"/>
          <w:color w:val="auto"/>
        </w:rPr>
      </w:pPr>
    </w:p>
    <w:p>
      <w:pPr>
        <w:jc w:val="both"/>
        <w:ind w:left="1060" w:hanging="531"/>
        <w:spacing w:after="0" w:line="263" w:lineRule="auto"/>
        <w:tabs>
          <w:tab w:leader="none" w:pos="1060" w:val="left"/>
        </w:tabs>
        <w:numPr>
          <w:ilvl w:val="0"/>
          <w:numId w:val="1"/>
        </w:numPr>
        <w:rPr>
          <w:rFonts w:ascii="Arial" w:cs="Arial" w:eastAsia="Arial" w:hAnsi="Arial"/>
          <w:sz w:val="17"/>
          <w:szCs w:val="17"/>
          <w:color w:val="auto"/>
        </w:rPr>
      </w:pPr>
      <w:r>
        <w:rPr>
          <w:rFonts w:ascii="Arial" w:cs="Arial" w:eastAsia="Arial" w:hAnsi="Arial"/>
          <w:sz w:val="17"/>
          <w:szCs w:val="17"/>
          <w:color w:val="auto"/>
        </w:rPr>
        <w:t>A secured loan facility in the principal amount of C$75.0 million ($69.1 million) with scheduled C$20.0 million repayments on June 30, 2015, June 30, 2016 and June 30, 2017 and a 6.875% interest rate. A scheduled repayment of C$15.0 million ($14.1 million) was made subsequent to the June 16, 2014 acquisition date and the scheduled C$20.0 million ($16.0 million) repayment was made on June 30, 2015, resulting in attributable outstanding principal of $32.1 million as at June 30, 2015. On September 29, 2014, Canadian Malartic GP amended the acquired secured loan facility (the "CMGP Loan") with no change to maturity or pricing terms.</w:t>
      </w:r>
    </w:p>
    <w:p>
      <w:pPr>
        <w:spacing w:after="0" w:line="213" w:lineRule="exact"/>
        <w:rPr>
          <w:rFonts w:ascii="Arial" w:cs="Arial" w:eastAsia="Arial" w:hAnsi="Arial"/>
          <w:sz w:val="17"/>
          <w:szCs w:val="17"/>
          <w:color w:val="auto"/>
        </w:rPr>
      </w:pPr>
    </w:p>
    <w:p>
      <w:pPr>
        <w:jc w:val="both"/>
        <w:ind w:left="1060" w:hanging="531"/>
        <w:spacing w:after="0" w:line="277" w:lineRule="auto"/>
        <w:tabs>
          <w:tab w:leader="none" w:pos="1060" w:val="left"/>
        </w:tabs>
        <w:numPr>
          <w:ilvl w:val="0"/>
          <w:numId w:val="1"/>
        </w:numPr>
        <w:rPr>
          <w:rFonts w:ascii="Arial" w:cs="Arial" w:eastAsia="Arial" w:hAnsi="Arial"/>
          <w:sz w:val="16"/>
          <w:szCs w:val="16"/>
          <w:color w:val="auto"/>
        </w:rPr>
      </w:pPr>
      <w:r>
        <w:rPr>
          <w:rFonts w:ascii="Arial" w:cs="Arial" w:eastAsia="Arial" w:hAnsi="Arial"/>
          <w:sz w:val="16"/>
          <w:szCs w:val="16"/>
          <w:color w:val="auto"/>
        </w:rPr>
        <w:t>Senior unsecured convertible debentures (the "Convertible Debentures") with principal outstanding of C$37.5 million ($34.6 million), a November 2017 maturity date and a 6.875% interest rate. As at the June 16, 2014 acquisition date, the Convertible Debentures had an attributable fair value of $44.9 million. On June 30, 2015, the negotiated early settlement of all of the Convertible Debentures was completed. As a result of this settlement, 871,680 Agnico Eagle common shares with a fair value of $24.8 million were released from a depositary to the holders of the Convertible Debentures along with a cash payment of $10.1 million to settle the Company's obligation. In the three months ended June 30, 2015 a $2.0 million mark-to-market gain was recorded in the other expenses line item of the condensed interim consolidated statements of income and comprehensive income related to the Convertible Debentures, while a $2.4 million mark-to-market loss was recorded in the six months ended June 30, 2015. In the three and six months ended June 30, 2014, a $4.2 million mark-to-market loss was recorded related to the Convertible Debentures. Additional cash consideration of $3.2 million was paid to the holders of the Convertible Debentures upon settlement and was recorded in the other expenses line item of the condensed interim consolidated statements of income and comprehensive income. As at June 30, 2015, the Convertible Debentures had principal outstanding of nil.</w:t>
      </w:r>
    </w:p>
    <w:p>
      <w:pPr>
        <w:spacing w:after="0" w:line="194" w:lineRule="exact"/>
        <w:rPr>
          <w:rFonts w:ascii="Arial" w:cs="Arial" w:eastAsia="Arial" w:hAnsi="Arial"/>
          <w:sz w:val="16"/>
          <w:szCs w:val="16"/>
          <w:color w:val="auto"/>
        </w:rPr>
      </w:pPr>
    </w:p>
    <w:p>
      <w:pPr>
        <w:ind w:left="1060" w:hanging="531"/>
        <w:spacing w:after="0" w:line="282" w:lineRule="auto"/>
        <w:tabs>
          <w:tab w:leader="none" w:pos="1060" w:val="left"/>
        </w:tabs>
        <w:numPr>
          <w:ilvl w:val="0"/>
          <w:numId w:val="1"/>
        </w:numPr>
        <w:rPr>
          <w:rFonts w:ascii="Arial" w:cs="Arial" w:eastAsia="Arial" w:hAnsi="Arial"/>
          <w:sz w:val="17"/>
          <w:szCs w:val="17"/>
          <w:color w:val="auto"/>
        </w:rPr>
      </w:pPr>
      <w:r>
        <w:rPr>
          <w:rFonts w:ascii="Arial" w:cs="Arial" w:eastAsia="Arial" w:hAnsi="Arial"/>
          <w:sz w:val="17"/>
          <w:szCs w:val="17"/>
          <w:color w:val="auto"/>
        </w:rPr>
        <w:t>A loan with principal outstanding of C$2.1 million ($2.0 million) with monthly repayments scheduled through the first quarter of 2015 and a 0.0% interest rate. As at June 30, 2015, the Company's attributable loan principal outstanding amounted to nil.</w:t>
      </w:r>
    </w:p>
    <w:p>
      <w:pPr>
        <w:spacing w:after="0" w:line="182"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
        </w:numPr>
        <w:rPr>
          <w:rFonts w:ascii="Arial" w:cs="Arial" w:eastAsia="Arial" w:hAnsi="Arial"/>
          <w:sz w:val="17"/>
          <w:szCs w:val="17"/>
          <w:color w:val="auto"/>
        </w:rPr>
      </w:pPr>
      <w:r>
        <w:rPr>
          <w:rFonts w:ascii="Arial" w:cs="Arial" w:eastAsia="Arial" w:hAnsi="Arial"/>
          <w:sz w:val="17"/>
          <w:szCs w:val="17"/>
          <w:color w:val="auto"/>
        </w:rPr>
        <w:t>Secured finance lease obligations of C$38.3 million ($35.3 million) provided in separate tranches with maturities ranging between 2015 and 2019 and a 7.5% interest rate. As at June 30, 2015, the Company's attributable finance lease obligations amounted to $22.5 million.</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8" w:name="page19"/>
    <w:bookmarkEnd w:id="1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ind w:firstLine="366"/>
        <w:spacing w:after="0" w:line="282" w:lineRule="auto"/>
        <w:rPr>
          <w:sz w:val="20"/>
          <w:szCs w:val="20"/>
          <w:color w:val="auto"/>
        </w:rPr>
      </w:pPr>
      <w:r>
        <w:rPr>
          <w:rFonts w:ascii="Arial" w:cs="Arial" w:eastAsia="Arial" w:hAnsi="Arial"/>
          <w:sz w:val="17"/>
          <w:szCs w:val="17"/>
          <w:color w:val="auto"/>
        </w:rPr>
        <w:t>The Company was in compliance with all covenants contained in the Credit Facility, 2012 Notes and 2010 Notes as at June 30, 2015. Canadian Malartic GP was in compliance with all CMGP Loan covenants as at June 30, 2015.</w:t>
      </w:r>
    </w:p>
    <w:p>
      <w:pPr>
        <w:spacing w:after="0" w:line="170" w:lineRule="exact"/>
        <w:rPr>
          <w:sz w:val="20"/>
          <w:szCs w:val="20"/>
          <w:color w:val="auto"/>
        </w:rPr>
      </w:pPr>
    </w:p>
    <w:p>
      <w:pPr>
        <w:jc w:val="both"/>
        <w:ind w:firstLine="347"/>
        <w:spacing w:after="0" w:line="294" w:lineRule="auto"/>
        <w:rPr>
          <w:sz w:val="20"/>
          <w:szCs w:val="20"/>
          <w:color w:val="auto"/>
        </w:rPr>
      </w:pPr>
      <w:r>
        <w:rPr>
          <w:rFonts w:ascii="Arial" w:cs="Arial" w:eastAsia="Arial" w:hAnsi="Arial"/>
          <w:sz w:val="16"/>
          <w:szCs w:val="16"/>
          <w:color w:val="auto"/>
        </w:rPr>
        <w:t>The Company issued common shares for gross proceeds of $7.3 million in the second quarter of 2015 and $11.3 million in the second quarter of 2014 attributable to employee stock option plan exercises, issuances under the incentive share purchase plan and the dividend re-investment plan. Gross proceeds from the issuance of common shares amounted to $17.9 million in the first six months of 2015 and $15.9 million in the first six months of 2014.</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 Profile</w:t>
      </w:r>
    </w:p>
    <w:p>
      <w:pPr>
        <w:spacing w:after="0" w:line="228" w:lineRule="exact"/>
        <w:rPr>
          <w:sz w:val="20"/>
          <w:szCs w:val="20"/>
          <w:color w:val="auto"/>
        </w:rPr>
      </w:pPr>
    </w:p>
    <w:p>
      <w:pPr>
        <w:jc w:val="both"/>
        <w:ind w:firstLine="420"/>
        <w:spacing w:after="0" w:line="283" w:lineRule="auto"/>
        <w:rPr>
          <w:sz w:val="20"/>
          <w:szCs w:val="20"/>
          <w:color w:val="auto"/>
        </w:rPr>
      </w:pPr>
      <w:r>
        <w:rPr>
          <w:rFonts w:ascii="Arial" w:cs="Arial" w:eastAsia="Arial" w:hAnsi="Arial"/>
          <w:sz w:val="16"/>
          <w:szCs w:val="16"/>
          <w:color w:val="auto"/>
        </w:rPr>
        <w:t>Volatility remains high in global financial markets and weakness in the global economy continues to have an impact on the profitability and liquidity of many businesses. Although there are signs of stabilization, the timing of a return to historical market conditions is uncertain. Weak economic conditions and volatile financial markets have a potential significant impact on Agnico Eagle's cost and availability of financing and overall liquidity. The volatility in gold, silver, zinc and copper prices directly affects Agnico Eagle's revenues, earnings and cash flow. Volatile energy, commodity and consumables prices and currency exchange rates impact production costs. The volatility of global stock markets impacts the valuation of the Company's equity investments.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International Financial Reporting Standards</w:t>
      </w:r>
    </w:p>
    <w:p>
      <w:pPr>
        <w:spacing w:after="0" w:line="228" w:lineRule="exact"/>
        <w:rPr>
          <w:sz w:val="20"/>
          <w:szCs w:val="20"/>
          <w:color w:val="auto"/>
        </w:rPr>
      </w:pPr>
    </w:p>
    <w:p>
      <w:pPr>
        <w:jc w:val="both"/>
        <w:ind w:firstLine="565"/>
        <w:spacing w:after="0" w:line="270" w:lineRule="auto"/>
        <w:rPr>
          <w:sz w:val="20"/>
          <w:szCs w:val="20"/>
          <w:color w:val="auto"/>
        </w:rPr>
      </w:pPr>
      <w:r>
        <w:rPr>
          <w:rFonts w:ascii="Arial" w:cs="Arial" w:eastAsia="Arial" w:hAnsi="Arial"/>
          <w:sz w:val="17"/>
          <w:szCs w:val="17"/>
          <w:color w:val="auto"/>
        </w:rPr>
        <w:t>The Company has adopted IFRS as its basis of accounting, replacing US GAAP effective July 1, 2014. As a result, Agnico Eagle's condensed interim consolidated financial statements for the second quarter of 2015 are reported in accordance with IFRS, with comparative information restated under IFRS and a transition date of January 1, 2013.</w:t>
      </w:r>
    </w:p>
    <w:p>
      <w:pPr>
        <w:spacing w:after="0" w:line="179" w:lineRule="exact"/>
        <w:rPr>
          <w:sz w:val="20"/>
          <w:szCs w:val="20"/>
          <w:color w:val="auto"/>
        </w:rPr>
      </w:pPr>
    </w:p>
    <w:p>
      <w:pPr>
        <w:jc w:val="both"/>
        <w:ind w:firstLine="471"/>
        <w:spacing w:after="0" w:line="265" w:lineRule="auto"/>
        <w:rPr>
          <w:sz w:val="20"/>
          <w:szCs w:val="20"/>
          <w:color w:val="auto"/>
        </w:rPr>
      </w:pPr>
      <w:r>
        <w:rPr>
          <w:rFonts w:ascii="Arial" w:cs="Arial" w:eastAsia="Arial" w:hAnsi="Arial"/>
          <w:sz w:val="17"/>
          <w:szCs w:val="17"/>
          <w:color w:val="auto"/>
        </w:rPr>
        <w:t>Generally Accepted Accounting Principles ("GAAP") for Canadian publicly accountable enterprises became IFRS as issued by the International Accounting Standards Board in 2011 and the US Securities and Exchange Commission ("SEC") in the United States accepts financial statements prepared in accordance with IFRS without reconciliation to US GAAP from foreign private issuers. Accordingly, Agnico Eagle decided to convert its basis of accounting to IFRS to enhance the comparability of its financial statements to the Company's peers in the mining industry.</w:t>
      </w:r>
    </w:p>
    <w:p>
      <w:pPr>
        <w:spacing w:after="0" w:line="185" w:lineRule="exact"/>
        <w:rPr>
          <w:sz w:val="20"/>
          <w:szCs w:val="20"/>
          <w:color w:val="auto"/>
        </w:rPr>
      </w:pPr>
    </w:p>
    <w:p>
      <w:pPr>
        <w:jc w:val="both"/>
        <w:ind w:firstLine="628"/>
        <w:spacing w:after="0" w:line="282" w:lineRule="auto"/>
        <w:rPr>
          <w:sz w:val="20"/>
          <w:szCs w:val="20"/>
          <w:color w:val="auto"/>
        </w:rPr>
      </w:pPr>
      <w:r>
        <w:rPr>
          <w:rFonts w:ascii="Arial" w:cs="Arial" w:eastAsia="Arial" w:hAnsi="Arial"/>
          <w:sz w:val="17"/>
          <w:szCs w:val="17"/>
          <w:color w:val="auto"/>
        </w:rPr>
        <w:t>Agnico Eagle developed and executed a detailed IFRS conversion plan including an assessment phase, an impact analysis and design phase and an implementation phase, culminating in the Company's initial reporting in accordance with IFRS in the third quarter of 2014.</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Disclosure Controls and Procedures and Internal Controls over Financial Reporting</w:t>
      </w:r>
    </w:p>
    <w:p>
      <w:pPr>
        <w:spacing w:after="0" w:line="228" w:lineRule="exact"/>
        <w:rPr>
          <w:sz w:val="20"/>
          <w:szCs w:val="20"/>
          <w:color w:val="auto"/>
        </w:rPr>
      </w:pPr>
    </w:p>
    <w:p>
      <w:pPr>
        <w:jc w:val="both"/>
        <w:ind w:firstLine="358"/>
        <w:spacing w:after="0" w:line="322" w:lineRule="auto"/>
        <w:rPr>
          <w:sz w:val="20"/>
          <w:szCs w:val="20"/>
          <w:color w:val="auto"/>
        </w:rPr>
      </w:pPr>
      <w:r>
        <w:rPr>
          <w:rFonts w:ascii="Arial" w:cs="Arial" w:eastAsia="Arial" w:hAnsi="Arial"/>
          <w:sz w:val="15"/>
          <w:szCs w:val="15"/>
          <w:color w:val="auto"/>
        </w:rPr>
        <w:t>Pursuant to regulations adopted by the SEC under the Sarbanes-Oxley Act of 2002 and those of the CSA, the Company's management evaluates the effectiveness of the design and operation of the Company's disclosure controls as well as its procedures and internal controls over financial reporting. This evaluation is completed under the supervision of, and with the participation of, the Company's Chief Executive Officer ("CEO") and Chief Financial Officer ("CFO").</w:t>
      </w:r>
    </w:p>
    <w:p>
      <w:pPr>
        <w:spacing w:after="0" w:line="145" w:lineRule="exact"/>
        <w:rPr>
          <w:sz w:val="20"/>
          <w:szCs w:val="20"/>
          <w:color w:val="auto"/>
        </w:rPr>
      </w:pPr>
    </w:p>
    <w:p>
      <w:pPr>
        <w:jc w:val="both"/>
        <w:ind w:firstLine="511"/>
        <w:spacing w:after="0" w:line="263" w:lineRule="auto"/>
        <w:rPr>
          <w:sz w:val="20"/>
          <w:szCs w:val="20"/>
          <w:color w:val="auto"/>
        </w:rPr>
      </w:pPr>
      <w:r>
        <w:rPr>
          <w:rFonts w:ascii="Arial" w:cs="Arial" w:eastAsia="Arial" w:hAnsi="Arial"/>
          <w:sz w:val="17"/>
          <w:szCs w:val="17"/>
          <w:color w:val="auto"/>
        </w:rPr>
        <w:t>Management of the Company, with the participation of the CEO and CFO, is responsible for establishing and maintaining adequate internal controls over financial reporting. The Company's internal controls over financial reporting are designed to provide reasonable assurance regarding the reliability of financial reporting and preparation of consolidated financial statements for external purposes in accordance with generally accepted accounting principles. There have been no significant changes in the Company's internal control over financial reporting in the second quarter of 2015 that have materially affected, or are reasonably likely to materially affect, the reliability of financial reporting.</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9" w:name="page20"/>
    <w:bookmarkEnd w:id="1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ind w:firstLine="446"/>
        <w:spacing w:after="0" w:line="270" w:lineRule="auto"/>
        <w:rPr>
          <w:sz w:val="20"/>
          <w:szCs w:val="20"/>
          <w:color w:val="auto"/>
        </w:rPr>
      </w:pPr>
      <w:r>
        <w:rPr>
          <w:rFonts w:ascii="Arial" w:cs="Arial" w:eastAsia="Arial" w:hAnsi="Arial"/>
          <w:sz w:val="17"/>
          <w:szCs w:val="17"/>
          <w:color w:val="auto"/>
        </w:rPr>
        <w:t>The Company's management, including the CEO and CFO, recognizes there are inherent limitations in any system of disclosure controls and procedures and internal controls over financial reporting, no matter how well designed. Therefore, even those systems that are considered to be effective can provide only reasonable assurance that the objectives of the control system are met.</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Non-GAAP Financial Performance Measures</w:t>
      </w:r>
    </w:p>
    <w:p>
      <w:pPr>
        <w:spacing w:after="0" w:line="228" w:lineRule="exact"/>
        <w:rPr>
          <w:sz w:val="20"/>
          <w:szCs w:val="20"/>
          <w:color w:val="auto"/>
        </w:rPr>
      </w:pPr>
    </w:p>
    <w:p>
      <w:pPr>
        <w:jc w:val="both"/>
        <w:ind w:firstLine="446"/>
        <w:spacing w:after="0" w:line="322" w:lineRule="auto"/>
        <w:rPr>
          <w:sz w:val="20"/>
          <w:szCs w:val="20"/>
          <w:color w:val="auto"/>
        </w:rPr>
      </w:pPr>
      <w:r>
        <w:rPr>
          <w:rFonts w:ascii="Arial" w:cs="Arial" w:eastAsia="Arial" w:hAnsi="Arial"/>
          <w:sz w:val="15"/>
          <w:szCs w:val="15"/>
          <w:color w:val="auto"/>
        </w:rPr>
        <w:t>This MD&amp;A presents certain financial performance measures, including adjusted net income, total cash costs per ounce of gold produced, minesite costs per tonne and all-in sustaining costs per ounce of gold produced, that are not recognized measures under IFRS. This data may not be comparable to data presented by other gold producers. Non-GAAP financial performance measures should be considered together with other data prepared in accordance with IFRS.</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Adjusted Net Income</w:t>
      </w:r>
    </w:p>
    <w:p>
      <w:pPr>
        <w:spacing w:after="0" w:line="224" w:lineRule="exact"/>
        <w:rPr>
          <w:sz w:val="20"/>
          <w:szCs w:val="20"/>
          <w:color w:val="auto"/>
        </w:rPr>
      </w:pPr>
    </w:p>
    <w:p>
      <w:pPr>
        <w:jc w:val="both"/>
        <w:ind w:firstLine="412"/>
        <w:spacing w:after="0" w:line="306" w:lineRule="auto"/>
        <w:rPr>
          <w:sz w:val="20"/>
          <w:szCs w:val="20"/>
          <w:color w:val="auto"/>
        </w:rPr>
      </w:pPr>
      <w:r>
        <w:rPr>
          <w:rFonts w:ascii="Arial" w:cs="Arial" w:eastAsia="Arial" w:hAnsi="Arial"/>
          <w:sz w:val="15"/>
          <w:szCs w:val="15"/>
          <w:color w:val="auto"/>
        </w:rPr>
        <w:t>Adjusted net income is not a recognized measure under IFRS and this data may not be comparable to data presented by other gold producers. This measure is calculated by adjusting net income as recorded in the condensed interim consolidated statements of income and comprehensive income for non-recurring, unusual and other items. The Company believes that this generally accepted industry measure allows the evaluation of the results of continuing operations and is useful in making comparisons between periods. Adjusted net income is intended to provide investors with information about the Company's continuing income generating capabilities. Management uses this measure to monitor and plan for the operating performance of the Company in conjunction with other data prepared in accordance with IFRS.</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2200" w:type="dxa"/>
            <w:vAlign w:val="bottom"/>
          </w:tcPr>
          <w:p>
            <w:pPr>
              <w:spacing w:after="0"/>
              <w:rPr>
                <w:sz w:val="13"/>
                <w:szCs w:val="13"/>
                <w:color w:val="auto"/>
              </w:rPr>
            </w:pPr>
          </w:p>
        </w:tc>
        <w:tc>
          <w:tcPr>
            <w:tcW w:w="200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40" w:type="dxa"/>
            <w:vAlign w:val="bottom"/>
            <w:gridSpan w:val="5"/>
          </w:tcPr>
          <w:p>
            <w:pPr>
              <w:jc w:val="right"/>
              <w:ind w:right="300"/>
              <w:spacing w:after="0"/>
              <w:rPr>
                <w:sz w:val="20"/>
                <w:szCs w:val="20"/>
                <w:color w:val="auto"/>
              </w:rPr>
            </w:pPr>
            <w:r>
              <w:rPr>
                <w:rFonts w:ascii="Arial" w:cs="Arial" w:eastAsia="Arial" w:hAnsi="Arial"/>
                <w:sz w:val="13"/>
                <w:szCs w:val="13"/>
                <w:b w:val="1"/>
                <w:bCs w:val="1"/>
                <w:color w:val="auto"/>
                <w:w w:val="94"/>
              </w:rPr>
              <w:t>Three Months Ended</w:t>
            </w:r>
          </w:p>
        </w:tc>
        <w:tc>
          <w:tcPr>
            <w:tcW w:w="180" w:type="dxa"/>
            <w:vAlign w:val="bottom"/>
          </w:tcPr>
          <w:p>
            <w:pPr>
              <w:spacing w:after="0"/>
              <w:rPr>
                <w:sz w:val="13"/>
                <w:szCs w:val="13"/>
                <w:color w:val="auto"/>
              </w:rPr>
            </w:pPr>
          </w:p>
        </w:tc>
        <w:tc>
          <w:tcPr>
            <w:tcW w:w="2800" w:type="dxa"/>
            <w:vAlign w:val="bottom"/>
            <w:gridSpan w:val="6"/>
          </w:tcPr>
          <w:p>
            <w:pPr>
              <w:ind w:left="1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200" w:type="dxa"/>
            <w:vAlign w:val="bottom"/>
            <w:vMerge w:val="restart"/>
          </w:tcPr>
          <w:p>
            <w:pPr>
              <w:ind w:left="20"/>
              <w:spacing w:after="0"/>
              <w:rPr>
                <w:sz w:val="20"/>
                <w:szCs w:val="20"/>
                <w:color w:val="auto"/>
              </w:rPr>
            </w:pPr>
            <w:r>
              <w:rPr>
                <w:rFonts w:ascii="Arial" w:cs="Arial" w:eastAsia="Arial" w:hAnsi="Arial"/>
                <w:sz w:val="13"/>
                <w:szCs w:val="13"/>
                <w:b w:val="1"/>
                <w:bCs w:val="1"/>
                <w:color w:val="auto"/>
                <w:w w:val="96"/>
              </w:rPr>
              <w:t>(thousands of United States dollars)</w:t>
            </w:r>
          </w:p>
        </w:tc>
        <w:tc>
          <w:tcPr>
            <w:tcW w:w="2000" w:type="dxa"/>
            <w:vAlign w:val="bottom"/>
            <w:vMerge w:val="restart"/>
          </w:tcPr>
          <w:p>
            <w:pPr>
              <w:spacing w:after="0"/>
              <w:rPr>
                <w:sz w:val="13"/>
                <w:szCs w:val="13"/>
                <w:color w:val="auto"/>
              </w:rPr>
            </w:pPr>
          </w:p>
        </w:tc>
        <w:tc>
          <w:tcPr>
            <w:tcW w:w="142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4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58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2200" w:type="dxa"/>
            <w:vAlign w:val="bottom"/>
            <w:tcBorders>
              <w:bottom w:val="single" w:sz="8" w:color="auto"/>
            </w:tcBorders>
            <w:vMerge w:val="continue"/>
          </w:tcPr>
          <w:p>
            <w:pPr>
              <w:spacing w:after="0"/>
              <w:rPr>
                <w:sz w:val="11"/>
                <w:szCs w:val="11"/>
                <w:color w:val="auto"/>
              </w:rPr>
            </w:pPr>
          </w:p>
        </w:tc>
        <w:tc>
          <w:tcPr>
            <w:tcW w:w="2000" w:type="dxa"/>
            <w:vAlign w:val="bottom"/>
            <w:vMerge w:val="continue"/>
          </w:tcPr>
          <w:p>
            <w:pPr>
              <w:spacing w:after="0"/>
              <w:rPr>
                <w:sz w:val="11"/>
                <w:szCs w:val="11"/>
                <w:color w:val="auto"/>
              </w:rPr>
            </w:pPr>
          </w:p>
        </w:tc>
        <w:tc>
          <w:tcPr>
            <w:tcW w:w="142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jc w:val="right"/>
              <w:ind w:right="138"/>
              <w:spacing w:after="0" w:line="138" w:lineRule="exact"/>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jc w:val="right"/>
              <w:ind w:right="116"/>
              <w:spacing w:after="0" w:line="138" w:lineRule="exact"/>
              <w:rPr>
                <w:sz w:val="20"/>
                <w:szCs w:val="20"/>
                <w:color w:val="auto"/>
              </w:rPr>
            </w:pPr>
            <w:r>
              <w:rPr>
                <w:rFonts w:ascii="Arial" w:cs="Arial" w:eastAsia="Arial" w:hAnsi="Arial"/>
                <w:sz w:val="13"/>
                <w:szCs w:val="13"/>
                <w:b w:val="1"/>
                <w:bCs w:val="1"/>
                <w:color w:val="auto"/>
                <w:w w:val="89"/>
              </w:rPr>
              <w:t>2014</w:t>
            </w:r>
          </w:p>
        </w:tc>
        <w:tc>
          <w:tcPr>
            <w:tcW w:w="16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158"/>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20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Net income for the period</w:t>
            </w: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10,083</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2"/>
              </w:rPr>
              <w:t>22,158</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38,826</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119,303</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tcPr>
          <w:p>
            <w:pPr>
              <w:ind w:left="180"/>
              <w:spacing w:after="0"/>
              <w:rPr>
                <w:sz w:val="20"/>
                <w:szCs w:val="20"/>
                <w:color w:val="auto"/>
              </w:rPr>
            </w:pPr>
            <w:r>
              <w:rPr>
                <w:rFonts w:ascii="Arial" w:cs="Arial" w:eastAsia="Arial" w:hAnsi="Arial"/>
                <w:sz w:val="17"/>
                <w:szCs w:val="17"/>
                <w:color w:val="auto"/>
              </w:rPr>
              <w:t>Impairment loss on available-for-sale securities</w:t>
            </w: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345</w:t>
            </w:r>
          </w:p>
        </w:tc>
        <w:tc>
          <w:tcPr>
            <w:tcW w:w="20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7"/>
                <w:szCs w:val="17"/>
                <w:color w:val="auto"/>
              </w:rPr>
              <w:t>2,419</w:t>
            </w: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1,030</w:t>
            </w:r>
          </w:p>
        </w:tc>
        <w:tc>
          <w:tcPr>
            <w:tcW w:w="1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2,419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Gain on sale of available-for-sale securities</w:t>
            </w:r>
          </w:p>
        </w:tc>
        <w:tc>
          <w:tcPr>
            <w:tcW w:w="1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(2,675)</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(5,016)</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7"/>
              </w:rPr>
              <w:t>(23,724)</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(5,289)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tcPr>
          <w:p>
            <w:pPr>
              <w:ind w:left="180"/>
              <w:spacing w:after="0"/>
              <w:rPr>
                <w:sz w:val="20"/>
                <w:szCs w:val="20"/>
                <w:color w:val="auto"/>
              </w:rPr>
            </w:pPr>
            <w:r>
              <w:rPr>
                <w:rFonts w:ascii="Arial" w:cs="Arial" w:eastAsia="Arial" w:hAnsi="Arial"/>
                <w:sz w:val="17"/>
                <w:szCs w:val="17"/>
                <w:color w:val="auto"/>
              </w:rPr>
              <w:t>Foreign currency translation loss (gain)</w:t>
            </w: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4,779</w:t>
            </w:r>
          </w:p>
        </w:tc>
        <w:tc>
          <w:tcPr>
            <w:tcW w:w="20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7"/>
                <w:szCs w:val="17"/>
                <w:color w:val="auto"/>
              </w:rPr>
              <w:t>6,568</w:t>
            </w:r>
          </w:p>
        </w:tc>
        <w:tc>
          <w:tcPr>
            <w:tcW w:w="1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7"/>
                <w:szCs w:val="17"/>
                <w:color w:val="auto"/>
              </w:rPr>
              <w:t>(6,911)</w:t>
            </w:r>
          </w:p>
        </w:tc>
        <w:tc>
          <w:tcPr>
            <w:tcW w:w="1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1,509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Stock options expense</w:t>
            </w:r>
          </w:p>
        </w:tc>
        <w:tc>
          <w:tcPr>
            <w:tcW w:w="1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4,059</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4,577</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11,850</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13,604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tcPr>
          <w:p>
            <w:pPr>
              <w:ind w:left="180"/>
              <w:spacing w:after="0"/>
              <w:rPr>
                <w:sz w:val="20"/>
                <w:szCs w:val="20"/>
                <w:color w:val="auto"/>
              </w:rPr>
            </w:pPr>
            <w:r>
              <w:rPr>
                <w:rFonts w:ascii="Arial" w:cs="Arial" w:eastAsia="Arial" w:hAnsi="Arial"/>
                <w:sz w:val="17"/>
                <w:szCs w:val="17"/>
                <w:color w:val="auto"/>
              </w:rPr>
              <w:t>Mark-to-market (gain) loss on warrants</w:t>
            </w: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7"/>
                <w:szCs w:val="17"/>
                <w:color w:val="auto"/>
              </w:rPr>
              <w:t>(789)</w:t>
            </w:r>
          </w:p>
        </w:tc>
        <w:tc>
          <w:tcPr>
            <w:tcW w:w="200" w:type="dxa"/>
            <w:vAlign w:val="bottom"/>
          </w:tcPr>
          <w:p>
            <w:pPr>
              <w:spacing w:after="0"/>
              <w:rPr>
                <w:sz w:val="18"/>
                <w:szCs w:val="18"/>
                <w:color w:val="auto"/>
              </w:rPr>
            </w:pPr>
          </w:p>
        </w:tc>
        <w:tc>
          <w:tcPr>
            <w:tcW w:w="640" w:type="dxa"/>
            <w:vAlign w:val="bottom"/>
            <w:gridSpan w:val="2"/>
          </w:tcPr>
          <w:p>
            <w:pPr>
              <w:jc w:val="right"/>
              <w:ind w:right="80"/>
              <w:spacing w:after="0"/>
              <w:rPr>
                <w:sz w:val="20"/>
                <w:szCs w:val="20"/>
                <w:color w:val="auto"/>
              </w:rPr>
            </w:pPr>
            <w:r>
              <w:rPr>
                <w:rFonts w:ascii="Arial" w:cs="Arial" w:eastAsia="Arial" w:hAnsi="Arial"/>
                <w:sz w:val="17"/>
                <w:szCs w:val="17"/>
                <w:color w:val="auto"/>
              </w:rPr>
              <w:t>(2,197)</w:t>
            </w: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1,770</w:t>
            </w:r>
          </w:p>
        </w:tc>
        <w:tc>
          <w:tcPr>
            <w:tcW w:w="180" w:type="dxa"/>
            <w:vAlign w:val="bottom"/>
          </w:tcPr>
          <w:p>
            <w:pPr>
              <w:spacing w:after="0"/>
              <w:rPr>
                <w:sz w:val="18"/>
                <w:szCs w:val="18"/>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7"/>
                <w:szCs w:val="17"/>
                <w:color w:val="auto"/>
              </w:rPr>
              <w:t>(5,326)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Loss (gain) on settlement of warrants</w:t>
            </w:r>
          </w:p>
        </w:tc>
        <w:tc>
          <w:tcPr>
            <w:tcW w:w="1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592</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(9,072)</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tcPr>
          <w:p>
            <w:pPr>
              <w:ind w:left="180"/>
              <w:spacing w:after="0"/>
              <w:rPr>
                <w:sz w:val="20"/>
                <w:szCs w:val="20"/>
                <w:color w:val="auto"/>
              </w:rPr>
            </w:pPr>
            <w:r>
              <w:rPr>
                <w:rFonts w:ascii="Arial" w:cs="Arial" w:eastAsia="Arial" w:hAnsi="Arial"/>
                <w:sz w:val="17"/>
                <w:szCs w:val="17"/>
                <w:color w:val="auto"/>
                <w:w w:val="98"/>
              </w:rPr>
              <w:t>Mark-to-market (gain) loss on Convertible Debentures</w:t>
            </w: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7"/>
                <w:szCs w:val="17"/>
                <w:color w:val="auto"/>
              </w:rPr>
              <w:t>(2,031)</w:t>
            </w:r>
          </w:p>
        </w:tc>
        <w:tc>
          <w:tcPr>
            <w:tcW w:w="20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7"/>
                <w:szCs w:val="17"/>
                <w:color w:val="auto"/>
              </w:rPr>
              <w:t>3,846</w:t>
            </w: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2,416</w:t>
            </w:r>
          </w:p>
        </w:tc>
        <w:tc>
          <w:tcPr>
            <w:tcW w:w="1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3,846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Income and mining taxes adjustments</w:t>
            </w:r>
          </w:p>
        </w:tc>
        <w:tc>
          <w:tcPr>
            <w:tcW w:w="1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(1,828)</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872</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13,393</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2,380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200" w:type="dxa"/>
            <w:vAlign w:val="bottom"/>
            <w:gridSpan w:val="2"/>
          </w:tcPr>
          <w:p>
            <w:pPr>
              <w:ind w:left="180"/>
              <w:spacing w:after="0"/>
              <w:rPr>
                <w:sz w:val="20"/>
                <w:szCs w:val="20"/>
                <w:color w:val="auto"/>
              </w:rPr>
            </w:pPr>
            <w:r>
              <w:rPr>
                <w:rFonts w:ascii="Arial" w:cs="Arial" w:eastAsia="Arial" w:hAnsi="Arial"/>
                <w:sz w:val="17"/>
                <w:szCs w:val="17"/>
                <w:color w:val="auto"/>
              </w:rPr>
              <w:t>Other</w:t>
            </w: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5,925</w:t>
            </w:r>
          </w:p>
        </w:tc>
        <w:tc>
          <w:tcPr>
            <w:tcW w:w="20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20,292</w:t>
            </w:r>
          </w:p>
        </w:tc>
        <w:tc>
          <w:tcPr>
            <w:tcW w:w="1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20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Adjusted net income for the period</w:t>
            </w: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18,460</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2"/>
              </w:rPr>
              <w:t>33,227</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49,870</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132,631</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200" w:type="dxa"/>
            <w:vAlign w:val="bottom"/>
            <w:gridSpan w:val="2"/>
            <w:vMerge w:val="restart"/>
          </w:tcPr>
          <w:p>
            <w:pPr>
              <w:ind w:left="20"/>
              <w:spacing w:after="0"/>
              <w:rPr>
                <w:sz w:val="20"/>
                <w:szCs w:val="20"/>
                <w:color w:val="auto"/>
              </w:rPr>
            </w:pPr>
            <w:r>
              <w:rPr>
                <w:rFonts w:ascii="Arial" w:cs="Arial" w:eastAsia="Arial" w:hAnsi="Arial"/>
                <w:sz w:val="17"/>
                <w:szCs w:val="17"/>
                <w:color w:val="auto"/>
              </w:rPr>
              <w:t>Net income per share — basic</w:t>
            </w:r>
          </w:p>
        </w:tc>
        <w:tc>
          <w:tcPr>
            <w:tcW w:w="14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200" w:type="dxa"/>
            <w:vAlign w:val="bottom"/>
            <w:gridSpan w:val="2"/>
            <w:vMerge w:val="continue"/>
          </w:tcPr>
          <w:p>
            <w:pPr>
              <w:spacing w:after="0" w:line="20" w:lineRule="exact"/>
              <w:rPr>
                <w:sz w:val="1"/>
                <w:szCs w:val="1"/>
                <w:color w:val="auto"/>
              </w:rPr>
            </w:pPr>
          </w:p>
        </w:tc>
        <w:tc>
          <w:tcPr>
            <w:tcW w:w="1560" w:type="dxa"/>
            <w:vAlign w:val="bottom"/>
            <w:gridSpan w:val="2"/>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1140" w:type="dxa"/>
            <w:vAlign w:val="bottom"/>
          </w:tcPr>
          <w:p>
            <w:pPr>
              <w:spacing w:after="0"/>
              <w:rPr>
                <w:sz w:val="16"/>
                <w:szCs w:val="16"/>
                <w:color w:val="auto"/>
              </w:rPr>
            </w:pPr>
          </w:p>
        </w:tc>
        <w:tc>
          <w:tcPr>
            <w:tcW w:w="4200" w:type="dxa"/>
            <w:vAlign w:val="bottom"/>
            <w:gridSpan w:val="2"/>
            <w:vMerge w:val="continue"/>
          </w:tcPr>
          <w:p>
            <w:pPr>
              <w:spacing w:after="0"/>
              <w:rPr>
                <w:sz w:val="16"/>
                <w:szCs w:val="16"/>
                <w:color w:val="auto"/>
              </w:rPr>
            </w:pPr>
          </w:p>
        </w:tc>
        <w:tc>
          <w:tcPr>
            <w:tcW w:w="1420" w:type="dxa"/>
            <w:vAlign w:val="bottom"/>
          </w:tcPr>
          <w:p>
            <w:pPr>
              <w:spacing w:after="0"/>
              <w:rPr>
                <w:sz w:val="16"/>
                <w:szCs w:val="16"/>
                <w:color w:val="auto"/>
              </w:rPr>
            </w:pPr>
          </w:p>
        </w:tc>
        <w:tc>
          <w:tcPr>
            <w:tcW w:w="14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w w:val="84"/>
              </w:rPr>
              <w:t>$</w:t>
            </w:r>
          </w:p>
        </w:tc>
        <w:tc>
          <w:tcPr>
            <w:tcW w:w="56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0.05</w:t>
            </w:r>
          </w:p>
        </w:tc>
        <w:tc>
          <w:tcPr>
            <w:tcW w:w="140" w:type="dxa"/>
            <w:vAlign w:val="bottom"/>
          </w:tcPr>
          <w:p>
            <w:pPr>
              <w:spacing w:after="0"/>
              <w:rPr>
                <w:sz w:val="16"/>
                <w:szCs w:val="16"/>
                <w:color w:val="auto"/>
              </w:rPr>
            </w:pPr>
          </w:p>
        </w:tc>
        <w:tc>
          <w:tcPr>
            <w:tcW w:w="200" w:type="dxa"/>
            <w:vAlign w:val="bottom"/>
            <w:tcBorders>
              <w:top w:val="single" w:sz="8" w:color="auto"/>
            </w:tcBorders>
          </w:tcPr>
          <w:p>
            <w:pPr>
              <w:jc w:val="right"/>
              <w:ind w:right="15"/>
              <w:spacing w:after="0" w:line="189" w:lineRule="exact"/>
              <w:rPr>
                <w:sz w:val="20"/>
                <w:szCs w:val="20"/>
                <w:color w:val="auto"/>
              </w:rPr>
            </w:pPr>
            <w:r>
              <w:rPr>
                <w:rFonts w:ascii="Arial" w:cs="Arial" w:eastAsia="Arial" w:hAnsi="Arial"/>
                <w:sz w:val="17"/>
                <w:szCs w:val="17"/>
                <w:color w:val="auto"/>
                <w:w w:val="84"/>
              </w:rPr>
              <w:t>$</w:t>
            </w:r>
          </w:p>
        </w:tc>
        <w:tc>
          <w:tcPr>
            <w:tcW w:w="48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0.12</w:t>
            </w:r>
          </w:p>
        </w:tc>
        <w:tc>
          <w:tcPr>
            <w:tcW w:w="160" w:type="dxa"/>
            <w:vAlign w:val="bottom"/>
          </w:tcPr>
          <w:p>
            <w:pPr>
              <w:spacing w:after="0"/>
              <w:rPr>
                <w:sz w:val="16"/>
                <w:szCs w:val="16"/>
                <w:color w:val="auto"/>
              </w:rPr>
            </w:pPr>
          </w:p>
        </w:tc>
        <w:tc>
          <w:tcPr>
            <w:tcW w:w="18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w w:val="84"/>
              </w:rPr>
              <w:t>$</w:t>
            </w:r>
          </w:p>
        </w:tc>
        <w:tc>
          <w:tcPr>
            <w:tcW w:w="58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0.18</w:t>
            </w:r>
          </w:p>
        </w:tc>
        <w:tc>
          <w:tcPr>
            <w:tcW w:w="160" w:type="dxa"/>
            <w:vAlign w:val="bottom"/>
          </w:tcPr>
          <w:p>
            <w:pPr>
              <w:spacing w:after="0"/>
              <w:rPr>
                <w:sz w:val="16"/>
                <w:szCs w:val="16"/>
                <w:color w:val="auto"/>
              </w:rPr>
            </w:pPr>
          </w:p>
        </w:tc>
        <w:tc>
          <w:tcPr>
            <w:tcW w:w="18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w w:val="84"/>
              </w:rPr>
              <w:t>$</w:t>
            </w:r>
          </w:p>
        </w:tc>
        <w:tc>
          <w:tcPr>
            <w:tcW w:w="58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0.66</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per share — diluted</w:t>
            </w: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0.05</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0.12</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0.18</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0.66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tcPr>
          <w:p>
            <w:pPr>
              <w:ind w:left="20"/>
              <w:spacing w:after="0"/>
              <w:rPr>
                <w:sz w:val="20"/>
                <w:szCs w:val="20"/>
                <w:color w:val="auto"/>
              </w:rPr>
            </w:pPr>
            <w:r>
              <w:rPr>
                <w:rFonts w:ascii="Arial" w:cs="Arial" w:eastAsia="Arial" w:hAnsi="Arial"/>
                <w:sz w:val="17"/>
                <w:szCs w:val="17"/>
                <w:color w:val="auto"/>
              </w:rPr>
              <w:t>Adjusted net income per share — basic</w:t>
            </w:r>
          </w:p>
        </w:tc>
        <w:tc>
          <w:tcPr>
            <w:tcW w:w="15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7"/>
                <w:szCs w:val="17"/>
                <w:color w:val="auto"/>
              </w:rPr>
              <w:t>0.09</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tcPr>
          <w:p>
            <w:pPr>
              <w:jc w:val="right"/>
              <w:ind w:right="140"/>
              <w:spacing w:after="0"/>
              <w:rPr>
                <w:sz w:val="20"/>
                <w:szCs w:val="20"/>
                <w:color w:val="auto"/>
              </w:rPr>
            </w:pPr>
            <w:r>
              <w:rPr>
                <w:rFonts w:ascii="Arial" w:cs="Arial" w:eastAsia="Arial" w:hAnsi="Arial"/>
                <w:sz w:val="17"/>
                <w:szCs w:val="17"/>
                <w:color w:val="auto"/>
              </w:rPr>
              <w:t>0.18</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0.23</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0.74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2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Adjusted net income per share — diluted</w:t>
            </w: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0.09</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0.18</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0.23</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0.74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7"/>
        </w:trPr>
        <w:tc>
          <w:tcPr>
            <w:tcW w:w="11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1420" w:type="dxa"/>
            <w:vAlign w:val="bottom"/>
          </w:tcPr>
          <w:p>
            <w:pPr>
              <w:jc w:val="right"/>
              <w:ind w:right="875"/>
              <w:spacing w:after="0"/>
              <w:rPr>
                <w:sz w:val="20"/>
                <w:szCs w:val="20"/>
                <w:color w:val="auto"/>
              </w:rPr>
            </w:pPr>
            <w:r>
              <w:rPr>
                <w:rFonts w:ascii="Arial" w:cs="Arial" w:eastAsia="Arial" w:hAnsi="Arial"/>
                <w:sz w:val="17"/>
                <w:szCs w:val="17"/>
                <w:color w:val="auto"/>
              </w:rPr>
              <w:t>16</w:t>
            </w: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2000" w:type="dxa"/>
            <w:vAlign w:val="bottom"/>
            <w:tcBorders>
              <w:bottom w:val="single" w:sz="8" w:color="808080"/>
            </w:tcBorders>
          </w:tcPr>
          <w:p>
            <w:pPr>
              <w:spacing w:after="0"/>
              <w:rPr>
                <w:sz w:val="19"/>
                <w:szCs w:val="19"/>
                <w:color w:val="auto"/>
              </w:rPr>
            </w:pPr>
          </w:p>
        </w:tc>
        <w:tc>
          <w:tcPr>
            <w:tcW w:w="14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0" w:name="page21"/>
    <w:bookmarkEnd w:id="2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Total Cash Costs per Ounce of Gold Produced and Minesite Costs per Tonne</w:t>
      </w:r>
    </w:p>
    <w:p>
      <w:pPr>
        <w:spacing w:after="0" w:line="224" w:lineRule="exact"/>
        <w:rPr>
          <w:sz w:val="20"/>
          <w:szCs w:val="20"/>
          <w:color w:val="auto"/>
        </w:rPr>
      </w:pPr>
    </w:p>
    <w:p>
      <w:pPr>
        <w:jc w:val="both"/>
        <w:ind w:firstLine="500"/>
        <w:spacing w:after="0" w:line="265" w:lineRule="auto"/>
        <w:rPr>
          <w:sz w:val="20"/>
          <w:szCs w:val="20"/>
          <w:color w:val="auto"/>
        </w:rPr>
      </w:pPr>
      <w:r>
        <w:rPr>
          <w:rFonts w:ascii="Arial" w:cs="Arial" w:eastAsia="Arial" w:hAnsi="Arial"/>
          <w:sz w:val="17"/>
          <w:szCs w:val="17"/>
          <w:color w:val="auto"/>
        </w:rPr>
        <w:t>The Company believes that total cash costs per ounce of gold produced and minesite costs per tonne are realistic indicators of operating performance and facilitate period over period comparisons. However, both of these non-GAAP generally accepted industry measures should be considered together with other data prepared in accordance with IFRS. These measures, taken by themselves, are not necessarily indicative of operating costs or cash flow measures prepared in accordance with IFRS.</w:t>
      </w:r>
    </w:p>
    <w:p>
      <w:pPr>
        <w:spacing w:after="0" w:line="185" w:lineRule="exact"/>
        <w:rPr>
          <w:sz w:val="20"/>
          <w:szCs w:val="20"/>
          <w:color w:val="auto"/>
        </w:rPr>
      </w:pPr>
    </w:p>
    <w:p>
      <w:pPr>
        <w:jc w:val="both"/>
        <w:ind w:firstLine="358"/>
        <w:spacing w:after="0" w:line="276" w:lineRule="auto"/>
        <w:rPr>
          <w:sz w:val="20"/>
          <w:szCs w:val="20"/>
          <w:color w:val="auto"/>
        </w:rPr>
      </w:pPr>
      <w:r>
        <w:rPr>
          <w:rFonts w:ascii="Arial" w:cs="Arial" w:eastAsia="Arial" w:hAnsi="Arial"/>
          <w:sz w:val="16"/>
          <w:szCs w:val="16"/>
          <w:color w:val="auto"/>
        </w:rPr>
        <w:t>Total cash costs per ounce of gold produced is presented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per ounce of gold produced on a by-product basis, by-product metal prices. Management compensates for these inherent limitations by using these measures in conjunction with minesite costs per tonne (discussed below) as well as other data prepared in accordance with IFRS. Management also performs sensitivity analyses in order to quantify the effects of fluctuating exchange rates and metal prices.</w:t>
      </w:r>
    </w:p>
    <w:p>
      <w:pPr>
        <w:spacing w:after="0" w:line="184" w:lineRule="exact"/>
        <w:rPr>
          <w:sz w:val="20"/>
          <w:szCs w:val="20"/>
          <w:color w:val="auto"/>
        </w:rPr>
      </w:pPr>
    </w:p>
    <w:p>
      <w:pPr>
        <w:jc w:val="both"/>
        <w:ind w:firstLine="332"/>
        <w:spacing w:after="0" w:line="315" w:lineRule="auto"/>
        <w:rPr>
          <w:sz w:val="20"/>
          <w:szCs w:val="20"/>
          <w:color w:val="auto"/>
        </w:rPr>
      </w:pPr>
      <w:r>
        <w:rPr>
          <w:rFonts w:ascii="Arial" w:cs="Arial" w:eastAsia="Arial" w:hAnsi="Arial"/>
          <w:sz w:val="16"/>
          <w:szCs w:val="16"/>
          <w:color w:val="auto"/>
        </w:rPr>
        <w:t>Agnico Eagle's primary business is gold production and the focus of its current operations and future development is on maximizing returns from gold production, with other metal production being incidental to the gold production process. Accordingly, all metals other than gold are considered by-products.</w:t>
      </w:r>
    </w:p>
    <w:p>
      <w:pPr>
        <w:spacing w:after="0" w:line="146" w:lineRule="exact"/>
        <w:rPr>
          <w:sz w:val="20"/>
          <w:szCs w:val="20"/>
          <w:color w:val="auto"/>
        </w:rPr>
      </w:pPr>
    </w:p>
    <w:p>
      <w:pPr>
        <w:jc w:val="both"/>
        <w:ind w:firstLine="430"/>
        <w:spacing w:after="0" w:line="294" w:lineRule="auto"/>
        <w:rPr>
          <w:sz w:val="20"/>
          <w:szCs w:val="20"/>
          <w:color w:val="auto"/>
        </w:rPr>
      </w:pPr>
      <w:r>
        <w:rPr>
          <w:rFonts w:ascii="Arial" w:cs="Arial" w:eastAsia="Arial" w:hAnsi="Arial"/>
          <w:sz w:val="16"/>
          <w:szCs w:val="16"/>
          <w:color w:val="auto"/>
        </w:rPr>
        <w:t>Total cash costs per ounce of gold produced is presented on a by-product basis because (i) the majority of the Company's revenues are gold revenues, (ii) the Company mines ore, which contains gold, silver, zinc, copper and other metals, (iii) it is not possible to specifically assign all costs to revenues from the gold, silver, zinc, copper and other metals the Company produces, and (iv) it is a method used by management and the Board to monitor operations.</w:t>
      </w:r>
    </w:p>
    <w:p>
      <w:pPr>
        <w:spacing w:after="0" w:line="163" w:lineRule="exact"/>
        <w:rPr>
          <w:sz w:val="20"/>
          <w:szCs w:val="20"/>
          <w:color w:val="auto"/>
        </w:rPr>
      </w:pPr>
    </w:p>
    <w:p>
      <w:pPr>
        <w:jc w:val="both"/>
        <w:ind w:firstLine="431"/>
        <w:spacing w:after="0" w:line="262" w:lineRule="auto"/>
        <w:rPr>
          <w:sz w:val="20"/>
          <w:szCs w:val="20"/>
          <w:color w:val="auto"/>
        </w:rPr>
      </w:pPr>
      <w:r>
        <w:rPr>
          <w:rFonts w:ascii="Arial" w:cs="Arial" w:eastAsia="Arial" w:hAnsi="Arial"/>
          <w:sz w:val="17"/>
          <w:szCs w:val="17"/>
          <w:color w:val="auto"/>
        </w:rPr>
        <w:t>Minesite costs per tonne is calculated by adjusting production costs as shown in the condensed interim consolidated statements of income and comprehensive income for unsold concentrate inventory production costs and other adjustments and then dividing by tonnes of ore processed. As the total cash costs per ounce of gold produced measure can be impacted by fluctuations in by-product metal prices and exchange rates, management believes that the minesite costs per tonne measure provides additional information regarding the performance of mining operations. Management is aware that this per tonne measure of performance can be impacted by fluctuations in production levels and compensates for this inherent limitation by using this measure in conjunction with production costs prepared in accordance with IFRS.</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Total cash costs per ounce of gold produced and minesite costs per tonne have been restated to conform with IFRS for all reported periods.</w:t>
      </w:r>
    </w:p>
    <w:p>
      <w:pPr>
        <w:spacing w:after="0" w:line="224" w:lineRule="exact"/>
        <w:rPr>
          <w:sz w:val="20"/>
          <w:szCs w:val="20"/>
          <w:color w:val="auto"/>
        </w:rPr>
      </w:pPr>
    </w:p>
    <w:p>
      <w:pPr>
        <w:jc w:val="both"/>
        <w:ind w:firstLine="381"/>
        <w:spacing w:after="0" w:line="270" w:lineRule="auto"/>
        <w:rPr>
          <w:sz w:val="20"/>
          <w:szCs w:val="20"/>
          <w:color w:val="auto"/>
        </w:rPr>
      </w:pPr>
      <w:r>
        <w:rPr>
          <w:rFonts w:ascii="Arial" w:cs="Arial" w:eastAsia="Arial" w:hAnsi="Arial"/>
          <w:sz w:val="17"/>
          <w:szCs w:val="17"/>
          <w:color w:val="auto"/>
        </w:rPr>
        <w:t>The following tables set out a reconciliation of total cash costs per ounce of gold produced (on both a by-product basis and co-product basis) and minesite costs per tonne to production costs, exclusive of amortization, as presented in the condensed interim consolidated statements of income and comprehensive income in accordance with IFRS.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1" w:name="page22"/>
    <w:bookmarkEnd w:id="21"/>
    <w:p>
      <w:pPr>
        <w:jc w:val="center"/>
        <w:ind w:right="4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Total Production Costs by Mine</w:t>
      </w:r>
    </w:p>
    <w:p>
      <w:pPr>
        <w:spacing w:after="0" w:line="218"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2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40" w:type="dxa"/>
            <w:vAlign w:val="bottom"/>
            <w:gridSpan w:val="2"/>
          </w:tcPr>
          <w:p>
            <w:pPr>
              <w:spacing w:after="0"/>
              <w:rPr>
                <w:sz w:val="20"/>
                <w:szCs w:val="20"/>
                <w:color w:val="auto"/>
              </w:rPr>
            </w:pPr>
            <w:r>
              <w:rPr>
                <w:rFonts w:ascii="Arial" w:cs="Arial" w:eastAsia="Arial" w:hAnsi="Arial"/>
                <w:sz w:val="13"/>
                <w:szCs w:val="13"/>
                <w:b w:val="1"/>
                <w:bCs w:val="1"/>
                <w:color w:val="auto"/>
              </w:rPr>
              <w:t>Three Months Ended</w:t>
            </w:r>
          </w:p>
        </w:tc>
        <w:tc>
          <w:tcPr>
            <w:tcW w:w="100" w:type="dxa"/>
            <w:vAlign w:val="bottom"/>
          </w:tcPr>
          <w:p>
            <w:pPr>
              <w:spacing w:after="0"/>
              <w:rPr>
                <w:sz w:val="13"/>
                <w:szCs w:val="13"/>
                <w:color w:val="auto"/>
              </w:rPr>
            </w:pPr>
          </w:p>
        </w:tc>
        <w:tc>
          <w:tcPr>
            <w:tcW w:w="144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3"/>
                <w:szCs w:val="13"/>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3"/>
                <w:szCs w:val="13"/>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157"/>
        </w:trPr>
        <w:tc>
          <w:tcPr>
            <w:tcW w:w="220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7"/>
              </w:rPr>
              <w:t>(thousands of United States dollars)</w:t>
            </w:r>
          </w:p>
        </w:tc>
        <w:tc>
          <w:tcPr>
            <w:tcW w:w="10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8"/>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326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LaRonde mine</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45,133</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46,758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90,999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94,037</w:t>
            </w:r>
          </w:p>
        </w:tc>
        <w:tc>
          <w:tcPr>
            <w:tcW w:w="0" w:type="dxa"/>
            <w:vAlign w:val="bottom"/>
          </w:tcPr>
          <w:p>
            <w:pPr>
              <w:spacing w:after="0"/>
              <w:rPr>
                <w:sz w:val="1"/>
                <w:szCs w:val="1"/>
                <w:color w:val="auto"/>
              </w:rPr>
            </w:pPr>
          </w:p>
        </w:tc>
      </w:tr>
      <w:tr>
        <w:trPr>
          <w:trHeight w:val="210"/>
        </w:trPr>
        <w:tc>
          <w:tcPr>
            <w:tcW w:w="3260" w:type="dxa"/>
            <w:vAlign w:val="bottom"/>
            <w:gridSpan w:val="2"/>
          </w:tcPr>
          <w:p>
            <w:pPr>
              <w:spacing w:after="0"/>
              <w:rPr>
                <w:sz w:val="20"/>
                <w:szCs w:val="20"/>
                <w:color w:val="auto"/>
              </w:rPr>
            </w:pPr>
            <w:r>
              <w:rPr>
                <w:rFonts w:ascii="Arial" w:cs="Arial" w:eastAsia="Arial" w:hAnsi="Arial"/>
                <w:sz w:val="17"/>
                <w:szCs w:val="17"/>
                <w:color w:val="auto"/>
              </w:rPr>
              <w:t>Lapa mine</w:t>
            </w:r>
          </w:p>
        </w:tc>
        <w:tc>
          <w:tcPr>
            <w:tcW w:w="1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13,656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14,356</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27,641</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29,706</w:t>
            </w:r>
          </w:p>
        </w:tc>
        <w:tc>
          <w:tcPr>
            <w:tcW w:w="0" w:type="dxa"/>
            <w:vAlign w:val="bottom"/>
          </w:tcPr>
          <w:p>
            <w:pPr>
              <w:spacing w:after="0"/>
              <w:rPr>
                <w:sz w:val="1"/>
                <w:szCs w:val="1"/>
                <w:color w:val="auto"/>
              </w:rPr>
            </w:pPr>
          </w:p>
        </w:tc>
      </w:tr>
      <w:tr>
        <w:trPr>
          <w:trHeight w:val="210"/>
        </w:trPr>
        <w:tc>
          <w:tcPr>
            <w:tcW w:w="326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Goldex mine</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16,913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15,419</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31,780</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31,264</w:t>
            </w:r>
          </w:p>
        </w:tc>
        <w:tc>
          <w:tcPr>
            <w:tcW w:w="0" w:type="dxa"/>
            <w:vAlign w:val="bottom"/>
          </w:tcPr>
          <w:p>
            <w:pPr>
              <w:spacing w:after="0"/>
              <w:rPr>
                <w:sz w:val="1"/>
                <w:szCs w:val="1"/>
                <w:color w:val="auto"/>
              </w:rPr>
            </w:pPr>
          </w:p>
        </w:tc>
      </w:tr>
      <w:tr>
        <w:trPr>
          <w:trHeight w:val="210"/>
        </w:trPr>
        <w:tc>
          <w:tcPr>
            <w:tcW w:w="3260" w:type="dxa"/>
            <w:vAlign w:val="bottom"/>
            <w:gridSpan w:val="2"/>
          </w:tcPr>
          <w:p>
            <w:pPr>
              <w:spacing w:after="0"/>
              <w:rPr>
                <w:sz w:val="20"/>
                <w:szCs w:val="20"/>
                <w:color w:val="auto"/>
              </w:rPr>
            </w:pPr>
            <w:r>
              <w:rPr>
                <w:rFonts w:ascii="Arial" w:cs="Arial" w:eastAsia="Arial" w:hAnsi="Arial"/>
                <w:sz w:val="17"/>
                <w:szCs w:val="17"/>
                <w:color w:val="auto"/>
              </w:rPr>
              <w:t>Meadowbank mine</w:t>
            </w:r>
          </w:p>
        </w:tc>
        <w:tc>
          <w:tcPr>
            <w:tcW w:w="1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66,888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63,808</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123,983</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130,888</w:t>
            </w:r>
          </w:p>
        </w:tc>
        <w:tc>
          <w:tcPr>
            <w:tcW w:w="0" w:type="dxa"/>
            <w:vAlign w:val="bottom"/>
          </w:tcPr>
          <w:p>
            <w:pPr>
              <w:spacing w:after="0"/>
              <w:rPr>
                <w:sz w:val="1"/>
                <w:szCs w:val="1"/>
                <w:color w:val="auto"/>
              </w:rPr>
            </w:pPr>
          </w:p>
        </w:tc>
      </w:tr>
      <w:tr>
        <w:trPr>
          <w:trHeight w:val="249"/>
        </w:trPr>
        <w:tc>
          <w:tcPr>
            <w:tcW w:w="3260" w:type="dxa"/>
            <w:vAlign w:val="bottom"/>
            <w:gridSpan w:val="2"/>
            <w:shd w:val="clear" w:color="auto" w:fill="CCEEFF"/>
          </w:tcPr>
          <w:p>
            <w:pPr>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w:t>
            </w:r>
          </w:p>
        </w:tc>
        <w:tc>
          <w:tcPr>
            <w:tcW w:w="100" w:type="dxa"/>
            <w:vAlign w:val="bottom"/>
            <w:shd w:val="clear" w:color="auto" w:fill="CCEEFF"/>
          </w:tcPr>
          <w:p>
            <w:pPr>
              <w:spacing w:after="0"/>
              <w:rPr>
                <w:sz w:val="21"/>
                <w:szCs w:val="21"/>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42,185</w:t>
            </w:r>
          </w:p>
        </w:tc>
        <w:tc>
          <w:tcPr>
            <w:tcW w:w="1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18,333</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83,371</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18,333</w:t>
            </w:r>
          </w:p>
        </w:tc>
        <w:tc>
          <w:tcPr>
            <w:tcW w:w="0" w:type="dxa"/>
            <w:vAlign w:val="bottom"/>
          </w:tcPr>
          <w:p>
            <w:pPr>
              <w:spacing w:after="0"/>
              <w:rPr>
                <w:sz w:val="1"/>
                <w:szCs w:val="1"/>
                <w:color w:val="auto"/>
              </w:rPr>
            </w:pPr>
          </w:p>
        </w:tc>
      </w:tr>
      <w:tr>
        <w:trPr>
          <w:trHeight w:val="210"/>
        </w:trPr>
        <w:tc>
          <w:tcPr>
            <w:tcW w:w="3260" w:type="dxa"/>
            <w:vAlign w:val="bottom"/>
            <w:gridSpan w:val="2"/>
          </w:tcPr>
          <w:p>
            <w:pPr>
              <w:spacing w:after="0"/>
              <w:rPr>
                <w:sz w:val="20"/>
                <w:szCs w:val="20"/>
                <w:color w:val="auto"/>
              </w:rPr>
            </w:pPr>
            <w:r>
              <w:rPr>
                <w:rFonts w:ascii="Arial" w:cs="Arial" w:eastAsia="Arial" w:hAnsi="Arial"/>
                <w:sz w:val="17"/>
                <w:szCs w:val="17"/>
                <w:color w:val="auto"/>
              </w:rPr>
              <w:t>Kittila mine</w:t>
            </w:r>
          </w:p>
        </w:tc>
        <w:tc>
          <w:tcPr>
            <w:tcW w:w="1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30,777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26,925</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62,776</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56,384</w:t>
            </w:r>
          </w:p>
        </w:tc>
        <w:tc>
          <w:tcPr>
            <w:tcW w:w="0" w:type="dxa"/>
            <w:vAlign w:val="bottom"/>
          </w:tcPr>
          <w:p>
            <w:pPr>
              <w:spacing w:after="0"/>
              <w:rPr>
                <w:sz w:val="1"/>
                <w:szCs w:val="1"/>
                <w:color w:val="auto"/>
              </w:rPr>
            </w:pPr>
          </w:p>
        </w:tc>
      </w:tr>
      <w:tr>
        <w:trPr>
          <w:trHeight w:val="210"/>
        </w:trPr>
        <w:tc>
          <w:tcPr>
            <w:tcW w:w="326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Pinos Altos mine</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29,768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29,940</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53,979</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61,359</w:t>
            </w:r>
          </w:p>
        </w:tc>
        <w:tc>
          <w:tcPr>
            <w:tcW w:w="0" w:type="dxa"/>
            <w:vAlign w:val="bottom"/>
          </w:tcPr>
          <w:p>
            <w:pPr>
              <w:spacing w:after="0"/>
              <w:rPr>
                <w:sz w:val="1"/>
                <w:szCs w:val="1"/>
                <w:color w:val="auto"/>
              </w:rPr>
            </w:pPr>
          </w:p>
        </w:tc>
      </w:tr>
      <w:tr>
        <w:trPr>
          <w:trHeight w:val="210"/>
        </w:trPr>
        <w:tc>
          <w:tcPr>
            <w:tcW w:w="3260" w:type="dxa"/>
            <w:vAlign w:val="bottom"/>
            <w:gridSpan w:val="2"/>
          </w:tcPr>
          <w:p>
            <w:pPr>
              <w:spacing w:after="0"/>
              <w:rPr>
                <w:sz w:val="20"/>
                <w:szCs w:val="20"/>
                <w:color w:val="auto"/>
              </w:rPr>
            </w:pPr>
            <w:r>
              <w:rPr>
                <w:rFonts w:ascii="Arial" w:cs="Arial" w:eastAsia="Arial" w:hAnsi="Arial"/>
                <w:sz w:val="17"/>
                <w:szCs w:val="17"/>
                <w:color w:val="auto"/>
              </w:rPr>
              <w:t>Creston Mascota deposit at Pinos Altos</w:t>
            </w:r>
          </w:p>
        </w:tc>
        <w:tc>
          <w:tcPr>
            <w:tcW w:w="1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7,501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6,809</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13,107</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12,633</w:t>
            </w:r>
          </w:p>
        </w:tc>
        <w:tc>
          <w:tcPr>
            <w:tcW w:w="0" w:type="dxa"/>
            <w:vAlign w:val="bottom"/>
          </w:tcPr>
          <w:p>
            <w:pPr>
              <w:spacing w:after="0"/>
              <w:rPr>
                <w:sz w:val="1"/>
                <w:szCs w:val="1"/>
                <w:color w:val="auto"/>
              </w:rPr>
            </w:pPr>
          </w:p>
        </w:tc>
      </w:tr>
      <w:tr>
        <w:trPr>
          <w:trHeight w:val="249"/>
        </w:trPr>
        <w:tc>
          <w:tcPr>
            <w:tcW w:w="3260" w:type="dxa"/>
            <w:vAlign w:val="bottom"/>
            <w:gridSpan w:val="2"/>
            <w:shd w:val="clear" w:color="auto" w:fill="CCEEFF"/>
          </w:tcPr>
          <w:p>
            <w:pPr>
              <w:spacing w:after="0" w:line="249" w:lineRule="exact"/>
              <w:rPr>
                <w:sz w:val="20"/>
                <w:szCs w:val="20"/>
                <w:color w:val="auto"/>
              </w:rPr>
            </w:pPr>
            <w:r>
              <w:rPr>
                <w:rFonts w:ascii="Arial" w:cs="Arial" w:eastAsia="Arial" w:hAnsi="Arial"/>
                <w:sz w:val="17"/>
                <w:szCs w:val="17"/>
                <w:color w:val="auto"/>
              </w:rPr>
              <w:t>La India mine</w:t>
            </w:r>
            <w:r>
              <w:rPr>
                <w:rFonts w:ascii="Arial" w:cs="Arial" w:eastAsia="Arial" w:hAnsi="Arial"/>
                <w:sz w:val="28"/>
                <w:szCs w:val="28"/>
                <w:color w:val="auto"/>
                <w:vertAlign w:val="superscript"/>
              </w:rPr>
              <w:t>(ii)</w:t>
            </w:r>
          </w:p>
        </w:tc>
        <w:tc>
          <w:tcPr>
            <w:tcW w:w="100" w:type="dxa"/>
            <w:vAlign w:val="bottom"/>
            <w:shd w:val="clear" w:color="auto" w:fill="CCEEFF"/>
          </w:tcPr>
          <w:p>
            <w:pPr>
              <w:spacing w:after="0"/>
              <w:rPr>
                <w:sz w:val="21"/>
                <w:szCs w:val="21"/>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10,791</w:t>
            </w:r>
          </w:p>
        </w:tc>
        <w:tc>
          <w:tcPr>
            <w:tcW w:w="1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7,035</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23,256</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12,845</w:t>
            </w:r>
          </w:p>
        </w:tc>
        <w:tc>
          <w:tcPr>
            <w:tcW w:w="0" w:type="dxa"/>
            <w:vAlign w:val="bottom"/>
          </w:tcPr>
          <w:p>
            <w:pPr>
              <w:spacing w:after="0"/>
              <w:rPr>
                <w:sz w:val="1"/>
                <w:szCs w:val="1"/>
                <w:color w:val="auto"/>
              </w:rPr>
            </w:pPr>
          </w:p>
        </w:tc>
      </w:tr>
      <w:tr>
        <w:trPr>
          <w:trHeight w:val="26"/>
        </w:trPr>
        <w:tc>
          <w:tcPr>
            <w:tcW w:w="3260" w:type="dxa"/>
            <w:vAlign w:val="bottom"/>
            <w:gridSpan w:val="2"/>
            <w:vMerge w:val="restart"/>
          </w:tcPr>
          <w:p>
            <w:pPr>
              <w:spacing w:after="0"/>
              <w:rPr>
                <w:sz w:val="20"/>
                <w:szCs w:val="20"/>
                <w:color w:val="auto"/>
              </w:rPr>
            </w:pPr>
            <w:r>
              <w:rPr>
                <w:rFonts w:ascii="Arial" w:cs="Arial" w:eastAsia="Arial" w:hAnsi="Arial"/>
                <w:sz w:val="17"/>
                <w:szCs w:val="17"/>
                <w:color w:val="auto"/>
                <w:w w:val="99"/>
              </w:rPr>
              <w:t>Production costs per the condensed interim</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32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260" w:type="dxa"/>
            <w:vAlign w:val="bottom"/>
            <w:gridSpan w:val="2"/>
          </w:tcPr>
          <w:p>
            <w:pPr>
              <w:ind w:left="180"/>
              <w:spacing w:after="0"/>
              <w:rPr>
                <w:sz w:val="20"/>
                <w:szCs w:val="20"/>
                <w:color w:val="auto"/>
              </w:rPr>
            </w:pPr>
            <w:r>
              <w:rPr>
                <w:rFonts w:ascii="Arial" w:cs="Arial" w:eastAsia="Arial" w:hAnsi="Arial"/>
                <w:sz w:val="17"/>
                <w:szCs w:val="17"/>
                <w:color w:val="auto"/>
              </w:rPr>
              <w:t>consolidated statements of income and</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60" w:type="dxa"/>
            <w:vAlign w:val="bottom"/>
            <w:gridSpan w:val="2"/>
          </w:tcPr>
          <w:p>
            <w:pPr>
              <w:ind w:left="180"/>
              <w:spacing w:after="0"/>
              <w:rPr>
                <w:sz w:val="20"/>
                <w:szCs w:val="20"/>
                <w:color w:val="auto"/>
              </w:rPr>
            </w:pPr>
            <w:r>
              <w:rPr>
                <w:rFonts w:ascii="Arial" w:cs="Arial" w:eastAsia="Arial" w:hAnsi="Arial"/>
                <w:sz w:val="17"/>
                <w:szCs w:val="17"/>
                <w:color w:val="auto"/>
              </w:rPr>
              <w:t>comprehensive income</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Pr>
          <w:p>
            <w:pPr>
              <w:jc w:val="right"/>
              <w:spacing w:after="0"/>
              <w:rPr>
                <w:sz w:val="20"/>
                <w:szCs w:val="20"/>
                <w:color w:val="auto"/>
              </w:rPr>
            </w:pPr>
            <w:r>
              <w:rPr>
                <w:rFonts w:ascii="Arial" w:cs="Arial" w:eastAsia="Arial" w:hAnsi="Arial"/>
                <w:sz w:val="17"/>
                <w:szCs w:val="17"/>
                <w:color w:val="auto"/>
              </w:rPr>
              <w:t>263,612</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229,383</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510,892</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447,449</w:t>
            </w:r>
          </w:p>
        </w:tc>
        <w:tc>
          <w:tcPr>
            <w:tcW w:w="0" w:type="dxa"/>
            <w:vAlign w:val="bottom"/>
          </w:tcPr>
          <w:p>
            <w:pPr>
              <w:spacing w:after="0"/>
              <w:rPr>
                <w:sz w:val="1"/>
                <w:szCs w:val="1"/>
                <w:color w:val="auto"/>
              </w:rPr>
            </w:pPr>
          </w:p>
        </w:tc>
      </w:tr>
      <w:tr>
        <w:trPr>
          <w:trHeight w:val="29"/>
        </w:trPr>
        <w:tc>
          <w:tcPr>
            <w:tcW w:w="2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line="232" w:lineRule="auto"/>
        <w:rPr>
          <w:sz w:val="20"/>
          <w:szCs w:val="20"/>
          <w:color w:val="auto"/>
        </w:rPr>
      </w:pPr>
      <w:r>
        <w:rPr>
          <w:rFonts w:ascii="Arial" w:cs="Arial" w:eastAsia="Arial" w:hAnsi="Arial"/>
          <w:sz w:val="17"/>
          <w:szCs w:val="17"/>
          <w:b w:val="1"/>
          <w:bCs w:val="1"/>
          <w:u w:val="single" w:color="auto"/>
          <w:color w:val="auto"/>
        </w:rPr>
        <w:t>Reconciliation of Production Costs to Total Cash Costs per Ounce of Gold Produced</w:t>
      </w:r>
      <w:r>
        <w:rPr>
          <w:rFonts w:ascii="Arial" w:cs="Arial" w:eastAsia="Arial" w:hAnsi="Arial"/>
          <w:sz w:val="28"/>
          <w:szCs w:val="28"/>
          <w:b w:val="1"/>
          <w:bCs w:val="1"/>
          <w:u w:val="single" w:color="auto"/>
          <w:color w:val="auto"/>
          <w:vertAlign w:val="superscript"/>
        </w:rPr>
        <w:t>(iii)</w:t>
      </w:r>
      <w:r>
        <w:rPr>
          <w:rFonts w:ascii="Arial" w:cs="Arial" w:eastAsia="Arial" w:hAnsi="Arial"/>
          <w:sz w:val="17"/>
          <w:szCs w:val="17"/>
          <w:b w:val="1"/>
          <w:bCs w:val="1"/>
          <w:color w:val="auto"/>
        </w:rPr>
        <w:t xml:space="preserve"> by Mine and Reconciliation of Production Costs to Minesite Costs </w:t>
      </w:r>
      <w:r>
        <w:rPr>
          <w:rFonts w:ascii="Arial" w:cs="Arial" w:eastAsia="Arial" w:hAnsi="Arial"/>
          <w:sz w:val="17"/>
          <w:szCs w:val="17"/>
          <w:b w:val="1"/>
          <w:bCs w:val="1"/>
          <w:u w:val="single" w:color="auto"/>
          <w:color w:val="auto"/>
        </w:rPr>
        <w:t>per Tonne</w:t>
      </w:r>
      <w:r>
        <w:rPr>
          <w:rFonts w:ascii="Arial" w:cs="Arial" w:eastAsia="Arial" w:hAnsi="Arial"/>
          <w:sz w:val="28"/>
          <w:szCs w:val="28"/>
          <w:b w:val="1"/>
          <w:bCs w:val="1"/>
          <w:u w:val="single" w:color="auto"/>
          <w:color w:val="auto"/>
          <w:vertAlign w:val="superscript"/>
        </w:rPr>
        <w:t>(iv)</w:t>
      </w:r>
      <w:r>
        <w:rPr>
          <w:rFonts w:ascii="Arial" w:cs="Arial" w:eastAsia="Arial" w:hAnsi="Arial"/>
          <w:sz w:val="17"/>
          <w:szCs w:val="17"/>
          <w:b w:val="1"/>
          <w:bCs w:val="1"/>
          <w:color w:val="auto"/>
        </w:rPr>
        <w:t xml:space="preserve"> by 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4105910</wp:posOffset>
            </wp:positionH>
            <wp:positionV relativeFrom="paragraph">
              <wp:posOffset>-254000</wp:posOffset>
            </wp:positionV>
            <wp:extent cx="314134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141345" cy="8255"/>
                    </a:xfrm>
                    <a:prstGeom prst="rect">
                      <a:avLst/>
                    </a:prstGeom>
                    <a:noFill/>
                  </pic:spPr>
                </pic:pic>
              </a:graphicData>
            </a:graphic>
          </wp:anchor>
        </w:drawing>
        <w:drawing>
          <wp:anchor simplePos="0" relativeHeight="251657728" behindDoc="1" locked="0" layoutInCell="0" allowOverlap="1">
            <wp:simplePos x="0" y="0"/>
            <wp:positionH relativeFrom="column">
              <wp:posOffset>601345</wp:posOffset>
            </wp:positionH>
            <wp:positionV relativeFrom="paragraph">
              <wp:posOffset>-95885</wp:posOffset>
            </wp:positionV>
            <wp:extent cx="40894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408940" cy="8255"/>
                    </a:xfrm>
                    <a:prstGeom prst="rect">
                      <a:avLst/>
                    </a:prstGeom>
                    <a:noFill/>
                  </pic:spPr>
                </pic:pic>
              </a:graphicData>
            </a:graphic>
          </wp:anchor>
        </w:drawing>
      </w:r>
    </w:p>
    <w:p>
      <w:pPr>
        <w:spacing w:after="0" w:line="6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LaRonde Mine — Total Cash Costs per Ounce of Gold Produced</w:t>
      </w:r>
      <w:r>
        <w:rPr>
          <w:rFonts w:ascii="Arial" w:cs="Arial" w:eastAsia="Arial" w:hAnsi="Arial"/>
          <w:sz w:val="28"/>
          <w:szCs w:val="28"/>
          <w:b w:val="1"/>
          <w:bCs w:val="1"/>
          <w:u w:val="single" w:color="auto"/>
          <w:color w:val="auto"/>
          <w:vertAlign w:val="superscript"/>
        </w:rPr>
        <w:t>(iii)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3"/>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right"/>
              <w:ind w:right="240"/>
              <w:spacing w:after="0"/>
              <w:rPr>
                <w:sz w:val="20"/>
                <w:szCs w:val="20"/>
                <w:color w:val="auto"/>
              </w:rPr>
            </w:pPr>
            <w:r>
              <w:rPr>
                <w:rFonts w:ascii="Arial" w:cs="Arial" w:eastAsia="Arial" w:hAnsi="Arial"/>
                <w:sz w:val="13"/>
                <w:szCs w:val="13"/>
                <w:b w:val="1"/>
                <w:bCs w:val="1"/>
                <w:color w:val="auto"/>
                <w:w w:val="90"/>
              </w:rPr>
              <w:t>Six Months Ended</w:t>
            </w:r>
          </w:p>
        </w:tc>
        <w:tc>
          <w:tcPr>
            <w:tcW w:w="100" w:type="dxa"/>
            <w:vAlign w:val="bottom"/>
          </w:tcPr>
          <w:p>
            <w:pPr>
              <w:spacing w:after="0"/>
              <w:rPr>
                <w:sz w:val="14"/>
                <w:szCs w:val="14"/>
                <w:color w:val="auto"/>
              </w:rPr>
            </w:pPr>
          </w:p>
        </w:tc>
        <w:tc>
          <w:tcPr>
            <w:tcW w:w="246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32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rPr>
              <w:t>June 30, 2015</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9"/>
              <w:spacing w:after="0"/>
              <w:rPr>
                <w:sz w:val="20"/>
                <w:szCs w:val="20"/>
                <w:color w:val="auto"/>
              </w:rPr>
            </w:pPr>
            <w:r>
              <w:rPr>
                <w:rFonts w:ascii="Arial" w:cs="Arial" w:eastAsia="Arial" w:hAnsi="Arial"/>
                <w:sz w:val="13"/>
                <w:szCs w:val="13"/>
                <w:b w:val="1"/>
                <w:bCs w:val="1"/>
                <w:color w:val="auto"/>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139"/>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9"/>
              <w:spacing w:after="0"/>
              <w:rPr>
                <w:sz w:val="20"/>
                <w:szCs w:val="20"/>
                <w:color w:val="auto"/>
              </w:rPr>
            </w:pPr>
            <w:r>
              <w:rPr>
                <w:rFonts w:ascii="Arial" w:cs="Arial" w:eastAsia="Arial" w:hAnsi="Arial"/>
                <w:sz w:val="13"/>
                <w:szCs w:val="13"/>
                <w:b w:val="1"/>
                <w:bCs w:val="1"/>
                <w:color w:val="auto"/>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45,133</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46,758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90,999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94,037</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26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6,786</w:t>
            </w:r>
          </w:p>
        </w:tc>
        <w:tc>
          <w:tcPr>
            <w:tcW w:w="1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10,701</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13,464</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19,164</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51,919</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57,459</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104,463</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113,201</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(12,701)</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(21,947)</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(23,835)</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(43,645)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39,218</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35,512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80,628</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69,556</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64,007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48,494</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122,900</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107,846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260" w:type="dxa"/>
            <w:vAlign w:val="bottom"/>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3260" w:type="dxa"/>
            <w:vAlign w:val="bottom"/>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811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1,185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850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1,050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3260" w:type="dxa"/>
            <w:vAlign w:val="bottom"/>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613</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732</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656</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645</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3"/>
          </w:tcPr>
          <w:p>
            <w:pPr>
              <w:jc w:val="right"/>
              <w:ind w:right="140"/>
              <w:spacing w:after="0"/>
              <w:rPr>
                <w:sz w:val="20"/>
                <w:szCs w:val="20"/>
                <w:color w:val="auto"/>
              </w:rPr>
            </w:pPr>
            <w:r>
              <w:rPr>
                <w:rFonts w:ascii="Arial" w:cs="Arial" w:eastAsia="Arial" w:hAnsi="Arial"/>
                <w:sz w:val="17"/>
                <w:szCs w:val="17"/>
                <w:color w:val="auto"/>
              </w:rPr>
              <w:t>18</w:t>
            </w: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32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2" w:name="page23"/>
    <w:bookmarkEnd w:id="2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LaRonde Mine — Minesite Costs per Tonne</w:t>
      </w:r>
      <w:r>
        <w:rPr>
          <w:rFonts w:ascii="Arial" w:cs="Arial" w:eastAsia="Arial" w:hAnsi="Arial"/>
          <w:sz w:val="28"/>
          <w:szCs w:val="28"/>
          <w:b w:val="1"/>
          <w:bCs w:val="1"/>
          <w:u w:val="single" w:color="auto"/>
          <w:color w:val="auto"/>
          <w:vertAlign w:val="superscript"/>
        </w:rPr>
        <w:t>(iv)</w:t>
      </w:r>
    </w:p>
    <w:p>
      <w:pPr>
        <w:spacing w:after="0" w:line="13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800" w:type="dxa"/>
            <w:vAlign w:val="bottom"/>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2800" w:type="dxa"/>
            <w:vAlign w:val="bottom"/>
          </w:tcPr>
          <w:p>
            <w:pPr>
              <w:spacing w:after="0"/>
              <w:rPr>
                <w:sz w:val="20"/>
                <w:szCs w:val="20"/>
                <w:color w:val="auto"/>
              </w:rPr>
            </w:pPr>
            <w:r>
              <w:rPr>
                <w:rFonts w:ascii="Arial" w:cs="Arial" w:eastAsia="Arial" w:hAnsi="Arial"/>
                <w:sz w:val="13"/>
                <w:szCs w:val="13"/>
                <w:b w:val="1"/>
                <w:bCs w:val="1"/>
                <w:color w:val="auto"/>
              </w:rPr>
              <w:t>noted)</w:t>
            </w:r>
          </w:p>
        </w:tc>
        <w:tc>
          <w:tcPr>
            <w:tcW w:w="1640" w:type="dxa"/>
            <w:vAlign w:val="bottom"/>
            <w:gridSpan w:val="3"/>
            <w:vMerge w:val="restart"/>
          </w:tcPr>
          <w:p>
            <w:pPr>
              <w:ind w:left="160"/>
              <w:spacing w:after="0"/>
              <w:rPr>
                <w:sz w:val="20"/>
                <w:szCs w:val="20"/>
                <w:color w:val="auto"/>
              </w:rPr>
            </w:pPr>
            <w:r>
              <w:rPr>
                <w:rFonts w:ascii="Arial" w:cs="Arial" w:eastAsia="Arial" w:hAnsi="Arial"/>
                <w:sz w:val="13"/>
                <w:szCs w:val="13"/>
                <w:b w:val="1"/>
                <w:bCs w:val="1"/>
                <w:color w:val="auto"/>
              </w:rPr>
              <w:t>Three Months Ended</w:t>
            </w:r>
          </w:p>
        </w:tc>
        <w:tc>
          <w:tcPr>
            <w:tcW w:w="1660" w:type="dxa"/>
            <w:vAlign w:val="bottom"/>
            <w:gridSpan w:val="3"/>
            <w:vMerge w:val="restart"/>
          </w:tcPr>
          <w:p>
            <w:pPr>
              <w:jc w:val="center"/>
              <w:ind w:right="140"/>
              <w:spacing w:after="0"/>
              <w:rPr>
                <w:sz w:val="20"/>
                <w:szCs w:val="20"/>
                <w:color w:val="auto"/>
              </w:rPr>
            </w:pPr>
            <w:r>
              <w:rPr>
                <w:rFonts w:ascii="Arial" w:cs="Arial" w:eastAsia="Arial" w:hAnsi="Arial"/>
                <w:sz w:val="13"/>
                <w:szCs w:val="13"/>
                <w:b w:val="1"/>
                <w:bCs w:val="1"/>
                <w:color w:val="auto"/>
                <w:w w:val="93"/>
              </w:rPr>
              <w:t>Three Months Ended</w:t>
            </w:r>
          </w:p>
        </w:tc>
        <w:tc>
          <w:tcPr>
            <w:tcW w:w="1500" w:type="dxa"/>
            <w:vAlign w:val="bottom"/>
            <w:gridSpan w:val="3"/>
            <w:vMerge w:val="restart"/>
          </w:tcPr>
          <w:p>
            <w:pPr>
              <w:ind w:left="160"/>
              <w:spacing w:after="0"/>
              <w:rPr>
                <w:sz w:val="20"/>
                <w:szCs w:val="20"/>
                <w:color w:val="auto"/>
              </w:rPr>
            </w:pPr>
            <w:r>
              <w:rPr>
                <w:rFonts w:ascii="Arial" w:cs="Arial" w:eastAsia="Arial" w:hAnsi="Arial"/>
                <w:sz w:val="13"/>
                <w:szCs w:val="13"/>
                <w:b w:val="1"/>
                <w:bCs w:val="1"/>
                <w:color w:val="auto"/>
              </w:rPr>
              <w:t>Six Months Ended</w:t>
            </w:r>
          </w:p>
        </w:tc>
        <w:tc>
          <w:tcPr>
            <w:tcW w:w="1520" w:type="dxa"/>
            <w:vAlign w:val="bottom"/>
            <w:gridSpan w:val="3"/>
            <w:vMerge w:val="restart"/>
          </w:tcPr>
          <w:p>
            <w:pPr>
              <w:jc w:val="center"/>
              <w:ind w:right="16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2800" w:type="dxa"/>
            <w:vAlign w:val="bottom"/>
          </w:tcPr>
          <w:p>
            <w:pPr>
              <w:spacing w:after="0"/>
              <w:rPr>
                <w:sz w:val="4"/>
                <w:szCs w:val="4"/>
                <w:color w:val="auto"/>
              </w:rPr>
            </w:pPr>
          </w:p>
        </w:tc>
        <w:tc>
          <w:tcPr>
            <w:tcW w:w="1640" w:type="dxa"/>
            <w:vAlign w:val="bottom"/>
            <w:gridSpan w:val="3"/>
            <w:vMerge w:val="continue"/>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1500" w:type="dxa"/>
            <w:vAlign w:val="bottom"/>
            <w:gridSpan w:val="3"/>
            <w:vMerge w:val="continue"/>
          </w:tcPr>
          <w:p>
            <w:pPr>
              <w:spacing w:after="0"/>
              <w:rPr>
                <w:sz w:val="4"/>
                <w:szCs w:val="4"/>
                <w:color w:val="auto"/>
              </w:rPr>
            </w:pPr>
          </w:p>
        </w:tc>
        <w:tc>
          <w:tcPr>
            <w:tcW w:w="15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80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298"/>
              <w:spacing w:after="0"/>
              <w:rPr>
                <w:sz w:val="20"/>
                <w:szCs w:val="20"/>
                <w:color w:val="auto"/>
              </w:rPr>
            </w:pPr>
            <w:r>
              <w:rPr>
                <w:rFonts w:ascii="Arial" w:cs="Arial" w:eastAsia="Arial" w:hAnsi="Arial"/>
                <w:sz w:val="13"/>
                <w:szCs w:val="13"/>
                <w:b w:val="1"/>
                <w:bCs w:val="1"/>
                <w:color w:val="auto"/>
                <w:w w:val="96"/>
              </w:rPr>
              <w:t>June 30, 2015</w:t>
            </w:r>
          </w:p>
        </w:tc>
        <w:tc>
          <w:tcPr>
            <w:tcW w:w="14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tcPr>
          <w:p>
            <w:pPr>
              <w:jc w:val="center"/>
              <w:ind w:right="198"/>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2"/>
              </w:rPr>
              <w:t>June 30, 2015</w:t>
            </w:r>
          </w:p>
        </w:tc>
        <w:tc>
          <w:tcPr>
            <w:tcW w:w="14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jc w:val="center"/>
              <w:ind w:right="178"/>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280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45,133</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46,758</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90,999</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94,037</w:t>
            </w:r>
          </w:p>
        </w:tc>
        <w:tc>
          <w:tcPr>
            <w:tcW w:w="0" w:type="dxa"/>
            <w:vAlign w:val="bottom"/>
          </w:tcPr>
          <w:p>
            <w:pPr>
              <w:spacing w:after="0"/>
              <w:rPr>
                <w:sz w:val="1"/>
                <w:szCs w:val="1"/>
                <w:color w:val="auto"/>
              </w:rPr>
            </w:pPr>
          </w:p>
        </w:tc>
      </w:tr>
      <w:tr>
        <w:trPr>
          <w:trHeight w:val="275"/>
        </w:trPr>
        <w:tc>
          <w:tcPr>
            <w:tcW w:w="2800" w:type="dxa"/>
            <w:vAlign w:val="bottom"/>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(vi)</w:t>
            </w:r>
          </w:p>
        </w:tc>
        <w:tc>
          <w:tcPr>
            <w:tcW w:w="28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854</w:t>
            </w:r>
          </w:p>
        </w:tc>
        <w:tc>
          <w:tcPr>
            <w:tcW w:w="1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7"/>
                <w:szCs w:val="17"/>
                <w:color w:val="auto"/>
              </w:rPr>
              <w:t>2,666</w:t>
            </w:r>
          </w:p>
        </w:tc>
        <w:tc>
          <w:tcPr>
            <w:tcW w:w="260" w:type="dxa"/>
            <w:vAlign w:val="bottom"/>
          </w:tcPr>
          <w:p>
            <w:pPr>
              <w:spacing w:after="0"/>
              <w:rPr>
                <w:sz w:val="23"/>
                <w:szCs w:val="23"/>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7"/>
                <w:szCs w:val="17"/>
                <w:color w:val="auto"/>
              </w:rPr>
              <w:t>1,719</w:t>
            </w:r>
          </w:p>
        </w:tc>
        <w:tc>
          <w:tcPr>
            <w:tcW w:w="260" w:type="dxa"/>
            <w:vAlign w:val="bottom"/>
          </w:tcPr>
          <w:p>
            <w:pPr>
              <w:spacing w:after="0"/>
              <w:rPr>
                <w:sz w:val="23"/>
                <w:szCs w:val="23"/>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3,814</w:t>
            </w:r>
          </w:p>
        </w:tc>
        <w:tc>
          <w:tcPr>
            <w:tcW w:w="0" w:type="dxa"/>
            <w:vAlign w:val="bottom"/>
          </w:tcPr>
          <w:p>
            <w:pPr>
              <w:spacing w:after="0"/>
              <w:rPr>
                <w:sz w:val="1"/>
                <w:szCs w:val="1"/>
                <w:color w:val="auto"/>
              </w:rPr>
            </w:pPr>
          </w:p>
        </w:tc>
      </w:tr>
      <w:tr>
        <w:trPr>
          <w:trHeight w:val="20"/>
        </w:trPr>
        <w:tc>
          <w:tcPr>
            <w:tcW w:w="28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800" w:type="dxa"/>
            <w:vAlign w:val="bottom"/>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45,987</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49,424</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92,718</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97,851</w:t>
            </w:r>
          </w:p>
        </w:tc>
        <w:tc>
          <w:tcPr>
            <w:tcW w:w="0" w:type="dxa"/>
            <w:vAlign w:val="bottom"/>
          </w:tcPr>
          <w:p>
            <w:pPr>
              <w:spacing w:after="0"/>
              <w:rPr>
                <w:sz w:val="1"/>
                <w:szCs w:val="1"/>
                <w:color w:val="auto"/>
              </w:rPr>
            </w:pPr>
          </w:p>
        </w:tc>
      </w:tr>
      <w:tr>
        <w:trPr>
          <w:trHeight w:val="201"/>
        </w:trPr>
        <w:tc>
          <w:tcPr>
            <w:tcW w:w="2800" w:type="dxa"/>
            <w:vAlign w:val="bottom"/>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800" w:type="dxa"/>
            <w:vAlign w:val="bottom"/>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20" w:type="dxa"/>
            <w:vAlign w:val="bottom"/>
          </w:tcPr>
          <w:p>
            <w:pPr>
              <w:jc w:val="right"/>
              <w:spacing w:after="0"/>
              <w:rPr>
                <w:sz w:val="20"/>
                <w:szCs w:val="20"/>
                <w:color w:val="auto"/>
              </w:rPr>
            </w:pPr>
            <w:r>
              <w:rPr>
                <w:rFonts w:ascii="Arial" w:cs="Arial" w:eastAsia="Arial" w:hAnsi="Arial"/>
                <w:sz w:val="17"/>
                <w:szCs w:val="17"/>
                <w:color w:val="auto"/>
              </w:rPr>
              <w:t>56,474</w:t>
            </w:r>
          </w:p>
        </w:tc>
        <w:tc>
          <w:tcPr>
            <w:tcW w:w="140" w:type="dxa"/>
            <w:vAlign w:val="bottom"/>
          </w:tcPr>
          <w:p>
            <w:pPr>
              <w:spacing w:after="0"/>
              <w:rPr>
                <w:sz w:val="18"/>
                <w:szCs w:val="18"/>
                <w:color w:val="auto"/>
              </w:rPr>
            </w:pPr>
          </w:p>
        </w:tc>
        <w:tc>
          <w:tcPr>
            <w:tcW w:w="300" w:type="dxa"/>
            <w:vAlign w:val="bottom"/>
          </w:tcPr>
          <w:p>
            <w:pPr>
              <w:jc w:val="right"/>
              <w:ind w:right="19"/>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60"/>
              <w:spacing w:after="0"/>
              <w:rPr>
                <w:sz w:val="20"/>
                <w:szCs w:val="20"/>
                <w:color w:val="auto"/>
              </w:rPr>
            </w:pPr>
            <w:r>
              <w:rPr>
                <w:rFonts w:ascii="Arial" w:cs="Arial" w:eastAsia="Arial" w:hAnsi="Arial"/>
                <w:sz w:val="17"/>
                <w:szCs w:val="17"/>
                <w:color w:val="auto"/>
              </w:rPr>
              <w:t>53,898</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40" w:type="dxa"/>
            <w:vAlign w:val="bottom"/>
            <w:gridSpan w:val="2"/>
          </w:tcPr>
          <w:p>
            <w:pPr>
              <w:jc w:val="right"/>
              <w:ind w:right="140"/>
              <w:spacing w:after="0"/>
              <w:rPr>
                <w:sz w:val="20"/>
                <w:szCs w:val="20"/>
                <w:color w:val="auto"/>
              </w:rPr>
            </w:pPr>
            <w:r>
              <w:rPr>
                <w:rFonts w:ascii="Arial" w:cs="Arial" w:eastAsia="Arial" w:hAnsi="Arial"/>
                <w:sz w:val="17"/>
                <w:szCs w:val="17"/>
                <w:color w:val="auto"/>
              </w:rPr>
              <w:t>114,263</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107,342</w:t>
            </w:r>
          </w:p>
        </w:tc>
        <w:tc>
          <w:tcPr>
            <w:tcW w:w="0" w:type="dxa"/>
            <w:vAlign w:val="bottom"/>
          </w:tcPr>
          <w:p>
            <w:pPr>
              <w:spacing w:after="0"/>
              <w:rPr>
                <w:sz w:val="1"/>
                <w:szCs w:val="1"/>
                <w:color w:val="auto"/>
              </w:rPr>
            </w:pPr>
          </w:p>
        </w:tc>
      </w:tr>
      <w:tr>
        <w:trPr>
          <w:trHeight w:val="202"/>
        </w:trPr>
        <w:tc>
          <w:tcPr>
            <w:tcW w:w="2800" w:type="dxa"/>
            <w:vAlign w:val="bottom"/>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28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568</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564</w:t>
            </w:r>
          </w:p>
        </w:tc>
        <w:tc>
          <w:tcPr>
            <w:tcW w:w="26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1,126</w:t>
            </w: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1,121</w:t>
            </w:r>
          </w:p>
        </w:tc>
        <w:tc>
          <w:tcPr>
            <w:tcW w:w="0" w:type="dxa"/>
            <w:vAlign w:val="bottom"/>
          </w:tcPr>
          <w:p>
            <w:pPr>
              <w:spacing w:after="0"/>
              <w:rPr>
                <w:sz w:val="1"/>
                <w:szCs w:val="1"/>
                <w:color w:val="auto"/>
              </w:rPr>
            </w:pPr>
          </w:p>
        </w:tc>
      </w:tr>
      <w:tr>
        <w:trPr>
          <w:trHeight w:val="26"/>
        </w:trPr>
        <w:tc>
          <w:tcPr>
            <w:tcW w:w="2800" w:type="dxa"/>
            <w:vAlign w:val="bottom"/>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(iv)</w:t>
            </w: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2800" w:type="dxa"/>
            <w:vAlign w:val="bottom"/>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20" w:type="dxa"/>
            <w:vAlign w:val="bottom"/>
          </w:tcPr>
          <w:p>
            <w:pPr>
              <w:jc w:val="right"/>
              <w:spacing w:after="0"/>
              <w:rPr>
                <w:sz w:val="20"/>
                <w:szCs w:val="20"/>
                <w:color w:val="auto"/>
              </w:rPr>
            </w:pPr>
            <w:r>
              <w:rPr>
                <w:rFonts w:ascii="Arial" w:cs="Arial" w:eastAsia="Arial" w:hAnsi="Arial"/>
                <w:sz w:val="17"/>
                <w:szCs w:val="17"/>
                <w:color w:val="auto"/>
              </w:rPr>
              <w:t>99</w:t>
            </w:r>
          </w:p>
        </w:tc>
        <w:tc>
          <w:tcPr>
            <w:tcW w:w="140" w:type="dxa"/>
            <w:vAlign w:val="bottom"/>
          </w:tcPr>
          <w:p>
            <w:pPr>
              <w:spacing w:after="0"/>
              <w:rPr>
                <w:sz w:val="23"/>
                <w:szCs w:val="23"/>
                <w:color w:val="auto"/>
              </w:rPr>
            </w:pPr>
          </w:p>
        </w:tc>
        <w:tc>
          <w:tcPr>
            <w:tcW w:w="300" w:type="dxa"/>
            <w:vAlign w:val="bottom"/>
          </w:tcPr>
          <w:p>
            <w:pPr>
              <w:jc w:val="right"/>
              <w:ind w:right="19"/>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60"/>
              <w:spacing w:after="0"/>
              <w:rPr>
                <w:sz w:val="20"/>
                <w:szCs w:val="20"/>
                <w:color w:val="auto"/>
              </w:rPr>
            </w:pPr>
            <w:r>
              <w:rPr>
                <w:rFonts w:ascii="Arial" w:cs="Arial" w:eastAsia="Arial" w:hAnsi="Arial"/>
                <w:sz w:val="17"/>
                <w:szCs w:val="17"/>
                <w:color w:val="auto"/>
              </w:rPr>
              <w:t>96</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40" w:type="dxa"/>
            <w:vAlign w:val="bottom"/>
            <w:gridSpan w:val="2"/>
          </w:tcPr>
          <w:p>
            <w:pPr>
              <w:jc w:val="right"/>
              <w:ind w:right="140"/>
              <w:spacing w:after="0"/>
              <w:rPr>
                <w:sz w:val="20"/>
                <w:szCs w:val="20"/>
                <w:color w:val="auto"/>
              </w:rPr>
            </w:pPr>
            <w:r>
              <w:rPr>
                <w:rFonts w:ascii="Arial" w:cs="Arial" w:eastAsia="Arial" w:hAnsi="Arial"/>
                <w:sz w:val="17"/>
                <w:szCs w:val="17"/>
                <w:color w:val="auto"/>
              </w:rPr>
              <w:t>101</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96</w:t>
            </w:r>
          </w:p>
        </w:tc>
        <w:tc>
          <w:tcPr>
            <w:tcW w:w="0" w:type="dxa"/>
            <w:vAlign w:val="bottom"/>
          </w:tcPr>
          <w:p>
            <w:pPr>
              <w:spacing w:after="0"/>
              <w:rPr>
                <w:sz w:val="1"/>
                <w:szCs w:val="1"/>
                <w:color w:val="auto"/>
              </w:rPr>
            </w:pPr>
          </w:p>
        </w:tc>
      </w:tr>
      <w:tr>
        <w:trPr>
          <w:trHeight w:val="20"/>
        </w:trPr>
        <w:tc>
          <w:tcPr>
            <w:tcW w:w="28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Lapa Mine — Total Cash Costs per Ounce of Gold Produced</w:t>
      </w:r>
      <w:r>
        <w:rPr>
          <w:rFonts w:ascii="Arial" w:cs="Arial" w:eastAsia="Arial" w:hAnsi="Arial"/>
          <w:sz w:val="28"/>
          <w:szCs w:val="28"/>
          <w:b w:val="1"/>
          <w:bCs w:val="1"/>
          <w:u w:val="single" w:color="auto"/>
          <w:color w:val="auto"/>
          <w:vertAlign w:val="superscript"/>
        </w:rPr>
        <w:t>(iii)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080" w:type="dxa"/>
            <w:vAlign w:val="bottom"/>
            <w:gridSpan w:val="5"/>
          </w:tcPr>
          <w:p>
            <w:pPr>
              <w:spacing w:after="0"/>
              <w:rPr>
                <w:sz w:val="20"/>
                <w:szCs w:val="20"/>
                <w:color w:val="auto"/>
              </w:rPr>
            </w:pPr>
            <w:r>
              <w:rPr>
                <w:rFonts w:ascii="Arial" w:cs="Arial" w:eastAsia="Arial" w:hAnsi="Arial"/>
                <w:sz w:val="13"/>
                <w:szCs w:val="13"/>
                <w:b w:val="1"/>
                <w:bCs w:val="1"/>
                <w:color w:val="auto"/>
                <w:w w:val="93"/>
              </w:rPr>
              <w:t>(thousands of United States dollars, except as noted)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5"/>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5"/>
            <w:vMerge w:val="restart"/>
          </w:tcPr>
          <w:p>
            <w:pPr>
              <w:jc w:val="right"/>
              <w:ind w:right="194"/>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160" w:type="dxa"/>
            <w:vAlign w:val="bottom"/>
            <w:gridSpan w:val="3"/>
            <w:vMerge w:val="restart"/>
          </w:tcPr>
          <w:p>
            <w:pPr>
              <w:jc w:val="right"/>
              <w:ind w:right="120"/>
              <w:spacing w:after="0"/>
              <w:rPr>
                <w:sz w:val="20"/>
                <w:szCs w:val="20"/>
                <w:color w:val="auto"/>
              </w:rPr>
            </w:pPr>
            <w:r>
              <w:rPr>
                <w:rFonts w:ascii="Arial" w:cs="Arial" w:eastAsia="Arial" w:hAnsi="Arial"/>
                <w:sz w:val="13"/>
                <w:szCs w:val="13"/>
                <w:b w:val="1"/>
                <w:bCs w:val="1"/>
                <w:color w:val="auto"/>
                <w:w w:val="90"/>
              </w:rPr>
              <w:t>Six Months Ended</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6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760" w:type="dxa"/>
            <w:vAlign w:val="bottom"/>
          </w:tcPr>
          <w:p>
            <w:pPr>
              <w:spacing w:after="0"/>
              <w:rPr>
                <w:sz w:val="4"/>
                <w:szCs w:val="4"/>
                <w:color w:val="auto"/>
              </w:rPr>
            </w:pPr>
          </w:p>
        </w:tc>
        <w:tc>
          <w:tcPr>
            <w:tcW w:w="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40" w:type="dxa"/>
            <w:vAlign w:val="bottom"/>
          </w:tcPr>
          <w:p>
            <w:pPr>
              <w:spacing w:after="0"/>
              <w:rPr>
                <w:sz w:val="4"/>
                <w:szCs w:val="4"/>
                <w:color w:val="auto"/>
              </w:rPr>
            </w:pPr>
          </w:p>
        </w:tc>
        <w:tc>
          <w:tcPr>
            <w:tcW w:w="2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gridSpan w:val="3"/>
            <w:vMerge w:val="continue"/>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3"/>
                <w:szCs w:val="13"/>
                <w:b w:val="1"/>
                <w:bCs w:val="1"/>
                <w:color w:val="auto"/>
              </w:rPr>
              <w:t>June 30, 2015</w:t>
            </w:r>
          </w:p>
        </w:tc>
        <w:tc>
          <w:tcPr>
            <w:tcW w:w="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3"/>
                <w:szCs w:val="13"/>
                <w:b w:val="1"/>
                <w:bCs w:val="1"/>
                <w:color w:val="auto"/>
              </w:rPr>
              <w:t>June 30, 2014</w:t>
            </w:r>
          </w:p>
        </w:tc>
        <w:tc>
          <w:tcPr>
            <w:tcW w:w="1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2015</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8"/>
              <w:spacing w:after="0"/>
              <w:rPr>
                <w:sz w:val="20"/>
                <w:szCs w:val="20"/>
                <w:color w:val="auto"/>
              </w:rPr>
            </w:pPr>
            <w:r>
              <w:rPr>
                <w:rFonts w:ascii="Arial" w:cs="Arial" w:eastAsia="Arial" w:hAnsi="Arial"/>
                <w:sz w:val="13"/>
                <w:szCs w:val="13"/>
                <w:b w:val="1"/>
                <w:bCs w:val="1"/>
                <w:color w:val="auto"/>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spacing w:after="0"/>
              <w:rPr>
                <w:sz w:val="17"/>
                <w:szCs w:val="17"/>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13,656</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14,356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27,641</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29,706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280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w w:val="91"/>
              </w:rPr>
              <w:t>Inventory and other adjustments</w:t>
            </w:r>
            <w:r>
              <w:rPr>
                <w:rFonts w:ascii="Arial" w:cs="Arial" w:eastAsia="Arial" w:hAnsi="Arial"/>
                <w:sz w:val="28"/>
                <w:szCs w:val="28"/>
                <w:color w:val="auto"/>
                <w:w w:val="91"/>
                <w:vertAlign w:val="superscript"/>
              </w:rPr>
              <w:t>(v)</w:t>
            </w:r>
          </w:p>
        </w:tc>
        <w:tc>
          <w:tcPr>
            <w:tcW w:w="2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100"/>
              <w:spacing w:after="0"/>
              <w:rPr>
                <w:sz w:val="20"/>
                <w:szCs w:val="20"/>
                <w:color w:val="auto"/>
              </w:rPr>
            </w:pPr>
            <w:r>
              <w:rPr>
                <w:rFonts w:ascii="Arial" w:cs="Arial" w:eastAsia="Arial" w:hAnsi="Arial"/>
                <w:sz w:val="17"/>
                <w:szCs w:val="17"/>
                <w:color w:val="auto"/>
              </w:rPr>
              <w:t>(459)</w:t>
            </w: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1,307</w:t>
            </w:r>
          </w:p>
        </w:tc>
        <w:tc>
          <w:tcPr>
            <w:tcW w:w="100" w:type="dxa"/>
            <w:vAlign w:val="bottom"/>
            <w:shd w:val="clear" w:color="auto" w:fill="CCEEFF"/>
          </w:tcPr>
          <w:p>
            <w:pPr>
              <w:spacing w:after="0"/>
              <w:rPr>
                <w:sz w:val="21"/>
                <w:szCs w:val="21"/>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290</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1,467</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(co-product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2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13,197</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15,663</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27,931</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31,173</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(1)</w:t>
            </w: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gridSpan w:val="3"/>
            <w:shd w:val="clear" w:color="auto" w:fill="CCEEFF"/>
          </w:tcPr>
          <w:p>
            <w:pPr>
              <w:jc w:val="right"/>
              <w:ind w:right="34"/>
              <w:spacing w:after="0"/>
              <w:rPr>
                <w:sz w:val="20"/>
                <w:szCs w:val="20"/>
                <w:color w:val="auto"/>
              </w:rPr>
            </w:pPr>
            <w:r>
              <w:rPr>
                <w:rFonts w:ascii="Arial" w:cs="Arial" w:eastAsia="Arial" w:hAnsi="Arial"/>
                <w:sz w:val="17"/>
                <w:szCs w:val="17"/>
                <w:color w:val="auto"/>
              </w:rPr>
              <w:t>(1)</w:t>
            </w:r>
          </w:p>
        </w:tc>
        <w:tc>
          <w:tcPr>
            <w:tcW w:w="10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15"/>
              <w:spacing w:after="0"/>
              <w:rPr>
                <w:sz w:val="20"/>
                <w:szCs w:val="20"/>
                <w:color w:val="auto"/>
              </w:rPr>
            </w:pPr>
            <w:r>
              <w:rPr>
                <w:rFonts w:ascii="Arial" w:cs="Arial" w:eastAsia="Arial" w:hAnsi="Arial"/>
                <w:sz w:val="17"/>
                <w:szCs w:val="17"/>
                <w:color w:val="auto"/>
              </w:rPr>
              <w:t>(18)</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(by-product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2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13,196</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15,662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27,913</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31,170</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19,450</w:t>
            </w: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18,821</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45,370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42,230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080" w:type="dxa"/>
            <w:vAlign w:val="bottom"/>
            <w:gridSpan w:val="5"/>
          </w:tcPr>
          <w:p>
            <w:pPr>
              <w:spacing w:after="0"/>
              <w:rPr>
                <w:sz w:val="20"/>
                <w:szCs w:val="20"/>
                <w:color w:val="auto"/>
              </w:rPr>
            </w:pPr>
            <w:r>
              <w:rPr>
                <w:rFonts w:ascii="Arial" w:cs="Arial" w:eastAsia="Arial" w:hAnsi="Arial"/>
                <w:sz w:val="17"/>
                <w:szCs w:val="17"/>
                <w:color w:val="auto"/>
                <w:w w:val="91"/>
              </w:rPr>
              <w:t>Total cash costs per ounce of gold produced</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280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(iii)</w:t>
            </w:r>
            <w:r>
              <w:rPr>
                <w:rFonts w:ascii="Arial" w:cs="Arial" w:eastAsia="Arial" w:hAnsi="Arial"/>
                <w:sz w:val="17"/>
                <w:szCs w:val="17"/>
                <w:color w:val="auto"/>
              </w:rPr>
              <w:t>:</w:t>
            </w:r>
          </w:p>
        </w:tc>
        <w:tc>
          <w:tcPr>
            <w:tcW w:w="2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28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w w:val="84"/>
              </w:rPr>
              <w:t>679</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832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616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738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gridSpan w:val="4"/>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2800" w:type="dxa"/>
            <w:vAlign w:val="bottom"/>
            <w:gridSpan w:val="4"/>
            <w:vMerge w:val="continue"/>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94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678</w:t>
            </w:r>
          </w:p>
        </w:tc>
        <w:tc>
          <w:tcPr>
            <w:tcW w:w="160" w:type="dxa"/>
            <w:vAlign w:val="bottom"/>
          </w:tcPr>
          <w:p>
            <w:pPr>
              <w:spacing w:after="0"/>
              <w:rPr>
                <w:sz w:val="16"/>
                <w:szCs w:val="16"/>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832</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615</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738</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90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0"/>
              </w:rPr>
              <w:t>Lapa Mine — Minesite Costs per Tonne</w:t>
            </w:r>
          </w:p>
        </w:tc>
        <w:tc>
          <w:tcPr>
            <w:tcW w:w="20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85"/>
              </w:rPr>
              <w:t>(iv)</w:t>
            </w:r>
          </w:p>
        </w:tc>
        <w:tc>
          <w:tcPr>
            <w:tcW w:w="8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900" w:type="dxa"/>
            <w:vAlign w:val="bottom"/>
            <w:gridSpan w:val="2"/>
            <w:vMerge w:val="continue"/>
          </w:tcPr>
          <w:p>
            <w:pPr>
              <w:spacing w:after="0" w:line="20" w:lineRule="exact"/>
              <w:rPr>
                <w:sz w:val="1"/>
                <w:szCs w:val="1"/>
                <w:color w:val="auto"/>
              </w:rPr>
            </w:pPr>
          </w:p>
        </w:tc>
        <w:tc>
          <w:tcPr>
            <w:tcW w:w="200" w:type="dxa"/>
            <w:vAlign w:val="bottom"/>
            <w:gridSpan w:val="2"/>
            <w:vMerge w:val="continue"/>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2900" w:type="dxa"/>
            <w:vAlign w:val="bottom"/>
            <w:gridSpan w:val="2"/>
            <w:vMerge w:val="continue"/>
          </w:tcPr>
          <w:p>
            <w:pPr>
              <w:spacing w:after="0"/>
              <w:rPr>
                <w:sz w:val="24"/>
                <w:szCs w:val="24"/>
                <w:color w:val="auto"/>
              </w:rPr>
            </w:pPr>
          </w:p>
        </w:tc>
        <w:tc>
          <w:tcPr>
            <w:tcW w:w="200" w:type="dxa"/>
            <w:vAlign w:val="bottom"/>
            <w:tcBorders>
              <w:bottom w:val="single" w:sz="8" w:color="auto"/>
            </w:tcBorders>
            <w:gridSpan w:val="2"/>
            <w:vMerge w:val="continue"/>
          </w:tcPr>
          <w:p>
            <w:pPr>
              <w:spacing w:after="0"/>
              <w:rPr>
                <w:sz w:val="24"/>
                <w:szCs w:val="24"/>
                <w:color w:val="auto"/>
              </w:rPr>
            </w:pPr>
          </w:p>
        </w:tc>
        <w:tc>
          <w:tcPr>
            <w:tcW w:w="840" w:type="dxa"/>
            <w:vAlign w:val="bottom"/>
            <w:vMerge w:val="restart"/>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90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8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2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rPr>
              <w:t>noted)</w:t>
            </w:r>
          </w:p>
        </w:tc>
        <w:tc>
          <w:tcPr>
            <w:tcW w:w="1580" w:type="dxa"/>
            <w:vAlign w:val="bottom"/>
            <w:gridSpan w:val="5"/>
            <w:vMerge w:val="restart"/>
          </w:tcPr>
          <w:p>
            <w:pPr>
              <w:jc w:val="right"/>
              <w:ind w:right="240"/>
              <w:spacing w:after="0"/>
              <w:rPr>
                <w:sz w:val="20"/>
                <w:szCs w:val="20"/>
                <w:color w:val="auto"/>
              </w:rPr>
            </w:pPr>
            <w:r>
              <w:rPr>
                <w:rFonts w:ascii="Arial" w:cs="Arial" w:eastAsia="Arial" w:hAnsi="Arial"/>
                <w:sz w:val="13"/>
                <w:szCs w:val="13"/>
                <w:b w:val="1"/>
                <w:bCs w:val="1"/>
                <w:color w:val="auto"/>
              </w:rPr>
              <w:t>Three Months Ended</w:t>
            </w:r>
          </w:p>
        </w:tc>
        <w:tc>
          <w:tcPr>
            <w:tcW w:w="60" w:type="dxa"/>
            <w:vAlign w:val="bottom"/>
          </w:tcPr>
          <w:p>
            <w:pPr>
              <w:spacing w:after="0"/>
              <w:rPr>
                <w:sz w:val="14"/>
                <w:szCs w:val="14"/>
                <w:color w:val="auto"/>
              </w:rPr>
            </w:pPr>
          </w:p>
        </w:tc>
        <w:tc>
          <w:tcPr>
            <w:tcW w:w="1560" w:type="dxa"/>
            <w:vAlign w:val="bottom"/>
            <w:gridSpan w:val="5"/>
            <w:vMerge w:val="restart"/>
          </w:tcPr>
          <w:p>
            <w:pPr>
              <w:jc w:val="right"/>
              <w:ind w:right="200"/>
              <w:spacing w:after="0"/>
              <w:rPr>
                <w:sz w:val="20"/>
                <w:szCs w:val="20"/>
                <w:color w:val="auto"/>
              </w:rPr>
            </w:pPr>
            <w:r>
              <w:rPr>
                <w:rFonts w:ascii="Arial" w:cs="Arial" w:eastAsia="Arial" w:hAnsi="Arial"/>
                <w:sz w:val="13"/>
                <w:szCs w:val="13"/>
                <w:b w:val="1"/>
                <w:bCs w:val="1"/>
                <w:color w:val="auto"/>
              </w:rPr>
              <w:t>Three Months Ended</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2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w w:val="97"/>
              </w:rPr>
              <w:t>Six Months Ended</w:t>
            </w:r>
          </w:p>
        </w:tc>
        <w:tc>
          <w:tcPr>
            <w:tcW w:w="120" w:type="dxa"/>
            <w:vAlign w:val="bottom"/>
          </w:tcPr>
          <w:p>
            <w:pPr>
              <w:spacing w:after="0"/>
              <w:rPr>
                <w:sz w:val="14"/>
                <w:szCs w:val="14"/>
                <w:color w:val="auto"/>
              </w:rPr>
            </w:pPr>
          </w:p>
        </w:tc>
        <w:tc>
          <w:tcPr>
            <w:tcW w:w="2560" w:type="dxa"/>
            <w:vAlign w:val="bottom"/>
            <w:gridSpan w:val="4"/>
            <w:vMerge w:val="restart"/>
          </w:tcPr>
          <w:p>
            <w:pPr>
              <w:ind w:left="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760" w:type="dxa"/>
            <w:vAlign w:val="bottom"/>
          </w:tcPr>
          <w:p>
            <w:pPr>
              <w:spacing w:after="0"/>
              <w:rPr>
                <w:sz w:val="4"/>
                <w:szCs w:val="4"/>
                <w:color w:val="auto"/>
              </w:rPr>
            </w:pPr>
          </w:p>
        </w:tc>
        <w:tc>
          <w:tcPr>
            <w:tcW w:w="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580" w:type="dxa"/>
            <w:vAlign w:val="bottom"/>
            <w:gridSpan w:val="5"/>
            <w:vMerge w:val="continue"/>
          </w:tcPr>
          <w:p>
            <w:pPr>
              <w:spacing w:after="0"/>
              <w:rPr>
                <w:sz w:val="4"/>
                <w:szCs w:val="4"/>
                <w:color w:val="auto"/>
              </w:rPr>
            </w:pPr>
          </w:p>
        </w:tc>
        <w:tc>
          <w:tcPr>
            <w:tcW w:w="6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gridSpan w:val="5"/>
            <w:vMerge w:val="continue"/>
          </w:tcPr>
          <w:p>
            <w:pPr>
              <w:spacing w:after="0"/>
              <w:rPr>
                <w:sz w:val="4"/>
                <w:szCs w:val="4"/>
                <w:color w:val="auto"/>
              </w:rPr>
            </w:pPr>
          </w:p>
        </w:tc>
        <w:tc>
          <w:tcPr>
            <w:tcW w:w="120" w:type="dxa"/>
            <w:vAlign w:val="bottom"/>
          </w:tcPr>
          <w:p>
            <w:pPr>
              <w:spacing w:after="0"/>
              <w:rPr>
                <w:sz w:val="4"/>
                <w:szCs w:val="4"/>
                <w:color w:val="auto"/>
              </w:rPr>
            </w:pPr>
          </w:p>
        </w:tc>
        <w:tc>
          <w:tcPr>
            <w:tcW w:w="25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gridSpan w:val="3"/>
          </w:tcPr>
          <w:p>
            <w:pPr>
              <w:jc w:val="right"/>
              <w:ind w:right="298"/>
              <w:spacing w:after="0"/>
              <w:rPr>
                <w:sz w:val="20"/>
                <w:szCs w:val="20"/>
                <w:color w:val="auto"/>
              </w:rPr>
            </w:pPr>
            <w:r>
              <w:rPr>
                <w:rFonts w:ascii="Arial" w:cs="Arial" w:eastAsia="Arial" w:hAnsi="Arial"/>
                <w:sz w:val="13"/>
                <w:szCs w:val="13"/>
                <w:b w:val="1"/>
                <w:bCs w:val="1"/>
                <w:color w:val="auto"/>
                <w:w w:val="96"/>
              </w:rPr>
              <w:t>June 30, 2015</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June 30, 2014</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17"/>
              <w:spacing w:after="0"/>
              <w:rPr>
                <w:sz w:val="20"/>
                <w:szCs w:val="20"/>
                <w:color w:val="auto"/>
              </w:rPr>
            </w:pPr>
            <w:r>
              <w:rPr>
                <w:rFonts w:ascii="Arial" w:cs="Arial" w:eastAsia="Arial" w:hAnsi="Arial"/>
                <w:sz w:val="13"/>
                <w:szCs w:val="13"/>
                <w:b w:val="1"/>
                <w:bCs w:val="1"/>
                <w:color w:val="auto"/>
                <w:w w:val="94"/>
              </w:rPr>
              <w:t>June 30, 2015</w:t>
            </w:r>
          </w:p>
        </w:tc>
        <w:tc>
          <w:tcPr>
            <w:tcW w:w="140" w:type="dxa"/>
            <w:vAlign w:val="bottom"/>
            <w:gridSpan w:val="2"/>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6"/>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13,656</w:t>
            </w:r>
          </w:p>
        </w:tc>
        <w:tc>
          <w:tcPr>
            <w:tcW w:w="42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14,356</w:t>
            </w: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27,641</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29,706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280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(vi)</w:t>
            </w:r>
          </w:p>
        </w:tc>
        <w:tc>
          <w:tcPr>
            <w:tcW w:w="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7"/>
                <w:szCs w:val="17"/>
                <w:color w:val="auto"/>
              </w:rPr>
              <w:t>(658)</w:t>
            </w:r>
          </w:p>
        </w:tc>
        <w:tc>
          <w:tcPr>
            <w:tcW w:w="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7"/>
                <w:szCs w:val="17"/>
                <w:color w:val="auto"/>
              </w:rPr>
              <w:t>1,340</w:t>
            </w: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7"/>
                <w:szCs w:val="17"/>
                <w:color w:val="auto"/>
              </w:rPr>
              <w:t>(109)</w:t>
            </w: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1,458</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12,998</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15,696</w:t>
            </w: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27,532</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31,164</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40" w:type="dxa"/>
            <w:vAlign w:val="bottom"/>
          </w:tcPr>
          <w:p>
            <w:pPr>
              <w:spacing w:after="0"/>
              <w:rPr>
                <w:sz w:val="18"/>
                <w:szCs w:val="18"/>
                <w:color w:val="auto"/>
              </w:rPr>
            </w:pPr>
          </w:p>
        </w:tc>
        <w:tc>
          <w:tcPr>
            <w:tcW w:w="2800" w:type="dxa"/>
            <w:vAlign w:val="bottom"/>
            <w:gridSpan w:val="4"/>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7"/>
                <w:szCs w:val="17"/>
                <w:color w:val="auto"/>
              </w:rPr>
              <w:t>15,919</w:t>
            </w:r>
          </w:p>
        </w:tc>
        <w:tc>
          <w:tcPr>
            <w:tcW w:w="6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7"/>
                <w:szCs w:val="17"/>
                <w:color w:val="auto"/>
              </w:rPr>
              <w:t>17,117</w:t>
            </w:r>
          </w:p>
        </w:tc>
        <w:tc>
          <w:tcPr>
            <w:tcW w:w="10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33,996</w:t>
            </w:r>
          </w:p>
        </w:tc>
        <w:tc>
          <w:tcPr>
            <w:tcW w:w="4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34,187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126</w:t>
            </w: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163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278</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320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(iv)</w:t>
            </w: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2800" w:type="dxa"/>
            <w:vAlign w:val="bottom"/>
            <w:gridSpan w:val="4"/>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126</w:t>
            </w: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7"/>
                <w:szCs w:val="17"/>
                <w:color w:val="auto"/>
              </w:rPr>
              <w:t>105</w:t>
            </w:r>
          </w:p>
        </w:tc>
        <w:tc>
          <w:tcPr>
            <w:tcW w:w="100" w:type="dxa"/>
            <w:vAlign w:val="bottom"/>
          </w:tcPr>
          <w:p>
            <w:pPr>
              <w:spacing w:after="0"/>
              <w:rPr>
                <w:sz w:val="23"/>
                <w:szCs w:val="23"/>
                <w:color w:val="auto"/>
              </w:rPr>
            </w:pP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122</w:t>
            </w:r>
          </w:p>
        </w:tc>
        <w:tc>
          <w:tcPr>
            <w:tcW w:w="40" w:type="dxa"/>
            <w:vAlign w:val="bottom"/>
          </w:tcPr>
          <w:p>
            <w:pPr>
              <w:spacing w:after="0"/>
              <w:rPr>
                <w:sz w:val="23"/>
                <w:szCs w:val="23"/>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107</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gridSpan w:val="3"/>
          </w:tcPr>
          <w:p>
            <w:pPr>
              <w:jc w:val="right"/>
              <w:ind w:right="140"/>
              <w:spacing w:after="0"/>
              <w:rPr>
                <w:sz w:val="20"/>
                <w:szCs w:val="20"/>
                <w:color w:val="auto"/>
              </w:rPr>
            </w:pPr>
            <w:r>
              <w:rPr>
                <w:rFonts w:ascii="Arial" w:cs="Arial" w:eastAsia="Arial" w:hAnsi="Arial"/>
                <w:sz w:val="17"/>
                <w:szCs w:val="17"/>
                <w:color w:val="auto"/>
              </w:rPr>
              <w:t>19</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7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3" w:name="page24"/>
    <w:bookmarkEnd w:id="2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Goldex Mine — Total Cash Costs per Ounce of Gold Produced</w:t>
      </w:r>
      <w:r>
        <w:rPr>
          <w:rFonts w:ascii="Arial" w:cs="Arial" w:eastAsia="Arial" w:hAnsi="Arial"/>
          <w:sz w:val="28"/>
          <w:szCs w:val="28"/>
          <w:b w:val="1"/>
          <w:bCs w:val="1"/>
          <w:u w:val="single" w:color="auto"/>
          <w:color w:val="auto"/>
          <w:vertAlign w:val="superscript"/>
        </w:rPr>
        <w:t>(iii)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080" w:type="dxa"/>
            <w:vAlign w:val="bottom"/>
            <w:gridSpan w:val="5"/>
          </w:tcPr>
          <w:p>
            <w:pPr>
              <w:spacing w:after="0"/>
              <w:rPr>
                <w:sz w:val="20"/>
                <w:szCs w:val="20"/>
                <w:color w:val="auto"/>
              </w:rPr>
            </w:pPr>
            <w:r>
              <w:rPr>
                <w:rFonts w:ascii="Arial" w:cs="Arial" w:eastAsia="Arial" w:hAnsi="Arial"/>
                <w:sz w:val="13"/>
                <w:szCs w:val="13"/>
                <w:b w:val="1"/>
                <w:bCs w:val="1"/>
                <w:color w:val="auto"/>
                <w:w w:val="93"/>
              </w:rPr>
              <w:t>(thousands of United States dollars, except as noted)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5"/>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5"/>
            <w:vMerge w:val="restart"/>
          </w:tcPr>
          <w:p>
            <w:pPr>
              <w:jc w:val="right"/>
              <w:ind w:right="194"/>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160" w:type="dxa"/>
            <w:vAlign w:val="bottom"/>
            <w:gridSpan w:val="3"/>
            <w:vMerge w:val="restart"/>
          </w:tcPr>
          <w:p>
            <w:pPr>
              <w:jc w:val="right"/>
              <w:ind w:right="120"/>
              <w:spacing w:after="0"/>
              <w:rPr>
                <w:sz w:val="20"/>
                <w:szCs w:val="20"/>
                <w:color w:val="auto"/>
              </w:rPr>
            </w:pPr>
            <w:r>
              <w:rPr>
                <w:rFonts w:ascii="Arial" w:cs="Arial" w:eastAsia="Arial" w:hAnsi="Arial"/>
                <w:sz w:val="13"/>
                <w:szCs w:val="13"/>
                <w:b w:val="1"/>
                <w:bCs w:val="1"/>
                <w:color w:val="auto"/>
                <w:w w:val="90"/>
              </w:rPr>
              <w:t>Six Months Ended</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6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9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6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gridSpan w:val="3"/>
            <w:vMerge w:val="continue"/>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3"/>
                <w:szCs w:val="13"/>
                <w:b w:val="1"/>
                <w:bCs w:val="1"/>
                <w:color w:val="auto"/>
              </w:rPr>
              <w:t>June 30, 2015</w:t>
            </w:r>
          </w:p>
        </w:tc>
        <w:tc>
          <w:tcPr>
            <w:tcW w:w="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3"/>
                <w:szCs w:val="13"/>
                <w:b w:val="1"/>
                <w:bCs w:val="1"/>
                <w:color w:val="auto"/>
              </w:rPr>
              <w:t>June 30, 2014</w:t>
            </w:r>
          </w:p>
        </w:tc>
        <w:tc>
          <w:tcPr>
            <w:tcW w:w="1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2015</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8"/>
              <w:spacing w:after="0"/>
              <w:rPr>
                <w:sz w:val="20"/>
                <w:szCs w:val="20"/>
                <w:color w:val="auto"/>
              </w:rPr>
            </w:pPr>
            <w:r>
              <w:rPr>
                <w:rFonts w:ascii="Arial" w:cs="Arial" w:eastAsia="Arial" w:hAnsi="Arial"/>
                <w:sz w:val="13"/>
                <w:szCs w:val="13"/>
                <w:b w:val="1"/>
                <w:bCs w:val="1"/>
                <w:color w:val="auto"/>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spacing w:after="0"/>
              <w:rPr>
                <w:sz w:val="17"/>
                <w:szCs w:val="17"/>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16,913</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15,419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31,780</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31,264</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280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w w:val="91"/>
              </w:rPr>
              <w:t>Inventory and other adjustments</w:t>
            </w:r>
            <w:r>
              <w:rPr>
                <w:rFonts w:ascii="Arial" w:cs="Arial" w:eastAsia="Arial" w:hAnsi="Arial"/>
                <w:sz w:val="28"/>
                <w:szCs w:val="28"/>
                <w:color w:val="auto"/>
                <w:w w:val="91"/>
                <w:vertAlign w:val="superscript"/>
              </w:rPr>
              <w:t>(v)</w:t>
            </w:r>
          </w:p>
        </w:tc>
        <w:tc>
          <w:tcPr>
            <w:tcW w:w="2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100"/>
              <w:spacing w:after="0"/>
              <w:rPr>
                <w:sz w:val="20"/>
                <w:szCs w:val="20"/>
                <w:color w:val="auto"/>
              </w:rPr>
            </w:pPr>
            <w:r>
              <w:rPr>
                <w:rFonts w:ascii="Arial" w:cs="Arial" w:eastAsia="Arial" w:hAnsi="Arial"/>
                <w:sz w:val="17"/>
                <w:szCs w:val="17"/>
                <w:color w:val="auto"/>
              </w:rPr>
              <w:t>(163)</w:t>
            </w: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626</w:t>
            </w:r>
          </w:p>
        </w:tc>
        <w:tc>
          <w:tcPr>
            <w:tcW w:w="100" w:type="dxa"/>
            <w:vAlign w:val="bottom"/>
            <w:shd w:val="clear" w:color="auto" w:fill="CCEEFF"/>
          </w:tcPr>
          <w:p>
            <w:pPr>
              <w:spacing w:after="0"/>
              <w:rPr>
                <w:sz w:val="21"/>
                <w:szCs w:val="21"/>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810</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(411)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(co-product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2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16,750</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16,045</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32,590</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30,853</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(5)</w:t>
            </w: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gridSpan w:val="3"/>
            <w:shd w:val="clear" w:color="auto" w:fill="CCEEFF"/>
          </w:tcPr>
          <w:p>
            <w:pPr>
              <w:jc w:val="right"/>
              <w:ind w:right="34"/>
              <w:spacing w:after="0"/>
              <w:rPr>
                <w:sz w:val="20"/>
                <w:szCs w:val="20"/>
                <w:color w:val="auto"/>
              </w:rPr>
            </w:pPr>
            <w:r>
              <w:rPr>
                <w:rFonts w:ascii="Arial" w:cs="Arial" w:eastAsia="Arial" w:hAnsi="Arial"/>
                <w:sz w:val="17"/>
                <w:szCs w:val="17"/>
                <w:color w:val="auto"/>
              </w:rPr>
              <w:t>(5)</w:t>
            </w:r>
          </w:p>
        </w:tc>
        <w:tc>
          <w:tcPr>
            <w:tcW w:w="10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15"/>
              <w:spacing w:after="0"/>
              <w:rPr>
                <w:sz w:val="20"/>
                <w:szCs w:val="20"/>
                <w:color w:val="auto"/>
              </w:rPr>
            </w:pPr>
            <w:r>
              <w:rPr>
                <w:rFonts w:ascii="Arial" w:cs="Arial" w:eastAsia="Arial" w:hAnsi="Arial"/>
                <w:sz w:val="17"/>
                <w:szCs w:val="17"/>
                <w:color w:val="auto"/>
              </w:rPr>
              <w:t>(13)</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(by-product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2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16,745</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16,040</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32,577</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30,842</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26,462</w:t>
            </w: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23,929</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55,712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43,359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080" w:type="dxa"/>
            <w:vAlign w:val="bottom"/>
            <w:gridSpan w:val="5"/>
          </w:tcPr>
          <w:p>
            <w:pPr>
              <w:spacing w:after="0"/>
              <w:rPr>
                <w:sz w:val="20"/>
                <w:szCs w:val="20"/>
                <w:color w:val="auto"/>
              </w:rPr>
            </w:pPr>
            <w:r>
              <w:rPr>
                <w:rFonts w:ascii="Arial" w:cs="Arial" w:eastAsia="Arial" w:hAnsi="Arial"/>
                <w:sz w:val="17"/>
                <w:szCs w:val="17"/>
                <w:color w:val="auto"/>
                <w:w w:val="91"/>
              </w:rPr>
              <w:t>Total cash costs per ounce of gold produced</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280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(iii)</w:t>
            </w:r>
            <w:r>
              <w:rPr>
                <w:rFonts w:ascii="Arial" w:cs="Arial" w:eastAsia="Arial" w:hAnsi="Arial"/>
                <w:sz w:val="17"/>
                <w:szCs w:val="17"/>
                <w:color w:val="auto"/>
              </w:rPr>
              <w:t>:</w:t>
            </w:r>
          </w:p>
        </w:tc>
        <w:tc>
          <w:tcPr>
            <w:tcW w:w="2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28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w w:val="84"/>
              </w:rPr>
              <w:t>633</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5"/>
            <w:shd w:val="clear" w:color="auto" w:fill="CCEEFF"/>
          </w:tcPr>
          <w:p>
            <w:pPr>
              <w:jc w:val="right"/>
              <w:ind w:right="94"/>
              <w:spacing w:after="0"/>
              <w:rPr>
                <w:sz w:val="20"/>
                <w:szCs w:val="20"/>
                <w:color w:val="auto"/>
              </w:rPr>
            </w:pPr>
            <w:r>
              <w:rPr>
                <w:rFonts w:ascii="Arial" w:cs="Arial" w:eastAsia="Arial" w:hAnsi="Arial"/>
                <w:sz w:val="17"/>
                <w:szCs w:val="17"/>
                <w:color w:val="auto"/>
              </w:rPr>
              <w:t>671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585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712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gridSpan w:val="4"/>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2800" w:type="dxa"/>
            <w:vAlign w:val="bottom"/>
            <w:gridSpan w:val="4"/>
            <w:vMerge w:val="continue"/>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94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633</w:t>
            </w:r>
          </w:p>
        </w:tc>
        <w:tc>
          <w:tcPr>
            <w:tcW w:w="160" w:type="dxa"/>
            <w:vAlign w:val="bottom"/>
          </w:tcPr>
          <w:p>
            <w:pPr>
              <w:spacing w:after="0"/>
              <w:rPr>
                <w:sz w:val="16"/>
                <w:szCs w:val="16"/>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670</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585</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711</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04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0"/>
              </w:rPr>
              <w:t>Goldex Mine — Minesite Costs per Tonne</w:t>
            </w:r>
          </w:p>
        </w:tc>
        <w:tc>
          <w:tcPr>
            <w:tcW w:w="2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5"/>
              </w:rPr>
              <w:t>(iv)</w:t>
            </w:r>
          </w:p>
        </w:tc>
        <w:tc>
          <w:tcPr>
            <w:tcW w:w="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040" w:type="dxa"/>
            <w:vAlign w:val="bottom"/>
            <w:gridSpan w:val="2"/>
            <w:vMerge w:val="continue"/>
          </w:tcPr>
          <w:p>
            <w:pPr>
              <w:spacing w:after="0" w:line="20" w:lineRule="exact"/>
              <w:rPr>
                <w:sz w:val="1"/>
                <w:szCs w:val="1"/>
                <w:color w:val="auto"/>
              </w:rPr>
            </w:pPr>
          </w:p>
        </w:tc>
        <w:tc>
          <w:tcPr>
            <w:tcW w:w="220" w:type="dxa"/>
            <w:vAlign w:val="bottom"/>
            <w:gridSpan w:val="2"/>
            <w:vMerge w:val="continue"/>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040" w:type="dxa"/>
            <w:vAlign w:val="bottom"/>
            <w:gridSpan w:val="2"/>
            <w:vMerge w:val="continue"/>
          </w:tcPr>
          <w:p>
            <w:pPr>
              <w:spacing w:after="0"/>
              <w:rPr>
                <w:sz w:val="24"/>
                <w:szCs w:val="24"/>
                <w:color w:val="auto"/>
              </w:rPr>
            </w:pPr>
          </w:p>
        </w:tc>
        <w:tc>
          <w:tcPr>
            <w:tcW w:w="220" w:type="dxa"/>
            <w:vAlign w:val="bottom"/>
            <w:tcBorders>
              <w:bottom w:val="single" w:sz="8" w:color="auto"/>
            </w:tcBorders>
            <w:gridSpan w:val="2"/>
            <w:vMerge w:val="continue"/>
          </w:tcPr>
          <w:p>
            <w:pPr>
              <w:spacing w:after="0"/>
              <w:rPr>
                <w:sz w:val="24"/>
                <w:szCs w:val="24"/>
                <w:color w:val="auto"/>
              </w:rPr>
            </w:pPr>
          </w:p>
        </w:tc>
        <w:tc>
          <w:tcPr>
            <w:tcW w:w="680" w:type="dxa"/>
            <w:vAlign w:val="bottom"/>
            <w:vMerge w:val="restart"/>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04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2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rPr>
              <w:t>noted)</w:t>
            </w:r>
          </w:p>
        </w:tc>
        <w:tc>
          <w:tcPr>
            <w:tcW w:w="1580" w:type="dxa"/>
            <w:vAlign w:val="bottom"/>
            <w:gridSpan w:val="5"/>
            <w:vMerge w:val="restart"/>
          </w:tcPr>
          <w:p>
            <w:pPr>
              <w:jc w:val="right"/>
              <w:ind w:right="240"/>
              <w:spacing w:after="0"/>
              <w:rPr>
                <w:sz w:val="20"/>
                <w:szCs w:val="20"/>
                <w:color w:val="auto"/>
              </w:rPr>
            </w:pPr>
            <w:r>
              <w:rPr>
                <w:rFonts w:ascii="Arial" w:cs="Arial" w:eastAsia="Arial" w:hAnsi="Arial"/>
                <w:sz w:val="13"/>
                <w:szCs w:val="13"/>
                <w:b w:val="1"/>
                <w:bCs w:val="1"/>
                <w:color w:val="auto"/>
              </w:rPr>
              <w:t>Three Months Ended</w:t>
            </w:r>
          </w:p>
        </w:tc>
        <w:tc>
          <w:tcPr>
            <w:tcW w:w="60" w:type="dxa"/>
            <w:vAlign w:val="bottom"/>
          </w:tcPr>
          <w:p>
            <w:pPr>
              <w:spacing w:after="0"/>
              <w:rPr>
                <w:sz w:val="14"/>
                <w:szCs w:val="14"/>
                <w:color w:val="auto"/>
              </w:rPr>
            </w:pPr>
          </w:p>
        </w:tc>
        <w:tc>
          <w:tcPr>
            <w:tcW w:w="1560" w:type="dxa"/>
            <w:vAlign w:val="bottom"/>
            <w:gridSpan w:val="5"/>
            <w:vMerge w:val="restart"/>
          </w:tcPr>
          <w:p>
            <w:pPr>
              <w:jc w:val="right"/>
              <w:ind w:right="200"/>
              <w:spacing w:after="0"/>
              <w:rPr>
                <w:sz w:val="20"/>
                <w:szCs w:val="20"/>
                <w:color w:val="auto"/>
              </w:rPr>
            </w:pPr>
            <w:r>
              <w:rPr>
                <w:rFonts w:ascii="Arial" w:cs="Arial" w:eastAsia="Arial" w:hAnsi="Arial"/>
                <w:sz w:val="13"/>
                <w:szCs w:val="13"/>
                <w:b w:val="1"/>
                <w:bCs w:val="1"/>
                <w:color w:val="auto"/>
              </w:rPr>
              <w:t>Three Months Ended</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2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w w:val="97"/>
              </w:rPr>
              <w:t>Six Months Ended</w:t>
            </w:r>
          </w:p>
        </w:tc>
        <w:tc>
          <w:tcPr>
            <w:tcW w:w="120" w:type="dxa"/>
            <w:vAlign w:val="bottom"/>
          </w:tcPr>
          <w:p>
            <w:pPr>
              <w:spacing w:after="0"/>
              <w:rPr>
                <w:sz w:val="14"/>
                <w:szCs w:val="14"/>
                <w:color w:val="auto"/>
              </w:rPr>
            </w:pPr>
          </w:p>
        </w:tc>
        <w:tc>
          <w:tcPr>
            <w:tcW w:w="2560" w:type="dxa"/>
            <w:vAlign w:val="bottom"/>
            <w:gridSpan w:val="4"/>
            <w:vMerge w:val="restart"/>
          </w:tcPr>
          <w:p>
            <w:pPr>
              <w:ind w:left="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9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680" w:type="dxa"/>
            <w:vAlign w:val="bottom"/>
          </w:tcPr>
          <w:p>
            <w:pPr>
              <w:spacing w:after="0"/>
              <w:rPr>
                <w:sz w:val="4"/>
                <w:szCs w:val="4"/>
                <w:color w:val="auto"/>
              </w:rPr>
            </w:pPr>
          </w:p>
        </w:tc>
        <w:tc>
          <w:tcPr>
            <w:tcW w:w="1580" w:type="dxa"/>
            <w:vAlign w:val="bottom"/>
            <w:gridSpan w:val="5"/>
            <w:vMerge w:val="continue"/>
          </w:tcPr>
          <w:p>
            <w:pPr>
              <w:spacing w:after="0"/>
              <w:rPr>
                <w:sz w:val="4"/>
                <w:szCs w:val="4"/>
                <w:color w:val="auto"/>
              </w:rPr>
            </w:pPr>
          </w:p>
        </w:tc>
        <w:tc>
          <w:tcPr>
            <w:tcW w:w="6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gridSpan w:val="5"/>
            <w:vMerge w:val="continue"/>
          </w:tcPr>
          <w:p>
            <w:pPr>
              <w:spacing w:after="0"/>
              <w:rPr>
                <w:sz w:val="4"/>
                <w:szCs w:val="4"/>
                <w:color w:val="auto"/>
              </w:rPr>
            </w:pPr>
          </w:p>
        </w:tc>
        <w:tc>
          <w:tcPr>
            <w:tcW w:w="120" w:type="dxa"/>
            <w:vAlign w:val="bottom"/>
          </w:tcPr>
          <w:p>
            <w:pPr>
              <w:spacing w:after="0"/>
              <w:rPr>
                <w:sz w:val="4"/>
                <w:szCs w:val="4"/>
                <w:color w:val="auto"/>
              </w:rPr>
            </w:pPr>
          </w:p>
        </w:tc>
        <w:tc>
          <w:tcPr>
            <w:tcW w:w="25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gridSpan w:val="3"/>
          </w:tcPr>
          <w:p>
            <w:pPr>
              <w:jc w:val="right"/>
              <w:ind w:right="298"/>
              <w:spacing w:after="0"/>
              <w:rPr>
                <w:sz w:val="20"/>
                <w:szCs w:val="20"/>
                <w:color w:val="auto"/>
              </w:rPr>
            </w:pPr>
            <w:r>
              <w:rPr>
                <w:rFonts w:ascii="Arial" w:cs="Arial" w:eastAsia="Arial" w:hAnsi="Arial"/>
                <w:sz w:val="13"/>
                <w:szCs w:val="13"/>
                <w:b w:val="1"/>
                <w:bCs w:val="1"/>
                <w:color w:val="auto"/>
                <w:w w:val="96"/>
              </w:rPr>
              <w:t>June 30, 2015</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June 30, 2014</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17"/>
              <w:spacing w:after="0"/>
              <w:rPr>
                <w:sz w:val="20"/>
                <w:szCs w:val="20"/>
                <w:color w:val="auto"/>
              </w:rPr>
            </w:pPr>
            <w:r>
              <w:rPr>
                <w:rFonts w:ascii="Arial" w:cs="Arial" w:eastAsia="Arial" w:hAnsi="Arial"/>
                <w:sz w:val="13"/>
                <w:szCs w:val="13"/>
                <w:b w:val="1"/>
                <w:bCs w:val="1"/>
                <w:color w:val="auto"/>
                <w:w w:val="94"/>
              </w:rPr>
              <w:t>June 30, 2015</w:t>
            </w:r>
          </w:p>
        </w:tc>
        <w:tc>
          <w:tcPr>
            <w:tcW w:w="140" w:type="dxa"/>
            <w:vAlign w:val="bottom"/>
            <w:gridSpan w:val="2"/>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6"/>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16,913</w:t>
            </w:r>
          </w:p>
        </w:tc>
        <w:tc>
          <w:tcPr>
            <w:tcW w:w="42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15,419</w:t>
            </w: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31,780</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31,264</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280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(vi)</w:t>
            </w:r>
          </w:p>
        </w:tc>
        <w:tc>
          <w:tcPr>
            <w:tcW w:w="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7"/>
                <w:szCs w:val="17"/>
                <w:color w:val="auto"/>
              </w:rPr>
              <w:t>(328)</w:t>
            </w:r>
          </w:p>
        </w:tc>
        <w:tc>
          <w:tcPr>
            <w:tcW w:w="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7"/>
                <w:szCs w:val="17"/>
                <w:color w:val="auto"/>
              </w:rPr>
              <w:t>686</w:t>
            </w: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432</w:t>
            </w: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7"/>
                <w:szCs w:val="17"/>
                <w:color w:val="auto"/>
              </w:rPr>
              <w:t>(332)</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16,585</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16,105</w:t>
            </w: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32,212</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30,932</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40" w:type="dxa"/>
            <w:vAlign w:val="bottom"/>
          </w:tcPr>
          <w:p>
            <w:pPr>
              <w:spacing w:after="0"/>
              <w:rPr>
                <w:sz w:val="18"/>
                <w:szCs w:val="18"/>
                <w:color w:val="auto"/>
              </w:rPr>
            </w:pPr>
          </w:p>
        </w:tc>
        <w:tc>
          <w:tcPr>
            <w:tcW w:w="2800" w:type="dxa"/>
            <w:vAlign w:val="bottom"/>
            <w:gridSpan w:val="4"/>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7"/>
                <w:szCs w:val="17"/>
                <w:color w:val="auto"/>
              </w:rPr>
              <w:t>20,318</w:t>
            </w:r>
          </w:p>
        </w:tc>
        <w:tc>
          <w:tcPr>
            <w:tcW w:w="6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7"/>
                <w:szCs w:val="17"/>
                <w:color w:val="auto"/>
              </w:rPr>
              <w:t>17,563</w:t>
            </w:r>
          </w:p>
        </w:tc>
        <w:tc>
          <w:tcPr>
            <w:tcW w:w="10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39,635</w:t>
            </w:r>
          </w:p>
        </w:tc>
        <w:tc>
          <w:tcPr>
            <w:tcW w:w="4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33,932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604</w:t>
            </w: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518</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1,171</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1,003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(iv)</w:t>
            </w: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2800" w:type="dxa"/>
            <w:vAlign w:val="bottom"/>
            <w:gridSpan w:val="4"/>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34</w:t>
            </w: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7"/>
                <w:szCs w:val="17"/>
                <w:color w:val="auto"/>
              </w:rPr>
              <w:t>34</w:t>
            </w:r>
          </w:p>
        </w:tc>
        <w:tc>
          <w:tcPr>
            <w:tcW w:w="100" w:type="dxa"/>
            <w:vAlign w:val="bottom"/>
          </w:tcPr>
          <w:p>
            <w:pPr>
              <w:spacing w:after="0"/>
              <w:rPr>
                <w:sz w:val="23"/>
                <w:szCs w:val="23"/>
                <w:color w:val="auto"/>
              </w:rPr>
            </w:pP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34</w:t>
            </w:r>
          </w:p>
        </w:tc>
        <w:tc>
          <w:tcPr>
            <w:tcW w:w="40" w:type="dxa"/>
            <w:vAlign w:val="bottom"/>
          </w:tcPr>
          <w:p>
            <w:pPr>
              <w:spacing w:after="0"/>
              <w:rPr>
                <w:sz w:val="23"/>
                <w:szCs w:val="23"/>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34</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gridSpan w:val="3"/>
          </w:tcPr>
          <w:p>
            <w:pPr>
              <w:jc w:val="right"/>
              <w:ind w:right="140"/>
              <w:spacing w:after="0"/>
              <w:rPr>
                <w:sz w:val="20"/>
                <w:szCs w:val="20"/>
                <w:color w:val="auto"/>
              </w:rPr>
            </w:pPr>
            <w:r>
              <w:rPr>
                <w:rFonts w:ascii="Arial" w:cs="Arial" w:eastAsia="Arial" w:hAnsi="Arial"/>
                <w:sz w:val="17"/>
                <w:szCs w:val="17"/>
                <w:color w:val="auto"/>
              </w:rPr>
              <w:t>20</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90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4" w:name="page25"/>
    <w:bookmarkEnd w:id="2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Meadowbank Mine — Total Cash Costs per Ounce of Gold Produced</w:t>
      </w:r>
      <w:r>
        <w:rPr>
          <w:rFonts w:ascii="Arial" w:cs="Arial" w:eastAsia="Arial" w:hAnsi="Arial"/>
          <w:sz w:val="28"/>
          <w:szCs w:val="28"/>
          <w:b w:val="1"/>
          <w:bCs w:val="1"/>
          <w:u w:val="single" w:color="auto"/>
          <w:color w:val="auto"/>
          <w:vertAlign w:val="superscript"/>
        </w:rPr>
        <w:t>(iii)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080" w:type="dxa"/>
            <w:vAlign w:val="bottom"/>
            <w:gridSpan w:val="5"/>
          </w:tcPr>
          <w:p>
            <w:pPr>
              <w:spacing w:after="0"/>
              <w:rPr>
                <w:sz w:val="20"/>
                <w:szCs w:val="20"/>
                <w:color w:val="auto"/>
              </w:rPr>
            </w:pPr>
            <w:r>
              <w:rPr>
                <w:rFonts w:ascii="Arial" w:cs="Arial" w:eastAsia="Arial" w:hAnsi="Arial"/>
                <w:sz w:val="13"/>
                <w:szCs w:val="13"/>
                <w:b w:val="1"/>
                <w:bCs w:val="1"/>
                <w:color w:val="auto"/>
                <w:w w:val="93"/>
              </w:rPr>
              <w:t>(thousands of United States dollars, except as noted)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5"/>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00" w:type="dxa"/>
            <w:vAlign w:val="bottom"/>
            <w:gridSpan w:val="2"/>
            <w:vMerge w:val="restart"/>
          </w:tcPr>
          <w:p>
            <w:pPr>
              <w:jc w:val="right"/>
              <w:ind w:right="20"/>
              <w:spacing w:after="0"/>
              <w:rPr>
                <w:sz w:val="20"/>
                <w:szCs w:val="20"/>
                <w:color w:val="auto"/>
              </w:rPr>
            </w:pPr>
            <w:r>
              <w:rPr>
                <w:rFonts w:ascii="Arial" w:cs="Arial" w:eastAsia="Arial" w:hAnsi="Arial"/>
                <w:sz w:val="13"/>
                <w:szCs w:val="13"/>
                <w:b w:val="1"/>
                <w:bCs w:val="1"/>
                <w:color w:val="auto"/>
                <w:w w:val="90"/>
              </w:rPr>
              <w:t>Three Months Ended</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3"/>
            <w:vMerge w:val="restart"/>
          </w:tcPr>
          <w:p>
            <w:pPr>
              <w:jc w:val="right"/>
              <w:ind w:right="120"/>
              <w:spacing w:after="0"/>
              <w:rPr>
                <w:sz w:val="20"/>
                <w:szCs w:val="20"/>
                <w:color w:val="auto"/>
              </w:rPr>
            </w:pPr>
            <w:r>
              <w:rPr>
                <w:rFonts w:ascii="Arial" w:cs="Arial" w:eastAsia="Arial" w:hAnsi="Arial"/>
                <w:sz w:val="13"/>
                <w:szCs w:val="13"/>
                <w:b w:val="1"/>
                <w:bCs w:val="1"/>
                <w:color w:val="auto"/>
                <w:w w:val="90"/>
              </w:rPr>
              <w:t>Six Months Ended</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6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380" w:type="dxa"/>
            <w:vAlign w:val="bottom"/>
          </w:tcPr>
          <w:p>
            <w:pPr>
              <w:spacing w:after="0"/>
              <w:rPr>
                <w:sz w:val="4"/>
                <w:szCs w:val="4"/>
                <w:color w:val="auto"/>
              </w:rPr>
            </w:pPr>
          </w:p>
        </w:tc>
        <w:tc>
          <w:tcPr>
            <w:tcW w:w="20" w:type="dxa"/>
            <w:vAlign w:val="bottom"/>
          </w:tcPr>
          <w:p>
            <w:pPr>
              <w:spacing w:after="0"/>
              <w:rPr>
                <w:sz w:val="4"/>
                <w:szCs w:val="4"/>
                <w:color w:val="auto"/>
              </w:rPr>
            </w:pPr>
          </w:p>
        </w:tc>
        <w:tc>
          <w:tcPr>
            <w:tcW w:w="1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gridSpan w:val="3"/>
            <w:vMerge w:val="continue"/>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3"/>
                <w:szCs w:val="13"/>
                <w:b w:val="1"/>
                <w:bCs w:val="1"/>
                <w:color w:val="auto"/>
              </w:rPr>
              <w:t>June 30, 2015</w:t>
            </w:r>
          </w:p>
        </w:tc>
        <w:tc>
          <w:tcPr>
            <w:tcW w:w="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2014</w:t>
            </w:r>
          </w:p>
        </w:tc>
        <w:tc>
          <w:tcPr>
            <w:tcW w:w="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b w:val="1"/>
                <w:bCs w:val="1"/>
                <w:color w:val="auto"/>
              </w:rPr>
              <w:t>June 30, 2015</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8"/>
              <w:spacing w:after="0"/>
              <w:rPr>
                <w:sz w:val="20"/>
                <w:szCs w:val="20"/>
                <w:color w:val="auto"/>
              </w:rPr>
            </w:pPr>
            <w:r>
              <w:rPr>
                <w:rFonts w:ascii="Arial" w:cs="Arial" w:eastAsia="Arial" w:hAnsi="Arial"/>
                <w:sz w:val="13"/>
                <w:szCs w:val="13"/>
                <w:b w:val="1"/>
                <w:bCs w:val="1"/>
                <w:color w:val="auto"/>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spacing w:after="0"/>
              <w:rPr>
                <w:sz w:val="17"/>
                <w:szCs w:val="17"/>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66,888</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63,808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123,983</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130,888</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280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w w:val="91"/>
              </w:rPr>
              <w:t>Inventory and other adjustments</w:t>
            </w:r>
            <w:r>
              <w:rPr>
                <w:rFonts w:ascii="Arial" w:cs="Arial" w:eastAsia="Arial" w:hAnsi="Arial"/>
                <w:sz w:val="28"/>
                <w:szCs w:val="28"/>
                <w:color w:val="auto"/>
                <w:w w:val="91"/>
                <w:vertAlign w:val="superscript"/>
              </w:rPr>
              <w:t>(v)</w:t>
            </w:r>
          </w:p>
        </w:tc>
        <w:tc>
          <w:tcPr>
            <w:tcW w:w="2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5"/>
            <w:shd w:val="clear" w:color="auto" w:fill="CCEEFF"/>
          </w:tcPr>
          <w:p>
            <w:pPr>
              <w:jc w:val="right"/>
              <w:ind w:right="100"/>
              <w:spacing w:after="0"/>
              <w:rPr>
                <w:sz w:val="20"/>
                <w:szCs w:val="20"/>
                <w:color w:val="auto"/>
              </w:rPr>
            </w:pPr>
            <w:r>
              <w:rPr>
                <w:rFonts w:ascii="Arial" w:cs="Arial" w:eastAsia="Arial" w:hAnsi="Arial"/>
                <w:sz w:val="17"/>
                <w:szCs w:val="17"/>
                <w:color w:val="auto"/>
              </w:rPr>
              <w:t>(3,094)</w:t>
            </w:r>
          </w:p>
        </w:tc>
        <w:tc>
          <w:tcPr>
            <w:tcW w:w="100" w:type="dxa"/>
            <w:vAlign w:val="bottom"/>
            <w:shd w:val="clear" w:color="auto" w:fill="CCEEFF"/>
          </w:tcPr>
          <w:p>
            <w:pPr>
              <w:spacing w:after="0"/>
              <w:rPr>
                <w:sz w:val="21"/>
                <w:szCs w:val="21"/>
                <w:color w:val="auto"/>
              </w:rPr>
            </w:pP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3,168</w:t>
            </w:r>
          </w:p>
        </w:tc>
        <w:tc>
          <w:tcPr>
            <w:tcW w:w="100" w:type="dxa"/>
            <w:vAlign w:val="bottom"/>
            <w:shd w:val="clear" w:color="auto" w:fill="CCEEFF"/>
          </w:tcPr>
          <w:p>
            <w:pPr>
              <w:spacing w:after="0"/>
              <w:rPr>
                <w:sz w:val="21"/>
                <w:szCs w:val="21"/>
                <w:color w:val="auto"/>
              </w:rPr>
            </w:pPr>
          </w:p>
        </w:tc>
        <w:tc>
          <w:tcPr>
            <w:tcW w:w="1280" w:type="dxa"/>
            <w:vAlign w:val="bottom"/>
            <w:gridSpan w:val="4"/>
            <w:shd w:val="clear" w:color="auto" w:fill="CCEEFF"/>
          </w:tcPr>
          <w:p>
            <w:pPr>
              <w:jc w:val="right"/>
              <w:ind w:right="15"/>
              <w:spacing w:after="0"/>
              <w:rPr>
                <w:sz w:val="20"/>
                <w:szCs w:val="20"/>
                <w:color w:val="auto"/>
              </w:rPr>
            </w:pPr>
            <w:r>
              <w:rPr>
                <w:rFonts w:ascii="Arial" w:cs="Arial" w:eastAsia="Arial" w:hAnsi="Arial"/>
                <w:sz w:val="17"/>
                <w:szCs w:val="17"/>
                <w:color w:val="auto"/>
              </w:rPr>
              <w:t>(554)</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4,479</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(co-product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63,794</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66,976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123,429</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135,367</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00"/>
              <w:spacing w:after="0"/>
              <w:rPr>
                <w:sz w:val="20"/>
                <w:szCs w:val="20"/>
                <w:color w:val="auto"/>
              </w:rPr>
            </w:pPr>
            <w:r>
              <w:rPr>
                <w:rFonts w:ascii="Arial" w:cs="Arial" w:eastAsia="Arial" w:hAnsi="Arial"/>
                <w:sz w:val="17"/>
                <w:szCs w:val="17"/>
                <w:color w:val="auto"/>
              </w:rPr>
              <w:t>(978)</w:t>
            </w:r>
          </w:p>
        </w:tc>
        <w:tc>
          <w:tcPr>
            <w:tcW w:w="10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right"/>
              <w:ind w:right="34"/>
              <w:spacing w:after="0"/>
              <w:rPr>
                <w:sz w:val="20"/>
                <w:szCs w:val="20"/>
                <w:color w:val="auto"/>
              </w:rPr>
            </w:pPr>
            <w:r>
              <w:rPr>
                <w:rFonts w:ascii="Arial" w:cs="Arial" w:eastAsia="Arial" w:hAnsi="Arial"/>
                <w:sz w:val="17"/>
                <w:szCs w:val="17"/>
                <w:color w:val="auto"/>
              </w:rPr>
              <w:t>(493)</w:t>
            </w:r>
          </w:p>
        </w:tc>
        <w:tc>
          <w:tcPr>
            <w:tcW w:w="10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15"/>
              <w:spacing w:after="0"/>
              <w:rPr>
                <w:sz w:val="20"/>
                <w:szCs w:val="20"/>
                <w:color w:val="auto"/>
              </w:rPr>
            </w:pPr>
            <w:r>
              <w:rPr>
                <w:rFonts w:ascii="Arial" w:cs="Arial" w:eastAsia="Arial" w:hAnsi="Arial"/>
                <w:sz w:val="17"/>
                <w:szCs w:val="17"/>
                <w:color w:val="auto"/>
              </w:rPr>
              <w:t>(2,667)</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(1,045)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rPr>
                <w:sz w:val="20"/>
                <w:szCs w:val="20"/>
                <w:color w:val="auto"/>
              </w:rPr>
            </w:pPr>
            <w:r>
              <w:rPr>
                <w:rFonts w:ascii="Arial" w:cs="Arial" w:eastAsia="Arial" w:hAnsi="Arial"/>
                <w:sz w:val="17"/>
                <w:szCs w:val="17"/>
                <w:color w:val="auto"/>
                <w:w w:val="92"/>
              </w:rPr>
              <w:t>Cash operating costs (by-product basis)</w:t>
            </w:r>
          </w:p>
        </w:tc>
        <w:tc>
          <w:tcPr>
            <w:tcW w:w="28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4"/>
          </w:tcPr>
          <w:p>
            <w:pPr>
              <w:jc w:val="right"/>
              <w:spacing w:after="0"/>
              <w:rPr>
                <w:sz w:val="20"/>
                <w:szCs w:val="20"/>
                <w:color w:val="auto"/>
              </w:rPr>
            </w:pPr>
            <w:r>
              <w:rPr>
                <w:rFonts w:ascii="Arial" w:cs="Arial" w:eastAsia="Arial" w:hAnsi="Arial"/>
                <w:sz w:val="17"/>
                <w:szCs w:val="17"/>
                <w:color w:val="auto"/>
              </w:rPr>
              <w:t>62,816</w:t>
            </w:r>
          </w:p>
        </w:tc>
        <w:tc>
          <w:tcPr>
            <w:tcW w:w="160" w:type="dxa"/>
            <w:vAlign w:val="bottom"/>
          </w:tcPr>
          <w:p>
            <w:pPr>
              <w:spacing w:after="0"/>
              <w:rPr>
                <w:sz w:val="17"/>
                <w:szCs w:val="17"/>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66,483</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120,762</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134,322</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60"/>
              <w:spacing w:after="0"/>
              <w:rPr>
                <w:sz w:val="20"/>
                <w:szCs w:val="20"/>
                <w:color w:val="auto"/>
              </w:rPr>
            </w:pPr>
            <w:r>
              <w:rPr>
                <w:rFonts w:ascii="Arial" w:cs="Arial" w:eastAsia="Arial" w:hAnsi="Arial"/>
                <w:sz w:val="17"/>
                <w:szCs w:val="17"/>
                <w:color w:val="auto"/>
              </w:rPr>
              <w:t>91,276</w:t>
            </w:r>
          </w:p>
        </w:tc>
        <w:tc>
          <w:tcPr>
            <w:tcW w:w="10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118,161</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179,799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274,605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080" w:type="dxa"/>
            <w:vAlign w:val="bottom"/>
            <w:gridSpan w:val="5"/>
          </w:tcPr>
          <w:p>
            <w:pPr>
              <w:spacing w:after="0"/>
              <w:rPr>
                <w:sz w:val="20"/>
                <w:szCs w:val="20"/>
                <w:color w:val="auto"/>
              </w:rPr>
            </w:pPr>
            <w:r>
              <w:rPr>
                <w:rFonts w:ascii="Arial" w:cs="Arial" w:eastAsia="Arial" w:hAnsi="Arial"/>
                <w:sz w:val="17"/>
                <w:szCs w:val="17"/>
                <w:color w:val="auto"/>
                <w:w w:val="91"/>
              </w:rPr>
              <w:t>Total cash costs per ounce of gold produced</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280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(iii)</w:t>
            </w:r>
            <w:r>
              <w:rPr>
                <w:rFonts w:ascii="Arial" w:cs="Arial" w:eastAsia="Arial" w:hAnsi="Arial"/>
                <w:sz w:val="17"/>
                <w:szCs w:val="17"/>
                <w:color w:val="auto"/>
              </w:rPr>
              <w:t>:</w:t>
            </w:r>
          </w:p>
        </w:tc>
        <w:tc>
          <w:tcPr>
            <w:tcW w:w="2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28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w w:val="84"/>
              </w:rPr>
              <w:t>699</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440" w:type="dxa"/>
            <w:vAlign w:val="bottom"/>
            <w:gridSpan w:val="4"/>
            <w:shd w:val="clear" w:color="auto" w:fill="CCEEFF"/>
          </w:tcPr>
          <w:p>
            <w:pPr>
              <w:jc w:val="right"/>
              <w:ind w:right="94"/>
              <w:spacing w:after="0"/>
              <w:rPr>
                <w:sz w:val="20"/>
                <w:szCs w:val="20"/>
                <w:color w:val="auto"/>
              </w:rPr>
            </w:pPr>
            <w:r>
              <w:rPr>
                <w:rFonts w:ascii="Arial" w:cs="Arial" w:eastAsia="Arial" w:hAnsi="Arial"/>
                <w:sz w:val="17"/>
                <w:szCs w:val="17"/>
                <w:color w:val="auto"/>
              </w:rPr>
              <w:t>567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686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493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gridSpan w:val="4"/>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2800" w:type="dxa"/>
            <w:vAlign w:val="bottom"/>
            <w:gridSpan w:val="4"/>
            <w:vMerge w:val="continue"/>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94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688</w:t>
            </w:r>
          </w:p>
        </w:tc>
        <w:tc>
          <w:tcPr>
            <w:tcW w:w="160" w:type="dxa"/>
            <w:vAlign w:val="bottom"/>
          </w:tcPr>
          <w:p>
            <w:pPr>
              <w:spacing w:after="0"/>
              <w:rPr>
                <w:sz w:val="16"/>
                <w:szCs w:val="16"/>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563</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672</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489</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52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1"/>
              </w:rPr>
              <w:t>Meadowbank Mine — Minesite Costs per Tonne</w:t>
            </w:r>
          </w:p>
        </w:tc>
        <w:tc>
          <w:tcPr>
            <w:tcW w:w="20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85"/>
              </w:rPr>
              <w:t>(iv)</w:t>
            </w: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520" w:type="dxa"/>
            <w:vAlign w:val="bottom"/>
            <w:gridSpan w:val="2"/>
            <w:vMerge w:val="continue"/>
          </w:tcPr>
          <w:p>
            <w:pPr>
              <w:spacing w:after="0" w:line="20" w:lineRule="exact"/>
              <w:rPr>
                <w:sz w:val="1"/>
                <w:szCs w:val="1"/>
                <w:color w:val="auto"/>
              </w:rPr>
            </w:pPr>
          </w:p>
        </w:tc>
        <w:tc>
          <w:tcPr>
            <w:tcW w:w="200" w:type="dxa"/>
            <w:vAlign w:val="bottom"/>
            <w:gridSpan w:val="2"/>
            <w:vMerge w:val="continu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520" w:type="dxa"/>
            <w:vAlign w:val="bottom"/>
            <w:gridSpan w:val="2"/>
            <w:vMerge w:val="continue"/>
          </w:tcPr>
          <w:p>
            <w:pPr>
              <w:spacing w:after="0"/>
              <w:rPr>
                <w:sz w:val="24"/>
                <w:szCs w:val="24"/>
                <w:color w:val="auto"/>
              </w:rPr>
            </w:pPr>
          </w:p>
        </w:tc>
        <w:tc>
          <w:tcPr>
            <w:tcW w:w="200" w:type="dxa"/>
            <w:vAlign w:val="bottom"/>
            <w:tcBorders>
              <w:bottom w:val="single" w:sz="8" w:color="auto"/>
            </w:tcBorders>
            <w:gridSpan w:val="2"/>
            <w:vMerge w:val="continue"/>
          </w:tcPr>
          <w:p>
            <w:pPr>
              <w:spacing w:after="0"/>
              <w:rPr>
                <w:sz w:val="24"/>
                <w:szCs w:val="24"/>
                <w:color w:val="auto"/>
              </w:rPr>
            </w:pPr>
          </w:p>
        </w:tc>
        <w:tc>
          <w:tcPr>
            <w:tcW w:w="220" w:type="dxa"/>
            <w:vAlign w:val="bottom"/>
            <w:vMerge w:val="restart"/>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52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80" w:type="dxa"/>
            <w:vAlign w:val="bottom"/>
          </w:tcPr>
          <w:p>
            <w:pPr>
              <w:spacing w:after="0"/>
              <w:rPr>
                <w:sz w:val="3"/>
                <w:szCs w:val="3"/>
                <w:color w:val="auto"/>
              </w:rPr>
            </w:pPr>
          </w:p>
        </w:tc>
        <w:tc>
          <w:tcPr>
            <w:tcW w:w="220" w:type="dxa"/>
            <w:vAlign w:val="bottom"/>
            <w:vMerge w:val="continue"/>
          </w:tcPr>
          <w:p>
            <w:pPr>
              <w:spacing w:after="0"/>
              <w:rPr>
                <w:sz w:val="3"/>
                <w:szCs w:val="3"/>
                <w:color w:val="auto"/>
              </w:rPr>
            </w:pPr>
          </w:p>
        </w:tc>
        <w:tc>
          <w:tcPr>
            <w:tcW w:w="2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2800" w:type="dxa"/>
            <w:vAlign w:val="bottom"/>
            <w:gridSpan w:val="4"/>
          </w:tcPr>
          <w:p>
            <w:pPr>
              <w:spacing w:after="0"/>
              <w:rPr>
                <w:sz w:val="20"/>
                <w:szCs w:val="20"/>
                <w:color w:val="auto"/>
              </w:rPr>
            </w:pPr>
            <w:r>
              <w:rPr>
                <w:rFonts w:ascii="Arial" w:cs="Arial" w:eastAsia="Arial" w:hAnsi="Arial"/>
                <w:sz w:val="13"/>
                <w:szCs w:val="13"/>
                <w:b w:val="1"/>
                <w:bCs w:val="1"/>
                <w:color w:val="auto"/>
              </w:rPr>
              <w:t>noted)</w:t>
            </w:r>
          </w:p>
        </w:tc>
        <w:tc>
          <w:tcPr>
            <w:tcW w:w="1580" w:type="dxa"/>
            <w:vAlign w:val="bottom"/>
            <w:gridSpan w:val="5"/>
            <w:vMerge w:val="restart"/>
          </w:tcPr>
          <w:p>
            <w:pPr>
              <w:jc w:val="right"/>
              <w:ind w:right="240"/>
              <w:spacing w:after="0"/>
              <w:rPr>
                <w:sz w:val="20"/>
                <w:szCs w:val="20"/>
                <w:color w:val="auto"/>
              </w:rPr>
            </w:pPr>
            <w:r>
              <w:rPr>
                <w:rFonts w:ascii="Arial" w:cs="Arial" w:eastAsia="Arial" w:hAnsi="Arial"/>
                <w:sz w:val="13"/>
                <w:szCs w:val="13"/>
                <w:b w:val="1"/>
                <w:bCs w:val="1"/>
                <w:color w:val="auto"/>
              </w:rPr>
              <w:t>Three Months Ended</w:t>
            </w:r>
          </w:p>
        </w:tc>
        <w:tc>
          <w:tcPr>
            <w:tcW w:w="60" w:type="dxa"/>
            <w:vAlign w:val="bottom"/>
          </w:tcPr>
          <w:p>
            <w:pPr>
              <w:spacing w:after="0"/>
              <w:rPr>
                <w:sz w:val="14"/>
                <w:szCs w:val="14"/>
                <w:color w:val="auto"/>
              </w:rPr>
            </w:pPr>
          </w:p>
        </w:tc>
        <w:tc>
          <w:tcPr>
            <w:tcW w:w="166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rPr>
              <w:t>Three Months Ended</w:t>
            </w:r>
          </w:p>
        </w:tc>
        <w:tc>
          <w:tcPr>
            <w:tcW w:w="80" w:type="dxa"/>
            <w:vAlign w:val="bottom"/>
          </w:tcPr>
          <w:p>
            <w:pPr>
              <w:spacing w:after="0"/>
              <w:rPr>
                <w:sz w:val="14"/>
                <w:szCs w:val="14"/>
                <w:color w:val="auto"/>
              </w:rPr>
            </w:pPr>
          </w:p>
        </w:tc>
        <w:tc>
          <w:tcPr>
            <w:tcW w:w="1420" w:type="dxa"/>
            <w:vAlign w:val="bottom"/>
            <w:gridSpan w:val="5"/>
            <w:vMerge w:val="restart"/>
          </w:tcPr>
          <w:p>
            <w:pPr>
              <w:jc w:val="right"/>
              <w:ind w:right="300"/>
              <w:spacing w:after="0"/>
              <w:rPr>
                <w:sz w:val="20"/>
                <w:szCs w:val="20"/>
                <w:color w:val="auto"/>
              </w:rPr>
            </w:pPr>
            <w:r>
              <w:rPr>
                <w:rFonts w:ascii="Arial" w:cs="Arial" w:eastAsia="Arial" w:hAnsi="Arial"/>
                <w:sz w:val="13"/>
                <w:szCs w:val="13"/>
                <w:b w:val="1"/>
                <w:bCs w:val="1"/>
                <w:color w:val="auto"/>
                <w:w w:val="97"/>
              </w:rPr>
              <w:t>Six Months Ended</w:t>
            </w:r>
          </w:p>
        </w:tc>
        <w:tc>
          <w:tcPr>
            <w:tcW w:w="120" w:type="dxa"/>
            <w:vAlign w:val="bottom"/>
          </w:tcPr>
          <w:p>
            <w:pPr>
              <w:spacing w:after="0"/>
              <w:rPr>
                <w:sz w:val="14"/>
                <w:szCs w:val="14"/>
                <w:color w:val="auto"/>
              </w:rPr>
            </w:pPr>
          </w:p>
        </w:tc>
        <w:tc>
          <w:tcPr>
            <w:tcW w:w="2560" w:type="dxa"/>
            <w:vAlign w:val="bottom"/>
            <w:gridSpan w:val="4"/>
            <w:vMerge w:val="restart"/>
          </w:tcPr>
          <w:p>
            <w:pPr>
              <w:ind w:left="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380" w:type="dxa"/>
            <w:vAlign w:val="bottom"/>
          </w:tcPr>
          <w:p>
            <w:pPr>
              <w:spacing w:after="0"/>
              <w:rPr>
                <w:sz w:val="4"/>
                <w:szCs w:val="4"/>
                <w:color w:val="auto"/>
              </w:rPr>
            </w:pPr>
          </w:p>
        </w:tc>
        <w:tc>
          <w:tcPr>
            <w:tcW w:w="20" w:type="dxa"/>
            <w:vAlign w:val="bottom"/>
          </w:tcPr>
          <w:p>
            <w:pPr>
              <w:spacing w:after="0"/>
              <w:rPr>
                <w:sz w:val="4"/>
                <w:szCs w:val="4"/>
                <w:color w:val="auto"/>
              </w:rPr>
            </w:pPr>
          </w:p>
        </w:tc>
        <w:tc>
          <w:tcPr>
            <w:tcW w:w="1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580" w:type="dxa"/>
            <w:vAlign w:val="bottom"/>
            <w:gridSpan w:val="5"/>
            <w:vMerge w:val="continue"/>
          </w:tcPr>
          <w:p>
            <w:pPr>
              <w:spacing w:after="0"/>
              <w:rPr>
                <w:sz w:val="4"/>
                <w:szCs w:val="4"/>
                <w:color w:val="auto"/>
              </w:rPr>
            </w:pPr>
          </w:p>
        </w:tc>
        <w:tc>
          <w:tcPr>
            <w:tcW w:w="6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gridSpan w:val="5"/>
            <w:vMerge w:val="continue"/>
          </w:tcPr>
          <w:p>
            <w:pPr>
              <w:spacing w:after="0"/>
              <w:rPr>
                <w:sz w:val="4"/>
                <w:szCs w:val="4"/>
                <w:color w:val="auto"/>
              </w:rPr>
            </w:pPr>
          </w:p>
        </w:tc>
        <w:tc>
          <w:tcPr>
            <w:tcW w:w="120" w:type="dxa"/>
            <w:vAlign w:val="bottom"/>
          </w:tcPr>
          <w:p>
            <w:pPr>
              <w:spacing w:after="0"/>
              <w:rPr>
                <w:sz w:val="4"/>
                <w:szCs w:val="4"/>
                <w:color w:val="auto"/>
              </w:rPr>
            </w:pPr>
          </w:p>
        </w:tc>
        <w:tc>
          <w:tcPr>
            <w:tcW w:w="25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gridSpan w:val="3"/>
          </w:tcPr>
          <w:p>
            <w:pPr>
              <w:jc w:val="right"/>
              <w:ind w:right="298"/>
              <w:spacing w:after="0"/>
              <w:rPr>
                <w:sz w:val="20"/>
                <w:szCs w:val="20"/>
                <w:color w:val="auto"/>
              </w:rPr>
            </w:pPr>
            <w:r>
              <w:rPr>
                <w:rFonts w:ascii="Arial" w:cs="Arial" w:eastAsia="Arial" w:hAnsi="Arial"/>
                <w:sz w:val="13"/>
                <w:szCs w:val="13"/>
                <w:b w:val="1"/>
                <w:bCs w:val="1"/>
                <w:color w:val="auto"/>
                <w:w w:val="96"/>
              </w:rPr>
              <w:t>June 30, 2015</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June 30, 2014</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jc w:val="right"/>
              <w:ind w:right="217"/>
              <w:spacing w:after="0"/>
              <w:rPr>
                <w:sz w:val="20"/>
                <w:szCs w:val="20"/>
                <w:color w:val="auto"/>
              </w:rPr>
            </w:pPr>
            <w:r>
              <w:rPr>
                <w:rFonts w:ascii="Arial" w:cs="Arial" w:eastAsia="Arial" w:hAnsi="Arial"/>
                <w:sz w:val="13"/>
                <w:szCs w:val="13"/>
                <w:b w:val="1"/>
                <w:bCs w:val="1"/>
                <w:color w:val="auto"/>
                <w:w w:val="94"/>
              </w:rPr>
              <w:t>June 30, 2015</w:t>
            </w:r>
          </w:p>
        </w:tc>
        <w:tc>
          <w:tcPr>
            <w:tcW w:w="140" w:type="dxa"/>
            <w:vAlign w:val="bottom"/>
            <w:gridSpan w:val="2"/>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6"/>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66,888</w:t>
            </w:r>
          </w:p>
        </w:tc>
        <w:tc>
          <w:tcPr>
            <w:tcW w:w="42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63,808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123,983</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130,888</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280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(vi)</w:t>
            </w:r>
          </w:p>
        </w:tc>
        <w:tc>
          <w:tcPr>
            <w:tcW w:w="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7"/>
                <w:szCs w:val="17"/>
                <w:color w:val="auto"/>
              </w:rPr>
              <w:t>(3,768)</w:t>
            </w:r>
          </w:p>
        </w:tc>
        <w:tc>
          <w:tcPr>
            <w:tcW w:w="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7"/>
                <w:szCs w:val="17"/>
                <w:color w:val="auto"/>
              </w:rPr>
              <w:t>3,551</w:t>
            </w: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7"/>
                <w:szCs w:val="17"/>
                <w:color w:val="auto"/>
              </w:rPr>
              <w:t>(2,074)</w:t>
            </w: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4,939</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63,120</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67,359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121,909</w:t>
            </w:r>
          </w:p>
        </w:tc>
        <w:tc>
          <w:tcPr>
            <w:tcW w:w="40" w:type="dxa"/>
            <w:vAlign w:val="bottom"/>
            <w:shd w:val="clear" w:color="auto" w:fill="CCEEFF"/>
          </w:tcPr>
          <w:p>
            <w:pPr>
              <w:spacing w:after="0"/>
              <w:rPr>
                <w:sz w:val="17"/>
                <w:szCs w:val="17"/>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135,827</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2800" w:type="dxa"/>
            <w:vAlign w:val="bottom"/>
            <w:gridSpan w:val="4"/>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40" w:type="dxa"/>
            <w:vAlign w:val="bottom"/>
          </w:tcPr>
          <w:p>
            <w:pPr>
              <w:spacing w:after="0"/>
              <w:rPr>
                <w:sz w:val="18"/>
                <w:szCs w:val="18"/>
                <w:color w:val="auto"/>
              </w:rPr>
            </w:pPr>
          </w:p>
        </w:tc>
        <w:tc>
          <w:tcPr>
            <w:tcW w:w="2800" w:type="dxa"/>
            <w:vAlign w:val="bottom"/>
            <w:gridSpan w:val="4"/>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7"/>
                <w:szCs w:val="17"/>
                <w:color w:val="auto"/>
              </w:rPr>
              <w:t>75,290</w:t>
            </w:r>
          </w:p>
        </w:tc>
        <w:tc>
          <w:tcPr>
            <w:tcW w:w="6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7"/>
                <w:szCs w:val="17"/>
                <w:color w:val="auto"/>
              </w:rPr>
              <w:t>73,457</w:t>
            </w: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145,917</w:t>
            </w:r>
          </w:p>
        </w:tc>
        <w:tc>
          <w:tcPr>
            <w:tcW w:w="4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149,002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280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280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1,019</w:t>
            </w: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1,051</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2,010</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2,045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gridSpan w:val="4"/>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(iv)</w:t>
            </w: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2800" w:type="dxa"/>
            <w:vAlign w:val="bottom"/>
            <w:gridSpan w:val="4"/>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74</w:t>
            </w: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7"/>
                <w:szCs w:val="17"/>
                <w:color w:val="auto"/>
              </w:rPr>
              <w:t>70</w:t>
            </w:r>
          </w:p>
        </w:tc>
        <w:tc>
          <w:tcPr>
            <w:tcW w:w="24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00" w:type="dxa"/>
            <w:vAlign w:val="bottom"/>
          </w:tcPr>
          <w:p>
            <w:pPr>
              <w:spacing w:after="0"/>
              <w:rPr>
                <w:sz w:val="23"/>
                <w:szCs w:val="2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7"/>
                <w:szCs w:val="17"/>
                <w:color w:val="auto"/>
              </w:rPr>
              <w:t>73</w:t>
            </w:r>
          </w:p>
        </w:tc>
        <w:tc>
          <w:tcPr>
            <w:tcW w:w="40" w:type="dxa"/>
            <w:vAlign w:val="bottom"/>
          </w:tcPr>
          <w:p>
            <w:pPr>
              <w:spacing w:after="0"/>
              <w:rPr>
                <w:sz w:val="23"/>
                <w:szCs w:val="23"/>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w w:val="82"/>
              </w:rPr>
              <w:t>C$</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73</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gridSpan w:val="3"/>
          </w:tcPr>
          <w:p>
            <w:pPr>
              <w:jc w:val="right"/>
              <w:ind w:right="140"/>
              <w:spacing w:after="0"/>
              <w:rPr>
                <w:sz w:val="20"/>
                <w:szCs w:val="20"/>
                <w:color w:val="auto"/>
              </w:rPr>
            </w:pPr>
            <w:r>
              <w:rPr>
                <w:rFonts w:ascii="Arial" w:cs="Arial" w:eastAsia="Arial" w:hAnsi="Arial"/>
                <w:sz w:val="17"/>
                <w:szCs w:val="17"/>
                <w:color w:val="auto"/>
              </w:rPr>
              <w:t>21</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3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5" w:name="page26"/>
    <w:bookmarkEnd w:id="2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Canadian Malartic Mine — Total Cash Costs per Ounce of Gold Produced</w:t>
      </w:r>
      <w:r>
        <w:rPr>
          <w:rFonts w:ascii="Arial" w:cs="Arial" w:eastAsia="Arial" w:hAnsi="Arial"/>
          <w:sz w:val="28"/>
          <w:szCs w:val="28"/>
          <w:b w:val="1"/>
          <w:bCs w:val="1"/>
          <w:u w:val="single" w:color="auto"/>
          <w:color w:val="auto"/>
          <w:vertAlign w:val="superscript"/>
        </w:rPr>
        <w:t>(i)(iii)</w:t>
      </w:r>
    </w:p>
    <w:p>
      <w:pPr>
        <w:spacing w:after="0" w:line="135" w:lineRule="exact"/>
        <w:rPr>
          <w:sz w:val="20"/>
          <w:szCs w:val="20"/>
          <w:color w:val="auto"/>
        </w:rPr>
      </w:pPr>
    </w:p>
    <w:tbl>
      <w:tblPr>
        <w:tblLayout w:type="fixed"/>
        <w:tblInd w:w="1140" w:type="dxa"/>
        <w:tblCellMar>
          <w:top w:w="0" w:type="dxa"/>
          <w:left w:w="0" w:type="dxa"/>
          <w:bottom w:w="0" w:type="dxa"/>
          <w:right w:w="0" w:type="dxa"/>
        </w:tblCellMar>
      </w:tblPr>
      <w:tr>
        <w:trPr>
          <w:trHeight w:val="169"/>
        </w:trPr>
        <w:tc>
          <w:tcPr>
            <w:tcW w:w="3260" w:type="dxa"/>
            <w:vAlign w:val="bottom"/>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3"/>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right"/>
              <w:ind w:right="240"/>
              <w:spacing w:after="0"/>
              <w:rPr>
                <w:sz w:val="20"/>
                <w:szCs w:val="20"/>
                <w:color w:val="auto"/>
              </w:rPr>
            </w:pPr>
            <w:r>
              <w:rPr>
                <w:rFonts w:ascii="Arial" w:cs="Arial" w:eastAsia="Arial" w:hAnsi="Arial"/>
                <w:sz w:val="13"/>
                <w:szCs w:val="13"/>
                <w:b w:val="1"/>
                <w:bCs w:val="1"/>
                <w:color w:val="auto"/>
                <w:w w:val="90"/>
              </w:rPr>
              <w:t>Six Months Ended</w:t>
            </w:r>
          </w:p>
        </w:tc>
        <w:tc>
          <w:tcPr>
            <w:tcW w:w="100" w:type="dxa"/>
            <w:vAlign w:val="bottom"/>
          </w:tcPr>
          <w:p>
            <w:pPr>
              <w:spacing w:after="0"/>
              <w:rPr>
                <w:sz w:val="14"/>
                <w:szCs w:val="14"/>
                <w:color w:val="auto"/>
              </w:rPr>
            </w:pPr>
          </w:p>
        </w:tc>
        <w:tc>
          <w:tcPr>
            <w:tcW w:w="130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Six Months Ended</w:t>
            </w:r>
          </w:p>
        </w:tc>
        <w:tc>
          <w:tcPr>
            <w:tcW w:w="0" w:type="dxa"/>
            <w:vAlign w:val="bottom"/>
          </w:tcPr>
          <w:p>
            <w:pPr>
              <w:spacing w:after="0"/>
              <w:rPr>
                <w:sz w:val="1"/>
                <w:szCs w:val="1"/>
                <w:color w:val="auto"/>
              </w:rPr>
            </w:pPr>
          </w:p>
        </w:tc>
      </w:tr>
      <w:tr>
        <w:trPr>
          <w:trHeight w:val="54"/>
        </w:trPr>
        <w:tc>
          <w:tcPr>
            <w:tcW w:w="32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32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9"/>
              <w:spacing w:after="0"/>
              <w:rPr>
                <w:sz w:val="20"/>
                <w:szCs w:val="20"/>
                <w:color w:val="auto"/>
              </w:rPr>
            </w:pPr>
            <w:r>
              <w:rPr>
                <w:rFonts w:ascii="Arial" w:cs="Arial" w:eastAsia="Arial" w:hAnsi="Arial"/>
                <w:sz w:val="13"/>
                <w:szCs w:val="13"/>
                <w:b w:val="1"/>
                <w:bCs w:val="1"/>
                <w:color w:val="auto"/>
              </w:rPr>
              <w:t>June 30, 2015</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9"/>
              <w:spacing w:after="0"/>
              <w:rPr>
                <w:sz w:val="20"/>
                <w:szCs w:val="20"/>
                <w:color w:val="auto"/>
              </w:rPr>
            </w:pPr>
            <w:r>
              <w:rPr>
                <w:rFonts w:ascii="Arial" w:cs="Arial" w:eastAsia="Arial" w:hAnsi="Arial"/>
                <w:sz w:val="13"/>
                <w:szCs w:val="13"/>
                <w:b w:val="1"/>
                <w:bCs w:val="1"/>
                <w:color w:val="auto"/>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139"/>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9"/>
              <w:spacing w:after="0"/>
              <w:rPr>
                <w:sz w:val="20"/>
                <w:szCs w:val="20"/>
                <w:color w:val="auto"/>
              </w:rPr>
            </w:pPr>
            <w:r>
              <w:rPr>
                <w:rFonts w:ascii="Arial" w:cs="Arial" w:eastAsia="Arial" w:hAnsi="Arial"/>
                <w:sz w:val="13"/>
                <w:szCs w:val="13"/>
                <w:b w:val="1"/>
                <w:bCs w:val="1"/>
                <w:color w:val="auto"/>
              </w:rPr>
              <w:t>June 30, 2014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42,185</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18,333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83,371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18,333</w:t>
            </w:r>
          </w:p>
        </w:tc>
        <w:tc>
          <w:tcPr>
            <w:tcW w:w="0" w:type="dxa"/>
            <w:vAlign w:val="bottom"/>
          </w:tcPr>
          <w:p>
            <w:pPr>
              <w:spacing w:after="0"/>
              <w:rPr>
                <w:sz w:val="1"/>
                <w:szCs w:val="1"/>
                <w:color w:val="auto"/>
              </w:rPr>
            </w:pPr>
          </w:p>
        </w:tc>
      </w:tr>
      <w:tr>
        <w:trPr>
          <w:trHeight w:val="210"/>
        </w:trPr>
        <w:tc>
          <w:tcPr>
            <w:tcW w:w="3260" w:type="dxa"/>
            <w:vAlign w:val="bottom"/>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326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688</w:t>
            </w:r>
          </w:p>
        </w:tc>
        <w:tc>
          <w:tcPr>
            <w:tcW w:w="1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(10,721)</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3,554</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(10,721)</w:t>
            </w:r>
          </w:p>
        </w:tc>
        <w:tc>
          <w:tcPr>
            <w:tcW w:w="0" w:type="dxa"/>
            <w:vAlign w:val="bottom"/>
          </w:tcPr>
          <w:p>
            <w:pPr>
              <w:spacing w:after="0"/>
              <w:rPr>
                <w:sz w:val="1"/>
                <w:szCs w:val="1"/>
                <w:color w:val="auto"/>
              </w:rPr>
            </w:pPr>
          </w:p>
        </w:tc>
      </w:tr>
      <w:tr>
        <w:trPr>
          <w:trHeight w:val="26"/>
        </w:trPr>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42,873</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7,612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86,925</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7,612</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(1,177)</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(329)</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(2,319)</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(329)</w:t>
            </w:r>
          </w:p>
        </w:tc>
        <w:tc>
          <w:tcPr>
            <w:tcW w:w="0" w:type="dxa"/>
            <w:vAlign w:val="bottom"/>
          </w:tcPr>
          <w:p>
            <w:pPr>
              <w:spacing w:after="0"/>
              <w:rPr>
                <w:sz w:val="1"/>
                <w:szCs w:val="1"/>
                <w:color w:val="auto"/>
              </w:rPr>
            </w:pPr>
          </w:p>
        </w:tc>
      </w:tr>
      <w:tr>
        <w:trPr>
          <w:trHeight w:val="26"/>
        </w:trPr>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41,696</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7,283</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84,606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7,283</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68,441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11,878</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136,334</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11,878</w:t>
            </w:r>
          </w:p>
        </w:tc>
        <w:tc>
          <w:tcPr>
            <w:tcW w:w="0" w:type="dxa"/>
            <w:vAlign w:val="bottom"/>
          </w:tcPr>
          <w:p>
            <w:pPr>
              <w:spacing w:after="0"/>
              <w:rPr>
                <w:sz w:val="1"/>
                <w:szCs w:val="1"/>
                <w:color w:val="auto"/>
              </w:rPr>
            </w:pPr>
          </w:p>
        </w:tc>
      </w:tr>
      <w:tr>
        <w:trPr>
          <w:trHeight w:val="202"/>
        </w:trPr>
        <w:tc>
          <w:tcPr>
            <w:tcW w:w="3260" w:type="dxa"/>
            <w:vAlign w:val="bottom"/>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3260" w:type="dxa"/>
            <w:vAlign w:val="bottom"/>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626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641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638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641</w:t>
            </w:r>
          </w:p>
        </w:tc>
        <w:tc>
          <w:tcPr>
            <w:tcW w:w="0" w:type="dxa"/>
            <w:vAlign w:val="bottom"/>
          </w:tcPr>
          <w:p>
            <w:pPr>
              <w:spacing w:after="0"/>
              <w:rPr>
                <w:sz w:val="1"/>
                <w:szCs w:val="1"/>
                <w:color w:val="auto"/>
              </w:rPr>
            </w:pPr>
          </w:p>
        </w:tc>
      </w:tr>
      <w:tr>
        <w:trPr>
          <w:trHeight w:val="26"/>
        </w:trPr>
        <w:tc>
          <w:tcPr>
            <w:tcW w:w="3260" w:type="dxa"/>
            <w:vAlign w:val="bottom"/>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260" w:type="dxa"/>
            <w:vAlign w:val="bottom"/>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260" w:type="dxa"/>
            <w:vAlign w:val="bottom"/>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609</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613</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621</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613</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Canadian Malartic Mine — Minesite Costs per Tonne</w:t>
      </w:r>
      <w:r>
        <w:rPr>
          <w:rFonts w:ascii="Arial" w:cs="Arial" w:eastAsia="Arial" w:hAnsi="Arial"/>
          <w:sz w:val="28"/>
          <w:szCs w:val="28"/>
          <w:b w:val="1"/>
          <w:bCs w:val="1"/>
          <w:u w:val="single" w:color="auto"/>
          <w:color w:val="auto"/>
          <w:vertAlign w:val="superscript"/>
        </w:rPr>
        <w:t>(i)(iv)</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2800" w:type="dxa"/>
            <w:vAlign w:val="bottom"/>
          </w:tcPr>
          <w:p>
            <w:pPr>
              <w:spacing w:after="0"/>
              <w:rPr>
                <w:sz w:val="20"/>
                <w:szCs w:val="20"/>
                <w:color w:val="auto"/>
              </w:rPr>
            </w:pPr>
            <w:r>
              <w:rPr>
                <w:rFonts w:ascii="Arial" w:cs="Arial" w:eastAsia="Arial" w:hAnsi="Arial"/>
                <w:sz w:val="13"/>
                <w:szCs w:val="13"/>
                <w:b w:val="1"/>
                <w:bCs w:val="1"/>
                <w:color w:val="auto"/>
                <w:w w:val="97"/>
              </w:rPr>
              <w:t>(thousands of United States dollars, except as</w:t>
            </w:r>
          </w:p>
        </w:tc>
        <w:tc>
          <w:tcPr>
            <w:tcW w:w="2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2800" w:type="dxa"/>
            <w:vAlign w:val="bottom"/>
          </w:tcPr>
          <w:p>
            <w:pPr>
              <w:spacing w:after="0"/>
              <w:rPr>
                <w:sz w:val="20"/>
                <w:szCs w:val="20"/>
                <w:color w:val="auto"/>
              </w:rPr>
            </w:pPr>
            <w:r>
              <w:rPr>
                <w:rFonts w:ascii="Arial" w:cs="Arial" w:eastAsia="Arial" w:hAnsi="Arial"/>
                <w:sz w:val="13"/>
                <w:szCs w:val="13"/>
                <w:b w:val="1"/>
                <w:bCs w:val="1"/>
                <w:color w:val="auto"/>
              </w:rPr>
              <w:t>noted)</w:t>
            </w:r>
          </w:p>
        </w:tc>
        <w:tc>
          <w:tcPr>
            <w:tcW w:w="1640" w:type="dxa"/>
            <w:vAlign w:val="bottom"/>
            <w:gridSpan w:val="3"/>
            <w:vMerge w:val="restart"/>
          </w:tcPr>
          <w:p>
            <w:pPr>
              <w:ind w:left="160"/>
              <w:spacing w:after="0"/>
              <w:rPr>
                <w:sz w:val="20"/>
                <w:szCs w:val="20"/>
                <w:color w:val="auto"/>
              </w:rPr>
            </w:pPr>
            <w:r>
              <w:rPr>
                <w:rFonts w:ascii="Arial" w:cs="Arial" w:eastAsia="Arial" w:hAnsi="Arial"/>
                <w:sz w:val="13"/>
                <w:szCs w:val="13"/>
                <w:b w:val="1"/>
                <w:bCs w:val="1"/>
                <w:color w:val="auto"/>
              </w:rPr>
              <w:t>Three Months Ended</w:t>
            </w:r>
          </w:p>
        </w:tc>
        <w:tc>
          <w:tcPr>
            <w:tcW w:w="1660" w:type="dxa"/>
            <w:vAlign w:val="bottom"/>
            <w:gridSpan w:val="3"/>
            <w:vMerge w:val="restart"/>
          </w:tcPr>
          <w:p>
            <w:pPr>
              <w:jc w:val="center"/>
              <w:ind w:right="140"/>
              <w:spacing w:after="0"/>
              <w:rPr>
                <w:sz w:val="20"/>
                <w:szCs w:val="20"/>
                <w:color w:val="auto"/>
              </w:rPr>
            </w:pPr>
            <w:r>
              <w:rPr>
                <w:rFonts w:ascii="Arial" w:cs="Arial" w:eastAsia="Arial" w:hAnsi="Arial"/>
                <w:sz w:val="13"/>
                <w:szCs w:val="13"/>
                <w:b w:val="1"/>
                <w:bCs w:val="1"/>
                <w:color w:val="auto"/>
                <w:w w:val="93"/>
              </w:rPr>
              <w:t>Three Months Ended</w:t>
            </w:r>
          </w:p>
        </w:tc>
        <w:tc>
          <w:tcPr>
            <w:tcW w:w="1500" w:type="dxa"/>
            <w:vAlign w:val="bottom"/>
            <w:gridSpan w:val="3"/>
            <w:vMerge w:val="restart"/>
          </w:tcPr>
          <w:p>
            <w:pPr>
              <w:ind w:left="160"/>
              <w:spacing w:after="0"/>
              <w:rPr>
                <w:sz w:val="20"/>
                <w:szCs w:val="20"/>
                <w:color w:val="auto"/>
              </w:rPr>
            </w:pPr>
            <w:r>
              <w:rPr>
                <w:rFonts w:ascii="Arial" w:cs="Arial" w:eastAsia="Arial" w:hAnsi="Arial"/>
                <w:sz w:val="13"/>
                <w:szCs w:val="13"/>
                <w:b w:val="1"/>
                <w:bCs w:val="1"/>
                <w:color w:val="auto"/>
              </w:rPr>
              <w:t>Six Months Ended</w:t>
            </w:r>
          </w:p>
        </w:tc>
        <w:tc>
          <w:tcPr>
            <w:tcW w:w="2680" w:type="dxa"/>
            <w:vAlign w:val="bottom"/>
            <w:gridSpan w:val="4"/>
            <w:vMerge w:val="restart"/>
          </w:tcPr>
          <w:p>
            <w:pPr>
              <w:jc w:val="center"/>
              <w:ind w:right="13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800" w:type="dxa"/>
            <w:vAlign w:val="bottom"/>
          </w:tcPr>
          <w:p>
            <w:pPr>
              <w:spacing w:after="0"/>
              <w:rPr>
                <w:sz w:val="4"/>
                <w:szCs w:val="4"/>
                <w:color w:val="auto"/>
              </w:rPr>
            </w:pPr>
          </w:p>
        </w:tc>
        <w:tc>
          <w:tcPr>
            <w:tcW w:w="1640" w:type="dxa"/>
            <w:vAlign w:val="bottom"/>
            <w:gridSpan w:val="3"/>
            <w:vMerge w:val="continue"/>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1500" w:type="dxa"/>
            <w:vAlign w:val="bottom"/>
            <w:gridSpan w:val="3"/>
            <w:vMerge w:val="continue"/>
          </w:tcPr>
          <w:p>
            <w:pPr>
              <w:spacing w:after="0"/>
              <w:rPr>
                <w:sz w:val="4"/>
                <w:szCs w:val="4"/>
                <w:color w:val="auto"/>
              </w:rPr>
            </w:pPr>
          </w:p>
        </w:tc>
        <w:tc>
          <w:tcPr>
            <w:tcW w:w="26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80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298"/>
              <w:spacing w:after="0"/>
              <w:rPr>
                <w:sz w:val="20"/>
                <w:szCs w:val="20"/>
                <w:color w:val="auto"/>
              </w:rPr>
            </w:pPr>
            <w:r>
              <w:rPr>
                <w:rFonts w:ascii="Arial" w:cs="Arial" w:eastAsia="Arial" w:hAnsi="Arial"/>
                <w:sz w:val="13"/>
                <w:szCs w:val="13"/>
                <w:b w:val="1"/>
                <w:bCs w:val="1"/>
                <w:color w:val="auto"/>
                <w:w w:val="96"/>
              </w:rPr>
              <w:t>June 30, 2015</w:t>
            </w:r>
          </w:p>
        </w:tc>
        <w:tc>
          <w:tcPr>
            <w:tcW w:w="14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tcPr>
          <w:p>
            <w:pPr>
              <w:jc w:val="center"/>
              <w:ind w:right="198"/>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jc w:val="right"/>
              <w:ind w:right="218"/>
              <w:spacing w:after="0"/>
              <w:rPr>
                <w:sz w:val="20"/>
                <w:szCs w:val="20"/>
                <w:color w:val="auto"/>
              </w:rPr>
            </w:pPr>
            <w:r>
              <w:rPr>
                <w:rFonts w:ascii="Arial" w:cs="Arial" w:eastAsia="Arial" w:hAnsi="Arial"/>
                <w:sz w:val="13"/>
                <w:szCs w:val="13"/>
                <w:b w:val="1"/>
                <w:bCs w:val="1"/>
                <w:color w:val="auto"/>
                <w:w w:val="92"/>
              </w:rPr>
              <w:t>June 30, 2015</w:t>
            </w:r>
          </w:p>
        </w:tc>
        <w:tc>
          <w:tcPr>
            <w:tcW w:w="14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jc w:val="center"/>
              <w:ind w:right="178"/>
              <w:spacing w:after="0"/>
              <w:rPr>
                <w:sz w:val="20"/>
                <w:szCs w:val="20"/>
                <w:color w:val="auto"/>
              </w:rPr>
            </w:pPr>
            <w:r>
              <w:rPr>
                <w:rFonts w:ascii="Arial" w:cs="Arial" w:eastAsia="Arial" w:hAnsi="Arial"/>
                <w:sz w:val="13"/>
                <w:szCs w:val="13"/>
                <w:b w:val="1"/>
                <w:bCs w:val="1"/>
                <w:color w:val="auto"/>
                <w:w w:val="89"/>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42,185</w:t>
            </w:r>
          </w:p>
        </w:tc>
        <w:tc>
          <w:tcPr>
            <w:tcW w:w="3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18,333</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83,371</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18,333</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2800" w:type="dxa"/>
            <w:vAlign w:val="bottom"/>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(vi)</w:t>
            </w:r>
          </w:p>
        </w:tc>
        <w:tc>
          <w:tcPr>
            <w:tcW w:w="28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48</w:t>
            </w:r>
          </w:p>
        </w:tc>
        <w:tc>
          <w:tcPr>
            <w:tcW w:w="1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7"/>
                <w:szCs w:val="17"/>
                <w:color w:val="auto"/>
              </w:rPr>
              <w:t>(10,754)</w:t>
            </w:r>
          </w:p>
        </w:tc>
        <w:tc>
          <w:tcPr>
            <w:tcW w:w="260" w:type="dxa"/>
            <w:vAlign w:val="bottom"/>
          </w:tcPr>
          <w:p>
            <w:pPr>
              <w:spacing w:after="0"/>
              <w:rPr>
                <w:sz w:val="23"/>
                <w:szCs w:val="23"/>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7"/>
                <w:szCs w:val="17"/>
                <w:color w:val="auto"/>
              </w:rPr>
              <w:t>1,733</w:t>
            </w:r>
          </w:p>
        </w:tc>
        <w:tc>
          <w:tcPr>
            <w:tcW w:w="260" w:type="dxa"/>
            <w:vAlign w:val="bottom"/>
          </w:tcPr>
          <w:p>
            <w:pPr>
              <w:spacing w:after="0"/>
              <w:rPr>
                <w:sz w:val="23"/>
                <w:szCs w:val="23"/>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7"/>
                <w:szCs w:val="17"/>
                <w:color w:val="auto"/>
              </w:rPr>
              <w:t>(10,754)</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42,233</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7,579</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85,104</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7,579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2800" w:type="dxa"/>
            <w:vAlign w:val="bottom"/>
          </w:tcPr>
          <w:p>
            <w:pPr>
              <w:spacing w:after="0"/>
              <w:rPr>
                <w:sz w:val="20"/>
                <w:szCs w:val="20"/>
                <w:color w:val="auto"/>
              </w:rPr>
            </w:pPr>
            <w:r>
              <w:rPr>
                <w:rFonts w:ascii="Arial" w:cs="Arial" w:eastAsia="Arial" w:hAnsi="Arial"/>
                <w:sz w:val="17"/>
                <w:szCs w:val="17"/>
                <w:color w:val="auto"/>
                <w:w w:val="95"/>
              </w:rPr>
              <w:t>Minesite operating costs (thousands of</w:t>
            </w:r>
          </w:p>
        </w:tc>
        <w:tc>
          <w:tcPr>
            <w:tcW w:w="2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40" w:type="dxa"/>
            <w:vAlign w:val="bottom"/>
          </w:tcPr>
          <w:p>
            <w:pPr>
              <w:spacing w:after="0"/>
              <w:rPr>
                <w:sz w:val="18"/>
                <w:szCs w:val="18"/>
                <w:color w:val="auto"/>
              </w:rPr>
            </w:pPr>
          </w:p>
        </w:tc>
        <w:tc>
          <w:tcPr>
            <w:tcW w:w="2800" w:type="dxa"/>
            <w:vAlign w:val="bottom"/>
          </w:tcPr>
          <w:p>
            <w:pPr>
              <w:ind w:left="180"/>
              <w:spacing w:after="0"/>
              <w:rPr>
                <w:sz w:val="20"/>
                <w:szCs w:val="20"/>
                <w:color w:val="auto"/>
              </w:rPr>
            </w:pPr>
            <w:r>
              <w:rPr>
                <w:rFonts w:ascii="Arial" w:cs="Arial" w:eastAsia="Arial" w:hAnsi="Arial"/>
                <w:sz w:val="17"/>
                <w:szCs w:val="17"/>
                <w:color w:val="auto"/>
              </w:rPr>
              <w:t>C$)</w:t>
            </w: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40"/>
              <w:spacing w:after="0"/>
              <w:rPr>
                <w:sz w:val="20"/>
                <w:szCs w:val="20"/>
                <w:color w:val="auto"/>
              </w:rPr>
            </w:pPr>
            <w:r>
              <w:rPr>
                <w:rFonts w:ascii="Arial" w:cs="Arial" w:eastAsia="Arial" w:hAnsi="Arial"/>
                <w:sz w:val="17"/>
                <w:szCs w:val="17"/>
                <w:color w:val="auto"/>
              </w:rPr>
              <w:t>51,937</w:t>
            </w:r>
          </w:p>
        </w:tc>
        <w:tc>
          <w:tcPr>
            <w:tcW w:w="300" w:type="dxa"/>
            <w:vAlign w:val="bottom"/>
          </w:tcPr>
          <w:p>
            <w:pPr>
              <w:jc w:val="right"/>
              <w:ind w:right="18"/>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60"/>
              <w:spacing w:after="0"/>
              <w:rPr>
                <w:sz w:val="20"/>
                <w:szCs w:val="20"/>
                <w:color w:val="auto"/>
              </w:rPr>
            </w:pPr>
            <w:r>
              <w:rPr>
                <w:rFonts w:ascii="Arial" w:cs="Arial" w:eastAsia="Arial" w:hAnsi="Arial"/>
                <w:sz w:val="17"/>
                <w:szCs w:val="17"/>
                <w:color w:val="auto"/>
              </w:rPr>
              <w:t>8,160</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40" w:type="dxa"/>
            <w:vAlign w:val="bottom"/>
            <w:gridSpan w:val="2"/>
          </w:tcPr>
          <w:p>
            <w:pPr>
              <w:jc w:val="right"/>
              <w:ind w:right="140"/>
              <w:spacing w:after="0"/>
              <w:rPr>
                <w:sz w:val="20"/>
                <w:szCs w:val="20"/>
                <w:color w:val="auto"/>
              </w:rPr>
            </w:pPr>
            <w:r>
              <w:rPr>
                <w:rFonts w:ascii="Arial" w:cs="Arial" w:eastAsia="Arial" w:hAnsi="Arial"/>
                <w:sz w:val="17"/>
                <w:szCs w:val="17"/>
                <w:color w:val="auto"/>
              </w:rPr>
              <w:t>105,126</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8,160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7"/>
                <w:szCs w:val="17"/>
                <w:color w:val="auto"/>
              </w:rPr>
              <w:t>Tonnes of ore milled (thousands of</w:t>
            </w:r>
          </w:p>
        </w:tc>
        <w:tc>
          <w:tcPr>
            <w:tcW w:w="2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140" w:type="dxa"/>
            <w:vAlign w:val="bottom"/>
          </w:tcPr>
          <w:p>
            <w:pPr>
              <w:spacing w:after="0"/>
              <w:rPr>
                <w:sz w:val="18"/>
                <w:szCs w:val="18"/>
                <w:color w:val="auto"/>
              </w:rPr>
            </w:pPr>
          </w:p>
        </w:tc>
        <w:tc>
          <w:tcPr>
            <w:tcW w:w="28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tonnes)</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2,307</w:t>
            </w: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398</w:t>
            </w:r>
          </w:p>
        </w:tc>
        <w:tc>
          <w:tcPr>
            <w:tcW w:w="26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4,647</w:t>
            </w: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398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800" w:type="dxa"/>
            <w:vAlign w:val="bottom"/>
            <w:vMerge w:val="restart"/>
          </w:tcPr>
          <w:p>
            <w:pPr>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(iv)</w:t>
            </w: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2800" w:type="dxa"/>
            <w:vAlign w:val="bottom"/>
            <w:vMerge w:val="continue"/>
          </w:tcPr>
          <w:p>
            <w:pPr>
              <w:spacing w:after="0"/>
              <w:rPr>
                <w:sz w:val="23"/>
                <w:szCs w:val="23"/>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40"/>
              <w:spacing w:after="0"/>
              <w:rPr>
                <w:sz w:val="20"/>
                <w:szCs w:val="20"/>
                <w:color w:val="auto"/>
              </w:rPr>
            </w:pPr>
            <w:r>
              <w:rPr>
                <w:rFonts w:ascii="Arial" w:cs="Arial" w:eastAsia="Arial" w:hAnsi="Arial"/>
                <w:sz w:val="17"/>
                <w:szCs w:val="17"/>
                <w:color w:val="auto"/>
              </w:rPr>
              <w:t>23</w:t>
            </w:r>
          </w:p>
        </w:tc>
        <w:tc>
          <w:tcPr>
            <w:tcW w:w="300" w:type="dxa"/>
            <w:vAlign w:val="bottom"/>
          </w:tcPr>
          <w:p>
            <w:pPr>
              <w:jc w:val="right"/>
              <w:ind w:right="18"/>
              <w:spacing w:after="0"/>
              <w:rPr>
                <w:sz w:val="20"/>
                <w:szCs w:val="20"/>
                <w:color w:val="auto"/>
              </w:rPr>
            </w:pPr>
            <w:r>
              <w:rPr>
                <w:rFonts w:ascii="Arial" w:cs="Arial" w:eastAsia="Arial" w:hAnsi="Arial"/>
                <w:sz w:val="17"/>
                <w:szCs w:val="17"/>
                <w:color w:val="auto"/>
                <w:w w:val="82"/>
              </w:rPr>
              <w:t>C$</w:t>
            </w:r>
          </w:p>
        </w:tc>
        <w:tc>
          <w:tcPr>
            <w:tcW w:w="1360" w:type="dxa"/>
            <w:vAlign w:val="bottom"/>
            <w:gridSpan w:val="2"/>
          </w:tcPr>
          <w:p>
            <w:pPr>
              <w:jc w:val="right"/>
              <w:ind w:right="160"/>
              <w:spacing w:after="0"/>
              <w:rPr>
                <w:sz w:val="20"/>
                <w:szCs w:val="20"/>
                <w:color w:val="auto"/>
              </w:rPr>
            </w:pPr>
            <w:r>
              <w:rPr>
                <w:rFonts w:ascii="Arial" w:cs="Arial" w:eastAsia="Arial" w:hAnsi="Arial"/>
                <w:sz w:val="17"/>
                <w:szCs w:val="17"/>
                <w:color w:val="auto"/>
              </w:rPr>
              <w:t>21</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40" w:type="dxa"/>
            <w:vAlign w:val="bottom"/>
            <w:gridSpan w:val="2"/>
          </w:tcPr>
          <w:p>
            <w:pPr>
              <w:jc w:val="right"/>
              <w:ind w:right="140"/>
              <w:spacing w:after="0"/>
              <w:rPr>
                <w:sz w:val="20"/>
                <w:szCs w:val="20"/>
                <w:color w:val="auto"/>
              </w:rPr>
            </w:pPr>
            <w:r>
              <w:rPr>
                <w:rFonts w:ascii="Arial" w:cs="Arial" w:eastAsia="Arial" w:hAnsi="Arial"/>
                <w:sz w:val="17"/>
                <w:szCs w:val="17"/>
                <w:color w:val="auto"/>
              </w:rPr>
              <w:t>23</w:t>
            </w:r>
          </w:p>
        </w:tc>
        <w:tc>
          <w:tcPr>
            <w:tcW w:w="260" w:type="dxa"/>
            <w:vAlign w:val="bottom"/>
          </w:tcPr>
          <w:p>
            <w:pPr>
              <w:jc w:val="right"/>
              <w:spacing w:after="0"/>
              <w:rPr>
                <w:sz w:val="20"/>
                <w:szCs w:val="20"/>
                <w:color w:val="auto"/>
              </w:rPr>
            </w:pPr>
            <w:r>
              <w:rPr>
                <w:rFonts w:ascii="Arial" w:cs="Arial" w:eastAsia="Arial" w:hAnsi="Arial"/>
                <w:sz w:val="17"/>
                <w:szCs w:val="17"/>
                <w:color w:val="auto"/>
                <w:w w:val="82"/>
              </w:rPr>
              <w:t>C$</w:t>
            </w: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21</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7"/>
                <w:szCs w:val="17"/>
                <w:color w:val="auto"/>
              </w:rPr>
              <w:t>22</w:t>
            </w: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80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2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6" w:name="page27"/>
    <w:bookmarkEnd w:id="2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Kittila Mine — Total Cash Costs per Ounce of Gold Produced</w:t>
      </w:r>
      <w:r>
        <w:rPr>
          <w:rFonts w:ascii="Arial" w:cs="Arial" w:eastAsia="Arial" w:hAnsi="Arial"/>
          <w:sz w:val="28"/>
          <w:szCs w:val="28"/>
          <w:b w:val="1"/>
          <w:bCs w:val="1"/>
          <w:u w:val="single" w:color="auto"/>
          <w:color w:val="auto"/>
          <w:vertAlign w:val="superscript"/>
        </w:rPr>
        <w:t>(iii)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3"/>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4"/>
                <w:szCs w:val="1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860" w:type="dxa"/>
            <w:vAlign w:val="bottom"/>
          </w:tcPr>
          <w:p>
            <w:pPr>
              <w:spacing w:after="0"/>
              <w:rPr>
                <w:sz w:val="4"/>
                <w:szCs w:val="4"/>
                <w:color w:val="auto"/>
              </w:rPr>
            </w:pPr>
          </w:p>
        </w:tc>
        <w:tc>
          <w:tcPr>
            <w:tcW w:w="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30,777</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26,925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62,776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56,384</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26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1,855</w:t>
            </w:r>
          </w:p>
        </w:tc>
        <w:tc>
          <w:tcPr>
            <w:tcW w:w="1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529</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312</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1,762</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32,632</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27,454</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63,088</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58,146</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(38)</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(24)</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(73)</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32,594</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27,430</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63,015</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58,085</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41,986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31,830</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86,640</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70,382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326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777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863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728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826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gridSpan w:val="4"/>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3260" w:type="dxa"/>
            <w:vAlign w:val="bottom"/>
            <w:gridSpan w:val="4"/>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776</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862</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727</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825</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00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1"/>
              </w:rPr>
              <w:t>Kittila Mine — Minesite Costs per Tonne</w:t>
            </w:r>
          </w:p>
        </w:tc>
        <w:tc>
          <w:tcPr>
            <w:tcW w:w="20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85"/>
              </w:rPr>
              <w:t>(iv)</w:t>
            </w:r>
          </w:p>
        </w:tc>
        <w:tc>
          <w:tcPr>
            <w:tcW w:w="1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000" w:type="dxa"/>
            <w:vAlign w:val="bottom"/>
            <w:gridSpan w:val="2"/>
            <w:vMerge w:val="continue"/>
          </w:tcPr>
          <w:p>
            <w:pPr>
              <w:spacing w:after="0" w:line="20" w:lineRule="exact"/>
              <w:rPr>
                <w:sz w:val="1"/>
                <w:szCs w:val="1"/>
                <w:color w:val="auto"/>
              </w:rPr>
            </w:pPr>
          </w:p>
        </w:tc>
        <w:tc>
          <w:tcPr>
            <w:tcW w:w="200" w:type="dxa"/>
            <w:vAlign w:val="bottom"/>
            <w:gridSpan w:val="2"/>
            <w:vMerge w:val="continue"/>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000" w:type="dxa"/>
            <w:vAlign w:val="bottom"/>
            <w:gridSpan w:val="2"/>
            <w:vMerge w:val="continue"/>
          </w:tcPr>
          <w:p>
            <w:pPr>
              <w:spacing w:after="0"/>
              <w:rPr>
                <w:sz w:val="24"/>
                <w:szCs w:val="24"/>
                <w:color w:val="auto"/>
              </w:rPr>
            </w:pPr>
          </w:p>
        </w:tc>
        <w:tc>
          <w:tcPr>
            <w:tcW w:w="200" w:type="dxa"/>
            <w:vAlign w:val="bottom"/>
            <w:tcBorders>
              <w:bottom w:val="single" w:sz="8" w:color="auto"/>
            </w:tcBorders>
            <w:gridSpan w:val="2"/>
            <w:vMerge w:val="continue"/>
          </w:tcPr>
          <w:p>
            <w:pPr>
              <w:spacing w:after="0"/>
              <w:rPr>
                <w:sz w:val="24"/>
                <w:szCs w:val="24"/>
                <w:color w:val="auto"/>
              </w:rPr>
            </w:pPr>
          </w:p>
        </w:tc>
        <w:tc>
          <w:tcPr>
            <w:tcW w:w="1200" w:type="dxa"/>
            <w:vAlign w:val="bottom"/>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00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5"/>
        </w:trPr>
        <w:tc>
          <w:tcPr>
            <w:tcW w:w="1140" w:type="dxa"/>
            <w:vAlign w:val="bottom"/>
          </w:tcPr>
          <w:p>
            <w:pPr>
              <w:spacing w:after="0"/>
              <w:rPr>
                <w:sz w:val="24"/>
                <w:szCs w:val="2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24"/>
                <w:szCs w:val="24"/>
                <w:color w:val="auto"/>
              </w:rPr>
            </w:pPr>
          </w:p>
        </w:tc>
        <w:tc>
          <w:tcPr>
            <w:tcW w:w="1440" w:type="dxa"/>
            <w:vAlign w:val="bottom"/>
            <w:gridSpan w:val="3"/>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24"/>
                <w:szCs w:val="2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24"/>
                <w:szCs w:val="2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1860" w:type="dxa"/>
            <w:vAlign w:val="bottom"/>
          </w:tcPr>
          <w:p>
            <w:pPr>
              <w:spacing w:after="0"/>
              <w:rPr>
                <w:sz w:val="4"/>
                <w:szCs w:val="4"/>
                <w:color w:val="auto"/>
              </w:rPr>
            </w:pPr>
          </w:p>
        </w:tc>
        <w:tc>
          <w:tcPr>
            <w:tcW w:w="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30,777</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26,925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62,776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56,384</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326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(vi)</w:t>
            </w:r>
          </w:p>
        </w:tc>
        <w:tc>
          <w:tcPr>
            <w:tcW w:w="10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1,858</w:t>
            </w:r>
          </w:p>
        </w:tc>
        <w:tc>
          <w:tcPr>
            <w:tcW w:w="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414</w:t>
            </w:r>
          </w:p>
        </w:tc>
        <w:tc>
          <w:tcPr>
            <w:tcW w:w="100" w:type="dxa"/>
            <w:vAlign w:val="bottom"/>
          </w:tcPr>
          <w:p>
            <w:pPr>
              <w:spacing w:after="0"/>
              <w:rPr>
                <w:sz w:val="23"/>
                <w:szCs w:val="23"/>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199</w:t>
            </w: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1,496</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32,635</w:t>
            </w: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27,339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62,975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57,880</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Minesite operating costs (thousands of €)</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20"/>
              <w:spacing w:after="0"/>
              <w:rPr>
                <w:sz w:val="20"/>
                <w:szCs w:val="20"/>
                <w:color w:val="auto"/>
              </w:rPr>
            </w:pPr>
            <w:r>
              <w:rPr>
                <w:rFonts w:ascii="Arial" w:cs="Arial" w:eastAsia="Arial" w:hAnsi="Arial"/>
                <w:sz w:val="17"/>
                <w:szCs w:val="17"/>
                <w:color w:val="auto"/>
              </w:rPr>
              <w:t>28,296</w:t>
            </w:r>
          </w:p>
        </w:tc>
        <w:tc>
          <w:tcPr>
            <w:tcW w:w="1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19,939</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55,010</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42,236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Tonnes of ore milled (thousands of tonnes)</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379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247</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725</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555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line="314" w:lineRule="exact"/>
              <w:rPr>
                <w:sz w:val="20"/>
                <w:szCs w:val="20"/>
                <w:color w:val="auto"/>
              </w:rPr>
            </w:pPr>
            <w:r>
              <w:rPr>
                <w:rFonts w:ascii="Arial" w:cs="Arial" w:eastAsia="Arial" w:hAnsi="Arial"/>
                <w:sz w:val="17"/>
                <w:szCs w:val="17"/>
                <w:color w:val="auto"/>
              </w:rPr>
              <w:t>Minesite costs per tonne (€)</w:t>
            </w:r>
            <w:r>
              <w:rPr>
                <w:rFonts w:ascii="Arial" w:cs="Arial" w:eastAsia="Arial" w:hAnsi="Arial"/>
                <w:sz w:val="28"/>
                <w:szCs w:val="28"/>
                <w:color w:val="auto"/>
                <w:vertAlign w:val="superscript"/>
              </w:rPr>
              <w:t>(iv)</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3260" w:type="dxa"/>
            <w:vAlign w:val="bottom"/>
            <w:gridSpan w:val="4"/>
            <w:vMerge w:val="continue"/>
          </w:tcPr>
          <w:p>
            <w:pPr>
              <w:spacing w:after="0"/>
              <w:rPr>
                <w:sz w:val="23"/>
                <w:szCs w:val="23"/>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20"/>
              <w:spacing w:after="0"/>
              <w:rPr>
                <w:sz w:val="20"/>
                <w:szCs w:val="20"/>
                <w:color w:val="auto"/>
              </w:rPr>
            </w:pPr>
            <w:r>
              <w:rPr>
                <w:rFonts w:ascii="Arial" w:cs="Arial" w:eastAsia="Arial" w:hAnsi="Arial"/>
                <w:sz w:val="17"/>
                <w:szCs w:val="17"/>
                <w:color w:val="auto"/>
              </w:rPr>
              <w:t>75</w:t>
            </w:r>
          </w:p>
        </w:tc>
        <w:tc>
          <w:tcPr>
            <w:tcW w:w="140" w:type="dxa"/>
            <w:vAlign w:val="bottom"/>
          </w:tcPr>
          <w:p>
            <w:pPr>
              <w:spacing w:after="0"/>
              <w:rPr>
                <w:sz w:val="23"/>
                <w:szCs w:val="23"/>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81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76</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76</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3"/>
          </w:tcPr>
          <w:p>
            <w:pPr>
              <w:jc w:val="right"/>
              <w:ind w:right="140"/>
              <w:spacing w:after="0"/>
              <w:rPr>
                <w:sz w:val="20"/>
                <w:szCs w:val="20"/>
                <w:color w:val="auto"/>
              </w:rPr>
            </w:pPr>
            <w:r>
              <w:rPr>
                <w:rFonts w:ascii="Arial" w:cs="Arial" w:eastAsia="Arial" w:hAnsi="Arial"/>
                <w:sz w:val="17"/>
                <w:szCs w:val="17"/>
                <w:color w:val="auto"/>
              </w:rPr>
              <w:t>23</w:t>
            </w: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8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7" w:name="page28"/>
    <w:bookmarkEnd w:id="2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Pinos Altos Mine — Total Cash Costs per Ounce of Gold Produced</w:t>
      </w:r>
      <w:r>
        <w:rPr>
          <w:rFonts w:ascii="Arial" w:cs="Arial" w:eastAsia="Arial" w:hAnsi="Arial"/>
          <w:sz w:val="28"/>
          <w:szCs w:val="28"/>
          <w:b w:val="1"/>
          <w:bCs w:val="1"/>
          <w:u w:val="single" w:color="auto"/>
          <w:color w:val="auto"/>
          <w:vertAlign w:val="superscript"/>
        </w:rPr>
        <w:t>(iii)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4"/>
                <w:szCs w:val="1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2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29,768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29,940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53,979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61,359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26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(892)</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913</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2,353</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911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28,876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30,853</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56,332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62,270</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(9,404)</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(8,165)</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(18,978)</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(17,885)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19,472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22,688</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37,354</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44,385</w:t>
            </w: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50,647</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43,978</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100,753</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89,195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326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570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702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698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gridSpan w:val="4"/>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3260" w:type="dxa"/>
            <w:vAlign w:val="bottom"/>
            <w:gridSpan w:val="4"/>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384</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516</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371</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498</w:t>
            </w:r>
          </w:p>
        </w:tc>
        <w:tc>
          <w:tcPr>
            <w:tcW w:w="1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34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89"/>
              </w:rPr>
              <w:t>Pinos Altos Mine — Minesite Costs per Tonne</w:t>
            </w:r>
          </w:p>
        </w:tc>
        <w:tc>
          <w:tcPr>
            <w:tcW w:w="2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5"/>
              </w:rPr>
              <w:t>(iv)</w:t>
            </w:r>
          </w:p>
        </w:tc>
        <w:tc>
          <w:tcPr>
            <w:tcW w:w="8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340" w:type="dxa"/>
            <w:vAlign w:val="bottom"/>
            <w:gridSpan w:val="2"/>
            <w:vMerge w:val="continue"/>
          </w:tcPr>
          <w:p>
            <w:pPr>
              <w:spacing w:after="0" w:line="20" w:lineRule="exact"/>
              <w:rPr>
                <w:sz w:val="1"/>
                <w:szCs w:val="1"/>
                <w:color w:val="auto"/>
              </w:rPr>
            </w:pPr>
          </w:p>
        </w:tc>
        <w:tc>
          <w:tcPr>
            <w:tcW w:w="220" w:type="dxa"/>
            <w:vAlign w:val="bottom"/>
            <w:gridSpan w:val="2"/>
            <w:vMerge w:val="continue"/>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340" w:type="dxa"/>
            <w:vAlign w:val="bottom"/>
            <w:gridSpan w:val="2"/>
            <w:vMerge w:val="continue"/>
          </w:tcPr>
          <w:p>
            <w:pPr>
              <w:spacing w:after="0"/>
              <w:rPr>
                <w:sz w:val="24"/>
                <w:szCs w:val="24"/>
                <w:color w:val="auto"/>
              </w:rPr>
            </w:pPr>
          </w:p>
        </w:tc>
        <w:tc>
          <w:tcPr>
            <w:tcW w:w="220" w:type="dxa"/>
            <w:vAlign w:val="bottom"/>
            <w:tcBorders>
              <w:bottom w:val="single" w:sz="8" w:color="auto"/>
            </w:tcBorders>
            <w:gridSpan w:val="2"/>
            <w:vMerge w:val="continue"/>
          </w:tcPr>
          <w:p>
            <w:pPr>
              <w:spacing w:after="0"/>
              <w:rPr>
                <w:sz w:val="24"/>
                <w:szCs w:val="24"/>
                <w:color w:val="auto"/>
              </w:rPr>
            </w:pPr>
          </w:p>
        </w:tc>
        <w:tc>
          <w:tcPr>
            <w:tcW w:w="840" w:type="dxa"/>
            <w:vAlign w:val="bottom"/>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340" w:type="dxa"/>
            <w:vAlign w:val="bottom"/>
            <w:tcBorders>
              <w:bottom w:val="single" w:sz="8" w:color="auto"/>
            </w:tcBorders>
            <w:gridSpan w:val="2"/>
            <w:vMerge w:val="continue"/>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5"/>
        </w:trPr>
        <w:tc>
          <w:tcPr>
            <w:tcW w:w="1140" w:type="dxa"/>
            <w:vAlign w:val="bottom"/>
          </w:tcPr>
          <w:p>
            <w:pPr>
              <w:spacing w:after="0"/>
              <w:rPr>
                <w:sz w:val="24"/>
                <w:szCs w:val="2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24"/>
                <w:szCs w:val="2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24"/>
                <w:szCs w:val="2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22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29,768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29,940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53,979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61,359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326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(vi)</w:t>
            </w:r>
          </w:p>
        </w:tc>
        <w:tc>
          <w:tcPr>
            <w:tcW w:w="100" w:type="dxa"/>
            <w:vAlign w:val="bottom"/>
          </w:tcPr>
          <w:p>
            <w:pPr>
              <w:spacing w:after="0"/>
              <w:rPr>
                <w:sz w:val="23"/>
                <w:szCs w:val="23"/>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7"/>
                <w:szCs w:val="17"/>
                <w:color w:val="auto"/>
              </w:rPr>
              <w:t>(1,732)</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466</w:t>
            </w:r>
          </w:p>
        </w:tc>
        <w:tc>
          <w:tcPr>
            <w:tcW w:w="100" w:type="dxa"/>
            <w:vAlign w:val="bottom"/>
          </w:tcPr>
          <w:p>
            <w:pPr>
              <w:spacing w:after="0"/>
              <w:rPr>
                <w:sz w:val="23"/>
                <w:szCs w:val="23"/>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948</w:t>
            </w:r>
          </w:p>
        </w:tc>
        <w:tc>
          <w:tcPr>
            <w:tcW w:w="100" w:type="dxa"/>
            <w:vAlign w:val="bottom"/>
          </w:tcPr>
          <w:p>
            <w:pPr>
              <w:spacing w:after="0"/>
              <w:rPr>
                <w:sz w:val="23"/>
                <w:szCs w:val="23"/>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7"/>
                <w:szCs w:val="17"/>
                <w:color w:val="auto"/>
              </w:rPr>
              <w:t>(96)</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28,036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30,406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54,927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61,263</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Tonnes of ore processed (thousands of</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260" w:type="dxa"/>
            <w:vAlign w:val="bottom"/>
            <w:gridSpan w:val="4"/>
          </w:tcPr>
          <w:p>
            <w:pPr>
              <w:ind w:left="180"/>
              <w:spacing w:after="0"/>
              <w:rPr>
                <w:sz w:val="20"/>
                <w:szCs w:val="20"/>
                <w:color w:val="auto"/>
              </w:rPr>
            </w:pPr>
            <w:r>
              <w:rPr>
                <w:rFonts w:ascii="Arial" w:cs="Arial" w:eastAsia="Arial" w:hAnsi="Arial"/>
                <w:sz w:val="17"/>
                <w:szCs w:val="17"/>
                <w:color w:val="auto"/>
              </w:rPr>
              <w:t>tonnes)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648</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656</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1,231</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1,279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
        </w:trPr>
        <w:tc>
          <w:tcPr>
            <w:tcW w:w="1140" w:type="dxa"/>
            <w:vAlign w:val="bottom"/>
          </w:tcPr>
          <w:p>
            <w:pPr>
              <w:spacing w:after="0"/>
              <w:rPr>
                <w:sz w:val="2"/>
                <w:szCs w:val="2"/>
                <w:color w:val="auto"/>
              </w:rPr>
            </w:pPr>
          </w:p>
        </w:tc>
        <w:tc>
          <w:tcPr>
            <w:tcW w:w="3260" w:type="dxa"/>
            <w:vAlign w:val="bottom"/>
            <w:gridSpan w:val="4"/>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3260" w:type="dxa"/>
            <w:vAlign w:val="bottom"/>
            <w:gridSpan w:val="4"/>
            <w:shd w:val="clear" w:color="auto" w:fill="CCEEFF"/>
          </w:tcPr>
          <w:p>
            <w:pPr>
              <w:spacing w:after="0" w:line="242" w:lineRule="exact"/>
              <w:rPr>
                <w:sz w:val="20"/>
                <w:szCs w:val="20"/>
                <w:color w:val="auto"/>
              </w:rPr>
            </w:pPr>
            <w:r>
              <w:rPr>
                <w:rFonts w:ascii="Arial" w:cs="Arial" w:eastAsia="Arial" w:hAnsi="Arial"/>
                <w:sz w:val="17"/>
                <w:szCs w:val="17"/>
                <w:color w:val="auto"/>
              </w:rPr>
              <w:t>Minesite costs per tonne (US$)</w:t>
            </w:r>
            <w:r>
              <w:rPr>
                <w:rFonts w:ascii="Arial" w:cs="Arial" w:eastAsia="Arial" w:hAnsi="Arial"/>
                <w:sz w:val="28"/>
                <w:szCs w:val="28"/>
                <w:color w:val="auto"/>
                <w:vertAlign w:val="superscript"/>
              </w:rPr>
              <w:t>(iv)</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48</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7"/>
                <w:szCs w:val="17"/>
                <w:color w:val="auto"/>
              </w:rPr>
              <w:t>24</w:t>
            </w: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8" w:name="page29"/>
    <w:bookmarkEnd w:id="2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Creston Mascota deposit at Pinos Altos — Total Cash Costs per Ounce of Gold Produced</w:t>
      </w:r>
      <w:r>
        <w:rPr>
          <w:rFonts w:ascii="Arial" w:cs="Arial" w:eastAsia="Arial" w:hAnsi="Arial"/>
          <w:sz w:val="28"/>
          <w:szCs w:val="28"/>
          <w:b w:val="1"/>
          <w:bCs w:val="1"/>
          <w:u w:val="single" w:color="auto"/>
          <w:color w:val="auto"/>
          <w:vertAlign w:val="superscript"/>
        </w:rPr>
        <w:t>(iii)</w:t>
      </w:r>
    </w:p>
    <w:p>
      <w:pPr>
        <w:spacing w:after="0" w:line="135" w:lineRule="exact"/>
        <w:rPr>
          <w:sz w:val="20"/>
          <w:szCs w:val="20"/>
          <w:color w:val="auto"/>
        </w:rPr>
      </w:pPr>
    </w:p>
    <w:tbl>
      <w:tblPr>
        <w:tblLayout w:type="fixed"/>
        <w:tblInd w:w="1140" w:type="dxa"/>
        <w:tblCellMar>
          <w:top w:w="0" w:type="dxa"/>
          <w:left w:w="0" w:type="dxa"/>
          <w:bottom w:w="0" w:type="dxa"/>
          <w:right w:w="0" w:type="dxa"/>
        </w:tblCellMar>
      </w:tblPr>
      <w:tr>
        <w:trPr>
          <w:trHeight w:val="169"/>
        </w:trPr>
        <w:tc>
          <w:tcPr>
            <w:tcW w:w="3260" w:type="dxa"/>
            <w:vAlign w:val="bottom"/>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3"/>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right"/>
              <w:ind w:right="240"/>
              <w:spacing w:after="0"/>
              <w:rPr>
                <w:sz w:val="20"/>
                <w:szCs w:val="20"/>
                <w:color w:val="auto"/>
              </w:rPr>
            </w:pPr>
            <w:r>
              <w:rPr>
                <w:rFonts w:ascii="Arial" w:cs="Arial" w:eastAsia="Arial" w:hAnsi="Arial"/>
                <w:sz w:val="13"/>
                <w:szCs w:val="13"/>
                <w:b w:val="1"/>
                <w:bCs w:val="1"/>
                <w:color w:val="auto"/>
                <w:w w:val="90"/>
              </w:rPr>
              <w:t>Six Months Ended</w:t>
            </w:r>
          </w:p>
        </w:tc>
        <w:tc>
          <w:tcPr>
            <w:tcW w:w="100" w:type="dxa"/>
            <w:vAlign w:val="bottom"/>
          </w:tcPr>
          <w:p>
            <w:pPr>
              <w:spacing w:after="0"/>
              <w:rPr>
                <w:sz w:val="14"/>
                <w:szCs w:val="14"/>
                <w:color w:val="auto"/>
              </w:rPr>
            </w:pPr>
          </w:p>
        </w:tc>
        <w:tc>
          <w:tcPr>
            <w:tcW w:w="130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Six Months Ended</w:t>
            </w:r>
          </w:p>
        </w:tc>
        <w:tc>
          <w:tcPr>
            <w:tcW w:w="0" w:type="dxa"/>
            <w:vAlign w:val="bottom"/>
          </w:tcPr>
          <w:p>
            <w:pPr>
              <w:spacing w:after="0"/>
              <w:rPr>
                <w:sz w:val="1"/>
                <w:szCs w:val="1"/>
                <w:color w:val="auto"/>
              </w:rPr>
            </w:pPr>
          </w:p>
        </w:tc>
      </w:tr>
      <w:tr>
        <w:trPr>
          <w:trHeight w:val="54"/>
        </w:trPr>
        <w:tc>
          <w:tcPr>
            <w:tcW w:w="32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32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9"/>
              <w:spacing w:after="0"/>
              <w:rPr>
                <w:sz w:val="20"/>
                <w:szCs w:val="20"/>
                <w:color w:val="auto"/>
              </w:rPr>
            </w:pPr>
            <w:r>
              <w:rPr>
                <w:rFonts w:ascii="Arial" w:cs="Arial" w:eastAsia="Arial" w:hAnsi="Arial"/>
                <w:sz w:val="13"/>
                <w:szCs w:val="13"/>
                <w:b w:val="1"/>
                <w:bCs w:val="1"/>
                <w:color w:val="auto"/>
              </w:rPr>
              <w:t>June 30, 2015</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19"/>
              <w:spacing w:after="0"/>
              <w:rPr>
                <w:sz w:val="20"/>
                <w:szCs w:val="20"/>
                <w:color w:val="auto"/>
              </w:rPr>
            </w:pPr>
            <w:r>
              <w:rPr>
                <w:rFonts w:ascii="Arial" w:cs="Arial" w:eastAsia="Arial" w:hAnsi="Arial"/>
                <w:sz w:val="13"/>
                <w:szCs w:val="13"/>
                <w:b w:val="1"/>
                <w:bCs w:val="1"/>
                <w:color w:val="auto"/>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139"/>
              <w:spacing w:after="0"/>
              <w:rPr>
                <w:sz w:val="20"/>
                <w:szCs w:val="20"/>
                <w:color w:val="auto"/>
              </w:rPr>
            </w:pPr>
            <w:r>
              <w:rPr>
                <w:rFonts w:ascii="Arial" w:cs="Arial" w:eastAsia="Arial" w:hAnsi="Arial"/>
                <w:sz w:val="13"/>
                <w:szCs w:val="13"/>
                <w:b w:val="1"/>
                <w:bCs w:val="1"/>
                <w:color w:val="auto"/>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59"/>
              <w:spacing w:after="0"/>
              <w:rPr>
                <w:sz w:val="20"/>
                <w:szCs w:val="20"/>
                <w:color w:val="auto"/>
              </w:rPr>
            </w:pPr>
            <w:r>
              <w:rPr>
                <w:rFonts w:ascii="Arial" w:cs="Arial" w:eastAsia="Arial" w:hAnsi="Arial"/>
                <w:sz w:val="13"/>
                <w:szCs w:val="13"/>
                <w:b w:val="1"/>
                <w:bCs w:val="1"/>
                <w:color w:val="auto"/>
              </w:rPr>
              <w:t>June 30, 2014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7,501</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6,809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13,107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12,633</w:t>
            </w:r>
          </w:p>
        </w:tc>
        <w:tc>
          <w:tcPr>
            <w:tcW w:w="0" w:type="dxa"/>
            <w:vAlign w:val="bottom"/>
          </w:tcPr>
          <w:p>
            <w:pPr>
              <w:spacing w:after="0"/>
              <w:rPr>
                <w:sz w:val="1"/>
                <w:szCs w:val="1"/>
                <w:color w:val="auto"/>
              </w:rPr>
            </w:pPr>
          </w:p>
        </w:tc>
      </w:tr>
      <w:tr>
        <w:trPr>
          <w:trHeight w:val="210"/>
        </w:trPr>
        <w:tc>
          <w:tcPr>
            <w:tcW w:w="3260" w:type="dxa"/>
            <w:vAlign w:val="bottom"/>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326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shd w:val="clear" w:color="auto" w:fill="CCEEFF"/>
          </w:tcPr>
          <w:p>
            <w:pPr>
              <w:spacing w:after="0"/>
              <w:rPr>
                <w:sz w:val="21"/>
                <w:szCs w:val="21"/>
                <w:color w:val="auto"/>
              </w:rPr>
            </w:pPr>
          </w:p>
        </w:tc>
        <w:tc>
          <w:tcPr>
            <w:tcW w:w="1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(611)</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403</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(143)</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1,084</w:t>
            </w:r>
          </w:p>
        </w:tc>
        <w:tc>
          <w:tcPr>
            <w:tcW w:w="0" w:type="dxa"/>
            <w:vAlign w:val="bottom"/>
          </w:tcPr>
          <w:p>
            <w:pPr>
              <w:spacing w:after="0"/>
              <w:rPr>
                <w:sz w:val="1"/>
                <w:szCs w:val="1"/>
                <w:color w:val="auto"/>
              </w:rPr>
            </w:pPr>
          </w:p>
        </w:tc>
      </w:tr>
      <w:tr>
        <w:trPr>
          <w:trHeight w:val="26"/>
        </w:trPr>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6,890</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7,212</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12,964</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13,717</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(611)</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(376)</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(1,158)</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(710)</w:t>
            </w:r>
          </w:p>
        </w:tc>
        <w:tc>
          <w:tcPr>
            <w:tcW w:w="0" w:type="dxa"/>
            <w:vAlign w:val="bottom"/>
          </w:tcPr>
          <w:p>
            <w:pPr>
              <w:spacing w:after="0"/>
              <w:rPr>
                <w:sz w:val="1"/>
                <w:szCs w:val="1"/>
                <w:color w:val="auto"/>
              </w:rPr>
            </w:pPr>
          </w:p>
        </w:tc>
      </w:tr>
      <w:tr>
        <w:trPr>
          <w:trHeight w:val="26"/>
        </w:trPr>
        <w:tc>
          <w:tcPr>
            <w:tcW w:w="3260" w:type="dxa"/>
            <w:vAlign w:val="bottom"/>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3260" w:type="dxa"/>
            <w:vAlign w:val="bottom"/>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6,279</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6,836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11,806</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13,007</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15,606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11,159</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28,054</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21,476</w:t>
            </w:r>
          </w:p>
        </w:tc>
        <w:tc>
          <w:tcPr>
            <w:tcW w:w="0" w:type="dxa"/>
            <w:vAlign w:val="bottom"/>
          </w:tcPr>
          <w:p>
            <w:pPr>
              <w:spacing w:after="0"/>
              <w:rPr>
                <w:sz w:val="1"/>
                <w:szCs w:val="1"/>
                <w:color w:val="auto"/>
              </w:rPr>
            </w:pPr>
          </w:p>
        </w:tc>
      </w:tr>
      <w:tr>
        <w:trPr>
          <w:trHeight w:val="202"/>
        </w:trPr>
        <w:tc>
          <w:tcPr>
            <w:tcW w:w="3260" w:type="dxa"/>
            <w:vAlign w:val="bottom"/>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3260" w:type="dxa"/>
            <w:vAlign w:val="bottom"/>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441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646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639</w:t>
            </w:r>
          </w:p>
        </w:tc>
        <w:tc>
          <w:tcPr>
            <w:tcW w:w="0" w:type="dxa"/>
            <w:vAlign w:val="bottom"/>
          </w:tcPr>
          <w:p>
            <w:pPr>
              <w:spacing w:after="0"/>
              <w:rPr>
                <w:sz w:val="1"/>
                <w:szCs w:val="1"/>
                <w:color w:val="auto"/>
              </w:rPr>
            </w:pPr>
          </w:p>
        </w:tc>
      </w:tr>
      <w:tr>
        <w:trPr>
          <w:trHeight w:val="26"/>
        </w:trPr>
        <w:tc>
          <w:tcPr>
            <w:tcW w:w="3260" w:type="dxa"/>
            <w:vAlign w:val="bottom"/>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260" w:type="dxa"/>
            <w:vAlign w:val="bottom"/>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260" w:type="dxa"/>
            <w:vAlign w:val="bottom"/>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402</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613</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421</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606</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Creston Mascota deposit at Pinos Altos — Minesite Costs per Tonne</w:t>
      </w:r>
      <w:r>
        <w:rPr>
          <w:rFonts w:ascii="Arial" w:cs="Arial" w:eastAsia="Arial" w:hAnsi="Arial"/>
          <w:sz w:val="28"/>
          <w:szCs w:val="28"/>
          <w:b w:val="1"/>
          <w:bCs w:val="1"/>
          <w:u w:val="single" w:color="auto"/>
          <w:color w:val="auto"/>
          <w:vertAlign w:val="superscript"/>
        </w:rPr>
        <w:t>(iv)</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4"/>
                <w:szCs w:val="14"/>
                <w:color w:val="auto"/>
              </w:rPr>
            </w:pPr>
          </w:p>
        </w:tc>
        <w:tc>
          <w:tcPr>
            <w:tcW w:w="2460" w:type="dxa"/>
            <w:vAlign w:val="bottom"/>
            <w:gridSpan w:val="3"/>
            <w:vMerge w:val="restart"/>
          </w:tcPr>
          <w:p>
            <w:pPr>
              <w:jc w:val="center"/>
              <w:ind w:right="14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32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20"/>
              <w:spacing w:after="0"/>
              <w:rPr>
                <w:sz w:val="20"/>
                <w:szCs w:val="20"/>
                <w:color w:val="auto"/>
              </w:rPr>
            </w:pPr>
            <w:r>
              <w:rPr>
                <w:rFonts w:ascii="Arial" w:cs="Arial" w:eastAsia="Arial" w:hAnsi="Arial"/>
                <w:sz w:val="13"/>
                <w:szCs w:val="13"/>
                <w:b w:val="1"/>
                <w:bCs w:val="1"/>
                <w:color w:val="auto"/>
                <w:w w:val="89"/>
              </w:rPr>
              <w:t>June 30, 2014</w:t>
            </w:r>
          </w:p>
        </w:tc>
        <w:tc>
          <w:tcPr>
            <w:tcW w:w="1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7,501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6,809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13,107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12,633</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3260" w:type="dxa"/>
            <w:vAlign w:val="bottom"/>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(vi)</w:t>
            </w:r>
          </w:p>
        </w:tc>
        <w:tc>
          <w:tcPr>
            <w:tcW w:w="100" w:type="dxa"/>
            <w:vAlign w:val="bottom"/>
          </w:tcPr>
          <w:p>
            <w:pPr>
              <w:spacing w:after="0"/>
              <w:rPr>
                <w:sz w:val="23"/>
                <w:szCs w:val="23"/>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7"/>
                <w:szCs w:val="17"/>
                <w:color w:val="auto"/>
              </w:rPr>
              <w:t>(691)</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336</w:t>
            </w:r>
          </w:p>
        </w:tc>
        <w:tc>
          <w:tcPr>
            <w:tcW w:w="100" w:type="dxa"/>
            <w:vAlign w:val="bottom"/>
          </w:tcPr>
          <w:p>
            <w:pPr>
              <w:spacing w:after="0"/>
              <w:rPr>
                <w:sz w:val="23"/>
                <w:szCs w:val="23"/>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7"/>
                <w:szCs w:val="17"/>
                <w:color w:val="auto"/>
              </w:rPr>
              <w:t>(292)</w:t>
            </w: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918</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6,810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7,145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12,815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13,551</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3260" w:type="dxa"/>
            <w:vAlign w:val="bottom"/>
          </w:tcPr>
          <w:p>
            <w:pPr>
              <w:spacing w:after="0"/>
              <w:rPr>
                <w:sz w:val="20"/>
                <w:szCs w:val="20"/>
                <w:color w:val="auto"/>
              </w:rPr>
            </w:pPr>
            <w:r>
              <w:rPr>
                <w:rFonts w:ascii="Arial" w:cs="Arial" w:eastAsia="Arial" w:hAnsi="Arial"/>
                <w:sz w:val="17"/>
                <w:szCs w:val="17"/>
                <w:color w:val="auto"/>
              </w:rPr>
              <w:t>Tonnes of ore processed (thousands of</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260" w:type="dxa"/>
            <w:vAlign w:val="bottom"/>
          </w:tcPr>
          <w:p>
            <w:pPr>
              <w:ind w:left="180"/>
              <w:spacing w:after="0"/>
              <w:rPr>
                <w:sz w:val="20"/>
                <w:szCs w:val="20"/>
                <w:color w:val="auto"/>
              </w:rPr>
            </w:pPr>
            <w:r>
              <w:rPr>
                <w:rFonts w:ascii="Arial" w:cs="Arial" w:eastAsia="Arial" w:hAnsi="Arial"/>
                <w:sz w:val="17"/>
                <w:szCs w:val="17"/>
                <w:color w:val="auto"/>
              </w:rPr>
              <w:t>tonnes)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609</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395</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1,135</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774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
        </w:trPr>
        <w:tc>
          <w:tcPr>
            <w:tcW w:w="114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3260" w:type="dxa"/>
            <w:vAlign w:val="bottom"/>
            <w:shd w:val="clear" w:color="auto" w:fill="CCEEFF"/>
          </w:tcPr>
          <w:p>
            <w:pPr>
              <w:spacing w:after="0" w:line="242" w:lineRule="exact"/>
              <w:rPr>
                <w:sz w:val="20"/>
                <w:szCs w:val="20"/>
                <w:color w:val="auto"/>
              </w:rPr>
            </w:pPr>
            <w:r>
              <w:rPr>
                <w:rFonts w:ascii="Arial" w:cs="Arial" w:eastAsia="Arial" w:hAnsi="Arial"/>
                <w:sz w:val="17"/>
                <w:szCs w:val="17"/>
                <w:color w:val="auto"/>
              </w:rPr>
              <w:t>Minesite costs per tonne (US$)</w:t>
            </w:r>
            <w:r>
              <w:rPr>
                <w:rFonts w:ascii="Arial" w:cs="Arial" w:eastAsia="Arial" w:hAnsi="Arial"/>
                <w:sz w:val="28"/>
                <w:szCs w:val="28"/>
                <w:color w:val="auto"/>
                <w:vertAlign w:val="superscript"/>
              </w:rPr>
              <w:t>(iv)</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7"/>
                <w:szCs w:val="17"/>
                <w:color w:val="auto"/>
              </w:rPr>
              <w:t>25</w:t>
            </w: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32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9" w:name="page30"/>
    <w:bookmarkEnd w:id="2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La India Mine — Total Cash Costs per Ounce of Gold Produced</w:t>
      </w:r>
      <w:r>
        <w:rPr>
          <w:rFonts w:ascii="Arial" w:cs="Arial" w:eastAsia="Arial" w:hAnsi="Arial"/>
          <w:sz w:val="28"/>
          <w:szCs w:val="28"/>
          <w:b w:val="1"/>
          <w:bCs w:val="1"/>
          <w:u w:val="single" w:color="auto"/>
          <w:color w:val="auto"/>
          <w:vertAlign w:val="superscript"/>
        </w:rPr>
        <w:t>(ii)(iii)</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1140" w:type="dxa"/>
            <w:vAlign w:val="bottom"/>
          </w:tcPr>
          <w:p>
            <w:pPr>
              <w:spacing w:after="0"/>
              <w:rPr>
                <w:sz w:val="14"/>
                <w:szCs w:val="1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14"/>
                <w:szCs w:val="14"/>
                <w:color w:val="auto"/>
              </w:rPr>
            </w:pPr>
          </w:p>
        </w:tc>
        <w:tc>
          <w:tcPr>
            <w:tcW w:w="130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10,791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7,035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23,256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12,845</w:t>
            </w: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260" w:type="dxa"/>
            <w:vAlign w:val="bottom"/>
            <w:gridSpan w:val="4"/>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(ii)(v)</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963</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1,676</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718</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816</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11,754</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8,711</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23,974</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13,661</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(1,179)</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(830)</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(2,311)</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(1,429)</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10,575</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7,881</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21,663</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12,232</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25,803</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17,809</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52,326</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28,017</w:t>
            </w:r>
          </w:p>
        </w:tc>
        <w:tc>
          <w:tcPr>
            <w:tcW w:w="0" w:type="dxa"/>
            <w:vAlign w:val="bottom"/>
          </w:tcPr>
          <w:p>
            <w:pPr>
              <w:spacing w:after="0"/>
              <w:rPr>
                <w:sz w:val="1"/>
                <w:szCs w:val="1"/>
                <w:color w:val="auto"/>
              </w:rPr>
            </w:pPr>
          </w:p>
        </w:tc>
      </w:tr>
      <w:tr>
        <w:trPr>
          <w:trHeight w:val="202"/>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140" w:type="dxa"/>
            <w:vAlign w:val="bottom"/>
          </w:tcPr>
          <w:p>
            <w:pPr>
              <w:spacing w:after="0"/>
              <w:rPr>
                <w:sz w:val="22"/>
                <w:szCs w:val="22"/>
                <w:color w:val="auto"/>
              </w:rPr>
            </w:pPr>
          </w:p>
        </w:tc>
        <w:tc>
          <w:tcPr>
            <w:tcW w:w="3260" w:type="dxa"/>
            <w:vAlign w:val="bottom"/>
            <w:gridSpan w:val="4"/>
          </w:tcPr>
          <w:p>
            <w:pPr>
              <w:ind w:left="180"/>
              <w:spacing w:after="0" w:line="257" w:lineRule="exact"/>
              <w:rPr>
                <w:sz w:val="20"/>
                <w:szCs w:val="20"/>
                <w:color w:val="auto"/>
              </w:rPr>
            </w:pPr>
            <w:r>
              <w:rPr>
                <w:rFonts w:ascii="Arial" w:cs="Arial" w:eastAsia="Arial" w:hAnsi="Arial"/>
                <w:sz w:val="17"/>
                <w:szCs w:val="17"/>
                <w:color w:val="auto"/>
              </w:rPr>
              <w:t>($ per ounce)</w:t>
            </w:r>
            <w:r>
              <w:rPr>
                <w:rFonts w:ascii="Arial" w:cs="Arial" w:eastAsia="Arial" w:hAnsi="Arial"/>
                <w:sz w:val="28"/>
                <w:szCs w:val="28"/>
                <w:color w:val="auto"/>
                <w:vertAlign w:val="superscript"/>
              </w:rPr>
              <w:t>(iii)</w:t>
            </w:r>
            <w:r>
              <w:rPr>
                <w:rFonts w:ascii="Arial" w:cs="Arial" w:eastAsia="Arial" w:hAnsi="Arial"/>
                <w:sz w:val="17"/>
                <w:szCs w:val="17"/>
                <w:color w:val="auto"/>
              </w:rPr>
              <w:t>:</w:t>
            </w: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260" w:type="dxa"/>
            <w:vAlign w:val="bottom"/>
            <w:gridSpan w:val="4"/>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489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488</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60" w:type="dxa"/>
            <w:vAlign w:val="bottom"/>
            <w:gridSpan w:val="4"/>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60" w:type="dxa"/>
            <w:vAlign w:val="bottom"/>
            <w:gridSpan w:val="4"/>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3260" w:type="dxa"/>
            <w:vAlign w:val="bottom"/>
            <w:gridSpan w:val="4"/>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410</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443</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414</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437</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160" w:type="dxa"/>
            <w:vAlign w:val="bottom"/>
            <w:gridSpan w:val="3"/>
            <w:vMerge w:val="restart"/>
          </w:tcPr>
          <w:p>
            <w:pPr>
              <w:spacing w:after="0"/>
              <w:rPr>
                <w:sz w:val="20"/>
                <w:szCs w:val="20"/>
                <w:color w:val="auto"/>
              </w:rPr>
            </w:pPr>
            <w:r>
              <w:rPr>
                <w:rFonts w:ascii="Arial" w:cs="Arial" w:eastAsia="Arial" w:hAnsi="Arial"/>
                <w:sz w:val="17"/>
                <w:szCs w:val="17"/>
                <w:b w:val="1"/>
                <w:bCs w:val="1"/>
                <w:color w:val="auto"/>
                <w:w w:val="92"/>
              </w:rPr>
              <w:t>La India Mine — Minesite Costs per Tonne</w:t>
            </w:r>
          </w:p>
        </w:tc>
        <w:tc>
          <w:tcPr>
            <w:tcW w:w="380" w:type="dxa"/>
            <w:vAlign w:val="bottom"/>
            <w:vMerge w:val="restart"/>
          </w:tcPr>
          <w:p>
            <w:pPr>
              <w:spacing w:after="0"/>
              <w:rPr>
                <w:sz w:val="20"/>
                <w:szCs w:val="20"/>
                <w:color w:val="auto"/>
              </w:rPr>
            </w:pPr>
            <w:r>
              <w:rPr>
                <w:rFonts w:ascii="Arial" w:cs="Arial" w:eastAsia="Arial" w:hAnsi="Arial"/>
                <w:sz w:val="14"/>
                <w:szCs w:val="14"/>
                <w:b w:val="1"/>
                <w:bCs w:val="1"/>
                <w:color w:val="auto"/>
                <w:w w:val="94"/>
              </w:rPr>
              <w:t>(ii)(iv)</w:t>
            </w:r>
          </w:p>
        </w:tc>
        <w:tc>
          <w:tcPr>
            <w:tcW w:w="8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160" w:type="dxa"/>
            <w:vAlign w:val="bottom"/>
            <w:gridSpan w:val="3"/>
            <w:vMerge w:val="continue"/>
          </w:tcPr>
          <w:p>
            <w:pPr>
              <w:spacing w:after="0" w:line="20" w:lineRule="exact"/>
              <w:rPr>
                <w:sz w:val="1"/>
                <w:szCs w:val="1"/>
                <w:color w:val="auto"/>
              </w:rPr>
            </w:pPr>
          </w:p>
        </w:tc>
        <w:tc>
          <w:tcPr>
            <w:tcW w:w="380" w:type="dxa"/>
            <w:vAlign w:val="bottom"/>
            <w:vMerge w:val="continue"/>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160" w:type="dxa"/>
            <w:vAlign w:val="bottom"/>
            <w:gridSpan w:val="3"/>
            <w:vMerge w:val="continue"/>
          </w:tcPr>
          <w:p>
            <w:pPr>
              <w:spacing w:after="0"/>
              <w:rPr>
                <w:sz w:val="24"/>
                <w:szCs w:val="24"/>
                <w:color w:val="auto"/>
              </w:rPr>
            </w:pPr>
          </w:p>
        </w:tc>
        <w:tc>
          <w:tcPr>
            <w:tcW w:w="380" w:type="dxa"/>
            <w:vAlign w:val="bottom"/>
            <w:tcBorders>
              <w:bottom w:val="single" w:sz="8" w:color="auto"/>
            </w:tcBorders>
            <w:vMerge w:val="continue"/>
          </w:tcPr>
          <w:p>
            <w:pPr>
              <w:spacing w:after="0"/>
              <w:rPr>
                <w:sz w:val="24"/>
                <w:szCs w:val="24"/>
                <w:color w:val="auto"/>
              </w:rPr>
            </w:pPr>
          </w:p>
        </w:tc>
        <w:tc>
          <w:tcPr>
            <w:tcW w:w="860" w:type="dxa"/>
            <w:vAlign w:val="bottom"/>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60" w:type="dxa"/>
            <w:vAlign w:val="bottom"/>
            <w:tcBorders>
              <w:bottom w:val="single" w:sz="8" w:color="auto"/>
            </w:tcBorders>
            <w:gridSpan w:val="3"/>
            <w:vMerge w:val="continue"/>
          </w:tcPr>
          <w:p>
            <w:pPr>
              <w:spacing w:after="0"/>
              <w:rPr>
                <w:sz w:val="3"/>
                <w:szCs w:val="3"/>
                <w:color w:val="auto"/>
              </w:rPr>
            </w:pPr>
          </w:p>
        </w:tc>
        <w:tc>
          <w:tcPr>
            <w:tcW w:w="380" w:type="dxa"/>
            <w:vAlign w:val="bottom"/>
          </w:tcPr>
          <w:p>
            <w:pPr>
              <w:spacing w:after="0"/>
              <w:rPr>
                <w:sz w:val="3"/>
                <w:szCs w:val="3"/>
                <w:color w:val="auto"/>
              </w:rPr>
            </w:pPr>
          </w:p>
        </w:tc>
        <w:tc>
          <w:tcPr>
            <w:tcW w:w="86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5"/>
        </w:trPr>
        <w:tc>
          <w:tcPr>
            <w:tcW w:w="1140" w:type="dxa"/>
            <w:vAlign w:val="bottom"/>
          </w:tcPr>
          <w:p>
            <w:pPr>
              <w:spacing w:after="0"/>
              <w:rPr>
                <w:sz w:val="24"/>
                <w:szCs w:val="24"/>
                <w:color w:val="auto"/>
              </w:rPr>
            </w:pPr>
          </w:p>
        </w:tc>
        <w:tc>
          <w:tcPr>
            <w:tcW w:w="3260" w:type="dxa"/>
            <w:vAlign w:val="bottom"/>
            <w:gridSpan w:val="4"/>
          </w:tcPr>
          <w:p>
            <w:pPr>
              <w:spacing w:after="0"/>
              <w:rPr>
                <w:sz w:val="20"/>
                <w:szCs w:val="20"/>
                <w:color w:val="auto"/>
              </w:rPr>
            </w:pPr>
            <w:r>
              <w:rPr>
                <w:rFonts w:ascii="Arial" w:cs="Arial" w:eastAsia="Arial" w:hAnsi="Arial"/>
                <w:sz w:val="13"/>
                <w:szCs w:val="13"/>
                <w:b w:val="1"/>
                <w:bCs w:val="1"/>
                <w:color w:val="auto"/>
                <w:w w:val="98"/>
              </w:rPr>
              <w:t>(thousands of United States dollars, except as noted)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24"/>
                <w:szCs w:val="24"/>
                <w:color w:val="auto"/>
              </w:rPr>
            </w:pPr>
          </w:p>
        </w:tc>
        <w:tc>
          <w:tcPr>
            <w:tcW w:w="14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24"/>
                <w:szCs w:val="24"/>
                <w:color w:val="auto"/>
              </w:rPr>
            </w:pPr>
          </w:p>
        </w:tc>
        <w:tc>
          <w:tcPr>
            <w:tcW w:w="12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Six Months Ended</w:t>
            </w:r>
          </w:p>
        </w:tc>
        <w:tc>
          <w:tcPr>
            <w:tcW w:w="100" w:type="dxa"/>
            <w:vAlign w:val="bottom"/>
          </w:tcPr>
          <w:p>
            <w:pPr>
              <w:spacing w:after="0"/>
              <w:rPr>
                <w:sz w:val="24"/>
                <w:szCs w:val="24"/>
                <w:color w:val="auto"/>
              </w:rPr>
            </w:pPr>
          </w:p>
        </w:tc>
        <w:tc>
          <w:tcPr>
            <w:tcW w:w="130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54"/>
        </w:trPr>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89"/>
              </w:rPr>
              <w:t>June 30, 2014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10,791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7,035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23,256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12,845</w:t>
            </w: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3260" w:type="dxa"/>
            <w:vAlign w:val="bottom"/>
            <w:gridSpan w:val="4"/>
          </w:tcPr>
          <w:p>
            <w:pPr>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(vi)</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771</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1,518</w:t>
            </w:r>
          </w:p>
        </w:tc>
        <w:tc>
          <w:tcPr>
            <w:tcW w:w="100" w:type="dxa"/>
            <w:vAlign w:val="bottom"/>
          </w:tcPr>
          <w:p>
            <w:pPr>
              <w:spacing w:after="0"/>
              <w:rPr>
                <w:sz w:val="23"/>
                <w:szCs w:val="23"/>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362</w:t>
            </w: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578</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326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11,562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8,553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23,618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13,423</w:t>
            </w: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3260" w:type="dxa"/>
            <w:vAlign w:val="bottom"/>
            <w:gridSpan w:val="4"/>
          </w:tcPr>
          <w:p>
            <w:pPr>
              <w:spacing w:after="0"/>
              <w:rPr>
                <w:sz w:val="20"/>
                <w:szCs w:val="20"/>
                <w:color w:val="auto"/>
              </w:rPr>
            </w:pPr>
            <w:r>
              <w:rPr>
                <w:rFonts w:ascii="Arial" w:cs="Arial" w:eastAsia="Arial" w:hAnsi="Arial"/>
                <w:sz w:val="17"/>
                <w:szCs w:val="17"/>
                <w:color w:val="auto"/>
              </w:rPr>
              <w:t>Tonnes of ore processed (thousands of</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260" w:type="dxa"/>
            <w:vAlign w:val="bottom"/>
            <w:gridSpan w:val="4"/>
          </w:tcPr>
          <w:p>
            <w:pPr>
              <w:ind w:left="180"/>
              <w:spacing w:after="0"/>
              <w:rPr>
                <w:sz w:val="20"/>
                <w:szCs w:val="20"/>
                <w:color w:val="auto"/>
              </w:rPr>
            </w:pPr>
            <w:r>
              <w:rPr>
                <w:rFonts w:ascii="Arial" w:cs="Arial" w:eastAsia="Arial" w:hAnsi="Arial"/>
                <w:sz w:val="17"/>
                <w:szCs w:val="17"/>
                <w:color w:val="auto"/>
              </w:rPr>
              <w:t>tonnes)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1,360</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1,138</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2,738</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1,825</w:t>
            </w:r>
          </w:p>
        </w:tc>
        <w:tc>
          <w:tcPr>
            <w:tcW w:w="0" w:type="dxa"/>
            <w:vAlign w:val="bottom"/>
          </w:tcPr>
          <w:p>
            <w:pPr>
              <w:spacing w:after="0"/>
              <w:rPr>
                <w:sz w:val="1"/>
                <w:szCs w:val="1"/>
                <w:color w:val="auto"/>
              </w:rPr>
            </w:pPr>
          </w:p>
        </w:tc>
      </w:tr>
      <w:tr>
        <w:trPr>
          <w:trHeight w:val="29"/>
        </w:trPr>
        <w:tc>
          <w:tcPr>
            <w:tcW w:w="114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40" w:type="dxa"/>
            <w:vAlign w:val="bottom"/>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3260" w:type="dxa"/>
            <w:vAlign w:val="bottom"/>
            <w:gridSpan w:val="4"/>
            <w:shd w:val="clear" w:color="auto" w:fill="CCEEFF"/>
          </w:tcPr>
          <w:p>
            <w:pPr>
              <w:spacing w:after="0" w:line="242" w:lineRule="exact"/>
              <w:rPr>
                <w:sz w:val="20"/>
                <w:szCs w:val="20"/>
                <w:color w:val="auto"/>
              </w:rPr>
            </w:pPr>
            <w:r>
              <w:rPr>
                <w:rFonts w:ascii="Arial" w:cs="Arial" w:eastAsia="Arial" w:hAnsi="Arial"/>
                <w:sz w:val="17"/>
                <w:szCs w:val="17"/>
                <w:color w:val="auto"/>
              </w:rPr>
              <w:t>Minesite costs per tonne (US$)</w:t>
            </w:r>
            <w:r>
              <w:rPr>
                <w:rFonts w:ascii="Arial" w:cs="Arial" w:eastAsia="Arial" w:hAnsi="Arial"/>
                <w:sz w:val="28"/>
                <w:szCs w:val="28"/>
                <w:color w:val="auto"/>
                <w:vertAlign w:val="superscript"/>
              </w:rPr>
              <w:t>(iv)</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1140" w:type="dxa"/>
            <w:vAlign w:val="bottom"/>
          </w:tcPr>
          <w:p>
            <w:pPr>
              <w:spacing w:after="0"/>
              <w:rPr>
                <w:sz w:val="7"/>
                <w:szCs w:val="7"/>
                <w:color w:val="auto"/>
              </w:rPr>
            </w:pPr>
          </w:p>
        </w:tc>
        <w:tc>
          <w:tcPr>
            <w:tcW w:w="820" w:type="dxa"/>
            <w:vAlign w:val="bottom"/>
            <w:tcBorders>
              <w:bottom w:val="single" w:sz="8" w:color="auto"/>
            </w:tcBorders>
          </w:tcPr>
          <w:p>
            <w:pPr>
              <w:spacing w:after="0"/>
              <w:rPr>
                <w:sz w:val="7"/>
                <w:szCs w:val="7"/>
                <w:color w:val="auto"/>
              </w:rPr>
            </w:pPr>
          </w:p>
        </w:tc>
        <w:tc>
          <w:tcPr>
            <w:tcW w:w="1200" w:type="dxa"/>
            <w:vAlign w:val="bottom"/>
          </w:tcPr>
          <w:p>
            <w:pPr>
              <w:spacing w:after="0"/>
              <w:rPr>
                <w:sz w:val="7"/>
                <w:szCs w:val="7"/>
                <w:color w:val="auto"/>
              </w:rPr>
            </w:pPr>
          </w:p>
        </w:tc>
        <w:tc>
          <w:tcPr>
            <w:tcW w:w="3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jc w:val="both"/>
        <w:ind w:left="1680" w:hanging="533"/>
        <w:spacing w:after="0" w:line="274" w:lineRule="auto"/>
        <w:tabs>
          <w:tab w:leader="none" w:pos="1680"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On June 16, 2014, Agnico Eagle and Yamana jointly acquired 100.0% of Osisko by way of a court-approved plan of arrangement (the "Arrangement") under the </w:t>
      </w:r>
      <w:r>
        <w:rPr>
          <w:rFonts w:ascii="Arial" w:cs="Arial" w:eastAsia="Arial" w:hAnsi="Arial"/>
          <w:sz w:val="12"/>
          <w:szCs w:val="12"/>
          <w:i w:val="1"/>
          <w:iCs w:val="1"/>
          <w:color w:val="auto"/>
        </w:rPr>
        <w:t>Canada Business</w:t>
      </w:r>
      <w:r>
        <w:rPr>
          <w:rFonts w:ascii="Arial" w:cs="Arial" w:eastAsia="Arial" w:hAnsi="Arial"/>
          <w:sz w:val="12"/>
          <w:szCs w:val="12"/>
          <w:color w:val="auto"/>
        </w:rPr>
        <w:t xml:space="preserve"> </w:t>
      </w:r>
      <w:r>
        <w:rPr>
          <w:rFonts w:ascii="Arial" w:cs="Arial" w:eastAsia="Arial" w:hAnsi="Arial"/>
          <w:sz w:val="12"/>
          <w:szCs w:val="12"/>
          <w:i w:val="1"/>
          <w:iCs w:val="1"/>
          <w:color w:val="auto"/>
        </w:rPr>
        <w:t>Corporations Act</w:t>
      </w:r>
      <w:r>
        <w:rPr>
          <w:rFonts w:ascii="Arial" w:cs="Arial" w:eastAsia="Arial" w:hAnsi="Arial"/>
          <w:sz w:val="12"/>
          <w:szCs w:val="12"/>
          <w:color w:val="auto"/>
        </w:rPr>
        <w:t>. As a result of the Arrangement, Agnico Eagle and Yamana each indirectly own 50.0% of Osisko (now Canadian Malartic Corporation) and Canadian Malartic GP,</w:t>
      </w:r>
      <w:r>
        <w:rPr>
          <w:rFonts w:ascii="Arial" w:cs="Arial" w:eastAsia="Arial" w:hAnsi="Arial"/>
          <w:sz w:val="12"/>
          <w:szCs w:val="12"/>
          <w:i w:val="1"/>
          <w:iCs w:val="1"/>
          <w:color w:val="auto"/>
        </w:rPr>
        <w:t xml:space="preserve"> </w:t>
      </w:r>
      <w:r>
        <w:rPr>
          <w:rFonts w:ascii="Arial" w:cs="Arial" w:eastAsia="Arial" w:hAnsi="Arial"/>
          <w:sz w:val="12"/>
          <w:szCs w:val="12"/>
          <w:color w:val="auto"/>
        </w:rPr>
        <w:t>which now holds the Canadian Malartic mine. The information set out in this table reflects the Company's 50.0% interest in the Canadian Malartic mine since the date of acquisition.</w:t>
      </w:r>
    </w:p>
    <w:p>
      <w:pPr>
        <w:spacing w:after="0" w:line="91" w:lineRule="exact"/>
        <w:rPr>
          <w:rFonts w:ascii="Arial" w:cs="Arial" w:eastAsia="Arial" w:hAnsi="Arial"/>
          <w:sz w:val="12"/>
          <w:szCs w:val="12"/>
          <w:color w:val="auto"/>
        </w:rPr>
      </w:pPr>
    </w:p>
    <w:p>
      <w:pPr>
        <w:ind w:left="1680" w:hanging="533"/>
        <w:spacing w:after="0" w:line="256" w:lineRule="auto"/>
        <w:tabs>
          <w:tab w:leader="none" w:pos="1680" w:val="left"/>
        </w:tabs>
        <w:numPr>
          <w:ilvl w:val="0"/>
          <w:numId w:val="2"/>
        </w:numPr>
        <w:rPr>
          <w:rFonts w:ascii="Arial" w:cs="Arial" w:eastAsia="Arial" w:hAnsi="Arial"/>
          <w:sz w:val="13"/>
          <w:szCs w:val="13"/>
          <w:color w:val="auto"/>
        </w:rPr>
      </w:pPr>
      <w:r>
        <w:rPr>
          <w:rFonts w:ascii="Arial" w:cs="Arial" w:eastAsia="Arial" w:hAnsi="Arial"/>
          <w:sz w:val="13"/>
          <w:szCs w:val="13"/>
          <w:color w:val="auto"/>
        </w:rPr>
        <w:t>The La India mine achieved commercial production on February 1, 2014. 3,492 ounces of payable gold production were excluded from the calculation of total cash costs per ounce of gold produced in the six months ended June 30, 2014 as they were produced prior to the achievement of commercial production.</w:t>
      </w:r>
    </w:p>
    <w:p>
      <w:pPr>
        <w:spacing w:after="0" w:line="100" w:lineRule="exact"/>
        <w:rPr>
          <w:rFonts w:ascii="Arial" w:cs="Arial" w:eastAsia="Arial" w:hAnsi="Arial"/>
          <w:sz w:val="13"/>
          <w:szCs w:val="13"/>
          <w:color w:val="auto"/>
        </w:rPr>
      </w:pPr>
    </w:p>
    <w:p>
      <w:pPr>
        <w:jc w:val="both"/>
        <w:ind w:left="1680" w:hanging="533"/>
        <w:spacing w:after="0" w:line="291" w:lineRule="auto"/>
        <w:tabs>
          <w:tab w:leader="none" w:pos="1680" w:val="left"/>
        </w:tabs>
        <w:numPr>
          <w:ilvl w:val="0"/>
          <w:numId w:val="2"/>
        </w:numPr>
        <w:rPr>
          <w:rFonts w:ascii="Arial" w:cs="Arial" w:eastAsia="Arial" w:hAnsi="Arial"/>
          <w:sz w:val="11"/>
          <w:szCs w:val="11"/>
          <w:color w:val="auto"/>
        </w:rPr>
      </w:pPr>
      <w:r>
        <w:rPr>
          <w:rFonts w:ascii="Arial" w:cs="Arial" w:eastAsia="Arial" w:hAnsi="Arial"/>
          <w:sz w:val="11"/>
          <w:szCs w:val="11"/>
          <w:color w:val="auto"/>
        </w:rPr>
        <w:t>Total cash costs per ounce of gold produced is not a recognized measure under IFRS and this data may not be comparable to data presented by other gold producers. Total cash costs per ounce of gold produced is presented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0" w:name="page31"/>
    <w:bookmarkEnd w:id="3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ind w:left="1680"/>
        <w:spacing w:after="0" w:line="256" w:lineRule="auto"/>
        <w:rPr>
          <w:sz w:val="20"/>
          <w:szCs w:val="20"/>
          <w:color w:val="auto"/>
        </w:rPr>
      </w:pPr>
      <w:r>
        <w:rPr>
          <w:rFonts w:ascii="Arial" w:cs="Arial" w:eastAsia="Arial" w:hAnsi="Arial"/>
          <w:sz w:val="12"/>
          <w:szCs w:val="12"/>
          <w:color w:val="auto"/>
        </w:rPr>
        <w:t>produced on a by-product basis except that no adjustment for by-product metal revenues is made.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(discussed below) as well as other data prepared in accordance with IFRS. Management also performs sensitivity analyses in order to quantify the effects of fluctuating metal prices and exchange rates.</w:t>
      </w:r>
    </w:p>
    <w:p>
      <w:pPr>
        <w:spacing w:after="0" w:line="170" w:lineRule="exact"/>
        <w:rPr>
          <w:sz w:val="20"/>
          <w:szCs w:val="20"/>
          <w:color w:val="auto"/>
        </w:rPr>
      </w:pPr>
    </w:p>
    <w:p>
      <w:pPr>
        <w:jc w:val="both"/>
        <w:ind w:left="1680" w:hanging="533"/>
        <w:spacing w:after="0" w:line="235" w:lineRule="auto"/>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Minesite costs per tonne is not a recognized measure under IFRS and this data may not be comparable to data presented by other gold producers. This measure is calculated by adjusting production costs as shown in the condensed interim consolidated statements of income and comprehensive income for unsold concentrate inventory production costs, and then dividing by tonnes of ore milled. As the total cash costs per ounce of gold produced measure can be impacted by fluctuations in by-product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IFRS.</w:t>
      </w:r>
    </w:p>
    <w:p>
      <w:pPr>
        <w:spacing w:after="0" w:line="113" w:lineRule="exact"/>
        <w:rPr>
          <w:rFonts w:ascii="Arial" w:cs="Arial" w:eastAsia="Arial" w:hAnsi="Arial"/>
          <w:sz w:val="13"/>
          <w:szCs w:val="13"/>
          <w:color w:val="auto"/>
        </w:rPr>
      </w:pPr>
    </w:p>
    <w:p>
      <w:pPr>
        <w:jc w:val="both"/>
        <w:ind w:left="1680" w:hanging="533"/>
        <w:spacing w:after="0" w:line="243" w:lineRule="auto"/>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Under the Company's revenue recognition policy, revenue is recognized on concentrates when legal title passes. As total cash costs per ounce of gold produced are calculated on a production basis, an inventory adjustment is made to reflect the sales margin on the portion of concentrate production not yet recognized as revenue. Other adjustments include the addition of smelting, refining and marketing charges to production costs.</w:t>
      </w:r>
    </w:p>
    <w:p>
      <w:pPr>
        <w:spacing w:after="0" w:line="109" w:lineRule="exact"/>
        <w:rPr>
          <w:rFonts w:ascii="Arial" w:cs="Arial" w:eastAsia="Arial" w:hAnsi="Arial"/>
          <w:sz w:val="13"/>
          <w:szCs w:val="13"/>
          <w:color w:val="auto"/>
        </w:rPr>
      </w:pPr>
    </w:p>
    <w:p>
      <w:pPr>
        <w:ind w:left="1680" w:hanging="533"/>
        <w:spacing w:after="0"/>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This inventory and other adjustment reflects production costs associated with unsold concentrates.</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All-in Sustaining Costs per Ounce of Gold Produced</w:t>
      </w:r>
    </w:p>
    <w:p>
      <w:pPr>
        <w:spacing w:after="0" w:line="224" w:lineRule="exact"/>
        <w:rPr>
          <w:sz w:val="20"/>
          <w:szCs w:val="20"/>
          <w:color w:val="auto"/>
        </w:rPr>
      </w:pPr>
    </w:p>
    <w:p>
      <w:pPr>
        <w:jc w:val="both"/>
        <w:ind w:firstLine="373"/>
        <w:spacing w:after="0" w:line="265" w:lineRule="auto"/>
        <w:rPr>
          <w:sz w:val="20"/>
          <w:szCs w:val="20"/>
          <w:color w:val="auto"/>
        </w:rPr>
      </w:pPr>
      <w:r>
        <w:rPr>
          <w:rFonts w:ascii="Arial" w:cs="Arial" w:eastAsia="Arial" w:hAnsi="Arial"/>
          <w:sz w:val="17"/>
          <w:szCs w:val="17"/>
          <w:color w:val="auto"/>
        </w:rPr>
        <w:t>All-in sustaining costs per ounce of gold produced is not a recognized measure under IFRS and this data may not be comparable to data presented by other gold producers. The Company believes that this measure provides information about operating performance. However, this non-GAAP measure should be considered together with other data prepared in accordance with IFRS as it is not necessarily indicative of operating costs or cash flow measures prepared in accordance with IFRS.</w:t>
      </w:r>
    </w:p>
    <w:p>
      <w:pPr>
        <w:spacing w:after="0" w:line="185" w:lineRule="exact"/>
        <w:rPr>
          <w:sz w:val="20"/>
          <w:szCs w:val="20"/>
          <w:color w:val="auto"/>
        </w:rPr>
      </w:pPr>
    </w:p>
    <w:p>
      <w:pPr>
        <w:jc w:val="both"/>
        <w:ind w:firstLine="469"/>
        <w:spacing w:after="0" w:line="300" w:lineRule="auto"/>
        <w:rPr>
          <w:sz w:val="20"/>
          <w:szCs w:val="20"/>
          <w:color w:val="auto"/>
        </w:rPr>
      </w:pPr>
      <w:r>
        <w:rPr>
          <w:rFonts w:ascii="Arial" w:cs="Arial" w:eastAsia="Arial" w:hAnsi="Arial"/>
          <w:sz w:val="15"/>
          <w:szCs w:val="15"/>
          <w:color w:val="auto"/>
        </w:rPr>
        <w:t>Based on the recommendations of the World Gold Council made in 2013, the Company modified its calculation of all-in sustaining costs per ounce of gold produced beginning in 2014. All-in sustaining costs per ounce of gold produced is presented on both a by-product basis (deducting by-product metal revenues from production costs) and co-product basis (before by-product metal revenues). All-in sustaining costs per ounce of gold produced on a by-product basis is calculated as the aggregate of total cash costs per ounce of gold produced on a by-product basis and sustaining capital expenditures (including capitalized exploration), general and administrative expenses (including stock options) and non-cash reclamation provision expense per ounce of gold produced. All-in sustaining costs per ounce of gold produced on a co-product basis is calculated in the same manner as all-in sustaining costs per ounce of gold produced on a by-product basis except that no adjustment for by-product metal revenues is made to total cash costs per ounce of gold produced. The calculation of all-in sustaining costs per ounce of gold produced on a co-product basis does not reflect a reduction in production costs or smelting, refining and marketing charges associated with the production and sale of by-product metals.</w:t>
      </w:r>
    </w:p>
    <w:p>
      <w:pPr>
        <w:spacing w:after="0" w:line="163" w:lineRule="exact"/>
        <w:rPr>
          <w:sz w:val="20"/>
          <w:szCs w:val="20"/>
          <w:color w:val="auto"/>
        </w:rPr>
      </w:pPr>
    </w:p>
    <w:p>
      <w:pPr>
        <w:jc w:val="both"/>
        <w:ind w:firstLine="404"/>
        <w:spacing w:after="0" w:line="270" w:lineRule="auto"/>
        <w:rPr>
          <w:sz w:val="20"/>
          <w:szCs w:val="20"/>
          <w:color w:val="auto"/>
        </w:rPr>
      </w:pPr>
      <w:r>
        <w:rPr>
          <w:rFonts w:ascii="Arial" w:cs="Arial" w:eastAsia="Arial" w:hAnsi="Arial"/>
          <w:sz w:val="17"/>
          <w:szCs w:val="17"/>
          <w:color w:val="auto"/>
        </w:rPr>
        <w:t>Prior to modifying its calculation of all-in sustaining costs per ounce of gold produced for 2014 based on the recommendations of the World Gold Council, the Company calculated all-in sustaining costs per ounce of gold produced on a by-product basis as the aggregate of total cash costs per ounce of gold produced on a by-product</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1" w:name="page32"/>
    <w:bookmarkEnd w:id="3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spacing w:after="0" w:line="265" w:lineRule="auto"/>
        <w:rPr>
          <w:sz w:val="20"/>
          <w:szCs w:val="20"/>
          <w:color w:val="auto"/>
        </w:rPr>
      </w:pPr>
      <w:r>
        <w:rPr>
          <w:rFonts w:ascii="Arial" w:cs="Arial" w:eastAsia="Arial" w:hAnsi="Arial"/>
          <w:sz w:val="17"/>
          <w:szCs w:val="17"/>
          <w:color w:val="auto"/>
        </w:rPr>
        <w:t>basis and sustaining capital expenditures, general and administrative expenses (net of stock options) and exploration and corporate development expenses (excluding greenfield exploration) per ounce of gold produced. All-in sustaining costs per ounce of gold produced on a co-product basis would have been calculated in the same manner as all-in sustaining costs per ounce of gold produced on a by-product basis except that no adjustment for by-product metal revenues, net of smelting, refining and marketing charges would have been made to total cash costs per ounce of gold produced.</w:t>
      </w:r>
    </w:p>
    <w:p>
      <w:pPr>
        <w:spacing w:after="0" w:line="185" w:lineRule="exact"/>
        <w:rPr>
          <w:sz w:val="20"/>
          <w:szCs w:val="20"/>
          <w:color w:val="auto"/>
        </w:rPr>
      </w:pPr>
    </w:p>
    <w:p>
      <w:pPr>
        <w:jc w:val="both"/>
        <w:ind w:firstLine="362"/>
        <w:spacing w:after="0" w:line="270" w:lineRule="auto"/>
        <w:rPr>
          <w:sz w:val="20"/>
          <w:szCs w:val="20"/>
          <w:color w:val="auto"/>
        </w:rPr>
      </w:pPr>
      <w:r>
        <w:rPr>
          <w:rFonts w:ascii="Arial" w:cs="Arial" w:eastAsia="Arial" w:hAnsi="Arial"/>
          <w:sz w:val="17"/>
          <w:szCs w:val="17"/>
          <w:color w:val="auto"/>
        </w:rPr>
        <w:t>The following table sets out a reconciliation of production costs to all-in sustaining costs per ounce of gold produced for the three and six months ended June 30, 2015 and the three and six months ended June 30, 2014 on both a by-product basis (deducting by-product metal revenues from production costs) and co-product basis (before by-product metal revenues).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2" w:name="page33"/>
    <w:bookmarkEnd w:id="3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Reconciliation of Production Costs to All-in Sustaining Costs per Ounce of Gold Produced</w:t>
      </w:r>
    </w:p>
    <w:p>
      <w:pPr>
        <w:spacing w:after="0" w:line="218"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3260" w:type="dxa"/>
            <w:vAlign w:val="bottom"/>
            <w:gridSpan w:val="2"/>
          </w:tcPr>
          <w:p>
            <w:pPr>
              <w:spacing w:after="0"/>
              <w:rPr>
                <w:sz w:val="20"/>
                <w:szCs w:val="20"/>
                <w:color w:val="auto"/>
              </w:rPr>
            </w:pPr>
            <w:r>
              <w:rPr>
                <w:rFonts w:ascii="Arial" w:cs="Arial" w:eastAsia="Arial" w:hAnsi="Arial"/>
                <w:sz w:val="13"/>
                <w:szCs w:val="13"/>
                <w:b w:val="1"/>
                <w:bCs w:val="1"/>
                <w:color w:val="auto"/>
              </w:rPr>
              <w:t>(United States dollars per ounce of gold produced,</w:t>
            </w:r>
          </w:p>
        </w:tc>
        <w:tc>
          <w:tcPr>
            <w:tcW w:w="1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3260" w:type="dxa"/>
            <w:vAlign w:val="bottom"/>
            <w:gridSpan w:val="2"/>
          </w:tcPr>
          <w:p>
            <w:pPr>
              <w:spacing w:after="0"/>
              <w:rPr>
                <w:sz w:val="20"/>
                <w:szCs w:val="20"/>
                <w:color w:val="auto"/>
              </w:rPr>
            </w:pPr>
            <w:r>
              <w:rPr>
                <w:rFonts w:ascii="Arial" w:cs="Arial" w:eastAsia="Arial" w:hAnsi="Arial"/>
                <w:sz w:val="13"/>
                <w:szCs w:val="13"/>
                <w:b w:val="1"/>
                <w:bCs w:val="1"/>
                <w:color w:val="auto"/>
              </w:rPr>
              <w:t>except where noted)</w:t>
            </w:r>
          </w:p>
        </w:tc>
        <w:tc>
          <w:tcPr>
            <w:tcW w:w="100" w:type="dxa"/>
            <w:vAlign w:val="bottom"/>
          </w:tcPr>
          <w:p>
            <w:pPr>
              <w:spacing w:after="0"/>
              <w:rPr>
                <w:sz w:val="14"/>
                <w:szCs w:val="14"/>
                <w:color w:val="auto"/>
              </w:rPr>
            </w:pPr>
          </w:p>
        </w:tc>
        <w:tc>
          <w:tcPr>
            <w:tcW w:w="1440" w:type="dxa"/>
            <w:vAlign w:val="bottom"/>
            <w:gridSpan w:val="2"/>
            <w:vMerge w:val="restart"/>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4"/>
                <w:szCs w:val="14"/>
                <w:color w:val="auto"/>
              </w:rPr>
            </w:pPr>
          </w:p>
        </w:tc>
        <w:tc>
          <w:tcPr>
            <w:tcW w:w="144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Three Months Ended</w:t>
            </w:r>
          </w:p>
        </w:tc>
        <w:tc>
          <w:tcPr>
            <w:tcW w:w="100" w:type="dxa"/>
            <w:vAlign w:val="bottom"/>
          </w:tcPr>
          <w:p>
            <w:pPr>
              <w:spacing w:after="0"/>
              <w:rPr>
                <w:sz w:val="14"/>
                <w:szCs w:val="14"/>
                <w:color w:val="auto"/>
              </w:rPr>
            </w:pPr>
          </w:p>
        </w:tc>
        <w:tc>
          <w:tcPr>
            <w:tcW w:w="1280" w:type="dxa"/>
            <w:vAlign w:val="bottom"/>
            <w:gridSpan w:val="2"/>
            <w:vMerge w:val="restart"/>
          </w:tcPr>
          <w:p>
            <w:pPr>
              <w:jc w:val="right"/>
              <w:ind w:right="240"/>
              <w:spacing w:after="0"/>
              <w:rPr>
                <w:sz w:val="20"/>
                <w:szCs w:val="20"/>
                <w:color w:val="auto"/>
              </w:rPr>
            </w:pPr>
            <w:r>
              <w:rPr>
                <w:rFonts w:ascii="Arial" w:cs="Arial" w:eastAsia="Arial" w:hAnsi="Arial"/>
                <w:sz w:val="13"/>
                <w:szCs w:val="13"/>
                <w:b w:val="1"/>
                <w:bCs w:val="1"/>
                <w:color w:val="auto"/>
                <w:w w:val="90"/>
              </w:rPr>
              <w:t>Six Months Ended</w:t>
            </w:r>
          </w:p>
        </w:tc>
        <w:tc>
          <w:tcPr>
            <w:tcW w:w="100" w:type="dxa"/>
            <w:vAlign w:val="bottom"/>
          </w:tcPr>
          <w:p>
            <w:pPr>
              <w:spacing w:after="0"/>
              <w:rPr>
                <w:sz w:val="14"/>
                <w:szCs w:val="14"/>
                <w:color w:val="auto"/>
              </w:rPr>
            </w:pPr>
          </w:p>
        </w:tc>
        <w:tc>
          <w:tcPr>
            <w:tcW w:w="1300" w:type="dxa"/>
            <w:vAlign w:val="bottom"/>
            <w:gridSpan w:val="2"/>
            <w:vMerge w:val="restart"/>
          </w:tcPr>
          <w:p>
            <w:pPr>
              <w:jc w:val="right"/>
              <w:ind w:right="260"/>
              <w:spacing w:after="0"/>
              <w:rPr>
                <w:sz w:val="20"/>
                <w:szCs w:val="20"/>
                <w:color w:val="auto"/>
              </w:rPr>
            </w:pPr>
            <w:r>
              <w:rPr>
                <w:rFonts w:ascii="Arial" w:cs="Arial" w:eastAsia="Arial" w:hAnsi="Arial"/>
                <w:sz w:val="13"/>
                <w:szCs w:val="13"/>
                <w:b w:val="1"/>
                <w:bCs w:val="1"/>
                <w:color w:val="auto"/>
                <w:w w:val="90"/>
              </w:rPr>
              <w:t>Six Months Ended</w:t>
            </w:r>
          </w:p>
        </w:tc>
        <w:tc>
          <w:tcPr>
            <w:tcW w:w="0" w:type="dxa"/>
            <w:vAlign w:val="bottom"/>
          </w:tcPr>
          <w:p>
            <w:pPr>
              <w:spacing w:after="0"/>
              <w:rPr>
                <w:sz w:val="1"/>
                <w:szCs w:val="1"/>
                <w:color w:val="auto"/>
              </w:rPr>
            </w:pPr>
          </w:p>
        </w:tc>
      </w:tr>
      <w:tr>
        <w:trPr>
          <w:trHeight w:val="54"/>
        </w:trPr>
        <w:tc>
          <w:tcPr>
            <w:tcW w:w="820" w:type="dxa"/>
            <w:vAlign w:val="bottom"/>
          </w:tcPr>
          <w:p>
            <w:pPr>
              <w:spacing w:after="0"/>
              <w:rPr>
                <w:sz w:val="4"/>
                <w:szCs w:val="4"/>
                <w:color w:val="auto"/>
              </w:rPr>
            </w:pPr>
          </w:p>
        </w:tc>
        <w:tc>
          <w:tcPr>
            <w:tcW w:w="24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820" w:type="dxa"/>
            <w:vAlign w:val="bottom"/>
          </w:tcPr>
          <w:p>
            <w:pPr>
              <w:spacing w:after="0"/>
              <w:rPr>
                <w:sz w:val="13"/>
                <w:szCs w:val="13"/>
                <w:color w:val="auto"/>
              </w:rPr>
            </w:pPr>
          </w:p>
        </w:tc>
        <w:tc>
          <w:tcPr>
            <w:tcW w:w="2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40" w:type="dxa"/>
            <w:vAlign w:val="bottom"/>
            <w:gridSpan w:val="2"/>
          </w:tcPr>
          <w:p>
            <w:pPr>
              <w:jc w:val="right"/>
              <w:ind w:right="460"/>
              <w:spacing w:after="0"/>
              <w:rPr>
                <w:sz w:val="20"/>
                <w:szCs w:val="20"/>
                <w:color w:val="auto"/>
              </w:rPr>
            </w:pPr>
            <w:r>
              <w:rPr>
                <w:rFonts w:ascii="Arial" w:cs="Arial" w:eastAsia="Arial" w:hAnsi="Arial"/>
                <w:sz w:val="13"/>
                <w:szCs w:val="13"/>
                <w:b w:val="1"/>
                <w:bCs w:val="1"/>
                <w:color w:val="auto"/>
              </w:rPr>
              <w:t>June 30, 2015</w:t>
            </w:r>
          </w:p>
        </w:tc>
        <w:tc>
          <w:tcPr>
            <w:tcW w:w="100" w:type="dxa"/>
            <w:vAlign w:val="bottom"/>
          </w:tcPr>
          <w:p>
            <w:pPr>
              <w:spacing w:after="0"/>
              <w:rPr>
                <w:sz w:val="13"/>
                <w:szCs w:val="13"/>
                <w:color w:val="auto"/>
              </w:rPr>
            </w:pPr>
          </w:p>
        </w:tc>
        <w:tc>
          <w:tcPr>
            <w:tcW w:w="1440" w:type="dxa"/>
            <w:vAlign w:val="bottom"/>
            <w:gridSpan w:val="2"/>
          </w:tcPr>
          <w:p>
            <w:pPr>
              <w:jc w:val="right"/>
              <w:ind w:right="460"/>
              <w:spacing w:after="0"/>
              <w:rPr>
                <w:sz w:val="20"/>
                <w:szCs w:val="20"/>
                <w:color w:val="auto"/>
              </w:rPr>
            </w:pPr>
            <w:r>
              <w:rPr>
                <w:rFonts w:ascii="Arial" w:cs="Arial" w:eastAsia="Arial" w:hAnsi="Arial"/>
                <w:sz w:val="13"/>
                <w:szCs w:val="13"/>
                <w:b w:val="1"/>
                <w:bCs w:val="1"/>
                <w:color w:val="auto"/>
              </w:rPr>
              <w:t>June 30, 2014</w:t>
            </w:r>
          </w:p>
        </w:tc>
        <w:tc>
          <w:tcPr>
            <w:tcW w:w="100" w:type="dxa"/>
            <w:vAlign w:val="bottom"/>
          </w:tcPr>
          <w:p>
            <w:pPr>
              <w:spacing w:after="0"/>
              <w:rPr>
                <w:sz w:val="13"/>
                <w:szCs w:val="13"/>
                <w:color w:val="auto"/>
              </w:rPr>
            </w:pPr>
          </w:p>
        </w:tc>
        <w:tc>
          <w:tcPr>
            <w:tcW w:w="1280" w:type="dxa"/>
            <w:vAlign w:val="bottom"/>
            <w:gridSpan w:val="2"/>
          </w:tcPr>
          <w:p>
            <w:pPr>
              <w:jc w:val="right"/>
              <w:ind w:right="380"/>
              <w:spacing w:after="0"/>
              <w:rPr>
                <w:sz w:val="20"/>
                <w:szCs w:val="20"/>
                <w:color w:val="auto"/>
              </w:rPr>
            </w:pPr>
            <w:r>
              <w:rPr>
                <w:rFonts w:ascii="Arial" w:cs="Arial" w:eastAsia="Arial" w:hAnsi="Arial"/>
                <w:sz w:val="13"/>
                <w:szCs w:val="13"/>
                <w:b w:val="1"/>
                <w:bCs w:val="1"/>
                <w:color w:val="auto"/>
              </w:rPr>
              <w:t>June 30, 2015</w:t>
            </w:r>
          </w:p>
        </w:tc>
        <w:tc>
          <w:tcPr>
            <w:tcW w:w="100" w:type="dxa"/>
            <w:vAlign w:val="bottom"/>
          </w:tcPr>
          <w:p>
            <w:pPr>
              <w:spacing w:after="0"/>
              <w:rPr>
                <w:sz w:val="13"/>
                <w:szCs w:val="13"/>
                <w:color w:val="auto"/>
              </w:rPr>
            </w:pPr>
          </w:p>
        </w:tc>
        <w:tc>
          <w:tcPr>
            <w:tcW w:w="1300" w:type="dxa"/>
            <w:vAlign w:val="bottom"/>
            <w:gridSpan w:val="2"/>
          </w:tcPr>
          <w:p>
            <w:pPr>
              <w:jc w:val="right"/>
              <w:ind w:right="400"/>
              <w:spacing w:after="0"/>
              <w:rPr>
                <w:sz w:val="20"/>
                <w:szCs w:val="20"/>
                <w:color w:val="auto"/>
              </w:rPr>
            </w:pPr>
            <w:r>
              <w:rPr>
                <w:rFonts w:ascii="Arial" w:cs="Arial" w:eastAsia="Arial" w:hAnsi="Arial"/>
                <w:sz w:val="13"/>
                <w:szCs w:val="13"/>
                <w:b w:val="1"/>
                <w:bCs w:val="1"/>
                <w:color w:val="auto"/>
              </w:rPr>
              <w:t>June 30, 2014</w:t>
            </w:r>
          </w:p>
        </w:tc>
        <w:tc>
          <w:tcPr>
            <w:tcW w:w="0" w:type="dxa"/>
            <w:vAlign w:val="bottom"/>
          </w:tcPr>
          <w:p>
            <w:pPr>
              <w:spacing w:after="0"/>
              <w:rPr>
                <w:sz w:val="1"/>
                <w:szCs w:val="1"/>
                <w:color w:val="auto"/>
              </w:rPr>
            </w:pPr>
          </w:p>
        </w:tc>
      </w:tr>
      <w:tr>
        <w:trPr>
          <w:trHeight w:val="194"/>
        </w:trPr>
        <w:tc>
          <w:tcPr>
            <w:tcW w:w="326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w w:val="99"/>
              </w:rPr>
              <w:t>Production costs per the condensed interim</w:t>
            </w:r>
          </w:p>
        </w:tc>
        <w:tc>
          <w:tcPr>
            <w:tcW w:w="100" w:type="dxa"/>
            <w:vAlign w:val="bottom"/>
            <w:tcBorders>
              <w:top w:val="single" w:sz="8" w:color="auto"/>
            </w:tcBorders>
            <w:shd w:val="clear" w:color="auto" w:fill="CCEEFF"/>
          </w:tcPr>
          <w:p>
            <w:pPr>
              <w:spacing w:after="0"/>
              <w:rPr>
                <w:sz w:val="16"/>
                <w:szCs w:val="16"/>
                <w:color w:val="auto"/>
              </w:rPr>
            </w:pPr>
          </w:p>
        </w:tc>
        <w:tc>
          <w:tcPr>
            <w:tcW w:w="128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28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14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consolidated statements of income and</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comprehensive income (thousands of</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United States dollars)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263,612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229,383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510,892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447,449</w:t>
            </w:r>
          </w:p>
        </w:tc>
        <w:tc>
          <w:tcPr>
            <w:tcW w:w="0" w:type="dxa"/>
            <w:vAlign w:val="bottom"/>
          </w:tcPr>
          <w:p>
            <w:pPr>
              <w:spacing w:after="0"/>
              <w:rPr>
                <w:sz w:val="1"/>
                <w:szCs w:val="1"/>
                <w:color w:val="auto"/>
              </w:rPr>
            </w:pPr>
          </w:p>
        </w:tc>
      </w:tr>
      <w:tr>
        <w:trPr>
          <w:trHeight w:val="26"/>
        </w:trPr>
        <w:tc>
          <w:tcPr>
            <w:tcW w:w="3260" w:type="dxa"/>
            <w:vAlign w:val="bottom"/>
            <w:gridSpan w:val="2"/>
            <w:vMerge w:val="restart"/>
          </w:tcPr>
          <w:p>
            <w:pPr>
              <w:spacing w:after="0" w:line="314" w:lineRule="exact"/>
              <w:rPr>
                <w:sz w:val="20"/>
                <w:szCs w:val="20"/>
                <w:color w:val="auto"/>
              </w:rPr>
            </w:pPr>
            <w:r>
              <w:rPr>
                <w:rFonts w:ascii="Arial" w:cs="Arial" w:eastAsia="Arial" w:hAnsi="Arial"/>
                <w:sz w:val="17"/>
                <w:szCs w:val="17"/>
                <w:color w:val="auto"/>
              </w:rPr>
              <w:t>Adjusted Gold production (ounces)</w:t>
            </w:r>
            <w:r>
              <w:rPr>
                <w:rFonts w:ascii="Arial" w:cs="Arial" w:eastAsia="Arial" w:hAnsi="Arial"/>
                <w:sz w:val="28"/>
                <w:szCs w:val="28"/>
                <w:color w:val="auto"/>
                <w:vertAlign w:val="superscript"/>
              </w:rPr>
              <w:t>(i)</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3260" w:type="dxa"/>
            <w:vAlign w:val="bottom"/>
            <w:gridSpan w:val="2"/>
            <w:vMerge w:val="continue"/>
          </w:tcPr>
          <w:p>
            <w:pPr>
              <w:spacing w:after="0"/>
              <w:rPr>
                <w:sz w:val="23"/>
                <w:szCs w:val="23"/>
                <w:color w:val="auto"/>
              </w:rPr>
            </w:pP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403,678</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326,059</w:t>
            </w:r>
          </w:p>
        </w:tc>
        <w:tc>
          <w:tcPr>
            <w:tcW w:w="100" w:type="dxa"/>
            <w:vAlign w:val="bottom"/>
          </w:tcPr>
          <w:p>
            <w:pPr>
              <w:spacing w:after="0"/>
              <w:rPr>
                <w:sz w:val="23"/>
                <w:szCs w:val="23"/>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807,888</w:t>
            </w:r>
          </w:p>
        </w:tc>
        <w:tc>
          <w:tcPr>
            <w:tcW w:w="100" w:type="dxa"/>
            <w:vAlign w:val="bottom"/>
          </w:tcPr>
          <w:p>
            <w:pPr>
              <w:spacing w:after="0"/>
              <w:rPr>
                <w:sz w:val="23"/>
                <w:szCs w:val="23"/>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688,988</w:t>
            </w:r>
          </w:p>
        </w:tc>
        <w:tc>
          <w:tcPr>
            <w:tcW w:w="0" w:type="dxa"/>
            <w:vAlign w:val="bottom"/>
          </w:tcPr>
          <w:p>
            <w:pPr>
              <w:spacing w:after="0"/>
              <w:rPr>
                <w:sz w:val="1"/>
                <w:szCs w:val="1"/>
                <w:color w:val="auto"/>
              </w:rPr>
            </w:pPr>
          </w:p>
        </w:tc>
      </w:tr>
      <w:tr>
        <w:trPr>
          <w:trHeight w:val="195"/>
        </w:trPr>
        <w:tc>
          <w:tcPr>
            <w:tcW w:w="3260" w:type="dxa"/>
            <w:vAlign w:val="bottom"/>
            <w:gridSpan w:val="2"/>
            <w:shd w:val="clear" w:color="auto" w:fill="CCEEFF"/>
          </w:tcPr>
          <w:p>
            <w:pPr>
              <w:spacing w:after="0"/>
              <w:rPr>
                <w:sz w:val="20"/>
                <w:szCs w:val="20"/>
                <w:color w:val="auto"/>
              </w:rPr>
            </w:pPr>
            <w:r>
              <w:rPr>
                <w:rFonts w:ascii="Arial" w:cs="Arial" w:eastAsia="Arial" w:hAnsi="Arial"/>
                <w:sz w:val="17"/>
                <w:szCs w:val="17"/>
                <w:color w:val="auto"/>
                <w:w w:val="97"/>
              </w:rPr>
              <w:t>Production costs per ounce of adjusted gold</w:t>
            </w:r>
          </w:p>
        </w:tc>
        <w:tc>
          <w:tcPr>
            <w:tcW w:w="100" w:type="dxa"/>
            <w:vAlign w:val="bottom"/>
            <w:tcBorders>
              <w:top w:val="single" w:sz="8" w:color="auto"/>
            </w:tcBorders>
            <w:shd w:val="clear" w:color="auto" w:fill="CCEEFF"/>
          </w:tcPr>
          <w:p>
            <w:pPr>
              <w:spacing w:after="0"/>
              <w:rPr>
                <w:sz w:val="16"/>
                <w:szCs w:val="16"/>
                <w:color w:val="auto"/>
              </w:rPr>
            </w:pPr>
          </w:p>
        </w:tc>
        <w:tc>
          <w:tcPr>
            <w:tcW w:w="128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28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14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3260" w:type="dxa"/>
            <w:vAlign w:val="bottom"/>
            <w:gridSpan w:val="2"/>
            <w:shd w:val="clear" w:color="auto" w:fill="CCEEFF"/>
          </w:tcPr>
          <w:p>
            <w:pPr>
              <w:ind w:left="180"/>
              <w:spacing w:after="0" w:line="257" w:lineRule="exact"/>
              <w:rPr>
                <w:sz w:val="20"/>
                <w:szCs w:val="20"/>
                <w:color w:val="auto"/>
              </w:rPr>
            </w:pPr>
            <w:r>
              <w:rPr>
                <w:rFonts w:ascii="Arial" w:cs="Arial" w:eastAsia="Arial" w:hAnsi="Arial"/>
                <w:sz w:val="17"/>
                <w:szCs w:val="17"/>
                <w:color w:val="auto"/>
              </w:rPr>
              <w:t>production</w:t>
            </w:r>
            <w:r>
              <w:rPr>
                <w:rFonts w:ascii="Arial" w:cs="Arial" w:eastAsia="Arial" w:hAnsi="Arial"/>
                <w:sz w:val="28"/>
                <w:szCs w:val="28"/>
                <w:color w:val="auto"/>
                <w:vertAlign w:val="superscript"/>
              </w:rPr>
              <w:t>(i)</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653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704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632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649</w:t>
            </w:r>
          </w:p>
        </w:tc>
        <w:tc>
          <w:tcPr>
            <w:tcW w:w="0" w:type="dxa"/>
            <w:vAlign w:val="bottom"/>
          </w:tcPr>
          <w:p>
            <w:pPr>
              <w:spacing w:after="0"/>
              <w:rPr>
                <w:sz w:val="1"/>
                <w:szCs w:val="1"/>
                <w:color w:val="auto"/>
              </w:rPr>
            </w:pPr>
          </w:p>
        </w:tc>
      </w:tr>
      <w:tr>
        <w:trPr>
          <w:trHeight w:val="210"/>
        </w:trPr>
        <w:tc>
          <w:tcPr>
            <w:tcW w:w="3260" w:type="dxa"/>
            <w:vAlign w:val="bottom"/>
            <w:gridSpan w:val="2"/>
          </w:tcPr>
          <w:p>
            <w:pPr>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3260" w:type="dxa"/>
            <w:vAlign w:val="bottom"/>
            <w:gridSpan w:val="2"/>
            <w:shd w:val="clear" w:color="auto" w:fill="CCEEFF"/>
          </w:tcPr>
          <w:p>
            <w:pPr>
              <w:ind w:left="18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(ii)</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w:t>
            </w:r>
          </w:p>
        </w:tc>
        <w:tc>
          <w:tcPr>
            <w:tcW w:w="10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w:t>
            </w:r>
          </w:p>
        </w:tc>
        <w:tc>
          <w:tcPr>
            <w:tcW w:w="10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w:t>
            </w:r>
          </w:p>
        </w:tc>
        <w:tc>
          <w:tcPr>
            <w:tcW w:w="0" w:type="dxa"/>
            <w:vAlign w:val="bottom"/>
          </w:tcPr>
          <w:p>
            <w:pPr>
              <w:spacing w:after="0"/>
              <w:rPr>
                <w:sz w:val="1"/>
                <w:szCs w:val="1"/>
                <w:color w:val="auto"/>
              </w:rPr>
            </w:pPr>
          </w:p>
        </w:tc>
      </w:tr>
      <w:tr>
        <w:trPr>
          <w:trHeight w:val="26"/>
        </w:trPr>
        <w:tc>
          <w:tcPr>
            <w:tcW w:w="3260" w:type="dxa"/>
            <w:vAlign w:val="bottom"/>
            <w:gridSpan w:val="2"/>
            <w:vMerge w:val="restart"/>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32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3260" w:type="dxa"/>
            <w:vAlign w:val="bottom"/>
            <w:gridSpan w:val="2"/>
          </w:tcPr>
          <w:p>
            <w:pPr>
              <w:ind w:left="180"/>
              <w:spacing w:after="0" w:line="257" w:lineRule="exact"/>
              <w:rPr>
                <w:sz w:val="20"/>
                <w:szCs w:val="20"/>
                <w:color w:val="auto"/>
              </w:rPr>
            </w:pPr>
            <w:r>
              <w:rPr>
                <w:rFonts w:ascii="Arial" w:cs="Arial" w:eastAsia="Arial" w:hAnsi="Arial"/>
                <w:sz w:val="17"/>
                <w:szCs w:val="17"/>
                <w:color w:val="auto"/>
              </w:rPr>
              <w:t>(co-product basis)</w:t>
            </w:r>
            <w:r>
              <w:rPr>
                <w:rFonts w:ascii="Arial" w:cs="Arial" w:eastAsia="Arial" w:hAnsi="Arial"/>
                <w:sz w:val="28"/>
                <w:szCs w:val="28"/>
                <w:color w:val="auto"/>
                <w:vertAlign w:val="superscript"/>
              </w:rPr>
              <w:t>(iii)</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666</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730</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658</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676</w:t>
            </w:r>
          </w:p>
        </w:tc>
        <w:tc>
          <w:tcPr>
            <w:tcW w:w="0" w:type="dxa"/>
            <w:vAlign w:val="bottom"/>
          </w:tcPr>
          <w:p>
            <w:pPr>
              <w:spacing w:after="0"/>
              <w:rPr>
                <w:sz w:val="1"/>
                <w:szCs w:val="1"/>
                <w:color w:val="auto"/>
              </w:rPr>
            </w:pPr>
          </w:p>
        </w:tc>
      </w:tr>
      <w:tr>
        <w:trPr>
          <w:trHeight w:val="210"/>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(65)</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(99)</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(63)</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(94)</w:t>
            </w:r>
          </w:p>
        </w:tc>
        <w:tc>
          <w:tcPr>
            <w:tcW w:w="0" w:type="dxa"/>
            <w:vAlign w:val="bottom"/>
          </w:tcPr>
          <w:p>
            <w:pPr>
              <w:spacing w:after="0"/>
              <w:rPr>
                <w:sz w:val="1"/>
                <w:szCs w:val="1"/>
                <w:color w:val="auto"/>
              </w:rPr>
            </w:pPr>
          </w:p>
        </w:tc>
      </w:tr>
      <w:tr>
        <w:trPr>
          <w:trHeight w:val="26"/>
        </w:trPr>
        <w:tc>
          <w:tcPr>
            <w:tcW w:w="3260" w:type="dxa"/>
            <w:vAlign w:val="bottom"/>
            <w:gridSpan w:val="2"/>
            <w:vMerge w:val="restart"/>
          </w:tcPr>
          <w:p>
            <w:pPr>
              <w:spacing w:after="0"/>
              <w:rPr>
                <w:sz w:val="20"/>
                <w:szCs w:val="20"/>
                <w:color w:val="auto"/>
              </w:rPr>
            </w:pPr>
            <w:r>
              <w:rPr>
                <w:rFonts w:ascii="Arial" w:cs="Arial" w:eastAsia="Arial" w:hAnsi="Arial"/>
                <w:sz w:val="17"/>
                <w:szCs w:val="17"/>
                <w:color w:val="auto"/>
                <w:w w:val="96"/>
              </w:rPr>
              <w:t>Total cash costs per ounce of gold produced</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32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83"/>
        </w:trPr>
        <w:tc>
          <w:tcPr>
            <w:tcW w:w="3260" w:type="dxa"/>
            <w:vAlign w:val="bottom"/>
            <w:gridSpan w:val="2"/>
          </w:tcPr>
          <w:p>
            <w:pPr>
              <w:ind w:left="180"/>
              <w:spacing w:after="0" w:line="282" w:lineRule="exact"/>
              <w:rPr>
                <w:sz w:val="20"/>
                <w:szCs w:val="20"/>
                <w:color w:val="auto"/>
              </w:rPr>
            </w:pPr>
            <w:r>
              <w:rPr>
                <w:rFonts w:ascii="Arial" w:cs="Arial" w:eastAsia="Arial" w:hAnsi="Arial"/>
                <w:sz w:val="17"/>
                <w:szCs w:val="17"/>
                <w:color w:val="auto"/>
              </w:rPr>
              <w:t>(by-product basis)</w:t>
            </w:r>
            <w:r>
              <w:rPr>
                <w:rFonts w:ascii="Arial" w:cs="Arial" w:eastAsia="Arial" w:hAnsi="Arial"/>
                <w:sz w:val="28"/>
                <w:szCs w:val="28"/>
                <w:color w:val="auto"/>
                <w:vertAlign w:val="superscript"/>
              </w:rPr>
              <w:t>(iii)</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601</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631</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595</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582</w:t>
            </w: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3260" w:type="dxa"/>
            <w:vAlign w:val="bottom"/>
            <w:gridSpan w:val="2"/>
            <w:shd w:val="clear" w:color="auto" w:fill="CCEEFF"/>
          </w:tcPr>
          <w:p>
            <w:pPr>
              <w:spacing w:after="0" w:line="189" w:lineRule="exact"/>
              <w:rPr>
                <w:sz w:val="20"/>
                <w:szCs w:val="20"/>
                <w:color w:val="auto"/>
              </w:rPr>
            </w:pPr>
            <w:r>
              <w:rPr>
                <w:rFonts w:ascii="Arial" w:cs="Arial" w:eastAsia="Arial" w:hAnsi="Arial"/>
                <w:sz w:val="17"/>
                <w:szCs w:val="17"/>
                <w:color w:val="auto"/>
              </w:rPr>
              <w:t>Adjustments:</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3260" w:type="dxa"/>
            <w:vAlign w:val="bottom"/>
            <w:gridSpan w:val="2"/>
          </w:tcPr>
          <w:p>
            <w:pPr>
              <w:ind w:left="180"/>
              <w:spacing w:after="0"/>
              <w:rPr>
                <w:sz w:val="20"/>
                <w:szCs w:val="20"/>
                <w:color w:val="auto"/>
              </w:rPr>
            </w:pPr>
            <w:r>
              <w:rPr>
                <w:rFonts w:ascii="Arial" w:cs="Arial" w:eastAsia="Arial" w:hAnsi="Arial"/>
                <w:sz w:val="17"/>
                <w:szCs w:val="17"/>
                <w:color w:val="auto"/>
                <w:w w:val="97"/>
              </w:rPr>
              <w:t>Sustaining capital expenditures (including</w:t>
            </w: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260" w:type="dxa"/>
            <w:vAlign w:val="bottom"/>
            <w:gridSpan w:val="2"/>
          </w:tcPr>
          <w:p>
            <w:pPr>
              <w:ind w:left="360"/>
              <w:spacing w:after="0"/>
              <w:rPr>
                <w:sz w:val="20"/>
                <w:szCs w:val="20"/>
                <w:color w:val="auto"/>
              </w:rPr>
            </w:pPr>
            <w:r>
              <w:rPr>
                <w:rFonts w:ascii="Arial" w:cs="Arial" w:eastAsia="Arial" w:hAnsi="Arial"/>
                <w:sz w:val="17"/>
                <w:szCs w:val="17"/>
                <w:color w:val="auto"/>
              </w:rPr>
              <w:t>capitalized exploration)</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203</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241</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177</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207</w:t>
            </w:r>
          </w:p>
        </w:tc>
        <w:tc>
          <w:tcPr>
            <w:tcW w:w="0" w:type="dxa"/>
            <w:vAlign w:val="bottom"/>
          </w:tcPr>
          <w:p>
            <w:pPr>
              <w:spacing w:after="0"/>
              <w:rPr>
                <w:sz w:val="1"/>
                <w:szCs w:val="1"/>
                <w:color w:val="auto"/>
              </w:rPr>
            </w:pPr>
          </w:p>
        </w:tc>
      </w:tr>
      <w:tr>
        <w:trPr>
          <w:trHeight w:val="202"/>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General and administrative expenses</w:t>
            </w:r>
          </w:p>
        </w:tc>
        <w:tc>
          <w:tcPr>
            <w:tcW w:w="1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326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(including stock options)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58</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127</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60</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98</w:t>
            </w:r>
          </w:p>
        </w:tc>
        <w:tc>
          <w:tcPr>
            <w:tcW w:w="0" w:type="dxa"/>
            <w:vAlign w:val="bottom"/>
          </w:tcPr>
          <w:p>
            <w:pPr>
              <w:spacing w:after="0"/>
              <w:rPr>
                <w:sz w:val="1"/>
                <w:szCs w:val="1"/>
                <w:color w:val="auto"/>
              </w:rPr>
            </w:pPr>
          </w:p>
        </w:tc>
      </w:tr>
      <w:tr>
        <w:trPr>
          <w:trHeight w:val="216"/>
        </w:trPr>
        <w:tc>
          <w:tcPr>
            <w:tcW w:w="3260" w:type="dxa"/>
            <w:vAlign w:val="bottom"/>
            <w:gridSpan w:val="2"/>
          </w:tcPr>
          <w:p>
            <w:pPr>
              <w:ind w:left="180"/>
              <w:spacing w:after="0"/>
              <w:rPr>
                <w:sz w:val="20"/>
                <w:szCs w:val="20"/>
                <w:color w:val="auto"/>
              </w:rPr>
            </w:pPr>
            <w:r>
              <w:rPr>
                <w:rFonts w:ascii="Arial" w:cs="Arial" w:eastAsia="Arial" w:hAnsi="Arial"/>
                <w:sz w:val="17"/>
                <w:szCs w:val="17"/>
                <w:color w:val="auto"/>
                <w:w w:val="97"/>
              </w:rPr>
              <w:t>Non-cash reclamation provision and other</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4</w:t>
            </w:r>
          </w:p>
        </w:tc>
        <w:tc>
          <w:tcPr>
            <w:tcW w:w="10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10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7"/>
                <w:szCs w:val="17"/>
                <w:color w:val="auto"/>
              </w:rPr>
              <w:t>3</w:t>
            </w: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326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rPr>
              <w:t>All-in sustaining costs per ounce of gold</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produced (by-product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864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1,003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835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890</w:t>
            </w:r>
          </w:p>
        </w:tc>
        <w:tc>
          <w:tcPr>
            <w:tcW w:w="0" w:type="dxa"/>
            <w:vAlign w:val="bottom"/>
          </w:tcPr>
          <w:p>
            <w:pPr>
              <w:spacing w:after="0"/>
              <w:rPr>
                <w:sz w:val="1"/>
                <w:szCs w:val="1"/>
                <w:color w:val="auto"/>
              </w:rPr>
            </w:pPr>
          </w:p>
        </w:tc>
      </w:tr>
      <w:tr>
        <w:trPr>
          <w:trHeight w:val="26"/>
        </w:trPr>
        <w:tc>
          <w:tcPr>
            <w:tcW w:w="3260" w:type="dxa"/>
            <w:vAlign w:val="bottom"/>
            <w:gridSpan w:val="2"/>
            <w:vMerge w:val="restart"/>
          </w:tcPr>
          <w:p>
            <w:pPr>
              <w:ind w:left="180"/>
              <w:spacing w:after="0"/>
              <w:rPr>
                <w:sz w:val="20"/>
                <w:szCs w:val="20"/>
                <w:color w:val="auto"/>
              </w:rPr>
            </w:pPr>
            <w:r>
              <w:rPr>
                <w:rFonts w:ascii="Arial" w:cs="Arial" w:eastAsia="Arial" w:hAnsi="Arial"/>
                <w:sz w:val="17"/>
                <w:szCs w:val="17"/>
                <w:color w:val="auto"/>
              </w:rPr>
              <w:t>By-product metal revenues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260" w:type="dxa"/>
            <w:vAlign w:val="bottom"/>
            <w:gridSpan w:val="2"/>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260" w:type="dxa"/>
            <w:vAlign w:val="bottom"/>
            <w:gridSpan w:val="2"/>
            <w:vMerge w:val="continue"/>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w:t>
            </w:r>
          </w:p>
        </w:tc>
        <w:tc>
          <w:tcPr>
            <w:tcW w:w="16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99</w:t>
            </w:r>
          </w:p>
        </w:tc>
        <w:tc>
          <w:tcPr>
            <w:tcW w:w="16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63</w:t>
            </w:r>
          </w:p>
        </w:tc>
        <w:tc>
          <w:tcPr>
            <w:tcW w:w="16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94</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326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rPr>
              <w:t>All-in sustaining costs per ounce of gold</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32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produced (co-product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929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1,102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898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984</w:t>
            </w:r>
          </w:p>
        </w:tc>
        <w:tc>
          <w:tcPr>
            <w:tcW w:w="0" w:type="dxa"/>
            <w:vAlign w:val="bottom"/>
          </w:tcPr>
          <w:p>
            <w:pPr>
              <w:spacing w:after="0"/>
              <w:rPr>
                <w:sz w:val="1"/>
                <w:szCs w:val="1"/>
                <w:color w:val="auto"/>
              </w:rPr>
            </w:pPr>
          </w:p>
        </w:tc>
      </w:tr>
      <w:tr>
        <w:trPr>
          <w:trHeight w:val="26"/>
        </w:trPr>
        <w:tc>
          <w:tcPr>
            <w:tcW w:w="82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820" w:type="dxa"/>
            <w:vAlign w:val="bottom"/>
            <w:tcBorders>
              <w:bottom w:val="single" w:sz="8" w:color="auto"/>
            </w:tcBorders>
          </w:tcPr>
          <w:p>
            <w:pPr>
              <w:spacing w:after="0"/>
              <w:rPr>
                <w:sz w:val="7"/>
                <w:szCs w:val="7"/>
                <w:color w:val="auto"/>
              </w:rPr>
            </w:pPr>
          </w:p>
        </w:tc>
        <w:tc>
          <w:tcPr>
            <w:tcW w:w="24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1680" w:hanging="533"/>
        <w:spacing w:after="0" w:line="256" w:lineRule="auto"/>
        <w:tabs>
          <w:tab w:leader="none" w:pos="1680" w:val="left"/>
        </w:tabs>
        <w:numPr>
          <w:ilvl w:val="0"/>
          <w:numId w:val="4"/>
        </w:numPr>
        <w:rPr>
          <w:rFonts w:ascii="Arial" w:cs="Arial" w:eastAsia="Arial" w:hAnsi="Arial"/>
          <w:sz w:val="13"/>
          <w:szCs w:val="13"/>
          <w:color w:val="auto"/>
        </w:rPr>
      </w:pPr>
      <w:r>
        <w:rPr>
          <w:rFonts w:ascii="Arial" w:cs="Arial" w:eastAsia="Arial" w:hAnsi="Arial"/>
          <w:sz w:val="13"/>
          <w:szCs w:val="13"/>
          <w:color w:val="auto"/>
        </w:rPr>
        <w:t>The La India mine achieved commercial production on February 1, 2014. 3,492 ounces of payable gold production were excluded from the calculation of total cash costs per ounce of gold produced in the six months ended June 30, 2014 as they were produced prior to the achievement of commercial production.</w:t>
      </w:r>
    </w:p>
    <w:p>
      <w:pPr>
        <w:spacing w:after="0" w:line="100" w:lineRule="exact"/>
        <w:rPr>
          <w:rFonts w:ascii="Arial" w:cs="Arial" w:eastAsia="Arial" w:hAnsi="Arial"/>
          <w:sz w:val="13"/>
          <w:szCs w:val="13"/>
          <w:color w:val="auto"/>
        </w:rPr>
      </w:pPr>
    </w:p>
    <w:p>
      <w:pPr>
        <w:jc w:val="both"/>
        <w:ind w:left="1680" w:hanging="533"/>
        <w:spacing w:after="0" w:line="243" w:lineRule="auto"/>
        <w:tabs>
          <w:tab w:leader="none" w:pos="1680" w:val="left"/>
        </w:tabs>
        <w:numPr>
          <w:ilvl w:val="0"/>
          <w:numId w:val="4"/>
        </w:numPr>
        <w:rPr>
          <w:rFonts w:ascii="Arial" w:cs="Arial" w:eastAsia="Arial" w:hAnsi="Arial"/>
          <w:sz w:val="13"/>
          <w:szCs w:val="13"/>
          <w:color w:val="auto"/>
        </w:rPr>
      </w:pPr>
      <w:r>
        <w:rPr>
          <w:rFonts w:ascii="Arial" w:cs="Arial" w:eastAsia="Arial" w:hAnsi="Arial"/>
          <w:sz w:val="13"/>
          <w:szCs w:val="13"/>
          <w:color w:val="auto"/>
        </w:rPr>
        <w:t>Under the Company's revenue recognition policy, revenue is recognized on concentrates when legal title and risk is transferred. As total cash costs per ounce of gold produced are calculated on a production basis, this inventory adjustment reflects the sales margin on the portion of concentrate production not yet recognized as revenue. Other adjustments include the addition of smelting, refining and marketing charges to production costs.</w:t>
      </w:r>
    </w:p>
    <w:p>
      <w:pPr>
        <w:spacing w:after="0" w:line="109" w:lineRule="exact"/>
        <w:rPr>
          <w:rFonts w:ascii="Arial" w:cs="Arial" w:eastAsia="Arial" w:hAnsi="Arial"/>
          <w:sz w:val="13"/>
          <w:szCs w:val="13"/>
          <w:color w:val="auto"/>
        </w:rPr>
      </w:pPr>
    </w:p>
    <w:p>
      <w:pPr>
        <w:jc w:val="both"/>
        <w:ind w:left="1680" w:hanging="533"/>
        <w:spacing w:after="0" w:line="260" w:lineRule="auto"/>
        <w:tabs>
          <w:tab w:leader="none" w:pos="1680" w:val="left"/>
        </w:tabs>
        <w:numPr>
          <w:ilvl w:val="0"/>
          <w:numId w:val="4"/>
        </w:numPr>
        <w:rPr>
          <w:rFonts w:ascii="Arial" w:cs="Arial" w:eastAsia="Arial" w:hAnsi="Arial"/>
          <w:sz w:val="12"/>
          <w:szCs w:val="12"/>
          <w:color w:val="auto"/>
        </w:rPr>
      </w:pPr>
      <w:r>
        <w:rPr>
          <w:rFonts w:ascii="Arial" w:cs="Arial" w:eastAsia="Arial" w:hAnsi="Arial"/>
          <w:sz w:val="12"/>
          <w:szCs w:val="12"/>
          <w:color w:val="auto"/>
        </w:rPr>
        <w:t>Total cash costs per ounce of gold produced is not a recognized measure under IFRS and this data may not be comparable to data presented by other gold producers. Total cash costs per ounce of gold produced is presented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The calculation of total cash costs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3" w:name="page34"/>
    <w:bookmarkEnd w:id="33"/>
    <w:p>
      <w:pPr>
        <w:jc w:val="center"/>
        <w:ind w:right="118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MANAGEMENT'S DISCUSSION AND ANALYSIS</w:t>
      </w:r>
    </w:p>
    <w:p>
      <w:pPr>
        <w:spacing w:after="0" w:line="22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2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for the three and six months ended June 30, 2015</w:t>
      </w:r>
    </w:p>
    <w:p>
      <w:pPr>
        <w:spacing w:after="0" w:line="218" w:lineRule="exact"/>
        <w:rPr>
          <w:sz w:val="20"/>
          <w:szCs w:val="20"/>
          <w:color w:val="auto"/>
        </w:rPr>
      </w:pPr>
    </w:p>
    <w:p>
      <w:pPr>
        <w:jc w:val="both"/>
        <w:ind w:left="480"/>
        <w:spacing w:after="0" w:line="257" w:lineRule="auto"/>
        <w:rPr>
          <w:sz w:val="20"/>
          <w:szCs w:val="20"/>
          <w:color w:val="auto"/>
        </w:rPr>
      </w:pPr>
      <w:r>
        <w:rPr>
          <w:rFonts w:ascii="Arial" w:cs="Arial" w:eastAsia="Arial" w:hAnsi="Arial"/>
          <w:sz w:val="12"/>
          <w:szCs w:val="12"/>
          <w:color w:val="auto"/>
        </w:rPr>
        <w:t>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82" w:lineRule="exact"/>
        <w:rPr>
          <w:sz w:val="20"/>
          <w:szCs w:val="20"/>
          <w:color w:val="auto"/>
        </w:rPr>
      </w:pPr>
    </w:p>
    <w:p>
      <w:pPr>
        <w:ind w:left="4420"/>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-760730</wp:posOffset>
            </wp:positionH>
            <wp:positionV relativeFrom="paragraph">
              <wp:posOffset>145415</wp:posOffset>
            </wp:positionV>
            <wp:extent cx="7254875" cy="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20"/>
          </w:cols>
          <w:pgMar w:left="1440" w:top="337" w:right="239" w:bottom="1440" w:gutter="0" w:footer="0" w:header="0"/>
        </w:sectPr>
      </w:pPr>
    </w:p>
    <w:bookmarkStart w:id="34" w:name="page35"/>
    <w:bookmarkEnd w:id="34"/>
    <w:p>
      <w:pPr>
        <w:jc w:val="center"/>
        <w:ind w:right="4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Three Months Ended</w:t>
            </w:r>
          </w:p>
        </w:tc>
        <w:tc>
          <w:tcPr>
            <w:tcW w:w="160" w:type="dxa"/>
            <w:vAlign w:val="bottom"/>
          </w:tcPr>
          <w:p>
            <w:pPr>
              <w:spacing w:after="0"/>
              <w:rPr>
                <w:sz w:val="13"/>
                <w:szCs w:val="13"/>
                <w:color w:val="auto"/>
              </w:rPr>
            </w:pPr>
          </w:p>
        </w:tc>
        <w:tc>
          <w:tcPr>
            <w:tcW w:w="2960" w:type="dxa"/>
            <w:vAlign w:val="bottom"/>
            <w:gridSpan w:val="6"/>
          </w:tcPr>
          <w:p>
            <w:pPr>
              <w:ind w:left="24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2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4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4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77"/>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96"/>
              <w:spacing w:after="0" w:line="138" w:lineRule="exact"/>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412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b w:val="1"/>
                <w:bCs w:val="1"/>
                <w:color w:val="auto"/>
              </w:rPr>
              <w:t>Operating margin</w:t>
            </w:r>
            <w:r>
              <w:rPr>
                <w:rFonts w:ascii="Arial" w:cs="Arial" w:eastAsia="Arial" w:hAnsi="Arial"/>
                <w:sz w:val="28"/>
                <w:szCs w:val="28"/>
                <w:b w:val="1"/>
                <w:bCs w:val="1"/>
                <w:color w:val="auto"/>
                <w:vertAlign w:val="superscript"/>
              </w:rPr>
              <w:t>(i)</w:t>
            </w:r>
            <w:r>
              <w:rPr>
                <w:rFonts w:ascii="Arial" w:cs="Arial" w:eastAsia="Arial" w:hAnsi="Arial"/>
                <w:sz w:val="17"/>
                <w:szCs w:val="17"/>
                <w:b w:val="1"/>
                <w:bCs w:val="1"/>
                <w:color w:val="auto"/>
              </w:rPr>
              <w:t xml:space="preserve"> by mine:</w:t>
            </w:r>
          </w:p>
        </w:tc>
        <w:tc>
          <w:tcPr>
            <w:tcW w:w="10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Northern Business</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LaRonde mine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32,799</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26,402</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62,813</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71,826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Lapa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11,351</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9,050</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26,038</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24,391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Goldex mine</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15,525</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13,283</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34,778</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22,809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Meadowbank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49,600</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88,727</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96,177</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212,687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4120" w:type="dxa"/>
            <w:vAlign w:val="bottom"/>
            <w:shd w:val="clear" w:color="auto" w:fill="CCEEFF"/>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10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44,737</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3,669</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79,456</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3,668</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Kittila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16,145</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14,184</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43,560</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33,186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Southern Business</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Pinos Altos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44,538</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33,417</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79,190</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72,482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12,968</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7,428</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21,377</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15,143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120" w:type="dxa"/>
            <w:vAlign w:val="bottom"/>
          </w:tcPr>
          <w:p>
            <w:pPr>
              <w:ind w:left="180"/>
              <w:spacing w:after="0" w:line="276" w:lineRule="exact"/>
              <w:rPr>
                <w:sz w:val="20"/>
                <w:szCs w:val="20"/>
                <w:color w:val="auto"/>
              </w:rPr>
            </w:pPr>
            <w:r>
              <w:rPr>
                <w:rFonts w:ascii="Arial" w:cs="Arial" w:eastAsia="Arial" w:hAnsi="Arial"/>
                <w:sz w:val="17"/>
                <w:szCs w:val="17"/>
                <w:color w:val="auto"/>
              </w:rPr>
              <w:t>La India mine</w:t>
            </w:r>
            <w:r>
              <w:rPr>
                <w:rFonts w:ascii="Arial" w:cs="Arial" w:eastAsia="Arial" w:hAnsi="Arial"/>
                <w:sz w:val="28"/>
                <w:szCs w:val="28"/>
                <w:color w:val="auto"/>
                <w:vertAlign w:val="superscript"/>
              </w:rPr>
              <w:t>(iii)</w:t>
            </w:r>
          </w:p>
        </w:tc>
        <w:tc>
          <w:tcPr>
            <w:tcW w:w="10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18,834</w:t>
            </w:r>
          </w:p>
        </w:tc>
        <w:tc>
          <w:tcPr>
            <w:tcW w:w="200" w:type="dxa"/>
            <w:vAlign w:val="bottom"/>
          </w:tcPr>
          <w:p>
            <w:pPr>
              <w:spacing w:after="0"/>
              <w:rPr>
                <w:sz w:val="23"/>
                <w:szCs w:val="23"/>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12,978</w:t>
            </w:r>
          </w:p>
        </w:tc>
        <w:tc>
          <w:tcPr>
            <w:tcW w:w="160" w:type="dxa"/>
            <w:vAlign w:val="bottom"/>
          </w:tcPr>
          <w:p>
            <w:pPr>
              <w:spacing w:after="0"/>
              <w:rPr>
                <w:sz w:val="23"/>
                <w:szCs w:val="23"/>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39,424</w:t>
            </w:r>
          </w:p>
        </w:tc>
        <w:tc>
          <w:tcPr>
            <w:tcW w:w="200" w:type="dxa"/>
            <w:vAlign w:val="bottom"/>
          </w:tcPr>
          <w:p>
            <w:pPr>
              <w:spacing w:after="0"/>
              <w:rPr>
                <w:sz w:val="23"/>
                <w:szCs w:val="23"/>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26,647</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2"/>
        </w:trPr>
        <w:tc>
          <w:tcPr>
            <w:tcW w:w="1140" w:type="dxa"/>
            <w:vAlign w:val="bottom"/>
          </w:tcPr>
          <w:p>
            <w:pPr>
              <w:spacing w:after="0"/>
              <w:rPr>
                <w:sz w:val="21"/>
                <w:szCs w:val="21"/>
                <w:color w:val="auto"/>
              </w:rPr>
            </w:pPr>
          </w:p>
        </w:tc>
        <w:tc>
          <w:tcPr>
            <w:tcW w:w="412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color w:val="auto"/>
              </w:rPr>
              <w:t>Total operating margin</w:t>
            </w:r>
            <w:r>
              <w:rPr>
                <w:rFonts w:ascii="Arial" w:cs="Arial" w:eastAsia="Arial" w:hAnsi="Arial"/>
                <w:sz w:val="28"/>
                <w:szCs w:val="28"/>
                <w:color w:val="auto"/>
                <w:vertAlign w:val="superscript"/>
              </w:rPr>
              <w:t>(i)</w:t>
            </w:r>
          </w:p>
        </w:tc>
        <w:tc>
          <w:tcPr>
            <w:tcW w:w="10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246,497</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209,138</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482,813</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482,839</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Amortization of property, plant and mine development</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157,615</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93,656</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293,512</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177,137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Exploration, corporate and other</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67,973</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81,665</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111,679</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125,167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20" w:type="dxa"/>
            <w:vAlign w:val="bottom"/>
            <w:vMerge w:val="restart"/>
          </w:tcPr>
          <w:p>
            <w:pPr>
              <w:ind w:left="20"/>
              <w:spacing w:after="0"/>
              <w:rPr>
                <w:sz w:val="20"/>
                <w:szCs w:val="20"/>
                <w:color w:val="auto"/>
              </w:rPr>
            </w:pPr>
            <w:r>
              <w:rPr>
                <w:rFonts w:ascii="Arial" w:cs="Arial" w:eastAsia="Arial" w:hAnsi="Arial"/>
                <w:sz w:val="17"/>
                <w:szCs w:val="17"/>
                <w:color w:val="auto"/>
              </w:rPr>
              <w:t>Income before income and mining taxes</w:t>
            </w:r>
          </w:p>
        </w:tc>
        <w:tc>
          <w:tcPr>
            <w:tcW w:w="108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120" w:type="dxa"/>
            <w:vAlign w:val="bottom"/>
            <w:vMerge w:val="continue"/>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20,909</w:t>
            </w:r>
          </w:p>
        </w:tc>
        <w:tc>
          <w:tcPr>
            <w:tcW w:w="16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33,817</w:t>
            </w:r>
          </w:p>
        </w:tc>
        <w:tc>
          <w:tcPr>
            <w:tcW w:w="1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77,622</w:t>
            </w:r>
          </w:p>
        </w:tc>
        <w:tc>
          <w:tcPr>
            <w:tcW w:w="16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180,535</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and mining taxes expense</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10,826</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11,659</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38,796</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61,232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20" w:type="dxa"/>
            <w:vAlign w:val="bottom"/>
            <w:vMerge w:val="restart"/>
          </w:tcPr>
          <w:p>
            <w:pPr>
              <w:ind w:left="20"/>
              <w:spacing w:after="0"/>
              <w:rPr>
                <w:sz w:val="20"/>
                <w:szCs w:val="20"/>
                <w:color w:val="auto"/>
              </w:rPr>
            </w:pPr>
            <w:r>
              <w:rPr>
                <w:rFonts w:ascii="Arial" w:cs="Arial" w:eastAsia="Arial" w:hAnsi="Arial"/>
                <w:sz w:val="17"/>
                <w:szCs w:val="17"/>
                <w:color w:val="auto"/>
              </w:rPr>
              <w:t>Net income for the period</w:t>
            </w:r>
          </w:p>
        </w:tc>
        <w:tc>
          <w:tcPr>
            <w:tcW w:w="1240" w:type="dxa"/>
            <w:vAlign w:val="bottom"/>
            <w:gridSpan w:val="2"/>
          </w:tcPr>
          <w:p>
            <w:pPr>
              <w:spacing w:after="0"/>
              <w:rPr>
                <w:sz w:val="2"/>
                <w:szCs w:val="2"/>
                <w:color w:val="auto"/>
              </w:rPr>
            </w:pPr>
          </w:p>
        </w:tc>
        <w:tc>
          <w:tcPr>
            <w:tcW w:w="8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4120" w:type="dxa"/>
            <w:vAlign w:val="bottom"/>
            <w:vMerge w:val="continue"/>
          </w:tcPr>
          <w:p>
            <w:pPr>
              <w:spacing w:after="0"/>
              <w:rPr>
                <w:sz w:val="18"/>
                <w:szCs w:val="18"/>
                <w:color w:val="auto"/>
              </w:rPr>
            </w:pPr>
          </w:p>
        </w:tc>
        <w:tc>
          <w:tcPr>
            <w:tcW w:w="108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10,083</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22,158</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38,826</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119,303</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1140" w:type="dxa"/>
            <w:vAlign w:val="bottom"/>
          </w:tcPr>
          <w:p>
            <w:pPr>
              <w:spacing w:after="0"/>
              <w:rPr>
                <w:sz w:val="16"/>
                <w:szCs w:val="16"/>
                <w:color w:val="auto"/>
              </w:rPr>
            </w:pPr>
          </w:p>
        </w:tc>
        <w:tc>
          <w:tcPr>
            <w:tcW w:w="4120" w:type="dxa"/>
            <w:vAlign w:val="bottom"/>
            <w:shd w:val="clear" w:color="auto" w:fill="CCEEFF"/>
          </w:tcPr>
          <w:p>
            <w:pPr>
              <w:ind w:left="20"/>
              <w:spacing w:after="0" w:line="189" w:lineRule="exact"/>
              <w:rPr>
                <w:sz w:val="20"/>
                <w:szCs w:val="20"/>
                <w:color w:val="auto"/>
              </w:rPr>
            </w:pPr>
            <w:r>
              <w:rPr>
                <w:rFonts w:ascii="Arial" w:cs="Arial" w:eastAsia="Arial" w:hAnsi="Arial"/>
                <w:sz w:val="17"/>
                <w:szCs w:val="17"/>
                <w:color w:val="auto"/>
              </w:rPr>
              <w:t>Net income per share — basic (US$)</w:t>
            </w:r>
          </w:p>
        </w:tc>
        <w:tc>
          <w:tcPr>
            <w:tcW w:w="1240" w:type="dxa"/>
            <w:vAlign w:val="bottom"/>
            <w:gridSpan w:val="2"/>
            <w:shd w:val="clear" w:color="auto" w:fill="CCEEFF"/>
          </w:tcPr>
          <w:p>
            <w:pPr>
              <w:jc w:val="right"/>
              <w:spacing w:after="0" w:line="189" w:lineRule="exact"/>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line="189" w:lineRule="exact"/>
              <w:rPr>
                <w:sz w:val="20"/>
                <w:szCs w:val="20"/>
                <w:color w:val="auto"/>
              </w:rPr>
            </w:pPr>
            <w:r>
              <w:rPr>
                <w:rFonts w:ascii="Arial" w:cs="Arial" w:eastAsia="Arial" w:hAnsi="Arial"/>
                <w:sz w:val="17"/>
                <w:szCs w:val="17"/>
                <w:color w:val="auto"/>
              </w:rPr>
              <w:t>0.05</w:t>
            </w:r>
          </w:p>
        </w:tc>
        <w:tc>
          <w:tcPr>
            <w:tcW w:w="200" w:type="dxa"/>
            <w:vAlign w:val="bottom"/>
            <w:shd w:val="clear" w:color="auto" w:fill="CCEEFF"/>
          </w:tcPr>
          <w:p>
            <w:pPr>
              <w:jc w:val="right"/>
              <w:ind w:right="15"/>
              <w:spacing w:after="0" w:line="189" w:lineRule="exact"/>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0.12</w:t>
            </w:r>
          </w:p>
        </w:tc>
        <w:tc>
          <w:tcPr>
            <w:tcW w:w="16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0.18</w:t>
            </w:r>
          </w:p>
        </w:tc>
        <w:tc>
          <w:tcPr>
            <w:tcW w:w="200" w:type="dxa"/>
            <w:vAlign w:val="bottom"/>
            <w:shd w:val="clear" w:color="auto" w:fill="CCEEFF"/>
          </w:tcPr>
          <w:p>
            <w:pPr>
              <w:jc w:val="right"/>
              <w:ind w:right="15"/>
              <w:spacing w:after="0" w:line="189" w:lineRule="exact"/>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0.66</w:t>
            </w: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Net income per share — diluted (US$)</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0.05</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0.12</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0.18</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0.66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1140" w:type="dxa"/>
            <w:vAlign w:val="bottom"/>
          </w:tcPr>
          <w:p>
            <w:pPr>
              <w:spacing w:after="0"/>
              <w:rPr>
                <w:sz w:val="24"/>
                <w:szCs w:val="24"/>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Cash flows:</w:t>
            </w:r>
          </w:p>
        </w:tc>
        <w:tc>
          <w:tcPr>
            <w:tcW w:w="10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Cash provided by operating activities</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188,349</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182,728</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331,804</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433,124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used in investing activities</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6"/>
              </w:rPr>
              <w:t>(104,476)</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0"/>
              </w:rPr>
              <w:t>(488,543)</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8"/>
              </w:rPr>
              <w:t>(158,368)</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3"/>
              </w:rPr>
              <w:t>(596,831)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Cash (used in) provided by financing activities</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00"/>
              <w:spacing w:after="0"/>
              <w:rPr>
                <w:sz w:val="20"/>
                <w:szCs w:val="20"/>
                <w:color w:val="auto"/>
              </w:rPr>
            </w:pPr>
            <w:r>
              <w:rPr>
                <w:rFonts w:ascii="Arial" w:cs="Arial" w:eastAsia="Arial" w:hAnsi="Arial"/>
                <w:sz w:val="17"/>
                <w:szCs w:val="17"/>
                <w:color w:val="auto"/>
              </w:rPr>
              <w:t>(64,514)</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381,951</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80"/>
              <w:spacing w:after="0"/>
              <w:rPr>
                <w:sz w:val="20"/>
                <w:szCs w:val="20"/>
                <w:color w:val="auto"/>
              </w:rPr>
            </w:pPr>
            <w:r>
              <w:rPr>
                <w:rFonts w:ascii="Arial" w:cs="Arial" w:eastAsia="Arial" w:hAnsi="Arial"/>
                <w:sz w:val="17"/>
                <w:szCs w:val="17"/>
                <w:color w:val="auto"/>
                <w:w w:val="98"/>
              </w:rPr>
              <w:t>(187,696)</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283,864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1140" w:type="dxa"/>
            <w:vAlign w:val="bottom"/>
          </w:tcPr>
          <w:p>
            <w:pPr>
              <w:spacing w:after="0"/>
              <w:rPr>
                <w:sz w:val="24"/>
                <w:szCs w:val="24"/>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Realized prices (US$):</w:t>
            </w:r>
          </w:p>
        </w:tc>
        <w:tc>
          <w:tcPr>
            <w:tcW w:w="10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Gold (per ounce)</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1,196</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1,291</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1,199</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1,300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(per ounce)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16.41</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19.45</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16.68</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20.06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Zinc (per tonne)</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2,231</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2,142</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2,130</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2,096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Copper (per tonne)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6,274</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6,893</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5,656</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6,594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7"/>
        </w:trPr>
        <w:tc>
          <w:tcPr>
            <w:tcW w:w="114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1080" w:type="dxa"/>
            <w:vAlign w:val="bottom"/>
          </w:tcPr>
          <w:p>
            <w:pPr>
              <w:jc w:val="right"/>
              <w:ind w:right="455"/>
              <w:spacing w:after="0"/>
              <w:rPr>
                <w:sz w:val="20"/>
                <w:szCs w:val="20"/>
                <w:color w:val="auto"/>
              </w:rPr>
            </w:pPr>
            <w:r>
              <w:rPr>
                <w:rFonts w:ascii="Arial" w:cs="Arial" w:eastAsia="Arial" w:hAnsi="Arial"/>
                <w:sz w:val="17"/>
                <w:szCs w:val="17"/>
                <w:color w:val="auto"/>
              </w:rPr>
              <w:t>31</w:t>
            </w: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412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5" w:name="page36"/>
    <w:bookmarkEnd w:id="3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96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1"/>
              </w:rPr>
              <w:t>Three Months Ended</w:t>
            </w:r>
          </w:p>
        </w:tc>
        <w:tc>
          <w:tcPr>
            <w:tcW w:w="3120" w:type="dxa"/>
            <w:vAlign w:val="bottom"/>
            <w:gridSpan w:val="6"/>
          </w:tcPr>
          <w:p>
            <w:pPr>
              <w:jc w:val="center"/>
              <w:ind w:right="128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200" w:type="dxa"/>
            <w:vAlign w:val="bottom"/>
            <w:tcBorders>
              <w:bottom w:val="single" w:sz="8" w:color="auto"/>
            </w:tcBorders>
            <w:gridSpan w:val="3"/>
          </w:tcPr>
          <w:p>
            <w:pPr>
              <w:jc w:val="center"/>
              <w:ind w:left="547"/>
              <w:spacing w:after="0"/>
              <w:rPr>
                <w:sz w:val="20"/>
                <w:szCs w:val="20"/>
                <w:color w:val="auto"/>
              </w:rPr>
            </w:pPr>
            <w:r>
              <w:rPr>
                <w:rFonts w:ascii="Arial" w:cs="Arial" w:eastAsia="Arial" w:hAnsi="Arial"/>
                <w:sz w:val="13"/>
                <w:szCs w:val="13"/>
                <w:b w:val="1"/>
                <w:bCs w:val="1"/>
                <w:color w:val="auto"/>
                <w:w w:val="88"/>
              </w:rPr>
              <w:t>June 30,</w:t>
            </w:r>
          </w:p>
        </w:tc>
        <w:tc>
          <w:tcPr>
            <w:tcW w:w="6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200" w:type="dxa"/>
            <w:vAlign w:val="bottom"/>
            <w:tcBorders>
              <w:bottom w:val="single" w:sz="8" w:color="auto"/>
            </w:tcBorders>
            <w:gridSpan w:val="3"/>
          </w:tcPr>
          <w:p>
            <w:pPr>
              <w:jc w:val="center"/>
              <w:ind w:left="537"/>
              <w:spacing w:after="0"/>
              <w:rPr>
                <w:sz w:val="20"/>
                <w:szCs w:val="20"/>
                <w:color w:val="auto"/>
              </w:rPr>
            </w:pPr>
            <w:r>
              <w:rPr>
                <w:rFonts w:ascii="Arial" w:cs="Arial" w:eastAsia="Arial" w:hAnsi="Arial"/>
                <w:sz w:val="13"/>
                <w:szCs w:val="13"/>
                <w:b w:val="1"/>
                <w:bCs w:val="1"/>
                <w:color w:val="auto"/>
                <w:w w:val="88"/>
              </w:rPr>
              <w:t>June 30,</w:t>
            </w:r>
          </w:p>
        </w:tc>
        <w:tc>
          <w:tcPr>
            <w:tcW w:w="6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376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820" w:type="dxa"/>
            <w:vAlign w:val="bottom"/>
            <w:tcBorders>
              <w:bottom w:val="single" w:sz="8" w:color="auto"/>
            </w:tcBorders>
          </w:tcPr>
          <w:p>
            <w:pPr>
              <w:jc w:val="right"/>
              <w:ind w:right="207"/>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1"/>
                <w:szCs w:val="11"/>
                <w:color w:val="auto"/>
              </w:rPr>
            </w:pPr>
          </w:p>
        </w:tc>
        <w:tc>
          <w:tcPr>
            <w:tcW w:w="820" w:type="dxa"/>
            <w:vAlign w:val="bottom"/>
            <w:tcBorders>
              <w:bottom w:val="single" w:sz="8" w:color="auto"/>
            </w:tcBorders>
          </w:tcPr>
          <w:p>
            <w:pPr>
              <w:jc w:val="right"/>
              <w:ind w:right="177"/>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96"/>
              <w:spacing w:after="0" w:line="138" w:lineRule="exact"/>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376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b w:val="1"/>
                <w:bCs w:val="1"/>
                <w:color w:val="auto"/>
              </w:rPr>
              <w:t>Payable production</w:t>
            </w:r>
            <w:r>
              <w:rPr>
                <w:rFonts w:ascii="Arial" w:cs="Arial" w:eastAsia="Arial" w:hAnsi="Arial"/>
                <w:sz w:val="28"/>
                <w:szCs w:val="28"/>
                <w:b w:val="1"/>
                <w:bCs w:val="1"/>
                <w:color w:val="auto"/>
                <w:vertAlign w:val="superscript"/>
              </w:rPr>
              <w:t>(iv):</w:t>
            </w:r>
          </w:p>
        </w:tc>
        <w:tc>
          <w:tcPr>
            <w:tcW w:w="144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20"/>
              <w:spacing w:after="0"/>
              <w:rPr>
                <w:sz w:val="20"/>
                <w:szCs w:val="20"/>
                <w:color w:val="auto"/>
              </w:rPr>
            </w:pPr>
            <w:r>
              <w:rPr>
                <w:rFonts w:ascii="Arial" w:cs="Arial" w:eastAsia="Arial" w:hAnsi="Arial"/>
                <w:sz w:val="17"/>
                <w:szCs w:val="17"/>
                <w:color w:val="auto"/>
              </w:rPr>
              <w:t>Gold (ounces):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Northern Business</w:t>
            </w:r>
          </w:p>
        </w:tc>
        <w:tc>
          <w:tcPr>
            <w:tcW w:w="14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LaRonde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64,007</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48,494</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122,900</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107,846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Lapa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19,450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18,821</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45,370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42,230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Goldex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26,462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23,929</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55,712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43,359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91,276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118,161</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179,799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274,605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68,441</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11,878</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136,334</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11,878</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41,986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31,830</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86,640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70,382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50,647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43,978</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100,753</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89,195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15,606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11,159</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28,054</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21,476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La India mine</w:t>
            </w:r>
            <w:r>
              <w:rPr>
                <w:rFonts w:ascii="Arial" w:cs="Arial" w:eastAsia="Arial" w:hAnsi="Arial"/>
                <w:sz w:val="28"/>
                <w:szCs w:val="28"/>
                <w:color w:val="auto"/>
                <w:vertAlign w:val="superscript"/>
              </w:rPr>
              <w:t>(iii)</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25,803</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17,809</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52,326</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31,509</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760" w:type="dxa"/>
            <w:vAlign w:val="bottom"/>
            <w:vMerge w:val="restart"/>
          </w:tcPr>
          <w:p>
            <w:pPr>
              <w:ind w:left="20"/>
              <w:spacing w:after="0"/>
              <w:rPr>
                <w:sz w:val="20"/>
                <w:szCs w:val="20"/>
                <w:color w:val="auto"/>
              </w:rPr>
            </w:pPr>
            <w:r>
              <w:rPr>
                <w:rFonts w:ascii="Arial" w:cs="Arial" w:eastAsia="Arial" w:hAnsi="Arial"/>
                <w:sz w:val="17"/>
                <w:szCs w:val="17"/>
                <w:color w:val="auto"/>
              </w:rPr>
              <w:t>Total gold (ounces)</w:t>
            </w:r>
          </w:p>
        </w:tc>
        <w:tc>
          <w:tcPr>
            <w:tcW w:w="2420" w:type="dxa"/>
            <w:vAlign w:val="bottom"/>
            <w:gridSpan w:val="3"/>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3760" w:type="dxa"/>
            <w:vAlign w:val="bottom"/>
            <w:vMerge w:val="continue"/>
          </w:tcPr>
          <w:p>
            <w:pPr>
              <w:spacing w:after="0"/>
              <w:rPr>
                <w:sz w:val="18"/>
                <w:szCs w:val="18"/>
                <w:color w:val="auto"/>
              </w:rPr>
            </w:pPr>
          </w:p>
        </w:tc>
        <w:tc>
          <w:tcPr>
            <w:tcW w:w="144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403,678</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4"/>
              </w:rPr>
              <w:t>326,059</w:t>
            </w:r>
          </w:p>
        </w:tc>
        <w:tc>
          <w:tcPr>
            <w:tcW w:w="16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807,888</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7"/>
              </w:rPr>
              <w:t>692,480</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(thousands of ounces):</w:t>
            </w:r>
          </w:p>
        </w:tc>
        <w:tc>
          <w:tcPr>
            <w:tcW w:w="14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Northern Business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LaRonde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201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345</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398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Lapa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1</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57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153</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69</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10</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141</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10</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576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422</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1,139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882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37</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18</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69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34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La India mine</w:t>
            </w:r>
            <w:r>
              <w:rPr>
                <w:rFonts w:ascii="Arial" w:cs="Arial" w:eastAsia="Arial" w:hAnsi="Arial"/>
                <w:sz w:val="28"/>
                <w:szCs w:val="28"/>
                <w:color w:val="auto"/>
                <w:vertAlign w:val="superscript"/>
              </w:rPr>
              <w:t>(iii)</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72</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40</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141</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760" w:type="dxa"/>
            <w:vAlign w:val="bottom"/>
            <w:vMerge w:val="restart"/>
          </w:tcPr>
          <w:p>
            <w:pPr>
              <w:ind w:left="20"/>
              <w:spacing w:after="0"/>
              <w:rPr>
                <w:sz w:val="20"/>
                <w:szCs w:val="20"/>
                <w:color w:val="auto"/>
              </w:rPr>
            </w:pPr>
            <w:r>
              <w:rPr>
                <w:rFonts w:ascii="Arial" w:cs="Arial" w:eastAsia="Arial" w:hAnsi="Arial"/>
                <w:sz w:val="17"/>
                <w:szCs w:val="17"/>
                <w:color w:val="auto"/>
              </w:rPr>
              <w:t>Total Silver (thousands of ounces)</w:t>
            </w:r>
          </w:p>
        </w:tc>
        <w:tc>
          <w:tcPr>
            <w:tcW w:w="2420" w:type="dxa"/>
            <w:vAlign w:val="bottom"/>
            <w:gridSpan w:val="3"/>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3760" w:type="dxa"/>
            <w:vAlign w:val="bottom"/>
            <w:vMerge w:val="continue"/>
          </w:tcPr>
          <w:p>
            <w:pPr>
              <w:spacing w:after="0"/>
              <w:rPr>
                <w:sz w:val="18"/>
                <w:szCs w:val="18"/>
                <w:color w:val="auto"/>
              </w:rPr>
            </w:pPr>
          </w:p>
        </w:tc>
        <w:tc>
          <w:tcPr>
            <w:tcW w:w="144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1,015</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861</w:t>
            </w:r>
          </w:p>
        </w:tc>
        <w:tc>
          <w:tcPr>
            <w:tcW w:w="16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2,047</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1,741</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Zinc (tonnes)</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827</w:t>
            </w:r>
          </w:p>
        </w:tc>
        <w:tc>
          <w:tcPr>
            <w:tcW w:w="2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3,793</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1,763</w:t>
            </w:r>
          </w:p>
        </w:tc>
        <w:tc>
          <w:tcPr>
            <w:tcW w:w="2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5,853</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760" w:type="dxa"/>
            <w:vAlign w:val="bottom"/>
          </w:tcPr>
          <w:p>
            <w:pPr>
              <w:ind w:left="20"/>
              <w:spacing w:after="0"/>
              <w:rPr>
                <w:sz w:val="20"/>
                <w:szCs w:val="20"/>
                <w:color w:val="auto"/>
              </w:rPr>
            </w:pPr>
            <w:r>
              <w:rPr>
                <w:rFonts w:ascii="Arial" w:cs="Arial" w:eastAsia="Arial" w:hAnsi="Arial"/>
                <w:sz w:val="17"/>
                <w:szCs w:val="17"/>
                <w:color w:val="auto"/>
              </w:rPr>
              <w:t>Copper (tonnes)</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1,133</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1,058</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2,300</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2,612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1"/>
        </w:trPr>
        <w:tc>
          <w:tcPr>
            <w:tcW w:w="114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1440" w:type="dxa"/>
            <w:vAlign w:val="bottom"/>
          </w:tcPr>
          <w:p>
            <w:pPr>
              <w:jc w:val="right"/>
              <w:ind w:right="455"/>
              <w:spacing w:after="0"/>
              <w:rPr>
                <w:sz w:val="20"/>
                <w:szCs w:val="20"/>
                <w:color w:val="auto"/>
              </w:rPr>
            </w:pPr>
            <w:r>
              <w:rPr>
                <w:rFonts w:ascii="Arial" w:cs="Arial" w:eastAsia="Arial" w:hAnsi="Arial"/>
                <w:sz w:val="17"/>
                <w:szCs w:val="17"/>
                <w:color w:val="auto"/>
              </w:rPr>
              <w:t>32</w:t>
            </w: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3760" w:type="dxa"/>
            <w:vAlign w:val="bottom"/>
            <w:tcBorders>
              <w:bottom w:val="single" w:sz="8" w:color="808080"/>
            </w:tcBorders>
          </w:tcPr>
          <w:p>
            <w:pPr>
              <w:spacing w:after="0"/>
              <w:rPr>
                <w:sz w:val="19"/>
                <w:szCs w:val="19"/>
                <w:color w:val="auto"/>
              </w:rPr>
            </w:pPr>
          </w:p>
        </w:tc>
        <w:tc>
          <w:tcPr>
            <w:tcW w:w="144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6" w:name="page37"/>
    <w:bookmarkEnd w:id="3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52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8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Three Months Ended</w:t>
            </w:r>
          </w:p>
        </w:tc>
        <w:tc>
          <w:tcPr>
            <w:tcW w:w="200" w:type="dxa"/>
            <w:vAlign w:val="bottom"/>
          </w:tcPr>
          <w:p>
            <w:pPr>
              <w:spacing w:after="0"/>
              <w:rPr>
                <w:sz w:val="13"/>
                <w:szCs w:val="13"/>
                <w:color w:val="auto"/>
              </w:rPr>
            </w:pPr>
          </w:p>
        </w:tc>
        <w:tc>
          <w:tcPr>
            <w:tcW w:w="2920" w:type="dxa"/>
            <w:vAlign w:val="bottom"/>
            <w:gridSpan w:val="6"/>
          </w:tcPr>
          <w:p>
            <w:pPr>
              <w:ind w:left="20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520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0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520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175"/>
              <w:spacing w:after="0" w:line="138" w:lineRule="exact"/>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77"/>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95"/>
              <w:spacing w:after="0" w:line="138" w:lineRule="exact"/>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Payable metal sold:</w:t>
            </w: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20"/>
              <w:spacing w:after="0"/>
              <w:rPr>
                <w:sz w:val="20"/>
                <w:szCs w:val="20"/>
                <w:color w:val="auto"/>
              </w:rPr>
            </w:pPr>
            <w:r>
              <w:rPr>
                <w:rFonts w:ascii="Arial" w:cs="Arial" w:eastAsia="Arial" w:hAnsi="Arial"/>
                <w:sz w:val="17"/>
                <w:szCs w:val="17"/>
                <w:color w:val="auto"/>
              </w:rPr>
              <w:t>Gold (ounces):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Northern Business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LaRonde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59,376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48,115</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120,319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106,215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Lapa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20,771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18,162</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44,268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41,613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Goldex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27,306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22,255</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55,213</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41,862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96,870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118,176</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181,649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265,678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(ii)(v)</w:t>
            </w:r>
          </w:p>
        </w:tc>
        <w:tc>
          <w:tcPr>
            <w:tcW w:w="180" w:type="dxa"/>
            <w:vAlign w:val="bottom"/>
          </w:tcPr>
          <w:p>
            <w:pPr>
              <w:spacing w:after="0"/>
              <w:rPr>
                <w:sz w:val="21"/>
                <w:szCs w:val="2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67,522</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16,377</w:t>
            </w:r>
          </w:p>
        </w:tc>
        <w:tc>
          <w:tcPr>
            <w:tcW w:w="200" w:type="dxa"/>
            <w:vAlign w:val="bottom"/>
          </w:tcPr>
          <w:p>
            <w:pPr>
              <w:spacing w:after="0"/>
              <w:rPr>
                <w:sz w:val="21"/>
                <w:szCs w:val="21"/>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126,783</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16,377</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39,385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31,519</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88,366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68,948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54,402</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43,058</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95,835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89,868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16,537</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10,737</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27,936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20,965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La India mine</w:t>
            </w:r>
            <w:r>
              <w:rPr>
                <w:rFonts w:ascii="Arial" w:cs="Arial" w:eastAsia="Arial" w:hAnsi="Arial"/>
                <w:sz w:val="28"/>
                <w:szCs w:val="28"/>
                <w:color w:val="auto"/>
                <w:vertAlign w:val="superscript"/>
              </w:rPr>
              <w:t>(iii)</w:t>
            </w:r>
          </w:p>
        </w:tc>
        <w:tc>
          <w:tcPr>
            <w:tcW w:w="180" w:type="dxa"/>
            <w:vAlign w:val="bottom"/>
            <w:shd w:val="clear" w:color="auto" w:fill="CCEEFF"/>
          </w:tcPr>
          <w:p>
            <w:pPr>
              <w:spacing w:after="0"/>
              <w:rPr>
                <w:sz w:val="21"/>
                <w:szCs w:val="21"/>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23,803</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15,025</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50,701</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29,657</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200" w:type="dxa"/>
            <w:vAlign w:val="bottom"/>
            <w:vMerge w:val="restart"/>
          </w:tcPr>
          <w:p>
            <w:pPr>
              <w:ind w:left="20"/>
              <w:spacing w:after="0"/>
              <w:rPr>
                <w:sz w:val="20"/>
                <w:szCs w:val="20"/>
                <w:color w:val="auto"/>
              </w:rPr>
            </w:pPr>
            <w:r>
              <w:rPr>
                <w:rFonts w:ascii="Arial" w:cs="Arial" w:eastAsia="Arial" w:hAnsi="Arial"/>
                <w:sz w:val="17"/>
                <w:szCs w:val="17"/>
                <w:color w:val="auto"/>
              </w:rPr>
              <w:t>Total gold (ounces)</w:t>
            </w: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5200" w:type="dxa"/>
            <w:vAlign w:val="bottom"/>
            <w:vMerge w:val="continue"/>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405,972</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4"/>
              </w:rPr>
              <w:t>323,424</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7"/>
              </w:rPr>
              <w:t>791,070</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7"/>
              </w:rPr>
              <w:t>681,183</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(thousands of ounces):</w:t>
            </w: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Northern Business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LaRonde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225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322</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662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Meadowbank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24</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157</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(ii)(v)</w:t>
            </w:r>
          </w:p>
        </w:tc>
        <w:tc>
          <w:tcPr>
            <w:tcW w:w="180" w:type="dxa"/>
            <w:vAlign w:val="bottom"/>
            <w:shd w:val="clear" w:color="auto" w:fill="CCEEFF"/>
          </w:tcPr>
          <w:p>
            <w:pPr>
              <w:spacing w:after="0"/>
              <w:rPr>
                <w:sz w:val="21"/>
                <w:szCs w:val="21"/>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80</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134</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Kittila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5</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Southern Business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Pinos Altos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616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430</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1,062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937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5200" w:type="dxa"/>
            <w:vAlign w:val="bottom"/>
          </w:tcPr>
          <w:p>
            <w:pPr>
              <w:ind w:left="360"/>
              <w:spacing w:after="0" w:line="276" w:lineRule="exact"/>
              <w:rPr>
                <w:sz w:val="20"/>
                <w:szCs w:val="20"/>
                <w:color w:val="auto"/>
              </w:rPr>
            </w:pPr>
            <w:r>
              <w:rPr>
                <w:rFonts w:ascii="Arial" w:cs="Arial" w:eastAsia="Arial" w:hAnsi="Arial"/>
                <w:sz w:val="17"/>
                <w:szCs w:val="17"/>
                <w:color w:val="auto"/>
              </w:rPr>
              <w:t>La India mine</w:t>
            </w:r>
            <w:r>
              <w:rPr>
                <w:rFonts w:ascii="Arial" w:cs="Arial" w:eastAsia="Arial" w:hAnsi="Arial"/>
                <w:sz w:val="28"/>
                <w:szCs w:val="28"/>
                <w:color w:val="auto"/>
                <w:vertAlign w:val="superscript"/>
              </w:rPr>
              <w:t>(iii)</w:t>
            </w:r>
          </w:p>
        </w:tc>
        <w:tc>
          <w:tcPr>
            <w:tcW w:w="180" w:type="dxa"/>
            <w:vAlign w:val="bottom"/>
          </w:tcPr>
          <w:p>
            <w:pPr>
              <w:spacing w:after="0"/>
              <w:rPr>
                <w:sz w:val="23"/>
                <w:szCs w:val="23"/>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76</w:t>
            </w:r>
          </w:p>
        </w:tc>
        <w:tc>
          <w:tcPr>
            <w:tcW w:w="220" w:type="dxa"/>
            <w:vAlign w:val="bottom"/>
          </w:tcPr>
          <w:p>
            <w:pPr>
              <w:spacing w:after="0"/>
              <w:rPr>
                <w:sz w:val="23"/>
                <w:szCs w:val="2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34</w:t>
            </w:r>
          </w:p>
        </w:tc>
        <w:tc>
          <w:tcPr>
            <w:tcW w:w="200" w:type="dxa"/>
            <w:vAlign w:val="bottom"/>
          </w:tcPr>
          <w:p>
            <w:pPr>
              <w:spacing w:after="0"/>
              <w:rPr>
                <w:sz w:val="23"/>
                <w:szCs w:val="23"/>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139</w:t>
            </w:r>
          </w:p>
        </w:tc>
        <w:tc>
          <w:tcPr>
            <w:tcW w:w="220" w:type="dxa"/>
            <w:vAlign w:val="bottom"/>
          </w:tcPr>
          <w:p>
            <w:pPr>
              <w:spacing w:after="0"/>
              <w:rPr>
                <w:sz w:val="23"/>
                <w:szCs w:val="2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60</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Silver (thousands of ounces):</w:t>
            </w:r>
          </w:p>
        </w:tc>
        <w:tc>
          <w:tcPr>
            <w:tcW w:w="18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1,106</w:t>
            </w:r>
          </w:p>
        </w:tc>
        <w:tc>
          <w:tcPr>
            <w:tcW w:w="2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844</w:t>
            </w:r>
          </w:p>
        </w:tc>
        <w:tc>
          <w:tcPr>
            <w:tcW w:w="200" w:type="dxa"/>
            <w:vAlign w:val="bottom"/>
            <w:shd w:val="clear" w:color="auto" w:fill="CCEEFF"/>
          </w:tcPr>
          <w:p>
            <w:pPr>
              <w:spacing w:after="0"/>
              <w:rPr>
                <w:sz w:val="17"/>
                <w:szCs w:val="17"/>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1,994</w:t>
            </w:r>
          </w:p>
        </w:tc>
        <w:tc>
          <w:tcPr>
            <w:tcW w:w="2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1,761</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200" w:type="dxa"/>
            <w:vAlign w:val="bottom"/>
            <w:vMerge w:val="restart"/>
          </w:tcPr>
          <w:p>
            <w:pPr>
              <w:ind w:left="20"/>
              <w:spacing w:after="0"/>
              <w:rPr>
                <w:sz w:val="20"/>
                <w:szCs w:val="20"/>
                <w:color w:val="auto"/>
              </w:rPr>
            </w:pPr>
            <w:r>
              <w:rPr>
                <w:rFonts w:ascii="Arial" w:cs="Arial" w:eastAsia="Arial" w:hAnsi="Arial"/>
                <w:sz w:val="17"/>
                <w:szCs w:val="17"/>
                <w:color w:val="auto"/>
              </w:rPr>
              <w:t>Zinc (tonnes)</w:t>
            </w: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vMerge w:val="continue"/>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733</w:t>
            </w:r>
          </w:p>
        </w:tc>
        <w:tc>
          <w:tcPr>
            <w:tcW w:w="16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2,458</w:t>
            </w:r>
          </w:p>
        </w:tc>
        <w:tc>
          <w:tcPr>
            <w:tcW w:w="16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1,997</w:t>
            </w:r>
          </w:p>
        </w:tc>
        <w:tc>
          <w:tcPr>
            <w:tcW w:w="16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4,131</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Copper (tonnes)</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1,131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1,074</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2,291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2,616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08"/>
        </w:trPr>
        <w:tc>
          <w:tcPr>
            <w:tcW w:w="1140" w:type="dxa"/>
            <w:vAlign w:val="bottom"/>
          </w:tcPr>
          <w:p>
            <w:pPr>
              <w:spacing w:after="0"/>
              <w:rPr>
                <w:sz w:val="24"/>
                <w:szCs w:val="24"/>
                <w:color w:val="auto"/>
              </w:rPr>
            </w:pPr>
          </w:p>
        </w:tc>
        <w:tc>
          <w:tcPr>
            <w:tcW w:w="5200" w:type="dxa"/>
            <w:vAlign w:val="bottom"/>
          </w:tcPr>
          <w:p>
            <w:pPr>
              <w:ind w:left="20"/>
              <w:spacing w:after="0"/>
              <w:rPr>
                <w:sz w:val="20"/>
                <w:szCs w:val="20"/>
                <w:color w:val="auto"/>
              </w:rPr>
            </w:pPr>
            <w:r>
              <w:rPr>
                <w:rFonts w:ascii="Arial" w:cs="Arial" w:eastAsia="Arial" w:hAnsi="Arial"/>
                <w:sz w:val="17"/>
                <w:szCs w:val="17"/>
                <w:b w:val="1"/>
                <w:bCs w:val="1"/>
                <w:color w:val="auto"/>
                <w:w w:val="97"/>
              </w:rPr>
              <w:t>Total cash costs per ounce of gold produced — Co-product basis</w:t>
            </w: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2"/>
                <w:szCs w:val="22"/>
                <w:color w:val="auto"/>
              </w:rPr>
            </w:pPr>
          </w:p>
        </w:tc>
        <w:tc>
          <w:tcPr>
            <w:tcW w:w="5200" w:type="dxa"/>
            <w:vAlign w:val="bottom"/>
          </w:tcPr>
          <w:p>
            <w:pPr>
              <w:ind w:left="180"/>
              <w:spacing w:after="0" w:line="261" w:lineRule="exact"/>
              <w:rPr>
                <w:sz w:val="20"/>
                <w:szCs w:val="20"/>
                <w:color w:val="auto"/>
              </w:rPr>
            </w:pPr>
            <w:r>
              <w:rPr>
                <w:rFonts w:ascii="Arial" w:cs="Arial" w:eastAsia="Arial" w:hAnsi="Arial"/>
                <w:sz w:val="30"/>
                <w:szCs w:val="30"/>
                <w:b w:val="1"/>
                <w:bCs w:val="1"/>
                <w:color w:val="auto"/>
                <w:vertAlign w:val="subscript"/>
              </w:rPr>
              <w:t>(US$)</w:t>
            </w:r>
            <w:r>
              <w:rPr>
                <w:rFonts w:ascii="Arial" w:cs="Arial" w:eastAsia="Arial" w:hAnsi="Arial"/>
                <w:sz w:val="13"/>
                <w:szCs w:val="13"/>
                <w:b w:val="1"/>
                <w:bCs w:val="1"/>
                <w:color w:val="auto"/>
              </w:rPr>
              <w:t>(vi):</w:t>
            </w:r>
          </w:p>
        </w:tc>
        <w:tc>
          <w:tcPr>
            <w:tcW w:w="1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Northern Business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LaRonde mine</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811</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1,185</w:t>
            </w:r>
          </w:p>
        </w:tc>
        <w:tc>
          <w:tcPr>
            <w:tcW w:w="200" w:type="dxa"/>
            <w:vAlign w:val="bottom"/>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850</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1,050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Lapa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679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832</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616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738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Goldex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633</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671</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585</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712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Meadowbank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699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567</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493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180" w:type="dxa"/>
            <w:vAlign w:val="bottom"/>
          </w:tcPr>
          <w:p>
            <w:pPr>
              <w:spacing w:after="0"/>
              <w:rPr>
                <w:sz w:val="21"/>
                <w:szCs w:val="2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626</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641</w:t>
            </w:r>
          </w:p>
        </w:tc>
        <w:tc>
          <w:tcPr>
            <w:tcW w:w="200" w:type="dxa"/>
            <w:vAlign w:val="bottom"/>
          </w:tcPr>
          <w:p>
            <w:pPr>
              <w:spacing w:after="0"/>
              <w:rPr>
                <w:sz w:val="21"/>
                <w:szCs w:val="21"/>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638</w:t>
            </w:r>
          </w:p>
        </w:tc>
        <w:tc>
          <w:tcPr>
            <w:tcW w:w="22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641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Kittila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777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863</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728</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826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20"/>
              <w:spacing w:after="0"/>
              <w:rPr>
                <w:sz w:val="20"/>
                <w:szCs w:val="20"/>
                <w:color w:val="auto"/>
              </w:rPr>
            </w:pPr>
            <w:r>
              <w:rPr>
                <w:rFonts w:ascii="Arial" w:cs="Arial" w:eastAsia="Arial" w:hAnsi="Arial"/>
                <w:sz w:val="17"/>
                <w:szCs w:val="17"/>
                <w:color w:val="auto"/>
              </w:rPr>
              <w:t>Southern Business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Pinos Altos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570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702</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441</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646</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462</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639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shd w:val="clear" w:color="auto" w:fill="CCEEFF"/>
          </w:tcPr>
          <w:p>
            <w:pPr>
              <w:ind w:left="180"/>
              <w:spacing w:after="0" w:line="249" w:lineRule="exact"/>
              <w:rPr>
                <w:sz w:val="20"/>
                <w:szCs w:val="20"/>
                <w:color w:val="auto"/>
              </w:rPr>
            </w:pPr>
            <w:r>
              <w:rPr>
                <w:rFonts w:ascii="Arial" w:cs="Arial" w:eastAsia="Arial" w:hAnsi="Arial"/>
                <w:sz w:val="17"/>
                <w:szCs w:val="17"/>
                <w:color w:val="auto"/>
              </w:rPr>
              <w:t>La India mine</w:t>
            </w:r>
            <w:r>
              <w:rPr>
                <w:rFonts w:ascii="Arial" w:cs="Arial" w:eastAsia="Arial" w:hAnsi="Arial"/>
                <w:sz w:val="28"/>
                <w:szCs w:val="28"/>
                <w:color w:val="auto"/>
                <w:vertAlign w:val="superscript"/>
              </w:rPr>
              <w:t>(iii)</w:t>
            </w:r>
          </w:p>
        </w:tc>
        <w:tc>
          <w:tcPr>
            <w:tcW w:w="180" w:type="dxa"/>
            <w:vAlign w:val="bottom"/>
            <w:shd w:val="clear" w:color="auto" w:fill="CCEEFF"/>
          </w:tcPr>
          <w:p>
            <w:pPr>
              <w:spacing w:after="0"/>
              <w:rPr>
                <w:sz w:val="21"/>
                <w:szCs w:val="21"/>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456</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489</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458</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488</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200" w:type="dxa"/>
            <w:vAlign w:val="bottom"/>
            <w:vMerge w:val="restart"/>
          </w:tcPr>
          <w:p>
            <w:pPr>
              <w:ind w:left="20"/>
              <w:spacing w:after="0"/>
              <w:rPr>
                <w:sz w:val="20"/>
                <w:szCs w:val="20"/>
                <w:color w:val="auto"/>
              </w:rPr>
            </w:pPr>
            <w:r>
              <w:rPr>
                <w:rFonts w:ascii="Arial" w:cs="Arial" w:eastAsia="Arial" w:hAnsi="Arial"/>
                <w:sz w:val="17"/>
                <w:szCs w:val="17"/>
                <w:color w:val="auto"/>
              </w:rPr>
              <w:t>Weighted average total cash costs per ounce of gold produced</w:t>
            </w: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5200" w:type="dxa"/>
            <w:vAlign w:val="bottom"/>
            <w:vMerge w:val="continue"/>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666</w:t>
            </w:r>
          </w:p>
        </w:tc>
        <w:tc>
          <w:tcPr>
            <w:tcW w:w="160" w:type="dxa"/>
            <w:vAlign w:val="bottom"/>
          </w:tcPr>
          <w:p>
            <w:pPr>
              <w:spacing w:after="0"/>
              <w:rPr>
                <w:sz w:val="18"/>
                <w:szCs w:val="18"/>
                <w:color w:val="auto"/>
              </w:rPr>
            </w:pPr>
          </w:p>
        </w:tc>
        <w:tc>
          <w:tcPr>
            <w:tcW w:w="22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w w:val="84"/>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730</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658</w:t>
            </w:r>
          </w:p>
        </w:tc>
        <w:tc>
          <w:tcPr>
            <w:tcW w:w="160" w:type="dxa"/>
            <w:vAlign w:val="bottom"/>
          </w:tcPr>
          <w:p>
            <w:pPr>
              <w:spacing w:after="0"/>
              <w:rPr>
                <w:sz w:val="18"/>
                <w:szCs w:val="18"/>
                <w:color w:val="auto"/>
              </w:rPr>
            </w:pPr>
          </w:p>
        </w:tc>
        <w:tc>
          <w:tcPr>
            <w:tcW w:w="22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676</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340" w:type="dxa"/>
            <w:vAlign w:val="bottom"/>
            <w:gridSpan w:val="2"/>
            <w:vMerge w:val="restart"/>
          </w:tcPr>
          <w:p>
            <w:pPr>
              <w:jc w:val="right"/>
              <w:ind w:right="455"/>
              <w:spacing w:after="0"/>
              <w:rPr>
                <w:sz w:val="20"/>
                <w:szCs w:val="20"/>
                <w:color w:val="auto"/>
              </w:rPr>
            </w:pPr>
            <w:r>
              <w:rPr>
                <w:rFonts w:ascii="Arial" w:cs="Arial" w:eastAsia="Arial" w:hAnsi="Arial"/>
                <w:sz w:val="17"/>
                <w:szCs w:val="17"/>
                <w:color w:val="auto"/>
              </w:rPr>
              <w:t>33</w:t>
            </w: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6340" w:type="dxa"/>
            <w:vAlign w:val="bottom"/>
            <w:gridSpan w:val="2"/>
            <w:vMerge w:val="continue"/>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6340" w:type="dxa"/>
            <w:vAlign w:val="bottom"/>
            <w:gridSpan w:val="2"/>
            <w:vMerge w:val="continue"/>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520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7" w:name="page38"/>
    <w:bookmarkEnd w:id="37"/>
    <w:p>
      <w:pPr>
        <w:jc w:val="center"/>
        <w:ind w:right="114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540" w:type="dxa"/>
            <w:vAlign w:val="bottom"/>
            <w:gridSpan w:val="4"/>
          </w:tcPr>
          <w:p>
            <w:pPr>
              <w:jc w:val="right"/>
              <w:spacing w:after="0"/>
              <w:rPr>
                <w:sz w:val="20"/>
                <w:szCs w:val="20"/>
                <w:color w:val="auto"/>
              </w:rPr>
            </w:pPr>
            <w:r>
              <w:rPr>
                <w:rFonts w:ascii="Arial" w:cs="Arial" w:eastAsia="Arial" w:hAnsi="Arial"/>
                <w:sz w:val="13"/>
                <w:szCs w:val="13"/>
                <w:b w:val="1"/>
                <w:bCs w:val="1"/>
                <w:color w:val="auto"/>
              </w:rPr>
              <w:t>Three Months Ended</w:t>
            </w: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760" w:type="dxa"/>
            <w:vAlign w:val="bottom"/>
            <w:gridSpan w:val="5"/>
          </w:tcPr>
          <w:p>
            <w:pPr>
              <w:ind w:left="200"/>
              <w:spacing w:after="0"/>
              <w:rPr>
                <w:sz w:val="20"/>
                <w:szCs w:val="20"/>
                <w:color w:val="auto"/>
              </w:rPr>
            </w:pPr>
            <w:r>
              <w:rPr>
                <w:rFonts w:ascii="Arial" w:cs="Arial" w:eastAsia="Arial" w:hAnsi="Arial"/>
                <w:sz w:val="13"/>
                <w:szCs w:val="13"/>
                <w:b w:val="1"/>
                <w:bCs w:val="1"/>
                <w:color w:val="auto"/>
              </w:rPr>
              <w:t>Six Months Ended</w:t>
            </w:r>
          </w:p>
        </w:tc>
      </w:tr>
      <w:tr>
        <w:trPr>
          <w:trHeight w:val="157"/>
        </w:trPr>
        <w:tc>
          <w:tcPr>
            <w:tcW w:w="114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3"/>
          </w:tcPr>
          <w:p>
            <w:pPr>
              <w:jc w:val="right"/>
              <w:ind w:right="321"/>
              <w:spacing w:after="0"/>
              <w:rPr>
                <w:sz w:val="20"/>
                <w:szCs w:val="20"/>
                <w:color w:val="auto"/>
              </w:rPr>
            </w:pPr>
            <w:r>
              <w:rPr>
                <w:rFonts w:ascii="Arial" w:cs="Arial" w:eastAsia="Arial" w:hAnsi="Arial"/>
                <w:sz w:val="13"/>
                <w:szCs w:val="13"/>
                <w:b w:val="1"/>
                <w:bCs w:val="1"/>
                <w:color w:val="auto"/>
              </w:rPr>
              <w:t>June 30,</w:t>
            </w:r>
          </w:p>
        </w:tc>
        <w:tc>
          <w:tcPr>
            <w:tcW w:w="26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r>
      <w:tr>
        <w:trPr>
          <w:trHeight w:val="137"/>
        </w:trPr>
        <w:tc>
          <w:tcPr>
            <w:tcW w:w="1140" w:type="dxa"/>
            <w:vAlign w:val="bottom"/>
          </w:tcPr>
          <w:p>
            <w:pPr>
              <w:spacing w:after="0"/>
              <w:rPr>
                <w:sz w:val="11"/>
                <w:szCs w:val="11"/>
                <w:color w:val="auto"/>
              </w:rPr>
            </w:pPr>
          </w:p>
        </w:tc>
        <w:tc>
          <w:tcPr>
            <w:tcW w:w="4060" w:type="dxa"/>
            <w:vAlign w:val="bottom"/>
          </w:tcPr>
          <w:p>
            <w:pPr>
              <w:spacing w:after="0"/>
              <w:rPr>
                <w:sz w:val="11"/>
                <w:szCs w:val="11"/>
                <w:color w:val="auto"/>
              </w:rPr>
            </w:pPr>
          </w:p>
        </w:tc>
        <w:tc>
          <w:tcPr>
            <w:tcW w:w="56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2015</w:t>
            </w:r>
          </w:p>
        </w:tc>
        <w:tc>
          <w:tcPr>
            <w:tcW w:w="26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2014</w:t>
            </w:r>
          </w:p>
        </w:tc>
        <w:tc>
          <w:tcPr>
            <w:tcW w:w="26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79"/>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1"/>
                <w:szCs w:val="11"/>
                <w:color w:val="auto"/>
              </w:rPr>
            </w:pPr>
          </w:p>
        </w:tc>
      </w:tr>
      <w:tr>
        <w:trPr>
          <w:trHeight w:val="191"/>
        </w:trPr>
        <w:tc>
          <w:tcPr>
            <w:tcW w:w="5200" w:type="dxa"/>
            <w:vAlign w:val="bottom"/>
            <w:gridSpan w:val="2"/>
            <w:shd w:val="clear" w:color="auto" w:fill="CCEEFF"/>
          </w:tcPr>
          <w:p>
            <w:pPr>
              <w:ind w:left="20"/>
              <w:spacing w:after="0" w:line="192" w:lineRule="exact"/>
              <w:rPr>
                <w:sz w:val="20"/>
                <w:szCs w:val="20"/>
                <w:color w:val="auto"/>
              </w:rPr>
            </w:pPr>
            <w:r>
              <w:rPr>
                <w:rFonts w:ascii="Arial" w:cs="Arial" w:eastAsia="Arial" w:hAnsi="Arial"/>
                <w:sz w:val="17"/>
                <w:szCs w:val="17"/>
                <w:b w:val="1"/>
                <w:bCs w:val="1"/>
                <w:color w:val="auto"/>
                <w:w w:val="97"/>
              </w:rPr>
              <w:t>Total cash costs per ounce of gold produced — By-product basis</w:t>
            </w:r>
          </w:p>
        </w:tc>
        <w:tc>
          <w:tcPr>
            <w:tcW w:w="5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260"/>
        </w:trPr>
        <w:tc>
          <w:tcPr>
            <w:tcW w:w="5200" w:type="dxa"/>
            <w:vAlign w:val="bottom"/>
            <w:gridSpan w:val="2"/>
            <w:shd w:val="clear" w:color="auto" w:fill="CCEEFF"/>
          </w:tcPr>
          <w:p>
            <w:pPr>
              <w:ind w:left="180"/>
              <w:spacing w:after="0" w:line="261" w:lineRule="exact"/>
              <w:rPr>
                <w:sz w:val="20"/>
                <w:szCs w:val="20"/>
                <w:color w:val="auto"/>
              </w:rPr>
            </w:pPr>
            <w:r>
              <w:rPr>
                <w:rFonts w:ascii="Arial" w:cs="Arial" w:eastAsia="Arial" w:hAnsi="Arial"/>
                <w:sz w:val="17"/>
                <w:szCs w:val="17"/>
                <w:b w:val="1"/>
                <w:bCs w:val="1"/>
                <w:color w:val="auto"/>
              </w:rPr>
              <w:t>(US$)</w:t>
            </w:r>
            <w:r>
              <w:rPr>
                <w:rFonts w:ascii="Arial" w:cs="Arial" w:eastAsia="Arial" w:hAnsi="Arial"/>
                <w:sz w:val="28"/>
                <w:szCs w:val="28"/>
                <w:b w:val="1"/>
                <w:bCs w:val="1"/>
                <w:color w:val="auto"/>
                <w:vertAlign w:val="superscript"/>
              </w:rPr>
              <w:t>(vi):</w:t>
            </w:r>
          </w:p>
        </w:tc>
        <w:tc>
          <w:tcPr>
            <w:tcW w:w="5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r>
      <w:tr>
        <w:trPr>
          <w:trHeight w:val="210"/>
        </w:trPr>
        <w:tc>
          <w:tcPr>
            <w:tcW w:w="5200" w:type="dxa"/>
            <w:vAlign w:val="bottom"/>
            <w:gridSpan w:val="2"/>
          </w:tcPr>
          <w:p>
            <w:pPr>
              <w:ind w:left="20"/>
              <w:spacing w:after="0"/>
              <w:rPr>
                <w:sz w:val="20"/>
                <w:szCs w:val="20"/>
                <w:color w:val="auto"/>
              </w:rPr>
            </w:pPr>
            <w:r>
              <w:rPr>
                <w:rFonts w:ascii="Arial" w:cs="Arial" w:eastAsia="Arial" w:hAnsi="Arial"/>
                <w:sz w:val="17"/>
                <w:szCs w:val="17"/>
                <w:color w:val="auto"/>
              </w:rPr>
              <w:t>Northern Business</w:t>
            </w: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0"/>
        </w:trPr>
        <w:tc>
          <w:tcPr>
            <w:tcW w:w="5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LaRonde mine</w:t>
            </w:r>
          </w:p>
        </w:tc>
        <w:tc>
          <w:tcPr>
            <w:tcW w:w="560" w:type="dxa"/>
            <w:vAlign w:val="bottom"/>
            <w:shd w:val="clear" w:color="auto" w:fill="CCEEFF"/>
          </w:tcPr>
          <w:p>
            <w:pPr>
              <w:jc w:val="right"/>
              <w:ind w:right="385"/>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613</w:t>
            </w:r>
          </w:p>
        </w:tc>
        <w:tc>
          <w:tcPr>
            <w:tcW w:w="560" w:type="dxa"/>
            <w:vAlign w:val="bottom"/>
            <w:shd w:val="clear" w:color="auto" w:fill="CCEEFF"/>
          </w:tcPr>
          <w:p>
            <w:pPr>
              <w:jc w:val="right"/>
              <w:ind w:right="381"/>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732</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656</w:t>
            </w:r>
          </w:p>
        </w:tc>
        <w:tc>
          <w:tcPr>
            <w:tcW w:w="240" w:type="dxa"/>
            <w:vAlign w:val="bottom"/>
            <w:shd w:val="clear" w:color="auto" w:fill="CCEEFF"/>
          </w:tcPr>
          <w:p>
            <w:pPr>
              <w:jc w:val="right"/>
              <w:ind w:right="55"/>
              <w:spacing w:after="0"/>
              <w:rPr>
                <w:sz w:val="20"/>
                <w:szCs w:val="20"/>
                <w:color w:val="auto"/>
              </w:rPr>
            </w:pPr>
            <w:r>
              <w:rPr>
                <w:rFonts w:ascii="Arial" w:cs="Arial" w:eastAsia="Arial" w:hAnsi="Arial"/>
                <w:sz w:val="17"/>
                <w:szCs w:val="17"/>
                <w:color w:val="auto"/>
                <w:w w:val="84"/>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645</w:t>
            </w: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Lapa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678</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832</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615</w:t>
            </w:r>
          </w:p>
        </w:tc>
        <w:tc>
          <w:tcPr>
            <w:tcW w:w="2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738</w:t>
            </w:r>
          </w:p>
        </w:tc>
      </w:tr>
      <w:tr>
        <w:trPr>
          <w:trHeight w:val="210"/>
        </w:trPr>
        <w:tc>
          <w:tcPr>
            <w:tcW w:w="5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Goldex mine</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633</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670</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585</w:t>
            </w:r>
          </w:p>
        </w:tc>
        <w:tc>
          <w:tcPr>
            <w:tcW w:w="2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711</w:t>
            </w: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Meadowbank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688</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563</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672</w:t>
            </w:r>
          </w:p>
        </w:tc>
        <w:tc>
          <w:tcPr>
            <w:tcW w:w="2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489</w:t>
            </w:r>
          </w:p>
        </w:tc>
      </w:tr>
      <w:tr>
        <w:trPr>
          <w:trHeight w:val="249"/>
        </w:trPr>
        <w:tc>
          <w:tcPr>
            <w:tcW w:w="5200" w:type="dxa"/>
            <w:vAlign w:val="bottom"/>
            <w:gridSpan w:val="2"/>
            <w:shd w:val="clear" w:color="auto" w:fill="CCEEFF"/>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560" w:type="dxa"/>
            <w:vAlign w:val="bottom"/>
            <w:shd w:val="clear" w:color="auto" w:fill="CCEEFF"/>
          </w:tcPr>
          <w:p>
            <w:pPr>
              <w:spacing w:after="0"/>
              <w:rPr>
                <w:sz w:val="21"/>
                <w:szCs w:val="2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609</w:t>
            </w:r>
          </w:p>
        </w:tc>
        <w:tc>
          <w:tcPr>
            <w:tcW w:w="560" w:type="dxa"/>
            <w:vAlign w:val="bottom"/>
            <w:shd w:val="clear" w:color="auto" w:fill="CCEEFF"/>
          </w:tcPr>
          <w:p>
            <w:pPr>
              <w:spacing w:after="0"/>
              <w:rPr>
                <w:sz w:val="21"/>
                <w:szCs w:val="21"/>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613</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621</w:t>
            </w:r>
          </w:p>
        </w:tc>
        <w:tc>
          <w:tcPr>
            <w:tcW w:w="240" w:type="dxa"/>
            <w:vAlign w:val="bottom"/>
            <w:shd w:val="clear" w:color="auto" w:fill="CCEEFF"/>
          </w:tcPr>
          <w:p>
            <w:pPr>
              <w:spacing w:after="0"/>
              <w:rPr>
                <w:sz w:val="21"/>
                <w:szCs w:val="21"/>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613</w:t>
            </w: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Kittila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776</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862</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727</w:t>
            </w:r>
          </w:p>
        </w:tc>
        <w:tc>
          <w:tcPr>
            <w:tcW w:w="2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825</w:t>
            </w:r>
          </w:p>
        </w:tc>
      </w:tr>
      <w:tr>
        <w:trPr>
          <w:trHeight w:val="210"/>
        </w:trPr>
        <w:tc>
          <w:tcPr>
            <w:tcW w:w="52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Southern Business</w:t>
            </w: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Pinos Altos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384</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516</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371</w:t>
            </w:r>
          </w:p>
        </w:tc>
        <w:tc>
          <w:tcPr>
            <w:tcW w:w="2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498</w:t>
            </w:r>
          </w:p>
        </w:tc>
      </w:tr>
      <w:tr>
        <w:trPr>
          <w:trHeight w:val="210"/>
        </w:trPr>
        <w:tc>
          <w:tcPr>
            <w:tcW w:w="5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402</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613</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421</w:t>
            </w:r>
          </w:p>
        </w:tc>
        <w:tc>
          <w:tcPr>
            <w:tcW w:w="24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606</w:t>
            </w:r>
          </w:p>
        </w:tc>
      </w:tr>
      <w:tr>
        <w:trPr>
          <w:trHeight w:val="275"/>
        </w:trPr>
        <w:tc>
          <w:tcPr>
            <w:tcW w:w="5200" w:type="dxa"/>
            <w:vAlign w:val="bottom"/>
            <w:gridSpan w:val="2"/>
          </w:tcPr>
          <w:p>
            <w:pPr>
              <w:ind w:left="180"/>
              <w:spacing w:after="0" w:line="276" w:lineRule="exact"/>
              <w:rPr>
                <w:sz w:val="20"/>
                <w:szCs w:val="20"/>
                <w:color w:val="auto"/>
              </w:rPr>
            </w:pPr>
            <w:r>
              <w:rPr>
                <w:rFonts w:ascii="Arial" w:cs="Arial" w:eastAsia="Arial" w:hAnsi="Arial"/>
                <w:sz w:val="17"/>
                <w:szCs w:val="17"/>
                <w:color w:val="auto"/>
              </w:rPr>
              <w:t>La India mine</w:t>
            </w:r>
            <w:r>
              <w:rPr>
                <w:rFonts w:ascii="Arial" w:cs="Arial" w:eastAsia="Arial" w:hAnsi="Arial"/>
                <w:sz w:val="28"/>
                <w:szCs w:val="28"/>
                <w:color w:val="auto"/>
                <w:vertAlign w:val="superscript"/>
              </w:rPr>
              <w:t>(iii)</w:t>
            </w:r>
          </w:p>
        </w:tc>
        <w:tc>
          <w:tcPr>
            <w:tcW w:w="560" w:type="dxa"/>
            <w:vAlign w:val="bottom"/>
          </w:tcPr>
          <w:p>
            <w:pPr>
              <w:spacing w:after="0"/>
              <w:rPr>
                <w:sz w:val="23"/>
                <w:szCs w:val="23"/>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410</w:t>
            </w:r>
          </w:p>
        </w:tc>
        <w:tc>
          <w:tcPr>
            <w:tcW w:w="560" w:type="dxa"/>
            <w:vAlign w:val="bottom"/>
          </w:tcPr>
          <w:p>
            <w:pPr>
              <w:spacing w:after="0"/>
              <w:rPr>
                <w:sz w:val="23"/>
                <w:szCs w:val="23"/>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443</w:t>
            </w:r>
          </w:p>
        </w:tc>
        <w:tc>
          <w:tcPr>
            <w:tcW w:w="200" w:type="dxa"/>
            <w:vAlign w:val="bottom"/>
          </w:tcPr>
          <w:p>
            <w:pPr>
              <w:spacing w:after="0"/>
              <w:rPr>
                <w:sz w:val="23"/>
                <w:szCs w:val="23"/>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414</w:t>
            </w:r>
          </w:p>
        </w:tc>
        <w:tc>
          <w:tcPr>
            <w:tcW w:w="240" w:type="dxa"/>
            <w:vAlign w:val="bottom"/>
          </w:tcPr>
          <w:p>
            <w:pPr>
              <w:spacing w:after="0"/>
              <w:rPr>
                <w:sz w:val="23"/>
                <w:szCs w:val="23"/>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7"/>
                <w:szCs w:val="17"/>
                <w:color w:val="auto"/>
              </w:rPr>
              <w:t>437</w:t>
            </w:r>
          </w:p>
        </w:tc>
      </w:tr>
      <w:tr>
        <w:trPr>
          <w:trHeight w:val="20"/>
        </w:trPr>
        <w:tc>
          <w:tcPr>
            <w:tcW w:w="114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03"/>
        </w:trPr>
        <w:tc>
          <w:tcPr>
            <w:tcW w:w="52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Weighted average total cash costs per ounce of gold produced</w:t>
            </w:r>
          </w:p>
        </w:tc>
        <w:tc>
          <w:tcPr>
            <w:tcW w:w="560" w:type="dxa"/>
            <w:vAlign w:val="bottom"/>
            <w:shd w:val="clear" w:color="auto" w:fill="CCEEFF"/>
          </w:tcPr>
          <w:p>
            <w:pPr>
              <w:jc w:val="right"/>
              <w:ind w:right="385"/>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601</w:t>
            </w:r>
          </w:p>
        </w:tc>
        <w:tc>
          <w:tcPr>
            <w:tcW w:w="560" w:type="dxa"/>
            <w:vAlign w:val="bottom"/>
            <w:shd w:val="clear" w:color="auto" w:fill="CCEEFF"/>
          </w:tcPr>
          <w:p>
            <w:pPr>
              <w:jc w:val="right"/>
              <w:ind w:right="381"/>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631</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595</w:t>
            </w:r>
          </w:p>
        </w:tc>
        <w:tc>
          <w:tcPr>
            <w:tcW w:w="240" w:type="dxa"/>
            <w:vAlign w:val="bottom"/>
            <w:shd w:val="clear" w:color="auto" w:fill="CCEEFF"/>
          </w:tcPr>
          <w:p>
            <w:pPr>
              <w:jc w:val="right"/>
              <w:ind w:right="55"/>
              <w:spacing w:after="0"/>
              <w:rPr>
                <w:sz w:val="20"/>
                <w:szCs w:val="20"/>
                <w:color w:val="auto"/>
              </w:rPr>
            </w:pPr>
            <w:r>
              <w:rPr>
                <w:rFonts w:ascii="Arial" w:cs="Arial" w:eastAsia="Arial" w:hAnsi="Arial"/>
                <w:sz w:val="17"/>
                <w:szCs w:val="17"/>
                <w:color w:val="auto"/>
                <w:w w:val="84"/>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582</w:t>
            </w:r>
          </w:p>
        </w:tc>
      </w:tr>
      <w:tr>
        <w:trPr>
          <w:trHeight w:val="26"/>
        </w:trPr>
        <w:tc>
          <w:tcPr>
            <w:tcW w:w="1140" w:type="dxa"/>
            <w:vAlign w:val="bottom"/>
          </w:tcPr>
          <w:p>
            <w:pPr>
              <w:spacing w:after="0"/>
              <w:rPr>
                <w:sz w:val="2"/>
                <w:szCs w:val="2"/>
                <w:color w:val="auto"/>
              </w:rPr>
            </w:pPr>
          </w:p>
        </w:tc>
        <w:tc>
          <w:tcPr>
            <w:tcW w:w="40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r>
      <w:tr>
        <w:trPr>
          <w:trHeight w:val="20"/>
        </w:trPr>
        <w:tc>
          <w:tcPr>
            <w:tcW w:w="114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84"/>
        </w:trPr>
        <w:tc>
          <w:tcPr>
            <w:tcW w:w="1140" w:type="dxa"/>
            <w:vAlign w:val="bottom"/>
            <w:tcBorders>
              <w:bottom w:val="single" w:sz="8" w:color="auto"/>
            </w:tcBorders>
          </w:tcPr>
          <w:p>
            <w:pPr>
              <w:spacing w:after="0"/>
              <w:rPr>
                <w:sz w:val="7"/>
                <w:szCs w:val="7"/>
                <w:color w:val="auto"/>
              </w:rPr>
            </w:pPr>
          </w:p>
        </w:tc>
        <w:tc>
          <w:tcPr>
            <w:tcW w:w="40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40" w:type="dxa"/>
            <w:vAlign w:val="bottom"/>
          </w:tcPr>
          <w:p>
            <w:pPr>
              <w:spacing w:after="0"/>
              <w:rPr>
                <w:sz w:val="7"/>
                <w:szCs w:val="7"/>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540" w:hanging="533"/>
        <w:spacing w:after="0"/>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Operating margin is calculated as revenues from mining operations less production costs.</w:t>
      </w:r>
    </w:p>
    <w:p>
      <w:pPr>
        <w:spacing w:after="0" w:line="125" w:lineRule="exact"/>
        <w:rPr>
          <w:rFonts w:ascii="Arial" w:cs="Arial" w:eastAsia="Arial" w:hAnsi="Arial"/>
          <w:sz w:val="13"/>
          <w:szCs w:val="13"/>
          <w:color w:val="auto"/>
        </w:rPr>
      </w:pPr>
    </w:p>
    <w:p>
      <w:pPr>
        <w:jc w:val="both"/>
        <w:ind w:left="540" w:hanging="533"/>
        <w:spacing w:after="0" w:line="243" w:lineRule="auto"/>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On June 16, 2014, Agnico Eagle and Yamana jointly acquired 100.0% of Osisko by way of the Arrangement. As a result of the Arrangement, Agnico Eagle and Yamana each indirectly own 50.0% of Osisko (now Canadian Malartic Corporation) and Canadian Malartic GP, which now holds the Canadian Malartic mine. The information set out in this table reflects the Company's 50.0% interest in the Canadian Malartic mine since the date of acquisition.</w:t>
      </w:r>
    </w:p>
    <w:p>
      <w:pPr>
        <w:spacing w:after="0" w:line="109" w:lineRule="exact"/>
        <w:rPr>
          <w:rFonts w:ascii="Arial" w:cs="Arial" w:eastAsia="Arial" w:hAnsi="Arial"/>
          <w:sz w:val="13"/>
          <w:szCs w:val="13"/>
          <w:color w:val="auto"/>
        </w:rPr>
      </w:pPr>
    </w:p>
    <w:p>
      <w:pPr>
        <w:ind w:left="540" w:hanging="533"/>
        <w:spacing w:after="0"/>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The La India mine achieved commercial production on February 1, 2014.</w:t>
      </w:r>
    </w:p>
    <w:p>
      <w:pPr>
        <w:spacing w:after="0" w:line="125" w:lineRule="exact"/>
        <w:rPr>
          <w:rFonts w:ascii="Arial" w:cs="Arial" w:eastAsia="Arial" w:hAnsi="Arial"/>
          <w:sz w:val="13"/>
          <w:szCs w:val="13"/>
          <w:color w:val="auto"/>
        </w:rPr>
      </w:pPr>
    </w:p>
    <w:p>
      <w:pPr>
        <w:ind w:left="540" w:hanging="533"/>
        <w:spacing w:after="0" w:line="256" w:lineRule="auto"/>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Payable production (a non-GAAP non-financial performance measure) is the quantity of mineral produced during a period contained in products that are or will be sold by the Company, whether such products are sold during the period or held as inventories at the end of the period.</w:t>
      </w:r>
    </w:p>
    <w:p>
      <w:pPr>
        <w:spacing w:after="0" w:line="100" w:lineRule="exact"/>
        <w:rPr>
          <w:rFonts w:ascii="Arial" w:cs="Arial" w:eastAsia="Arial" w:hAnsi="Arial"/>
          <w:sz w:val="13"/>
          <w:szCs w:val="13"/>
          <w:color w:val="auto"/>
        </w:rPr>
      </w:pPr>
    </w:p>
    <w:p>
      <w:pPr>
        <w:ind w:left="540" w:hanging="533"/>
        <w:spacing w:after="0"/>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The Canadian Malartic mine's payable metal sold excludes the 5.0% net smelter royalty transferred to Osisko Gold Royalties Ltd., pursuant to the Arrangement.</w:t>
      </w:r>
    </w:p>
    <w:p>
      <w:pPr>
        <w:spacing w:after="0" w:line="125" w:lineRule="exact"/>
        <w:rPr>
          <w:rFonts w:ascii="Arial" w:cs="Arial" w:eastAsia="Arial" w:hAnsi="Arial"/>
          <w:sz w:val="13"/>
          <w:szCs w:val="13"/>
          <w:color w:val="auto"/>
        </w:rPr>
      </w:pPr>
    </w:p>
    <w:p>
      <w:pPr>
        <w:jc w:val="both"/>
        <w:ind w:left="540" w:hanging="533"/>
        <w:spacing w:after="0" w:line="254" w:lineRule="auto"/>
        <w:tabs>
          <w:tab w:leader="none" w:pos="540" w:val="left"/>
        </w:tabs>
        <w:numPr>
          <w:ilvl w:val="0"/>
          <w:numId w:val="5"/>
        </w:numPr>
        <w:rPr>
          <w:rFonts w:ascii="Arial" w:cs="Arial" w:eastAsia="Arial" w:hAnsi="Arial"/>
          <w:sz w:val="12"/>
          <w:szCs w:val="12"/>
          <w:color w:val="auto"/>
        </w:rPr>
      </w:pPr>
      <w:r>
        <w:rPr>
          <w:rFonts w:ascii="Arial" w:cs="Arial" w:eastAsia="Arial" w:hAnsi="Arial"/>
          <w:sz w:val="12"/>
          <w:szCs w:val="12"/>
          <w:color w:val="auto"/>
        </w:rPr>
        <w:t>Total cash costs per ounce of gold produced is not a recognized measure under IFRS and this data may not be comparable to data presented by other gold producers. Total cash costs per ounce of gold produced is presented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84" w:lineRule="exact"/>
        <w:rPr>
          <w:sz w:val="20"/>
          <w:szCs w:val="20"/>
          <w:color w:val="auto"/>
        </w:rPr>
      </w:pPr>
    </w:p>
    <w:p>
      <w:pPr>
        <w:ind w:left="4480"/>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sectPr>
      </w:pPr>
    </w:p>
    <w:bookmarkStart w:id="38" w:name="page39"/>
    <w:bookmarkEnd w:id="38"/>
    <w:p>
      <w:pPr>
        <w:ind w:left="3180"/>
        <w:spacing w:after="0"/>
        <w:rPr>
          <w:sz w:val="20"/>
          <w:szCs w:val="20"/>
          <w:color w:val="auto"/>
        </w:rPr>
      </w:pPr>
      <w:r>
        <w:rPr>
          <w:rFonts w:ascii="Arial" w:cs="Arial" w:eastAsia="Arial" w:hAnsi="Arial"/>
          <w:sz w:val="17"/>
          <w:szCs w:val="17"/>
          <w:b w:val="1"/>
          <w:bCs w:val="1"/>
          <w:color w:val="auto"/>
        </w:rPr>
        <w:t>AGNICO EAGLE MINES LIMITED</w:t>
      </w:r>
    </w:p>
    <w:p>
      <w:pPr>
        <w:spacing w:after="0" w:line="2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SUMMARIZED QUARTERLY DATA</w:t>
      </w:r>
    </w:p>
    <w:p>
      <w:pPr>
        <w:spacing w:after="0" w:line="2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7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860" w:type="dxa"/>
            <w:vAlign w:val="bottom"/>
            <w:tcBorders>
              <w:bottom w:val="single" w:sz="8" w:color="auto"/>
            </w:tcBorders>
            <w:gridSpan w:val="5"/>
          </w:tcPr>
          <w:p>
            <w:pPr>
              <w:jc w:val="right"/>
              <w:ind w:right="600"/>
              <w:spacing w:after="0"/>
              <w:rPr>
                <w:sz w:val="20"/>
                <w:szCs w:val="20"/>
                <w:color w:val="auto"/>
              </w:rPr>
            </w:pPr>
            <w:r>
              <w:rPr>
                <w:rFonts w:ascii="Arial" w:cs="Arial" w:eastAsia="Arial" w:hAnsi="Arial"/>
                <w:sz w:val="13"/>
                <w:szCs w:val="13"/>
                <w:b w:val="1"/>
                <w:bCs w:val="1"/>
                <w:color w:val="auto"/>
                <w:w w:val="96"/>
              </w:rPr>
              <w:t>Three Months Ended</w:t>
            </w: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7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gridSpan w:val="2"/>
          </w:tcPr>
          <w:p>
            <w:pPr>
              <w:jc w:val="right"/>
              <w:ind w:right="220"/>
              <w:spacing w:after="0" w:line="124" w:lineRule="exact"/>
              <w:rPr>
                <w:sz w:val="20"/>
                <w:szCs w:val="20"/>
                <w:color w:val="auto"/>
              </w:rPr>
            </w:pPr>
            <w:r>
              <w:rPr>
                <w:rFonts w:ascii="Arial" w:cs="Arial" w:eastAsia="Arial" w:hAnsi="Arial"/>
                <w:sz w:val="13"/>
                <w:szCs w:val="13"/>
                <w:b w:val="1"/>
                <w:bCs w:val="1"/>
                <w:color w:val="auto"/>
                <w:w w:val="87"/>
              </w:rPr>
              <w:t>September 30,</w:t>
            </w:r>
          </w:p>
        </w:tc>
        <w:tc>
          <w:tcPr>
            <w:tcW w:w="80" w:type="dxa"/>
            <w:vAlign w:val="bottom"/>
          </w:tcPr>
          <w:p>
            <w:pPr>
              <w:spacing w:after="0"/>
              <w:rPr>
                <w:sz w:val="10"/>
                <w:szCs w:val="10"/>
                <w:color w:val="auto"/>
              </w:rPr>
            </w:pPr>
          </w:p>
        </w:tc>
        <w:tc>
          <w:tcPr>
            <w:tcW w:w="1000" w:type="dxa"/>
            <w:vAlign w:val="bottom"/>
            <w:gridSpan w:val="2"/>
          </w:tcPr>
          <w:p>
            <w:pPr>
              <w:jc w:val="center"/>
              <w:ind w:right="240"/>
              <w:spacing w:after="0" w:line="124" w:lineRule="exact"/>
              <w:rPr>
                <w:sz w:val="20"/>
                <w:szCs w:val="20"/>
                <w:color w:val="auto"/>
              </w:rPr>
            </w:pPr>
            <w:r>
              <w:rPr>
                <w:rFonts w:ascii="Arial" w:cs="Arial" w:eastAsia="Arial" w:hAnsi="Arial"/>
                <w:sz w:val="13"/>
                <w:szCs w:val="13"/>
                <w:b w:val="1"/>
                <w:bCs w:val="1"/>
                <w:color w:val="auto"/>
                <w:w w:val="89"/>
              </w:rPr>
              <w:t>December 31,</w:t>
            </w:r>
          </w:p>
        </w:tc>
        <w:tc>
          <w:tcPr>
            <w:tcW w:w="880" w:type="dxa"/>
            <w:vAlign w:val="bottom"/>
            <w:gridSpan w:val="3"/>
          </w:tcPr>
          <w:p>
            <w:pPr>
              <w:jc w:val="center"/>
              <w:ind w:right="140"/>
              <w:spacing w:after="0" w:line="124" w:lineRule="exact"/>
              <w:rPr>
                <w:sz w:val="20"/>
                <w:szCs w:val="20"/>
                <w:color w:val="auto"/>
              </w:rPr>
            </w:pPr>
            <w:r>
              <w:rPr>
                <w:rFonts w:ascii="Arial" w:cs="Arial" w:eastAsia="Arial" w:hAnsi="Arial"/>
                <w:sz w:val="13"/>
                <w:szCs w:val="13"/>
                <w:b w:val="1"/>
                <w:bCs w:val="1"/>
                <w:color w:val="auto"/>
                <w:w w:val="96"/>
              </w:rPr>
              <w:t>March 31,</w:t>
            </w:r>
          </w:p>
        </w:tc>
        <w:tc>
          <w:tcPr>
            <w:tcW w:w="100" w:type="dxa"/>
            <w:vAlign w:val="bottom"/>
          </w:tcPr>
          <w:p>
            <w:pPr>
              <w:spacing w:after="0"/>
              <w:rPr>
                <w:sz w:val="10"/>
                <w:szCs w:val="10"/>
                <w:color w:val="auto"/>
              </w:rPr>
            </w:pPr>
          </w:p>
        </w:tc>
        <w:tc>
          <w:tcPr>
            <w:tcW w:w="740" w:type="dxa"/>
            <w:vAlign w:val="bottom"/>
            <w:gridSpan w:val="2"/>
          </w:tcPr>
          <w:p>
            <w:pPr>
              <w:jc w:val="center"/>
              <w:ind w:right="240"/>
              <w:spacing w:after="0" w:line="124" w:lineRule="exact"/>
              <w:rPr>
                <w:sz w:val="20"/>
                <w:szCs w:val="20"/>
                <w:color w:val="auto"/>
              </w:rPr>
            </w:pPr>
            <w:r>
              <w:rPr>
                <w:rFonts w:ascii="Arial" w:cs="Arial" w:eastAsia="Arial" w:hAnsi="Arial"/>
                <w:sz w:val="13"/>
                <w:szCs w:val="13"/>
                <w:b w:val="1"/>
                <w:bCs w:val="1"/>
                <w:color w:val="auto"/>
                <w:w w:val="88"/>
              </w:rPr>
              <w:t>June 30,</w:t>
            </w:r>
          </w:p>
        </w:tc>
        <w:tc>
          <w:tcPr>
            <w:tcW w:w="80" w:type="dxa"/>
            <w:vAlign w:val="bottom"/>
          </w:tcPr>
          <w:p>
            <w:pPr>
              <w:spacing w:after="0"/>
              <w:rPr>
                <w:sz w:val="10"/>
                <w:szCs w:val="10"/>
                <w:color w:val="auto"/>
              </w:rPr>
            </w:pPr>
          </w:p>
        </w:tc>
        <w:tc>
          <w:tcPr>
            <w:tcW w:w="1040" w:type="dxa"/>
            <w:vAlign w:val="bottom"/>
            <w:gridSpan w:val="2"/>
          </w:tcPr>
          <w:p>
            <w:pPr>
              <w:jc w:val="right"/>
              <w:ind w:right="240"/>
              <w:spacing w:after="0" w:line="124" w:lineRule="exact"/>
              <w:rPr>
                <w:sz w:val="20"/>
                <w:szCs w:val="20"/>
                <w:color w:val="auto"/>
              </w:rPr>
            </w:pPr>
            <w:r>
              <w:rPr>
                <w:rFonts w:ascii="Arial" w:cs="Arial" w:eastAsia="Arial" w:hAnsi="Arial"/>
                <w:sz w:val="13"/>
                <w:szCs w:val="13"/>
                <w:b w:val="1"/>
                <w:bCs w:val="1"/>
                <w:color w:val="auto"/>
                <w:w w:val="87"/>
              </w:rPr>
              <w:t>September 30,</w:t>
            </w:r>
          </w:p>
        </w:tc>
        <w:tc>
          <w:tcPr>
            <w:tcW w:w="80" w:type="dxa"/>
            <w:vAlign w:val="bottom"/>
          </w:tcPr>
          <w:p>
            <w:pPr>
              <w:spacing w:after="0"/>
              <w:rPr>
                <w:sz w:val="10"/>
                <w:szCs w:val="10"/>
                <w:color w:val="auto"/>
              </w:rPr>
            </w:pPr>
          </w:p>
        </w:tc>
        <w:tc>
          <w:tcPr>
            <w:tcW w:w="1000" w:type="dxa"/>
            <w:vAlign w:val="bottom"/>
            <w:gridSpan w:val="2"/>
          </w:tcPr>
          <w:p>
            <w:pPr>
              <w:jc w:val="right"/>
              <w:ind w:right="240"/>
              <w:spacing w:after="0" w:line="124" w:lineRule="exact"/>
              <w:rPr>
                <w:sz w:val="20"/>
                <w:szCs w:val="20"/>
                <w:color w:val="auto"/>
              </w:rPr>
            </w:pPr>
            <w:r>
              <w:rPr>
                <w:rFonts w:ascii="Arial" w:cs="Arial" w:eastAsia="Arial" w:hAnsi="Arial"/>
                <w:sz w:val="13"/>
                <w:szCs w:val="13"/>
                <w:b w:val="1"/>
                <w:bCs w:val="1"/>
                <w:color w:val="auto"/>
                <w:w w:val="87"/>
              </w:rPr>
              <w:t>December 31,</w:t>
            </w:r>
          </w:p>
        </w:tc>
        <w:tc>
          <w:tcPr>
            <w:tcW w:w="860" w:type="dxa"/>
            <w:vAlign w:val="bottom"/>
            <w:gridSpan w:val="3"/>
          </w:tcPr>
          <w:p>
            <w:pPr>
              <w:jc w:val="right"/>
              <w:ind w:right="220"/>
              <w:spacing w:after="0" w:line="124" w:lineRule="exact"/>
              <w:rPr>
                <w:sz w:val="20"/>
                <w:szCs w:val="20"/>
                <w:color w:val="auto"/>
              </w:rPr>
            </w:pPr>
            <w:r>
              <w:rPr>
                <w:rFonts w:ascii="Arial" w:cs="Arial" w:eastAsia="Arial" w:hAnsi="Arial"/>
                <w:sz w:val="13"/>
                <w:szCs w:val="13"/>
                <w:b w:val="1"/>
                <w:bCs w:val="1"/>
                <w:color w:val="auto"/>
              </w:rPr>
              <w:t>March 31,</w:t>
            </w:r>
          </w:p>
        </w:tc>
        <w:tc>
          <w:tcPr>
            <w:tcW w:w="100" w:type="dxa"/>
            <w:vAlign w:val="bottom"/>
          </w:tcPr>
          <w:p>
            <w:pPr>
              <w:spacing w:after="0"/>
              <w:rPr>
                <w:sz w:val="10"/>
                <w:szCs w:val="10"/>
                <w:color w:val="auto"/>
              </w:rPr>
            </w:pPr>
          </w:p>
        </w:tc>
        <w:tc>
          <w:tcPr>
            <w:tcW w:w="600" w:type="dxa"/>
            <w:vAlign w:val="bottom"/>
          </w:tcPr>
          <w:p>
            <w:pPr>
              <w:jc w:val="right"/>
              <w:ind w:right="54"/>
              <w:spacing w:after="0" w:line="124" w:lineRule="exact"/>
              <w:rPr>
                <w:sz w:val="20"/>
                <w:szCs w:val="20"/>
                <w:color w:val="auto"/>
              </w:rPr>
            </w:pPr>
            <w:r>
              <w:rPr>
                <w:rFonts w:ascii="Arial" w:cs="Arial" w:eastAsia="Arial" w:hAnsi="Arial"/>
                <w:sz w:val="13"/>
                <w:szCs w:val="13"/>
                <w:b w:val="1"/>
                <w:bCs w:val="1"/>
                <w:color w:val="auto"/>
                <w:w w:val="88"/>
              </w:rPr>
              <w:t>June 30,</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7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94"/>
              <w:spacing w:after="0"/>
              <w:rPr>
                <w:sz w:val="20"/>
                <w:szCs w:val="20"/>
                <w:color w:val="auto"/>
              </w:rPr>
            </w:pPr>
            <w:r>
              <w:rPr>
                <w:rFonts w:ascii="Arial" w:cs="Arial" w:eastAsia="Arial" w:hAnsi="Arial"/>
                <w:sz w:val="13"/>
                <w:szCs w:val="13"/>
                <w:b w:val="1"/>
                <w:bCs w:val="1"/>
                <w:color w:val="auto"/>
              </w:rPr>
              <w:t>2013</w:t>
            </w:r>
          </w:p>
        </w:tc>
        <w:tc>
          <w:tcPr>
            <w:tcW w:w="1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54"/>
              <w:spacing w:after="0"/>
              <w:rPr>
                <w:sz w:val="20"/>
                <w:szCs w:val="20"/>
                <w:color w:val="auto"/>
              </w:rPr>
            </w:pPr>
            <w:r>
              <w:rPr>
                <w:rFonts w:ascii="Arial" w:cs="Arial" w:eastAsia="Arial" w:hAnsi="Arial"/>
                <w:sz w:val="13"/>
                <w:szCs w:val="13"/>
                <w:b w:val="1"/>
                <w:bCs w:val="1"/>
                <w:color w:val="auto"/>
              </w:rPr>
              <w:t>2013</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right"/>
              <w:ind w:right="154"/>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74"/>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74"/>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right"/>
              <w:ind w:right="154"/>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1440" w:type="dxa"/>
            <w:vAlign w:val="bottom"/>
            <w:gridSpan w:val="2"/>
            <w:shd w:val="clear" w:color="auto" w:fill="CCEEFF"/>
          </w:tcPr>
          <w:p>
            <w:pPr>
              <w:spacing w:after="0" w:line="164" w:lineRule="exact"/>
              <w:rPr>
                <w:sz w:val="20"/>
                <w:szCs w:val="20"/>
                <w:color w:val="auto"/>
              </w:rPr>
            </w:pPr>
            <w:r>
              <w:rPr>
                <w:rFonts w:ascii="Arial" w:cs="Arial" w:eastAsia="Arial" w:hAnsi="Arial"/>
                <w:sz w:val="12"/>
                <w:szCs w:val="12"/>
                <w:b w:val="1"/>
                <w:bCs w:val="1"/>
                <w:color w:val="auto"/>
              </w:rPr>
              <w:t>Operating margin</w:t>
            </w:r>
            <w:r>
              <w:rPr>
                <w:rFonts w:ascii="Arial" w:cs="Arial" w:eastAsia="Arial" w:hAnsi="Arial"/>
                <w:sz w:val="18"/>
                <w:szCs w:val="18"/>
                <w:b w:val="1"/>
                <w:bCs w:val="1"/>
                <w:color w:val="auto"/>
                <w:vertAlign w:val="superscript"/>
              </w:rPr>
              <w:t>(i)</w:t>
            </w:r>
            <w:r>
              <w:rPr>
                <w:rFonts w:ascii="Arial" w:cs="Arial" w:eastAsia="Arial" w:hAnsi="Arial"/>
                <w:sz w:val="12"/>
                <w:szCs w:val="12"/>
                <w:b w:val="1"/>
                <w:bCs w:val="1"/>
                <w:color w:val="auto"/>
              </w:rPr>
              <w:t>:</w:t>
            </w: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Revenues from mining</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operations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444,320</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437,240</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491,767</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438,521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463,388</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503,090</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483,596</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510,109</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Production costs</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222,774</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230,495</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218,066</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229,383</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269,793</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287,317</w:t>
            </w:r>
          </w:p>
        </w:tc>
        <w:tc>
          <w:tcPr>
            <w:tcW w:w="1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247,280</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263,612</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Total operating</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4"/>
        </w:trPr>
        <w:tc>
          <w:tcPr>
            <w:tcW w:w="144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4"/>
        </w:trPr>
        <w:tc>
          <w:tcPr>
            <w:tcW w:w="1440" w:type="dxa"/>
            <w:vAlign w:val="bottom"/>
            <w:gridSpan w:val="2"/>
          </w:tcPr>
          <w:p>
            <w:pPr>
              <w:ind w:left="140"/>
              <w:spacing w:after="0" w:line="184" w:lineRule="exact"/>
              <w:rPr>
                <w:sz w:val="20"/>
                <w:szCs w:val="20"/>
                <w:color w:val="auto"/>
              </w:rPr>
            </w:pPr>
            <w:r>
              <w:rPr>
                <w:rFonts w:ascii="Arial" w:cs="Arial" w:eastAsia="Arial" w:hAnsi="Arial"/>
                <w:sz w:val="13"/>
                <w:szCs w:val="13"/>
                <w:color w:val="auto"/>
              </w:rPr>
              <w:t>margin</w:t>
            </w:r>
            <w:r>
              <w:rPr>
                <w:rFonts w:ascii="Arial" w:cs="Arial" w:eastAsia="Arial" w:hAnsi="Arial"/>
                <w:sz w:val="21"/>
                <w:szCs w:val="21"/>
                <w:color w:val="auto"/>
                <w:vertAlign w:val="superscript"/>
              </w:rPr>
              <w:t>(i)</w:t>
            </w:r>
          </w:p>
        </w:tc>
        <w:tc>
          <w:tcPr>
            <w:tcW w:w="8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221,546</w:t>
            </w:r>
          </w:p>
        </w:tc>
        <w:tc>
          <w:tcPr>
            <w:tcW w:w="8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206,745</w:t>
            </w:r>
          </w:p>
        </w:tc>
        <w:tc>
          <w:tcPr>
            <w:tcW w:w="160" w:type="dxa"/>
            <w:vAlign w:val="bottom"/>
          </w:tcPr>
          <w:p>
            <w:pPr>
              <w:spacing w:after="0"/>
              <w:rPr>
                <w:sz w:val="15"/>
                <w:szCs w:val="15"/>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273,701</w:t>
            </w:r>
          </w:p>
        </w:tc>
        <w:tc>
          <w:tcPr>
            <w:tcW w:w="10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209,138</w:t>
            </w:r>
          </w:p>
        </w:tc>
        <w:tc>
          <w:tcPr>
            <w:tcW w:w="80" w:type="dxa"/>
            <w:vAlign w:val="bottom"/>
          </w:tcPr>
          <w:p>
            <w:pPr>
              <w:spacing w:after="0"/>
              <w:rPr>
                <w:sz w:val="15"/>
                <w:szCs w:val="15"/>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193,595</w:t>
            </w:r>
          </w:p>
        </w:tc>
        <w:tc>
          <w:tcPr>
            <w:tcW w:w="8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215,773</w:t>
            </w:r>
          </w:p>
        </w:tc>
        <w:tc>
          <w:tcPr>
            <w:tcW w:w="140" w:type="dxa"/>
            <w:vAlign w:val="bottom"/>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236,316</w:t>
            </w:r>
          </w:p>
        </w:tc>
        <w:tc>
          <w:tcPr>
            <w:tcW w:w="100" w:type="dxa"/>
            <w:vAlign w:val="bottom"/>
          </w:tcPr>
          <w:p>
            <w:pPr>
              <w:spacing w:after="0"/>
              <w:rPr>
                <w:sz w:val="15"/>
                <w:szCs w:val="15"/>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246,497</w:t>
            </w:r>
          </w:p>
        </w:tc>
        <w:tc>
          <w:tcPr>
            <w:tcW w:w="0" w:type="dxa"/>
            <w:vAlign w:val="bottom"/>
          </w:tcPr>
          <w:p>
            <w:pPr>
              <w:spacing w:after="0"/>
              <w:rPr>
                <w:sz w:val="1"/>
                <w:szCs w:val="1"/>
                <w:color w:val="auto"/>
              </w:rPr>
            </w:pPr>
          </w:p>
        </w:tc>
      </w:tr>
      <w:tr>
        <w:trPr>
          <w:trHeight w:val="315"/>
        </w:trPr>
        <w:tc>
          <w:tcPr>
            <w:tcW w:w="2540" w:type="dxa"/>
            <w:vAlign w:val="bottom"/>
            <w:gridSpan w:val="5"/>
            <w:shd w:val="clear" w:color="auto" w:fill="CCEEFF"/>
          </w:tcPr>
          <w:p>
            <w:pPr>
              <w:ind w:left="140"/>
              <w:spacing w:after="0"/>
              <w:rPr>
                <w:sz w:val="20"/>
                <w:szCs w:val="20"/>
                <w:color w:val="auto"/>
              </w:rPr>
            </w:pPr>
            <w:r>
              <w:rPr>
                <w:rFonts w:ascii="Arial" w:cs="Arial" w:eastAsia="Arial" w:hAnsi="Arial"/>
                <w:sz w:val="13"/>
                <w:szCs w:val="13"/>
                <w:b w:val="1"/>
                <w:bCs w:val="1"/>
                <w:color w:val="auto"/>
              </w:rPr>
              <w:t>Operating margin</w:t>
            </w:r>
            <w:r>
              <w:rPr>
                <w:rFonts w:ascii="Arial" w:cs="Arial" w:eastAsia="Arial" w:hAnsi="Arial"/>
                <w:sz w:val="21"/>
                <w:szCs w:val="21"/>
                <w:b w:val="1"/>
                <w:bCs w:val="1"/>
                <w:color w:val="auto"/>
                <w:vertAlign w:val="superscript"/>
              </w:rPr>
              <w:t>(i)</w:t>
            </w:r>
            <w:r>
              <w:rPr>
                <w:rFonts w:ascii="Arial" w:cs="Arial" w:eastAsia="Arial" w:hAnsi="Arial"/>
                <w:sz w:val="13"/>
                <w:szCs w:val="13"/>
                <w:b w:val="1"/>
                <w:bCs w:val="1"/>
                <w:color w:val="auto"/>
              </w:rPr>
              <w:t xml:space="preserve"> by mine:</w:t>
            </w: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spacing w:after="0" w:line="144" w:lineRule="exact"/>
              <w:rPr>
                <w:sz w:val="20"/>
                <w:szCs w:val="20"/>
                <w:color w:val="auto"/>
              </w:rPr>
            </w:pPr>
            <w:r>
              <w:rPr>
                <w:rFonts w:ascii="Arial" w:cs="Arial" w:eastAsia="Arial" w:hAnsi="Arial"/>
                <w:sz w:val="13"/>
                <w:szCs w:val="13"/>
                <w:color w:val="auto"/>
              </w:rPr>
              <w:t>Northern Business</w:t>
            </w: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LaRonde mine</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25,461</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27,243</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45,425</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26,402</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14,696</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33,535</w:t>
            </w:r>
          </w:p>
        </w:tc>
        <w:tc>
          <w:tcPr>
            <w:tcW w:w="1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30,015</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32,799</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Lapa mine</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15,303</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18,143</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15,340</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9,050</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13,748</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16,060</w:t>
            </w:r>
          </w:p>
        </w:tc>
        <w:tc>
          <w:tcPr>
            <w:tcW w:w="14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14,687</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11,351</w:t>
            </w:r>
          </w:p>
        </w:tc>
        <w:tc>
          <w:tcPr>
            <w:tcW w:w="0" w:type="dxa"/>
            <w:vAlign w:val="bottom"/>
          </w:tcPr>
          <w:p>
            <w:pPr>
              <w:spacing w:after="0"/>
              <w:rPr>
                <w:sz w:val="1"/>
                <w:szCs w:val="1"/>
                <w:color w:val="auto"/>
              </w:rPr>
            </w:pPr>
          </w:p>
        </w:tc>
      </w:tr>
      <w:tr>
        <w:trPr>
          <w:trHeight w:val="170"/>
        </w:trPr>
        <w:tc>
          <w:tcPr>
            <w:tcW w:w="1440" w:type="dxa"/>
            <w:vAlign w:val="bottom"/>
            <w:gridSpan w:val="2"/>
            <w:shd w:val="clear" w:color="auto" w:fill="CCEEFF"/>
          </w:tcPr>
          <w:p>
            <w:pPr>
              <w:ind w:left="140"/>
              <w:spacing w:after="0" w:line="171" w:lineRule="exact"/>
              <w:rPr>
                <w:sz w:val="20"/>
                <w:szCs w:val="20"/>
                <w:color w:val="auto"/>
              </w:rPr>
            </w:pPr>
            <w:r>
              <w:rPr>
                <w:rFonts w:ascii="Arial" w:cs="Arial" w:eastAsia="Arial" w:hAnsi="Arial"/>
                <w:sz w:val="12"/>
                <w:szCs w:val="12"/>
                <w:color w:val="auto"/>
              </w:rPr>
              <w:t>Goldex mine</w:t>
            </w:r>
            <w:r>
              <w:rPr>
                <w:rFonts w:ascii="Arial" w:cs="Arial" w:eastAsia="Arial" w:hAnsi="Arial"/>
                <w:sz w:val="19"/>
                <w:szCs w:val="19"/>
                <w:color w:val="auto"/>
                <w:vertAlign w:val="superscript"/>
              </w:rPr>
              <w:t>(ii)</w:t>
            </w:r>
          </w:p>
        </w:tc>
        <w:tc>
          <w:tcPr>
            <w:tcW w:w="80" w:type="dxa"/>
            <w:vAlign w:val="bottom"/>
            <w:shd w:val="clear" w:color="auto" w:fill="CCEEFF"/>
          </w:tcPr>
          <w:p>
            <w:pPr>
              <w:spacing w:after="0"/>
              <w:rPr>
                <w:sz w:val="14"/>
                <w:szCs w:val="14"/>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4"/>
                <w:szCs w:val="14"/>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6,079</w:t>
            </w:r>
          </w:p>
        </w:tc>
        <w:tc>
          <w:tcPr>
            <w:tcW w:w="16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9,525</w:t>
            </w:r>
          </w:p>
        </w:tc>
        <w:tc>
          <w:tcPr>
            <w:tcW w:w="10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13,283</w:t>
            </w:r>
          </w:p>
        </w:tc>
        <w:tc>
          <w:tcPr>
            <w:tcW w:w="80" w:type="dxa"/>
            <w:vAlign w:val="bottom"/>
            <w:shd w:val="clear" w:color="auto" w:fill="CCEEFF"/>
          </w:tcPr>
          <w:p>
            <w:pPr>
              <w:spacing w:after="0"/>
              <w:rPr>
                <w:sz w:val="14"/>
                <w:szCs w:val="14"/>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17,237</w:t>
            </w:r>
          </w:p>
        </w:tc>
        <w:tc>
          <w:tcPr>
            <w:tcW w:w="80" w:type="dxa"/>
            <w:vAlign w:val="bottom"/>
            <w:shd w:val="clear" w:color="auto" w:fill="CCEEFF"/>
          </w:tcPr>
          <w:p>
            <w:pPr>
              <w:spacing w:after="0"/>
              <w:rPr>
                <w:sz w:val="14"/>
                <w:szCs w:val="14"/>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20,693</w:t>
            </w:r>
          </w:p>
        </w:tc>
        <w:tc>
          <w:tcPr>
            <w:tcW w:w="14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19,253</w:t>
            </w:r>
          </w:p>
        </w:tc>
        <w:tc>
          <w:tcPr>
            <w:tcW w:w="10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15,525</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Meadowbank mine</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90,658</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80,818</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123,961</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88,728</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52,504</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39,839</w:t>
            </w:r>
          </w:p>
        </w:tc>
        <w:tc>
          <w:tcPr>
            <w:tcW w:w="14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46,577</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49,600</w:t>
            </w:r>
          </w:p>
        </w:tc>
        <w:tc>
          <w:tcPr>
            <w:tcW w:w="0" w:type="dxa"/>
            <w:vAlign w:val="bottom"/>
          </w:tcPr>
          <w:p>
            <w:pPr>
              <w:spacing w:after="0"/>
              <w:rPr>
                <w:sz w:val="1"/>
                <w:szCs w:val="1"/>
                <w:color w:val="auto"/>
              </w:rPr>
            </w:pPr>
          </w:p>
        </w:tc>
      </w:tr>
      <w:tr>
        <w:trPr>
          <w:trHeight w:val="131"/>
        </w:trPr>
        <w:tc>
          <w:tcPr>
            <w:tcW w:w="1440" w:type="dxa"/>
            <w:vAlign w:val="bottom"/>
            <w:gridSpan w:val="2"/>
            <w:shd w:val="clear" w:color="auto" w:fill="CCEEFF"/>
          </w:tcPr>
          <w:p>
            <w:pPr>
              <w:ind w:left="140"/>
              <w:spacing w:after="0" w:line="131" w:lineRule="exact"/>
              <w:rPr>
                <w:sz w:val="20"/>
                <w:szCs w:val="20"/>
                <w:color w:val="auto"/>
              </w:rPr>
            </w:pPr>
            <w:r>
              <w:rPr>
                <w:rFonts w:ascii="Arial" w:cs="Arial" w:eastAsia="Arial" w:hAnsi="Arial"/>
                <w:sz w:val="13"/>
                <w:szCs w:val="13"/>
                <w:color w:val="auto"/>
              </w:rPr>
              <w:t>Canadian Malartic</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440" w:type="dxa"/>
            <w:vAlign w:val="bottom"/>
            <w:gridSpan w:val="2"/>
            <w:shd w:val="clear" w:color="auto" w:fill="CCEEFF"/>
          </w:tcPr>
          <w:p>
            <w:pPr>
              <w:ind w:left="280"/>
              <w:spacing w:after="0" w:line="184" w:lineRule="exact"/>
              <w:rPr>
                <w:sz w:val="20"/>
                <w:szCs w:val="20"/>
                <w:color w:val="auto"/>
              </w:rPr>
            </w:pPr>
            <w:r>
              <w:rPr>
                <w:rFonts w:ascii="Arial" w:cs="Arial" w:eastAsia="Arial" w:hAnsi="Arial"/>
                <w:sz w:val="21"/>
                <w:szCs w:val="21"/>
                <w:color w:val="auto"/>
                <w:vertAlign w:val="subscript"/>
              </w:rPr>
              <w:t>mine</w:t>
            </w:r>
            <w:r>
              <w:rPr>
                <w:rFonts w:ascii="Arial" w:cs="Arial" w:eastAsia="Arial" w:hAnsi="Arial"/>
                <w:sz w:val="10"/>
                <w:szCs w:val="10"/>
                <w:color w:val="auto"/>
              </w:rPr>
              <w:t>(iii)</w:t>
            </w:r>
          </w:p>
        </w:tc>
        <w:tc>
          <w:tcPr>
            <w:tcW w:w="80" w:type="dxa"/>
            <w:vAlign w:val="bottom"/>
            <w:shd w:val="clear" w:color="auto" w:fill="CCEEFF"/>
          </w:tcPr>
          <w:p>
            <w:pPr>
              <w:spacing w:after="0"/>
              <w:rPr>
                <w:sz w:val="15"/>
                <w:szCs w:val="15"/>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3,668</w:t>
            </w:r>
          </w:p>
        </w:tc>
        <w:tc>
          <w:tcPr>
            <w:tcW w:w="8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33,224</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39,092</w:t>
            </w:r>
          </w:p>
        </w:tc>
        <w:tc>
          <w:tcPr>
            <w:tcW w:w="14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34,718</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44,737</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Kittila mine</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39,150</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27,949</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19,003</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14,184</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12,128</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14,312</w:t>
            </w:r>
          </w:p>
        </w:tc>
        <w:tc>
          <w:tcPr>
            <w:tcW w:w="14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27,415</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16,145</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Southern Business</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Pinos Altos mine</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40,529</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38,224</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39,064</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33,417</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28,837</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27,123</w:t>
            </w:r>
          </w:p>
        </w:tc>
        <w:tc>
          <w:tcPr>
            <w:tcW w:w="14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34,652</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44,538</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ind w:left="140"/>
              <w:spacing w:after="0" w:line="136" w:lineRule="exact"/>
              <w:rPr>
                <w:sz w:val="20"/>
                <w:szCs w:val="20"/>
                <w:color w:val="auto"/>
              </w:rPr>
            </w:pPr>
            <w:r>
              <w:rPr>
                <w:rFonts w:ascii="Arial" w:cs="Arial" w:eastAsia="Arial" w:hAnsi="Arial"/>
                <w:sz w:val="13"/>
                <w:szCs w:val="13"/>
                <w:color w:val="auto"/>
              </w:rPr>
              <w:t>Creston Mascota</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280"/>
              <w:spacing w:after="0" w:line="144" w:lineRule="exact"/>
              <w:rPr>
                <w:sz w:val="20"/>
                <w:szCs w:val="20"/>
                <w:color w:val="auto"/>
              </w:rPr>
            </w:pPr>
            <w:r>
              <w:rPr>
                <w:rFonts w:ascii="Arial" w:cs="Arial" w:eastAsia="Arial" w:hAnsi="Arial"/>
                <w:sz w:val="13"/>
                <w:szCs w:val="13"/>
                <w:color w:val="auto"/>
              </w:rPr>
              <w:t>deposit at Pinos</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280"/>
              <w:spacing w:after="0"/>
              <w:rPr>
                <w:sz w:val="20"/>
                <w:szCs w:val="20"/>
                <w:color w:val="auto"/>
              </w:rPr>
            </w:pPr>
            <w:r>
              <w:rPr>
                <w:rFonts w:ascii="Arial" w:cs="Arial" w:eastAsia="Arial" w:hAnsi="Arial"/>
                <w:sz w:val="13"/>
                <w:szCs w:val="13"/>
                <w:color w:val="auto"/>
              </w:rPr>
              <w:t>Altos</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10,445</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8,289</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7,714</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7,428</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8,032</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8,392</w:t>
            </w:r>
          </w:p>
        </w:tc>
        <w:tc>
          <w:tcPr>
            <w:tcW w:w="14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8,409</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12,968</w:t>
            </w:r>
          </w:p>
        </w:tc>
        <w:tc>
          <w:tcPr>
            <w:tcW w:w="0" w:type="dxa"/>
            <w:vAlign w:val="bottom"/>
          </w:tcPr>
          <w:p>
            <w:pPr>
              <w:spacing w:after="0"/>
              <w:rPr>
                <w:sz w:val="1"/>
                <w:szCs w:val="1"/>
                <w:color w:val="auto"/>
              </w:rPr>
            </w:pPr>
          </w:p>
        </w:tc>
      </w:tr>
      <w:tr>
        <w:trPr>
          <w:trHeight w:val="197"/>
        </w:trPr>
        <w:tc>
          <w:tcPr>
            <w:tcW w:w="1440" w:type="dxa"/>
            <w:vAlign w:val="bottom"/>
            <w:gridSpan w:val="2"/>
          </w:tcPr>
          <w:p>
            <w:pPr>
              <w:ind w:left="140"/>
              <w:spacing w:after="0" w:line="197" w:lineRule="exact"/>
              <w:rPr>
                <w:sz w:val="20"/>
                <w:szCs w:val="20"/>
                <w:color w:val="auto"/>
              </w:rPr>
            </w:pPr>
            <w:r>
              <w:rPr>
                <w:rFonts w:ascii="Arial" w:cs="Arial" w:eastAsia="Arial" w:hAnsi="Arial"/>
                <w:sz w:val="13"/>
                <w:szCs w:val="13"/>
                <w:color w:val="auto"/>
              </w:rPr>
              <w:t>La India mine</w:t>
            </w:r>
            <w:r>
              <w:rPr>
                <w:rFonts w:ascii="Arial" w:cs="Arial" w:eastAsia="Arial" w:hAnsi="Arial"/>
                <w:sz w:val="21"/>
                <w:szCs w:val="21"/>
                <w:color w:val="auto"/>
                <w:vertAlign w:val="superscript"/>
              </w:rPr>
              <w:t>(iv)</w:t>
            </w:r>
          </w:p>
        </w:tc>
        <w:tc>
          <w:tcPr>
            <w:tcW w:w="80" w:type="dxa"/>
            <w:vAlign w:val="bottom"/>
          </w:tcPr>
          <w:p>
            <w:pPr>
              <w:spacing w:after="0"/>
              <w:rPr>
                <w:sz w:val="17"/>
                <w:szCs w:val="17"/>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7"/>
                <w:szCs w:val="17"/>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7"/>
                <w:szCs w:val="17"/>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13,669</w:t>
            </w:r>
          </w:p>
        </w:tc>
        <w:tc>
          <w:tcPr>
            <w:tcW w:w="10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12,978</w:t>
            </w:r>
          </w:p>
        </w:tc>
        <w:tc>
          <w:tcPr>
            <w:tcW w:w="80" w:type="dxa"/>
            <w:vAlign w:val="bottom"/>
          </w:tcPr>
          <w:p>
            <w:pPr>
              <w:spacing w:after="0"/>
              <w:rPr>
                <w:sz w:val="17"/>
                <w:szCs w:val="17"/>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13,189</w:t>
            </w:r>
          </w:p>
        </w:tc>
        <w:tc>
          <w:tcPr>
            <w:tcW w:w="80" w:type="dxa"/>
            <w:vAlign w:val="bottom"/>
          </w:tcPr>
          <w:p>
            <w:pPr>
              <w:spacing w:after="0"/>
              <w:rPr>
                <w:sz w:val="17"/>
                <w:szCs w:val="17"/>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16,727</w:t>
            </w:r>
          </w:p>
        </w:tc>
        <w:tc>
          <w:tcPr>
            <w:tcW w:w="140" w:type="dxa"/>
            <w:vAlign w:val="bottom"/>
          </w:tcPr>
          <w:p>
            <w:pPr>
              <w:spacing w:after="0"/>
              <w:rPr>
                <w:sz w:val="17"/>
                <w:szCs w:val="17"/>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20,590</w:t>
            </w:r>
          </w:p>
        </w:tc>
        <w:tc>
          <w:tcPr>
            <w:tcW w:w="100" w:type="dxa"/>
            <w:vAlign w:val="bottom"/>
          </w:tcPr>
          <w:p>
            <w:pPr>
              <w:spacing w:after="0"/>
              <w:rPr>
                <w:sz w:val="17"/>
                <w:szCs w:val="17"/>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18,834</w:t>
            </w:r>
          </w:p>
        </w:tc>
        <w:tc>
          <w:tcPr>
            <w:tcW w:w="0" w:type="dxa"/>
            <w:vAlign w:val="bottom"/>
          </w:tcPr>
          <w:p>
            <w:pPr>
              <w:spacing w:after="0"/>
              <w:rPr>
                <w:sz w:val="1"/>
                <w:szCs w:val="1"/>
                <w:color w:val="auto"/>
              </w:rPr>
            </w:pPr>
          </w:p>
        </w:tc>
      </w:tr>
      <w:tr>
        <w:trPr>
          <w:trHeight w:val="124"/>
        </w:trPr>
        <w:tc>
          <w:tcPr>
            <w:tcW w:w="1440" w:type="dxa"/>
            <w:vAlign w:val="bottom"/>
            <w:gridSpan w:val="2"/>
            <w:shd w:val="clear" w:color="auto" w:fill="CCEEFF"/>
          </w:tcPr>
          <w:p>
            <w:pPr>
              <w:spacing w:after="0" w:line="124" w:lineRule="exact"/>
              <w:rPr>
                <w:sz w:val="20"/>
                <w:szCs w:val="20"/>
                <w:color w:val="auto"/>
              </w:rPr>
            </w:pPr>
            <w:r>
              <w:rPr>
                <w:rFonts w:ascii="Arial" w:cs="Arial" w:eastAsia="Arial" w:hAnsi="Arial"/>
                <w:sz w:val="13"/>
                <w:szCs w:val="13"/>
                <w:color w:val="auto"/>
              </w:rPr>
              <w:t>Total operating</w:t>
            </w:r>
          </w:p>
        </w:tc>
        <w:tc>
          <w:tcPr>
            <w:tcW w:w="80" w:type="dxa"/>
            <w:vAlign w:val="bottom"/>
            <w:tcBorders>
              <w:top w:val="single" w:sz="8" w:color="auto"/>
            </w:tcBorders>
            <w:shd w:val="clear" w:color="auto" w:fill="CCEEFF"/>
          </w:tcPr>
          <w:p>
            <w:pPr>
              <w:spacing w:after="0"/>
              <w:rPr>
                <w:sz w:val="10"/>
                <w:szCs w:val="10"/>
                <w:color w:val="auto"/>
              </w:rPr>
            </w:pPr>
          </w:p>
        </w:tc>
        <w:tc>
          <w:tcPr>
            <w:tcW w:w="880" w:type="dxa"/>
            <w:vAlign w:val="bottom"/>
            <w:tcBorders>
              <w:top w:val="single" w:sz="8" w:color="auto"/>
            </w:tcBorders>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84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60" w:type="dxa"/>
            <w:vAlign w:val="bottom"/>
            <w:tcBorders>
              <w:top w:val="single" w:sz="8" w:color="auto"/>
            </w:tcBorders>
            <w:shd w:val="clear" w:color="auto" w:fill="CCEEFF"/>
          </w:tcPr>
          <w:p>
            <w:pPr>
              <w:spacing w:after="0"/>
              <w:rPr>
                <w:sz w:val="10"/>
                <w:szCs w:val="10"/>
                <w:color w:val="auto"/>
              </w:rPr>
            </w:pPr>
          </w:p>
        </w:tc>
        <w:tc>
          <w:tcPr>
            <w:tcW w:w="56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58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88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84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tcBorders>
              <w:top w:val="single" w:sz="8" w:color="auto"/>
            </w:tcBorders>
            <w:shd w:val="clear" w:color="auto" w:fill="CCEEFF"/>
          </w:tcPr>
          <w:p>
            <w:pPr>
              <w:spacing w:after="0"/>
              <w:rPr>
                <w:sz w:val="10"/>
                <w:szCs w:val="10"/>
                <w:color w:val="auto"/>
              </w:rPr>
            </w:pPr>
          </w:p>
        </w:tc>
        <w:tc>
          <w:tcPr>
            <w:tcW w:w="580" w:type="dxa"/>
            <w:vAlign w:val="bottom"/>
            <w:tcBorders>
              <w:top w:val="single" w:sz="8" w:color="auto"/>
            </w:tcBorders>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600" w:type="dxa"/>
            <w:vAlign w:val="bottom"/>
            <w:tcBorders>
              <w:top w:val="single" w:sz="8" w:color="auto"/>
            </w:tcBorders>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84"/>
        </w:trPr>
        <w:tc>
          <w:tcPr>
            <w:tcW w:w="1440" w:type="dxa"/>
            <w:vAlign w:val="bottom"/>
            <w:gridSpan w:val="2"/>
            <w:shd w:val="clear" w:color="auto" w:fill="CCEEFF"/>
          </w:tcPr>
          <w:p>
            <w:pPr>
              <w:ind w:left="140"/>
              <w:spacing w:after="0" w:line="184" w:lineRule="exact"/>
              <w:rPr>
                <w:sz w:val="20"/>
                <w:szCs w:val="20"/>
                <w:color w:val="auto"/>
              </w:rPr>
            </w:pPr>
            <w:r>
              <w:rPr>
                <w:rFonts w:ascii="Arial" w:cs="Arial" w:eastAsia="Arial" w:hAnsi="Arial"/>
                <w:sz w:val="13"/>
                <w:szCs w:val="13"/>
                <w:color w:val="auto"/>
              </w:rPr>
              <w:t>margin</w:t>
            </w:r>
            <w:r>
              <w:rPr>
                <w:rFonts w:ascii="Arial" w:cs="Arial" w:eastAsia="Arial" w:hAnsi="Arial"/>
                <w:sz w:val="21"/>
                <w:szCs w:val="21"/>
                <w:color w:val="auto"/>
                <w:vertAlign w:val="superscript"/>
              </w:rPr>
              <w:t>(i)</w:t>
            </w:r>
          </w:p>
        </w:tc>
        <w:tc>
          <w:tcPr>
            <w:tcW w:w="80" w:type="dxa"/>
            <w:vAlign w:val="bottom"/>
            <w:shd w:val="clear" w:color="auto" w:fill="CCEEFF"/>
          </w:tcPr>
          <w:p>
            <w:pPr>
              <w:spacing w:after="0"/>
              <w:rPr>
                <w:sz w:val="15"/>
                <w:szCs w:val="15"/>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221,546</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206,745</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273,701</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209,138</w:t>
            </w:r>
          </w:p>
        </w:tc>
        <w:tc>
          <w:tcPr>
            <w:tcW w:w="8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193,595</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215,773</w:t>
            </w:r>
          </w:p>
        </w:tc>
        <w:tc>
          <w:tcPr>
            <w:tcW w:w="14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236,316</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246,497</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Amortization of</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property, plant and</w:t>
            </w: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mine development</w:t>
            </w:r>
          </w:p>
        </w:tc>
        <w:tc>
          <w:tcPr>
            <w:tcW w:w="80" w:type="dxa"/>
            <w:vAlign w:val="bottom"/>
          </w:tcPr>
          <w:p>
            <w:pPr>
              <w:spacing w:after="0"/>
              <w:rPr>
                <w:sz w:val="13"/>
                <w:szCs w:val="13"/>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79,266</w:t>
            </w:r>
          </w:p>
        </w:tc>
        <w:tc>
          <w:tcPr>
            <w:tcW w:w="80" w:type="dxa"/>
            <w:vAlign w:val="bottom"/>
          </w:tcPr>
          <w:p>
            <w:pPr>
              <w:spacing w:after="0"/>
              <w:rPr>
                <w:sz w:val="13"/>
                <w:szCs w:val="13"/>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90,788</w:t>
            </w:r>
          </w:p>
        </w:tc>
        <w:tc>
          <w:tcPr>
            <w:tcW w:w="16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83,481</w:t>
            </w:r>
          </w:p>
        </w:tc>
        <w:tc>
          <w:tcPr>
            <w:tcW w:w="100" w:type="dxa"/>
            <w:vAlign w:val="bottom"/>
          </w:tcPr>
          <w:p>
            <w:pPr>
              <w:spacing w:after="0"/>
              <w:rPr>
                <w:sz w:val="13"/>
                <w:szCs w:val="13"/>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93,656</w:t>
            </w:r>
          </w:p>
        </w:tc>
        <w:tc>
          <w:tcPr>
            <w:tcW w:w="80" w:type="dxa"/>
            <w:vAlign w:val="bottom"/>
          </w:tcPr>
          <w:p>
            <w:pPr>
              <w:spacing w:after="0"/>
              <w:rPr>
                <w:sz w:val="13"/>
                <w:szCs w:val="13"/>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117,396</w:t>
            </w:r>
          </w:p>
        </w:tc>
        <w:tc>
          <w:tcPr>
            <w:tcW w:w="80" w:type="dxa"/>
            <w:vAlign w:val="bottom"/>
          </w:tcPr>
          <w:p>
            <w:pPr>
              <w:spacing w:after="0"/>
              <w:rPr>
                <w:sz w:val="13"/>
                <w:szCs w:val="13"/>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139,095</w:t>
            </w:r>
          </w:p>
        </w:tc>
        <w:tc>
          <w:tcPr>
            <w:tcW w:w="140" w:type="dxa"/>
            <w:vAlign w:val="bottom"/>
          </w:tcPr>
          <w:p>
            <w:pPr>
              <w:spacing w:after="0"/>
              <w:rPr>
                <w:sz w:val="13"/>
                <w:szCs w:val="13"/>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135,897</w:t>
            </w:r>
          </w:p>
        </w:tc>
        <w:tc>
          <w:tcPr>
            <w:tcW w:w="100" w:type="dxa"/>
            <w:vAlign w:val="bottom"/>
          </w:tcPr>
          <w:p>
            <w:pPr>
              <w:spacing w:after="0"/>
              <w:rPr>
                <w:sz w:val="13"/>
                <w:szCs w:val="13"/>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157,615</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Impairment loss</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1,014,688</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Exploration, corporate</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and other</w:t>
            </w:r>
          </w:p>
        </w:tc>
        <w:tc>
          <w:tcPr>
            <w:tcW w:w="80" w:type="dxa"/>
            <w:vAlign w:val="bottom"/>
          </w:tcPr>
          <w:p>
            <w:pPr>
              <w:spacing w:after="0"/>
              <w:rPr>
                <w:sz w:val="14"/>
                <w:szCs w:val="14"/>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53,725</w:t>
            </w:r>
          </w:p>
        </w:tc>
        <w:tc>
          <w:tcPr>
            <w:tcW w:w="8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61,644</w:t>
            </w:r>
          </w:p>
        </w:tc>
        <w:tc>
          <w:tcPr>
            <w:tcW w:w="16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43,502</w:t>
            </w:r>
          </w:p>
        </w:tc>
        <w:tc>
          <w:tcPr>
            <w:tcW w:w="100" w:type="dxa"/>
            <w:vAlign w:val="bottom"/>
          </w:tcPr>
          <w:p>
            <w:pPr>
              <w:spacing w:after="0"/>
              <w:rPr>
                <w:sz w:val="14"/>
                <w:szCs w:val="1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81,665</w:t>
            </w:r>
          </w:p>
        </w:tc>
        <w:tc>
          <w:tcPr>
            <w:tcW w:w="8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69,884</w:t>
            </w:r>
          </w:p>
        </w:tc>
        <w:tc>
          <w:tcPr>
            <w:tcW w:w="8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74,390</w:t>
            </w:r>
          </w:p>
        </w:tc>
        <w:tc>
          <w:tcPr>
            <w:tcW w:w="140" w:type="dxa"/>
            <w:vAlign w:val="bottom"/>
          </w:tcPr>
          <w:p>
            <w:pPr>
              <w:spacing w:after="0"/>
              <w:rPr>
                <w:sz w:val="14"/>
                <w:szCs w:val="1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43,706</w:t>
            </w:r>
          </w:p>
        </w:tc>
        <w:tc>
          <w:tcPr>
            <w:tcW w:w="10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67,973</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Income (loss) before</w:t>
            </w: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income and mining</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taxes</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88,555</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(960,375)</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146,718</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33,817</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6,315</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2,288</w:t>
            </w:r>
          </w:p>
        </w:tc>
        <w:tc>
          <w:tcPr>
            <w:tcW w:w="14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56,713</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20,909</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Income and mining</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taxes expense</w:t>
            </w: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(recovery)</w:t>
            </w:r>
          </w:p>
        </w:tc>
        <w:tc>
          <w:tcPr>
            <w:tcW w:w="80" w:type="dxa"/>
            <w:vAlign w:val="bottom"/>
          </w:tcPr>
          <w:p>
            <w:pPr>
              <w:spacing w:after="0"/>
              <w:rPr>
                <w:sz w:val="14"/>
                <w:szCs w:val="14"/>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13,637</w:t>
            </w:r>
          </w:p>
        </w:tc>
        <w:tc>
          <w:tcPr>
            <w:tcW w:w="80" w:type="dxa"/>
            <w:vAlign w:val="bottom"/>
          </w:tcPr>
          <w:p>
            <w:pPr>
              <w:spacing w:after="0"/>
              <w:rPr>
                <w:sz w:val="14"/>
                <w:szCs w:val="14"/>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(180,103)</w:t>
            </w:r>
          </w:p>
        </w:tc>
        <w:tc>
          <w:tcPr>
            <w:tcW w:w="16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49,573</w:t>
            </w:r>
          </w:p>
        </w:tc>
        <w:tc>
          <w:tcPr>
            <w:tcW w:w="100" w:type="dxa"/>
            <w:vAlign w:val="bottom"/>
          </w:tcPr>
          <w:p>
            <w:pPr>
              <w:spacing w:after="0"/>
              <w:rPr>
                <w:sz w:val="14"/>
                <w:szCs w:val="1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11,659</w:t>
            </w:r>
          </w:p>
        </w:tc>
        <w:tc>
          <w:tcPr>
            <w:tcW w:w="8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21,365</w:t>
            </w:r>
          </w:p>
        </w:tc>
        <w:tc>
          <w:tcPr>
            <w:tcW w:w="8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23,571</w:t>
            </w:r>
          </w:p>
        </w:tc>
        <w:tc>
          <w:tcPr>
            <w:tcW w:w="140" w:type="dxa"/>
            <w:vAlign w:val="bottom"/>
          </w:tcPr>
          <w:p>
            <w:pPr>
              <w:spacing w:after="0"/>
              <w:rPr>
                <w:sz w:val="14"/>
                <w:szCs w:val="1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27,970</w:t>
            </w:r>
          </w:p>
        </w:tc>
        <w:tc>
          <w:tcPr>
            <w:tcW w:w="10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10,826</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Net income (loss) for</w:t>
            </w: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the period</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74,918</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(780,272)</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97,145</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22,158</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(15,050)</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(21,283)</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28,743</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10,083</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Net income (loss) per</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440" w:type="dxa"/>
            <w:vAlign w:val="bottom"/>
            <w:gridSpan w:val="2"/>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5"/>
        </w:trPr>
        <w:tc>
          <w:tcPr>
            <w:tcW w:w="144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share — basic (US$)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0.43</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(4.49)</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0.56</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0.12</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20"/>
              <w:spacing w:after="0"/>
              <w:rPr>
                <w:sz w:val="20"/>
                <w:szCs w:val="20"/>
                <w:color w:val="auto"/>
              </w:rPr>
            </w:pPr>
            <w:r>
              <w:rPr>
                <w:rFonts w:ascii="Arial" w:cs="Arial" w:eastAsia="Arial" w:hAnsi="Arial"/>
                <w:sz w:val="13"/>
                <w:szCs w:val="13"/>
                <w:color w:val="auto"/>
              </w:rPr>
              <w:t>(0.07)</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20"/>
              <w:spacing w:after="0"/>
              <w:rPr>
                <w:sz w:val="20"/>
                <w:szCs w:val="20"/>
                <w:color w:val="auto"/>
              </w:rPr>
            </w:pPr>
            <w:r>
              <w:rPr>
                <w:rFonts w:ascii="Arial" w:cs="Arial" w:eastAsia="Arial" w:hAnsi="Arial"/>
                <w:sz w:val="13"/>
                <w:szCs w:val="13"/>
                <w:color w:val="auto"/>
              </w:rPr>
              <w:t>(0.10)</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0.13</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0.05</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Net income (loss) per</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share — diluted</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(US$)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0.43</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(4.49)</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0.56</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0.12</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(0.10)</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(0.12)</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0.13</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0.05</w:t>
            </w:r>
          </w:p>
        </w:tc>
        <w:tc>
          <w:tcPr>
            <w:tcW w:w="0" w:type="dxa"/>
            <w:vAlign w:val="bottom"/>
          </w:tcPr>
          <w:p>
            <w:pPr>
              <w:spacing w:after="0"/>
              <w:rPr>
                <w:sz w:val="1"/>
                <w:szCs w:val="1"/>
                <w:color w:val="auto"/>
              </w:rPr>
            </w:pPr>
          </w:p>
        </w:tc>
      </w:tr>
      <w:tr>
        <w:trPr>
          <w:trHeight w:val="315"/>
        </w:trPr>
        <w:tc>
          <w:tcPr>
            <w:tcW w:w="1440" w:type="dxa"/>
            <w:vAlign w:val="bottom"/>
            <w:gridSpan w:val="2"/>
          </w:tcPr>
          <w:p>
            <w:pPr>
              <w:spacing w:after="0"/>
              <w:rPr>
                <w:sz w:val="20"/>
                <w:szCs w:val="20"/>
                <w:color w:val="auto"/>
              </w:rPr>
            </w:pPr>
            <w:r>
              <w:rPr>
                <w:rFonts w:ascii="Arial" w:cs="Arial" w:eastAsia="Arial" w:hAnsi="Arial"/>
                <w:sz w:val="13"/>
                <w:szCs w:val="13"/>
                <w:b w:val="1"/>
                <w:bCs w:val="1"/>
                <w:color w:val="auto"/>
              </w:rPr>
              <w:t>Cash flows:</w:t>
            </w: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Cash provided by</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operating activities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88,365</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140,789</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250,396</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182,728</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71,244</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163,956</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143,455</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188,349</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Cash used in investing</w:t>
            </w: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activities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00"/>
              <w:spacing w:after="0"/>
              <w:rPr>
                <w:sz w:val="20"/>
                <w:szCs w:val="20"/>
                <w:color w:val="auto"/>
              </w:rPr>
            </w:pPr>
            <w:r>
              <w:rPr>
                <w:rFonts w:ascii="Arial" w:cs="Arial" w:eastAsia="Arial" w:hAnsi="Arial"/>
                <w:sz w:val="13"/>
                <w:szCs w:val="13"/>
                <w:color w:val="auto"/>
              </w:rPr>
              <w:t>(153,012)</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(143,928)</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(108,288)</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20"/>
              <w:spacing w:after="0"/>
              <w:rPr>
                <w:sz w:val="20"/>
                <w:szCs w:val="20"/>
                <w:color w:val="auto"/>
              </w:rPr>
            </w:pPr>
            <w:r>
              <w:rPr>
                <w:rFonts w:ascii="Arial" w:cs="Arial" w:eastAsia="Arial" w:hAnsi="Arial"/>
                <w:sz w:val="13"/>
                <w:szCs w:val="13"/>
                <w:color w:val="auto"/>
              </w:rPr>
              <w:t>(488,543)</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20"/>
              <w:spacing w:after="0"/>
              <w:rPr>
                <w:sz w:val="20"/>
                <w:szCs w:val="20"/>
                <w:color w:val="auto"/>
              </w:rPr>
            </w:pPr>
            <w:r>
              <w:rPr>
                <w:rFonts w:ascii="Arial" w:cs="Arial" w:eastAsia="Arial" w:hAnsi="Arial"/>
                <w:sz w:val="13"/>
                <w:szCs w:val="13"/>
                <w:color w:val="auto"/>
              </w:rPr>
              <w:t>(131,662)</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20"/>
              <w:spacing w:after="0"/>
              <w:rPr>
                <w:sz w:val="20"/>
                <w:szCs w:val="20"/>
                <w:color w:val="auto"/>
              </w:rPr>
            </w:pPr>
            <w:r>
              <w:rPr>
                <w:rFonts w:ascii="Arial" w:cs="Arial" w:eastAsia="Arial" w:hAnsi="Arial"/>
                <w:sz w:val="13"/>
                <w:szCs w:val="13"/>
                <w:color w:val="auto"/>
              </w:rPr>
              <w:t>(123,126)</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00"/>
              <w:spacing w:after="0"/>
              <w:rPr>
                <w:sz w:val="20"/>
                <w:szCs w:val="20"/>
                <w:color w:val="auto"/>
              </w:rPr>
            </w:pPr>
            <w:r>
              <w:rPr>
                <w:rFonts w:ascii="Arial" w:cs="Arial" w:eastAsia="Arial" w:hAnsi="Arial"/>
                <w:sz w:val="13"/>
                <w:szCs w:val="13"/>
                <w:color w:val="auto"/>
              </w:rPr>
              <w:t>(53,892)</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00"/>
              <w:spacing w:after="0"/>
              <w:rPr>
                <w:sz w:val="20"/>
                <w:szCs w:val="20"/>
                <w:color w:val="auto"/>
              </w:rPr>
            </w:pPr>
            <w:r>
              <w:rPr>
                <w:rFonts w:ascii="Arial" w:cs="Arial" w:eastAsia="Arial" w:hAnsi="Arial"/>
                <w:sz w:val="13"/>
                <w:szCs w:val="13"/>
                <w:color w:val="auto"/>
              </w:rPr>
              <w:t>(104,476)</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Cash provided by (used</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in) financing</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activities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68,745</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30,811</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(98,087)</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381,951</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(35,943)</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(18,685)</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(123,182)</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(64,514)</w:t>
            </w:r>
          </w:p>
        </w:tc>
        <w:tc>
          <w:tcPr>
            <w:tcW w:w="0" w:type="dxa"/>
            <w:vAlign w:val="bottom"/>
          </w:tcPr>
          <w:p>
            <w:pPr>
              <w:spacing w:after="0"/>
              <w:rPr>
                <w:sz w:val="1"/>
                <w:szCs w:val="1"/>
                <w:color w:val="auto"/>
              </w:rPr>
            </w:pPr>
          </w:p>
        </w:tc>
      </w:tr>
      <w:tr>
        <w:trPr>
          <w:trHeight w:val="105"/>
        </w:trPr>
        <w:tc>
          <w:tcPr>
            <w:tcW w:w="780" w:type="dxa"/>
            <w:vAlign w:val="bottom"/>
            <w:tcBorders>
              <w:bottom w:val="single" w:sz="8" w:color="auto"/>
            </w:tcBorders>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540" w:hanging="533"/>
        <w:spacing w:after="0"/>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Operating margin is calculated as revenues from mining operations less production costs.</w:t>
      </w:r>
    </w:p>
    <w:p>
      <w:pPr>
        <w:spacing w:after="0" w:line="125" w:lineRule="exact"/>
        <w:rPr>
          <w:rFonts w:ascii="Arial" w:cs="Arial" w:eastAsia="Arial" w:hAnsi="Arial"/>
          <w:sz w:val="13"/>
          <w:szCs w:val="13"/>
          <w:color w:val="auto"/>
        </w:rPr>
      </w:pPr>
    </w:p>
    <w:p>
      <w:pPr>
        <w:ind w:left="540" w:hanging="533"/>
        <w:spacing w:after="0"/>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Goldex mine's M and E Zones achieved commercial production on October 1, 2013.</w:t>
      </w:r>
    </w:p>
    <w:p>
      <w:pPr>
        <w:spacing w:after="0" w:line="125" w:lineRule="exact"/>
        <w:rPr>
          <w:rFonts w:ascii="Arial" w:cs="Arial" w:eastAsia="Arial" w:hAnsi="Arial"/>
          <w:sz w:val="13"/>
          <w:szCs w:val="13"/>
          <w:color w:val="auto"/>
        </w:rPr>
      </w:pPr>
    </w:p>
    <w:p>
      <w:pPr>
        <w:jc w:val="both"/>
        <w:ind w:left="540" w:hanging="533"/>
        <w:spacing w:after="0" w:line="243" w:lineRule="auto"/>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On June 16, 2014, Agnico Eagle and Yamana jointly acquired 100.0% of Osisko by way of the Arrangement. As a result of the Arrangement, Agnico Eagle and Yamana each indirectly own 50.0% of Osisko (now Canadian Malartic Corporation) and Canadian Malartic GP, which now holds the Canadian Malartic mine. The information set out in this table reflects the Company's 50.0% interest in the Canadian Malartic mine since the date of acquisition.</w:t>
      </w:r>
    </w:p>
    <w:p>
      <w:pPr>
        <w:spacing w:after="0" w:line="109" w:lineRule="exact"/>
        <w:rPr>
          <w:rFonts w:ascii="Arial" w:cs="Arial" w:eastAsia="Arial" w:hAnsi="Arial"/>
          <w:sz w:val="13"/>
          <w:szCs w:val="13"/>
          <w:color w:val="auto"/>
        </w:rPr>
      </w:pPr>
    </w:p>
    <w:p>
      <w:pPr>
        <w:ind w:left="540" w:hanging="533"/>
        <w:spacing w:after="0"/>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La India mine achieved commercial production on February 1, 2014.</w:t>
      </w:r>
    </w:p>
    <w:p>
      <w:pPr>
        <w:spacing w:after="0" w:line="205" w:lineRule="exact"/>
        <w:rPr>
          <w:sz w:val="20"/>
          <w:szCs w:val="20"/>
          <w:color w:val="auto"/>
        </w:rPr>
      </w:pPr>
    </w:p>
    <w:p>
      <w:pPr>
        <w:ind w:left="4480"/>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sectPr>
      </w:pPr>
    </w:p>
    <w:bookmarkStart w:id="39" w:name="page40"/>
    <w:bookmarkEnd w:id="39"/>
    <w:p>
      <w:pPr>
        <w:jc w:val="center"/>
        <w:ind w:right="114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CONDENSED INTERIM CONSOLIDATED BALANCE SHEETS</w:t>
      </w:r>
    </w:p>
    <w:p>
      <w:pPr>
        <w:spacing w:after="0" w:line="1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(thousands of United States dollars, except share amounts)</w:t>
      </w:r>
    </w:p>
    <w:p>
      <w:pPr>
        <w:spacing w:after="0" w:line="1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(Unaudited)</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140" w:type="dxa"/>
            <w:vAlign w:val="bottom"/>
          </w:tcPr>
          <w:p>
            <w:pPr>
              <w:spacing w:after="0"/>
              <w:rPr>
                <w:sz w:val="13"/>
                <w:szCs w:val="13"/>
                <w:color w:val="auto"/>
              </w:rPr>
            </w:pPr>
          </w:p>
        </w:tc>
        <w:tc>
          <w:tcPr>
            <w:tcW w:w="58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7"/>
              </w:rPr>
              <w:t>As at</w:t>
            </w:r>
          </w:p>
        </w:tc>
        <w:tc>
          <w:tcPr>
            <w:tcW w:w="100" w:type="dxa"/>
            <w:vAlign w:val="bottom"/>
          </w:tcPr>
          <w:p>
            <w:pPr>
              <w:spacing w:after="0"/>
              <w:rPr>
                <w:sz w:val="13"/>
                <w:szCs w:val="13"/>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4"/>
              </w:rPr>
              <w:t>As at</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5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June 30,</w:t>
            </w:r>
          </w:p>
        </w:tc>
        <w:tc>
          <w:tcPr>
            <w:tcW w:w="100" w:type="dxa"/>
            <w:vAlign w:val="bottom"/>
          </w:tcPr>
          <w:p>
            <w:pPr>
              <w:spacing w:after="0"/>
              <w:rPr>
                <w:sz w:val="12"/>
                <w:szCs w:val="12"/>
                <w:color w:val="auto"/>
              </w:rPr>
            </w:pPr>
          </w:p>
        </w:tc>
        <w:tc>
          <w:tcPr>
            <w:tcW w:w="98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89"/>
              </w:rPr>
              <w:t>December 31,</w:t>
            </w:r>
          </w:p>
        </w:tc>
        <w:tc>
          <w:tcPr>
            <w:tcW w:w="0" w:type="dxa"/>
            <w:vAlign w:val="bottom"/>
          </w:tcPr>
          <w:p>
            <w:pPr>
              <w:spacing w:after="0"/>
              <w:rPr>
                <w:sz w:val="1"/>
                <w:szCs w:val="1"/>
                <w:color w:val="auto"/>
              </w:rPr>
            </w:pPr>
          </w:p>
        </w:tc>
      </w:tr>
      <w:tr>
        <w:trPr>
          <w:trHeight w:val="170"/>
        </w:trPr>
        <w:tc>
          <w:tcPr>
            <w:tcW w:w="1140" w:type="dxa"/>
            <w:vAlign w:val="bottom"/>
          </w:tcPr>
          <w:p>
            <w:pPr>
              <w:spacing w:after="0"/>
              <w:rPr>
                <w:sz w:val="14"/>
                <w:szCs w:val="14"/>
                <w:color w:val="auto"/>
              </w:rPr>
            </w:pPr>
          </w:p>
        </w:tc>
        <w:tc>
          <w:tcPr>
            <w:tcW w:w="5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jc w:val="center"/>
              <w:ind w:right="36"/>
              <w:spacing w:after="0"/>
              <w:rPr>
                <w:sz w:val="20"/>
                <w:szCs w:val="20"/>
                <w:color w:val="auto"/>
              </w:rPr>
            </w:pPr>
            <w:r>
              <w:rPr>
                <w:rFonts w:ascii="Arial" w:cs="Arial" w:eastAsia="Arial" w:hAnsi="Arial"/>
                <w:sz w:val="13"/>
                <w:szCs w:val="13"/>
                <w:b w:val="1"/>
                <w:bCs w:val="1"/>
                <w:color w:val="auto"/>
                <w:w w:val="89"/>
              </w:rPr>
              <w:t>2015</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2"/>
          </w:tcPr>
          <w:p>
            <w:pPr>
              <w:jc w:val="center"/>
              <w:ind w:right="220"/>
              <w:spacing w:after="0" w:line="171" w:lineRule="exact"/>
              <w:rPr>
                <w:sz w:val="20"/>
                <w:szCs w:val="20"/>
                <w:color w:val="auto"/>
              </w:rPr>
            </w:pPr>
            <w:r>
              <w:rPr>
                <w:rFonts w:ascii="Arial" w:cs="Arial" w:eastAsia="Arial" w:hAnsi="Arial"/>
                <w:sz w:val="12"/>
                <w:szCs w:val="12"/>
                <w:b w:val="1"/>
                <w:bCs w:val="1"/>
                <w:color w:val="auto"/>
                <w:w w:val="93"/>
              </w:rPr>
              <w:t>2014</w:t>
            </w:r>
            <w:r>
              <w:rPr>
                <w:rFonts w:ascii="Arial" w:cs="Arial" w:eastAsia="Arial" w:hAnsi="Arial"/>
                <w:sz w:val="19"/>
                <w:szCs w:val="19"/>
                <w:b w:val="1"/>
                <w:bCs w:val="1"/>
                <w:color w:val="auto"/>
                <w:w w:val="93"/>
                <w:vertAlign w:val="superscript"/>
              </w:rPr>
              <w:t>(i)</w:t>
            </w:r>
          </w:p>
        </w:tc>
        <w:tc>
          <w:tcPr>
            <w:tcW w:w="0" w:type="dxa"/>
            <w:vAlign w:val="bottom"/>
          </w:tcPr>
          <w:p>
            <w:pPr>
              <w:spacing w:after="0"/>
              <w:rPr>
                <w:sz w:val="1"/>
                <w:szCs w:val="1"/>
                <w:color w:val="auto"/>
              </w:rPr>
            </w:pPr>
          </w:p>
        </w:tc>
      </w:tr>
      <w:tr>
        <w:trPr>
          <w:trHeight w:val="203"/>
        </w:trPr>
        <w:tc>
          <w:tcPr>
            <w:tcW w:w="700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ASSETS</w:t>
            </w:r>
          </w:p>
        </w:tc>
        <w:tc>
          <w:tcPr>
            <w:tcW w:w="14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000" w:type="dxa"/>
            <w:vAlign w:val="bottom"/>
            <w:gridSpan w:val="2"/>
          </w:tcPr>
          <w:p>
            <w:pPr>
              <w:ind w:left="20"/>
              <w:spacing w:after="0"/>
              <w:rPr>
                <w:sz w:val="20"/>
                <w:szCs w:val="20"/>
                <w:color w:val="auto"/>
              </w:rPr>
            </w:pPr>
            <w:r>
              <w:rPr>
                <w:rFonts w:ascii="Arial" w:cs="Arial" w:eastAsia="Arial" w:hAnsi="Arial"/>
                <w:sz w:val="17"/>
                <w:szCs w:val="17"/>
                <w:color w:val="auto"/>
              </w:rPr>
              <w:t>Current assets:</w:t>
            </w: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Cash and cash equivalents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158,331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177,537</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Short-term investments</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5,669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4,621</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Restricted cash</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19,939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33,122</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Trade receivables (note 6)</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61,195</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59,716</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Inventories (note 7)</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439,875</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446,660</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Income taxes recoverable</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11,838</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1,658</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Available-for-sale securities (notes 6 and 8)</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46,029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56,468</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Fair value of derivative financial instruments (notes 6 and 13)</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899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4,877</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Other current assets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146,529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123,401</w:t>
            </w:r>
          </w:p>
        </w:tc>
        <w:tc>
          <w:tcPr>
            <w:tcW w:w="0" w:type="dxa"/>
            <w:vAlign w:val="bottom"/>
          </w:tcPr>
          <w:p>
            <w:pPr>
              <w:spacing w:after="0"/>
              <w:rPr>
                <w:sz w:val="1"/>
                <w:szCs w:val="1"/>
                <w:color w:val="auto"/>
              </w:rPr>
            </w:pPr>
          </w:p>
        </w:tc>
      </w:tr>
      <w:tr>
        <w:trPr>
          <w:trHeight w:val="26"/>
        </w:trPr>
        <w:tc>
          <w:tcPr>
            <w:tcW w:w="7000" w:type="dxa"/>
            <w:vAlign w:val="bottom"/>
            <w:gridSpan w:val="2"/>
            <w:vMerge w:val="restart"/>
          </w:tcPr>
          <w:p>
            <w:pPr>
              <w:ind w:left="20"/>
              <w:spacing w:after="0"/>
              <w:rPr>
                <w:sz w:val="20"/>
                <w:szCs w:val="20"/>
                <w:color w:val="auto"/>
              </w:rPr>
            </w:pPr>
            <w:r>
              <w:rPr>
                <w:rFonts w:ascii="Arial" w:cs="Arial" w:eastAsia="Arial" w:hAnsi="Arial"/>
                <w:sz w:val="17"/>
                <w:szCs w:val="17"/>
                <w:color w:val="auto"/>
              </w:rPr>
              <w:t>Total current assets</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7000" w:type="dxa"/>
            <w:vAlign w:val="bottom"/>
            <w:gridSpan w:val="2"/>
            <w:vMerge w:val="continue"/>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rPr>
              <w:t>890,304</w:t>
            </w:r>
          </w:p>
        </w:tc>
        <w:tc>
          <w:tcPr>
            <w:tcW w:w="1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908,060</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Non-current assets:</w:t>
            </w: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Restricted cash</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19,436</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20,899</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Goodwill (note 5)</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696,809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696,809</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Property, plant and mine development (note 9)</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w w:val="97"/>
              </w:rPr>
              <w:t>5,120,069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5,155,865</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Other assets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23,197</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27,622</w:t>
            </w:r>
          </w:p>
        </w:tc>
        <w:tc>
          <w:tcPr>
            <w:tcW w:w="0" w:type="dxa"/>
            <w:vAlign w:val="bottom"/>
          </w:tcPr>
          <w:p>
            <w:pPr>
              <w:spacing w:after="0"/>
              <w:rPr>
                <w:sz w:val="1"/>
                <w:szCs w:val="1"/>
                <w:color w:val="auto"/>
              </w:rPr>
            </w:pPr>
          </w:p>
        </w:tc>
      </w:tr>
      <w:tr>
        <w:trPr>
          <w:trHeight w:val="26"/>
        </w:trPr>
        <w:tc>
          <w:tcPr>
            <w:tcW w:w="7000" w:type="dxa"/>
            <w:vAlign w:val="bottom"/>
            <w:gridSpan w:val="2"/>
            <w:vMerge w:val="restart"/>
          </w:tcPr>
          <w:p>
            <w:pPr>
              <w:ind w:left="20"/>
              <w:spacing w:after="0"/>
              <w:rPr>
                <w:sz w:val="20"/>
                <w:szCs w:val="20"/>
                <w:color w:val="auto"/>
              </w:rPr>
            </w:pPr>
            <w:r>
              <w:rPr>
                <w:rFonts w:ascii="Arial" w:cs="Arial" w:eastAsia="Arial" w:hAnsi="Arial"/>
                <w:sz w:val="17"/>
                <w:szCs w:val="17"/>
                <w:color w:val="auto"/>
              </w:rPr>
              <w:t>Total assets</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gridSpan w:val="2"/>
            <w:vMerge w:val="continue"/>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95"/>
              </w:rPr>
              <w:t>6,749,815</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6,809,255</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700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LIABILITIES AND EQUITY</w:t>
            </w: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7000" w:type="dxa"/>
            <w:vAlign w:val="bottom"/>
            <w:gridSpan w:val="2"/>
          </w:tcPr>
          <w:p>
            <w:pPr>
              <w:ind w:left="20"/>
              <w:spacing w:after="0"/>
              <w:rPr>
                <w:sz w:val="20"/>
                <w:szCs w:val="20"/>
                <w:color w:val="auto"/>
              </w:rPr>
            </w:pPr>
            <w:r>
              <w:rPr>
                <w:rFonts w:ascii="Arial" w:cs="Arial" w:eastAsia="Arial" w:hAnsi="Arial"/>
                <w:sz w:val="17"/>
                <w:szCs w:val="17"/>
                <w:color w:val="auto"/>
              </w:rPr>
              <w:t>Current liabilities:</w:t>
            </w: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Accounts payable and accrued liabilities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232,674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209,906</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Reclamation provision</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7,666</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6,769</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Interest payable</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13,611</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13,816</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Income taxes payable</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18,488</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19,328</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Finance lease obligations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15,218</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22,142</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Current portion of long-term debt (note 10)</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16,033</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52,182</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Fair value of derivative financial instruments (notes 6 and 13)</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12,796</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8,249</w:t>
            </w:r>
          </w:p>
        </w:tc>
        <w:tc>
          <w:tcPr>
            <w:tcW w:w="0" w:type="dxa"/>
            <w:vAlign w:val="bottom"/>
          </w:tcPr>
          <w:p>
            <w:pPr>
              <w:spacing w:after="0"/>
              <w:rPr>
                <w:sz w:val="1"/>
                <w:szCs w:val="1"/>
                <w:color w:val="auto"/>
              </w:rPr>
            </w:pPr>
          </w:p>
        </w:tc>
      </w:tr>
      <w:tr>
        <w:trPr>
          <w:trHeight w:val="26"/>
        </w:trPr>
        <w:tc>
          <w:tcPr>
            <w:tcW w:w="7000" w:type="dxa"/>
            <w:vAlign w:val="bottom"/>
            <w:gridSpan w:val="2"/>
            <w:vMerge w:val="restart"/>
          </w:tcPr>
          <w:p>
            <w:pPr>
              <w:ind w:left="20"/>
              <w:spacing w:after="0"/>
              <w:rPr>
                <w:sz w:val="20"/>
                <w:szCs w:val="20"/>
                <w:color w:val="auto"/>
              </w:rPr>
            </w:pPr>
            <w:r>
              <w:rPr>
                <w:rFonts w:ascii="Arial" w:cs="Arial" w:eastAsia="Arial" w:hAnsi="Arial"/>
                <w:sz w:val="17"/>
                <w:szCs w:val="17"/>
                <w:color w:val="auto"/>
              </w:rPr>
              <w:t>Total current liabilities</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gridSpan w:val="2"/>
            <w:vMerge w:val="continue"/>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316,486</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332,392</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Non-current liabilities:</w:t>
            </w: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Long-term debt (note 10)</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w w:val="97"/>
              </w:rPr>
              <w:t>1,180,326</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1,322,461</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Reclamation provision</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246,572</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249,917</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Deferred income and mining tax liabilities</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802,261</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797,192</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Other liabilities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44,401</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38,803</w:t>
            </w:r>
          </w:p>
        </w:tc>
        <w:tc>
          <w:tcPr>
            <w:tcW w:w="0" w:type="dxa"/>
            <w:vAlign w:val="bottom"/>
          </w:tcPr>
          <w:p>
            <w:pPr>
              <w:spacing w:after="0"/>
              <w:rPr>
                <w:sz w:val="1"/>
                <w:szCs w:val="1"/>
                <w:color w:val="auto"/>
              </w:rPr>
            </w:pPr>
          </w:p>
        </w:tc>
      </w:tr>
      <w:tr>
        <w:trPr>
          <w:trHeight w:val="26"/>
        </w:trPr>
        <w:tc>
          <w:tcPr>
            <w:tcW w:w="7000" w:type="dxa"/>
            <w:vAlign w:val="bottom"/>
            <w:gridSpan w:val="2"/>
            <w:vMerge w:val="restart"/>
          </w:tcPr>
          <w:p>
            <w:pPr>
              <w:ind w:left="20"/>
              <w:spacing w:after="0"/>
              <w:rPr>
                <w:sz w:val="20"/>
                <w:szCs w:val="20"/>
                <w:color w:val="auto"/>
              </w:rPr>
            </w:pPr>
            <w:r>
              <w:rPr>
                <w:rFonts w:ascii="Arial" w:cs="Arial" w:eastAsia="Arial" w:hAnsi="Arial"/>
                <w:sz w:val="17"/>
                <w:szCs w:val="17"/>
                <w:color w:val="auto"/>
              </w:rPr>
              <w:t>Total liabilities</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gridSpan w:val="2"/>
            <w:vMerge w:val="continue"/>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95"/>
              </w:rPr>
              <w:t>2,590,046</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2,740,765</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9"/>
        </w:trPr>
        <w:tc>
          <w:tcPr>
            <w:tcW w:w="700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EQUITY</w:t>
            </w: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Common shares (note 11):</w:t>
            </w: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Outstanding — 217,377,496 common shares issued, less 344,510 shares held in trust</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w w:val="97"/>
              </w:rPr>
              <w:t>4,685,089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4,599,788</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Stock options (notes 11 and 12)</w:t>
            </w:r>
          </w:p>
        </w:tc>
        <w:tc>
          <w:tcPr>
            <w:tcW w:w="14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209,529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200,830</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Contributed surplus</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37,254</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37,254</w:t>
            </w:r>
          </w:p>
        </w:tc>
        <w:tc>
          <w:tcPr>
            <w:tcW w:w="0" w:type="dxa"/>
            <w:vAlign w:val="bottom"/>
          </w:tcPr>
          <w:p>
            <w:pPr>
              <w:spacing w:after="0"/>
              <w:rPr>
                <w:sz w:val="1"/>
                <w:szCs w:val="1"/>
                <w:color w:val="auto"/>
              </w:rPr>
            </w:pPr>
          </w:p>
        </w:tc>
      </w:tr>
      <w:tr>
        <w:trPr>
          <w:trHeight w:val="210"/>
        </w:trPr>
        <w:tc>
          <w:tcPr>
            <w:tcW w:w="7000" w:type="dxa"/>
            <w:vAlign w:val="bottom"/>
            <w:gridSpan w:val="2"/>
          </w:tcPr>
          <w:p>
            <w:pPr>
              <w:ind w:left="180"/>
              <w:spacing w:after="0"/>
              <w:rPr>
                <w:sz w:val="20"/>
                <w:szCs w:val="20"/>
                <w:color w:val="auto"/>
              </w:rPr>
            </w:pPr>
            <w:r>
              <w:rPr>
                <w:rFonts w:ascii="Arial" w:cs="Arial" w:eastAsia="Arial" w:hAnsi="Arial"/>
                <w:sz w:val="17"/>
                <w:szCs w:val="17"/>
                <w:color w:val="auto"/>
              </w:rPr>
              <w:t>Deficit</w:t>
            </w:r>
          </w:p>
        </w:tc>
        <w:tc>
          <w:tcPr>
            <w:tcW w:w="1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(775,073)</w:t>
            </w: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7"/>
                <w:szCs w:val="17"/>
                <w:color w:val="auto"/>
              </w:rPr>
              <w:t>(779,382)</w:t>
            </w: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Accumulated other comprehensive income</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2,970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10,000</w:t>
            </w:r>
          </w:p>
        </w:tc>
        <w:tc>
          <w:tcPr>
            <w:tcW w:w="0" w:type="dxa"/>
            <w:vAlign w:val="bottom"/>
          </w:tcPr>
          <w:p>
            <w:pPr>
              <w:spacing w:after="0"/>
              <w:rPr>
                <w:sz w:val="1"/>
                <w:szCs w:val="1"/>
                <w:color w:val="auto"/>
              </w:rPr>
            </w:pPr>
          </w:p>
        </w:tc>
      </w:tr>
      <w:tr>
        <w:trPr>
          <w:trHeight w:val="26"/>
        </w:trPr>
        <w:tc>
          <w:tcPr>
            <w:tcW w:w="7000" w:type="dxa"/>
            <w:vAlign w:val="bottom"/>
            <w:gridSpan w:val="2"/>
            <w:vMerge w:val="restart"/>
          </w:tcPr>
          <w:p>
            <w:pPr>
              <w:ind w:left="20"/>
              <w:spacing w:after="0"/>
              <w:rPr>
                <w:sz w:val="20"/>
                <w:szCs w:val="20"/>
                <w:color w:val="auto"/>
              </w:rPr>
            </w:pPr>
            <w:r>
              <w:rPr>
                <w:rFonts w:ascii="Arial" w:cs="Arial" w:eastAsia="Arial" w:hAnsi="Arial"/>
                <w:sz w:val="17"/>
                <w:szCs w:val="17"/>
                <w:color w:val="auto"/>
              </w:rPr>
              <w:t>Total equity</w:t>
            </w:r>
          </w:p>
        </w:tc>
        <w:tc>
          <w:tcPr>
            <w:tcW w:w="14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gridSpan w:val="2"/>
            <w:vMerge w:val="continue"/>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95"/>
              </w:rPr>
              <w:t>4,159,769</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4,068,490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0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Total liabilities and equity</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w w:val="97"/>
              </w:rPr>
              <w:t>6,749,815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6,809,255</w:t>
            </w:r>
          </w:p>
        </w:tc>
        <w:tc>
          <w:tcPr>
            <w:tcW w:w="0" w:type="dxa"/>
            <w:vAlign w:val="bottom"/>
          </w:tcPr>
          <w:p>
            <w:pPr>
              <w:spacing w:after="0"/>
              <w:rPr>
                <w:sz w:val="1"/>
                <w:szCs w:val="1"/>
                <w:color w:val="auto"/>
              </w:rPr>
            </w:pPr>
          </w:p>
        </w:tc>
      </w:tr>
      <w:tr>
        <w:trPr>
          <w:trHeight w:val="26"/>
        </w:trPr>
        <w:tc>
          <w:tcPr>
            <w:tcW w:w="7000" w:type="dxa"/>
            <w:vAlign w:val="bottom"/>
            <w:gridSpan w:val="2"/>
            <w:vMerge w:val="restart"/>
          </w:tcPr>
          <w:p>
            <w:pPr>
              <w:ind w:left="20"/>
              <w:spacing w:after="0"/>
              <w:rPr>
                <w:sz w:val="20"/>
                <w:szCs w:val="20"/>
                <w:color w:val="auto"/>
              </w:rPr>
            </w:pPr>
            <w:r>
              <w:rPr>
                <w:rFonts w:ascii="Arial" w:cs="Arial" w:eastAsia="Arial" w:hAnsi="Arial"/>
                <w:sz w:val="17"/>
                <w:szCs w:val="17"/>
                <w:color w:val="auto"/>
              </w:rPr>
              <w:t>Commitments and contingencies (note 15)</w:t>
            </w: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000" w:type="dxa"/>
            <w:vAlign w:val="bottom"/>
            <w:gridSpan w:val="2"/>
            <w:vMerge w:val="continue"/>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7"/>
        </w:trPr>
        <w:tc>
          <w:tcPr>
            <w:tcW w:w="700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7"/>
        </w:trPr>
        <w:tc>
          <w:tcPr>
            <w:tcW w:w="1140" w:type="dxa"/>
            <w:vAlign w:val="bottom"/>
            <w:tcBorders>
              <w:bottom w:val="single" w:sz="8" w:color="auto"/>
            </w:tcBorders>
          </w:tcPr>
          <w:p>
            <w:pPr>
              <w:spacing w:after="0"/>
              <w:rPr>
                <w:sz w:val="9"/>
                <w:szCs w:val="9"/>
                <w:color w:val="auto"/>
              </w:rPr>
            </w:pPr>
          </w:p>
        </w:tc>
        <w:tc>
          <w:tcPr>
            <w:tcW w:w="5860" w:type="dxa"/>
            <w:vAlign w:val="bottom"/>
          </w:tcPr>
          <w:p>
            <w:pPr>
              <w:spacing w:after="0"/>
              <w:rPr>
                <w:sz w:val="9"/>
                <w:szCs w:val="9"/>
                <w:color w:val="auto"/>
              </w:rPr>
            </w:pPr>
          </w:p>
        </w:tc>
        <w:tc>
          <w:tcPr>
            <w:tcW w:w="140" w:type="dxa"/>
            <w:vAlign w:val="bottom"/>
          </w:tcPr>
          <w:p>
            <w:pPr>
              <w:spacing w:after="0"/>
              <w:rPr>
                <w:sz w:val="9"/>
                <w:szCs w:val="9"/>
                <w:color w:val="auto"/>
              </w:rPr>
            </w:pPr>
          </w:p>
        </w:tc>
        <w:tc>
          <w:tcPr>
            <w:tcW w:w="7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w:t>
      </w:r>
    </w:p>
    <w:p>
      <w:pPr>
        <w:spacing w:after="0" w:line="191" w:lineRule="exact"/>
        <w:rPr>
          <w:sz w:val="20"/>
          <w:szCs w:val="20"/>
          <w:color w:val="auto"/>
        </w:rPr>
      </w:pPr>
    </w:p>
    <w:p>
      <w:pPr>
        <w:ind w:left="540" w:hanging="533"/>
        <w:spacing w:after="0" w:line="256" w:lineRule="auto"/>
        <w:tabs>
          <w:tab w:leader="none" w:pos="540" w:val="left"/>
        </w:tabs>
        <w:numPr>
          <w:ilvl w:val="0"/>
          <w:numId w:val="7"/>
        </w:numPr>
        <w:rPr>
          <w:rFonts w:ascii="Arial" w:cs="Arial" w:eastAsia="Arial" w:hAnsi="Arial"/>
          <w:sz w:val="13"/>
          <w:szCs w:val="13"/>
          <w:color w:val="auto"/>
        </w:rPr>
      </w:pPr>
      <w:r>
        <w:rPr>
          <w:rFonts w:ascii="Arial" w:cs="Arial" w:eastAsia="Arial" w:hAnsi="Arial"/>
          <w:sz w:val="13"/>
          <w:szCs w:val="13"/>
          <w:color w:val="auto"/>
        </w:rPr>
        <w:t>As set out in note 5, certain previously reported December 31, 2014 consolidated balance sheet line items have been updated to reflect adjusted final estimates of fair value related to the June 16, 2014 joint acquisition of Osisko.</w:t>
      </w:r>
    </w:p>
    <w:p>
      <w:pPr>
        <w:spacing w:after="0" w:line="180" w:lineRule="exact"/>
        <w:rPr>
          <w:sz w:val="20"/>
          <w:szCs w:val="20"/>
          <w:color w:val="auto"/>
        </w:rPr>
      </w:pPr>
    </w:p>
    <w:p>
      <w:pPr>
        <w:ind w:left="3740"/>
        <w:spacing w:after="0"/>
        <w:rPr>
          <w:sz w:val="20"/>
          <w:szCs w:val="20"/>
          <w:color w:val="auto"/>
        </w:rPr>
      </w:pPr>
      <w:r>
        <w:rPr>
          <w:rFonts w:ascii="Arial" w:cs="Arial" w:eastAsia="Arial" w:hAnsi="Arial"/>
          <w:sz w:val="17"/>
          <w:szCs w:val="17"/>
          <w:i w:val="1"/>
          <w:iCs w:val="1"/>
          <w:color w:val="auto"/>
        </w:rPr>
        <w:t>See accompanying notes</w:t>
      </w:r>
    </w:p>
    <w:p>
      <w:pPr>
        <w:sectPr>
          <w:pgSz w:w="11900" w:h="16838" w:orient="portrait"/>
          <w:cols w:equalWidth="0" w:num="1">
            <w:col w:w="10280"/>
          </w:cols>
          <w:pgMar w:left="1380" w:top="337" w:right="239" w:bottom="1440" w:gutter="0" w:footer="0" w:header="0"/>
        </w:sectPr>
      </w:pPr>
    </w:p>
    <w:p>
      <w:pPr>
        <w:spacing w:after="0" w:line="224" w:lineRule="exact"/>
        <w:rPr>
          <w:sz w:val="20"/>
          <w:szCs w:val="20"/>
          <w:color w:val="auto"/>
        </w:rPr>
      </w:pPr>
    </w:p>
    <w:p>
      <w:pPr>
        <w:ind w:left="4480"/>
        <w:spacing w:after="0"/>
        <w:rPr>
          <w:sz w:val="20"/>
          <w:szCs w:val="20"/>
          <w:color w:val="auto"/>
        </w:rPr>
      </w:pPr>
      <w:r>
        <w:rPr>
          <w:rFonts w:ascii="Arial" w:cs="Arial" w:eastAsia="Arial" w:hAnsi="Arial"/>
          <w:sz w:val="16"/>
          <w:szCs w:val="16"/>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153035</wp:posOffset>
            </wp:positionV>
            <wp:extent cx="7254875" cy="209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type w:val="continuous"/>
        </w:sectPr>
      </w:pPr>
    </w:p>
    <w:bookmarkStart w:id="40" w:name="page41"/>
    <w:bookmarkEnd w:id="40"/>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INTERIM CONSOLIDATED STATEMENTS OF INCOME AND</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COMPREHENSIVE INCOME</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(thousands of United States dollars, except per share amounts)</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(Unaudited)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80" w:type="dxa"/>
            <w:vAlign w:val="bottom"/>
            <w:gridSpan w:val="6"/>
          </w:tcPr>
          <w:p>
            <w:pPr>
              <w:jc w:val="right"/>
              <w:ind w:right="400"/>
              <w:spacing w:after="0"/>
              <w:rPr>
                <w:sz w:val="20"/>
                <w:szCs w:val="20"/>
                <w:color w:val="auto"/>
              </w:rPr>
            </w:pPr>
            <w:r>
              <w:rPr>
                <w:rFonts w:ascii="Arial" w:cs="Arial" w:eastAsia="Arial" w:hAnsi="Arial"/>
                <w:sz w:val="13"/>
                <w:szCs w:val="13"/>
                <w:b w:val="1"/>
                <w:bCs w:val="1"/>
                <w:color w:val="auto"/>
                <w:w w:val="97"/>
              </w:rPr>
              <w:t>Three Months Ended</w:t>
            </w:r>
          </w:p>
        </w:tc>
        <w:tc>
          <w:tcPr>
            <w:tcW w:w="140" w:type="dxa"/>
            <w:vAlign w:val="bottom"/>
          </w:tcPr>
          <w:p>
            <w:pPr>
              <w:spacing w:after="0"/>
              <w:rPr>
                <w:sz w:val="13"/>
                <w:szCs w:val="13"/>
                <w:color w:val="auto"/>
              </w:rPr>
            </w:pPr>
          </w:p>
        </w:tc>
        <w:tc>
          <w:tcPr>
            <w:tcW w:w="168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432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gridSpan w:val="4"/>
          </w:tcPr>
          <w:p>
            <w:pPr>
              <w:jc w:val="right"/>
              <w:spacing w:after="0"/>
              <w:rPr>
                <w:sz w:val="20"/>
                <w:szCs w:val="20"/>
                <w:color w:val="auto"/>
              </w:rPr>
            </w:pPr>
            <w:r>
              <w:rPr>
                <w:rFonts w:ascii="Arial" w:cs="Arial" w:eastAsia="Arial" w:hAnsi="Arial"/>
                <w:sz w:val="13"/>
                <w:szCs w:val="13"/>
                <w:b w:val="1"/>
                <w:bCs w:val="1"/>
                <w:color w:val="auto"/>
              </w:rPr>
              <w:t>June 30,</w:t>
            </w:r>
          </w:p>
        </w:tc>
        <w:tc>
          <w:tcPr>
            <w:tcW w:w="5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58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0"/>
        </w:trPr>
        <w:tc>
          <w:tcPr>
            <w:tcW w:w="1140" w:type="dxa"/>
            <w:vAlign w:val="bottom"/>
          </w:tcPr>
          <w:p>
            <w:pPr>
              <w:spacing w:after="0"/>
              <w:rPr>
                <w:sz w:val="16"/>
                <w:szCs w:val="16"/>
                <w:color w:val="auto"/>
              </w:rPr>
            </w:pPr>
          </w:p>
        </w:tc>
        <w:tc>
          <w:tcPr>
            <w:tcW w:w="43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right"/>
              <w:ind w:right="157"/>
              <w:spacing w:after="0"/>
              <w:rPr>
                <w:sz w:val="20"/>
                <w:szCs w:val="20"/>
                <w:color w:val="auto"/>
              </w:rPr>
            </w:pPr>
            <w:r>
              <w:rPr>
                <w:rFonts w:ascii="Arial" w:cs="Arial" w:eastAsia="Arial" w:hAnsi="Arial"/>
                <w:sz w:val="13"/>
                <w:szCs w:val="13"/>
                <w:b w:val="1"/>
                <w:bCs w:val="1"/>
                <w:color w:val="auto"/>
              </w:rPr>
              <w:t>2015</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ind w:right="155"/>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ind w:right="157"/>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ind w:right="175"/>
              <w:spacing w:after="0"/>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REVENUES</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460" w:type="dxa"/>
            <w:vAlign w:val="bottom"/>
            <w:gridSpan w:val="2"/>
          </w:tcPr>
          <w:p>
            <w:pPr>
              <w:ind w:left="20"/>
              <w:spacing w:after="0"/>
              <w:rPr>
                <w:sz w:val="20"/>
                <w:szCs w:val="20"/>
                <w:color w:val="auto"/>
              </w:rPr>
            </w:pPr>
            <w:r>
              <w:rPr>
                <w:rFonts w:ascii="Arial" w:cs="Arial" w:eastAsia="Arial" w:hAnsi="Arial"/>
                <w:sz w:val="17"/>
                <w:szCs w:val="17"/>
                <w:color w:val="auto"/>
              </w:rPr>
              <w:t>Revenues from mining operations</w:t>
            </w:r>
          </w:p>
        </w:tc>
        <w:tc>
          <w:tcPr>
            <w:tcW w:w="16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62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w w:val="94"/>
              </w:rPr>
              <w:t>510,109</w:t>
            </w:r>
          </w:p>
        </w:tc>
        <w:tc>
          <w:tcPr>
            <w:tcW w:w="140" w:type="dxa"/>
            <w:vAlign w:val="bottom"/>
          </w:tcPr>
          <w:p>
            <w:pPr>
              <w:spacing w:after="0"/>
              <w:rPr>
                <w:sz w:val="18"/>
                <w:szCs w:val="18"/>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w w:val="91"/>
              </w:rPr>
              <w:t>438,521</w:t>
            </w: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w w:val="97"/>
              </w:rPr>
              <w:t>993,705</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930,288</w:t>
            </w:r>
          </w:p>
        </w:tc>
        <w:tc>
          <w:tcPr>
            <w:tcW w:w="0" w:type="dxa"/>
            <w:vAlign w:val="bottom"/>
          </w:tcPr>
          <w:p>
            <w:pPr>
              <w:spacing w:after="0"/>
              <w:rPr>
                <w:sz w:val="1"/>
                <w:szCs w:val="1"/>
                <w:color w:val="auto"/>
              </w:rPr>
            </w:pPr>
          </w:p>
        </w:tc>
      </w:tr>
      <w:tr>
        <w:trPr>
          <w:trHeight w:val="419"/>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COSTS, EXPENSES AND OTHER INCOME</w:t>
            </w: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5460" w:type="dxa"/>
            <w:vAlign w:val="bottom"/>
            <w:gridSpan w:val="2"/>
          </w:tcPr>
          <w:p>
            <w:pPr>
              <w:ind w:left="20"/>
              <w:spacing w:after="0" w:line="249" w:lineRule="exact"/>
              <w:rPr>
                <w:sz w:val="20"/>
                <w:szCs w:val="20"/>
                <w:color w:val="auto"/>
              </w:rPr>
            </w:pPr>
            <w:r>
              <w:rPr>
                <w:rFonts w:ascii="Arial" w:cs="Arial" w:eastAsia="Arial" w:hAnsi="Arial"/>
                <w:sz w:val="17"/>
                <w:szCs w:val="17"/>
                <w:color w:val="auto"/>
              </w:rPr>
              <w:t>Production</w:t>
            </w:r>
            <w:r>
              <w:rPr>
                <w:rFonts w:ascii="Arial" w:cs="Arial" w:eastAsia="Arial" w:hAnsi="Arial"/>
                <w:sz w:val="28"/>
                <w:szCs w:val="28"/>
                <w:color w:val="auto"/>
                <w:vertAlign w:val="superscript"/>
              </w:rPr>
              <w:t>(i)</w:t>
            </w:r>
          </w:p>
        </w:tc>
        <w:tc>
          <w:tcPr>
            <w:tcW w:w="160" w:type="dxa"/>
            <w:vAlign w:val="bottom"/>
          </w:tcPr>
          <w:p>
            <w:pPr>
              <w:spacing w:after="0"/>
              <w:rPr>
                <w:sz w:val="21"/>
                <w:szCs w:val="21"/>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w w:val="94"/>
              </w:rPr>
              <w:t>263,612</w:t>
            </w:r>
          </w:p>
        </w:tc>
        <w:tc>
          <w:tcPr>
            <w:tcW w:w="1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w w:val="91"/>
              </w:rPr>
              <w:t>229,383</w:t>
            </w:r>
          </w:p>
        </w:tc>
        <w:tc>
          <w:tcPr>
            <w:tcW w:w="140" w:type="dxa"/>
            <w:vAlign w:val="bottom"/>
          </w:tcPr>
          <w:p>
            <w:pPr>
              <w:spacing w:after="0"/>
              <w:rPr>
                <w:sz w:val="21"/>
                <w:szCs w:val="21"/>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w w:val="97"/>
              </w:rPr>
              <w:t>510,892</w:t>
            </w:r>
          </w:p>
        </w:tc>
        <w:tc>
          <w:tcPr>
            <w:tcW w:w="180" w:type="dxa"/>
            <w:vAlign w:val="bottom"/>
          </w:tcPr>
          <w:p>
            <w:pPr>
              <w:spacing w:after="0"/>
              <w:rPr>
                <w:sz w:val="21"/>
                <w:szCs w:val="21"/>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447,449</w:t>
            </w: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Exploration and corporate development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30,616</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11,627</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47,267</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21,045</w:t>
            </w:r>
          </w:p>
        </w:tc>
        <w:tc>
          <w:tcPr>
            <w:tcW w:w="0" w:type="dxa"/>
            <w:vAlign w:val="bottom"/>
          </w:tcPr>
          <w:p>
            <w:pPr>
              <w:spacing w:after="0"/>
              <w:rPr>
                <w:sz w:val="1"/>
                <w:szCs w:val="1"/>
                <w:color w:val="auto"/>
              </w:rPr>
            </w:pPr>
          </w:p>
        </w:tc>
      </w:tr>
      <w:tr>
        <w:trPr>
          <w:trHeight w:val="210"/>
        </w:trPr>
        <w:tc>
          <w:tcPr>
            <w:tcW w:w="5460" w:type="dxa"/>
            <w:vAlign w:val="bottom"/>
            <w:gridSpan w:val="2"/>
          </w:tcPr>
          <w:p>
            <w:pPr>
              <w:ind w:left="20"/>
              <w:spacing w:after="0"/>
              <w:rPr>
                <w:sz w:val="20"/>
                <w:szCs w:val="20"/>
                <w:color w:val="auto"/>
              </w:rPr>
            </w:pPr>
            <w:r>
              <w:rPr>
                <w:rFonts w:ascii="Arial" w:cs="Arial" w:eastAsia="Arial" w:hAnsi="Arial"/>
                <w:sz w:val="17"/>
                <w:szCs w:val="17"/>
                <w:color w:val="auto"/>
              </w:rPr>
              <w:t>Amortization of property, plant and mine development</w:t>
            </w:r>
          </w:p>
        </w:tc>
        <w:tc>
          <w:tcPr>
            <w:tcW w:w="16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w w:val="94"/>
              </w:rPr>
              <w:t>157,615</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93,656</w:t>
            </w:r>
          </w:p>
        </w:tc>
        <w:tc>
          <w:tcPr>
            <w:tcW w:w="1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w w:val="97"/>
              </w:rPr>
              <w:t>293,512</w:t>
            </w:r>
          </w:p>
        </w:tc>
        <w:tc>
          <w:tcPr>
            <w:tcW w:w="1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177,137</w:t>
            </w: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General and administrative</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23,572</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41,515</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48,793</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67,785</w:t>
            </w:r>
          </w:p>
        </w:tc>
        <w:tc>
          <w:tcPr>
            <w:tcW w:w="0" w:type="dxa"/>
            <w:vAlign w:val="bottom"/>
          </w:tcPr>
          <w:p>
            <w:pPr>
              <w:spacing w:after="0"/>
              <w:rPr>
                <w:sz w:val="1"/>
                <w:szCs w:val="1"/>
                <w:color w:val="auto"/>
              </w:rPr>
            </w:pPr>
          </w:p>
        </w:tc>
      </w:tr>
      <w:tr>
        <w:trPr>
          <w:trHeight w:val="210"/>
        </w:trPr>
        <w:tc>
          <w:tcPr>
            <w:tcW w:w="5460" w:type="dxa"/>
            <w:vAlign w:val="bottom"/>
            <w:gridSpan w:val="2"/>
          </w:tcPr>
          <w:p>
            <w:pPr>
              <w:ind w:left="20"/>
              <w:spacing w:after="0"/>
              <w:rPr>
                <w:sz w:val="20"/>
                <w:szCs w:val="20"/>
                <w:color w:val="auto"/>
              </w:rPr>
            </w:pPr>
            <w:r>
              <w:rPr>
                <w:rFonts w:ascii="Arial" w:cs="Arial" w:eastAsia="Arial" w:hAnsi="Arial"/>
                <w:sz w:val="17"/>
                <w:szCs w:val="17"/>
                <w:color w:val="auto"/>
              </w:rPr>
              <w:t>Impairment loss on available-for-sale securities (note 8)</w:t>
            </w:r>
          </w:p>
        </w:tc>
        <w:tc>
          <w:tcPr>
            <w:tcW w:w="16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345</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2,419</w:t>
            </w:r>
          </w:p>
        </w:tc>
        <w:tc>
          <w:tcPr>
            <w:tcW w:w="1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1,030</w:t>
            </w:r>
          </w:p>
        </w:tc>
        <w:tc>
          <w:tcPr>
            <w:tcW w:w="1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2,419</w:t>
            </w: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Finance costs</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17,955</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17,259</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37,667</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34,397</w:t>
            </w:r>
          </w:p>
        </w:tc>
        <w:tc>
          <w:tcPr>
            <w:tcW w:w="0" w:type="dxa"/>
            <w:vAlign w:val="bottom"/>
          </w:tcPr>
          <w:p>
            <w:pPr>
              <w:spacing w:after="0"/>
              <w:rPr>
                <w:sz w:val="1"/>
                <w:szCs w:val="1"/>
                <w:color w:val="auto"/>
              </w:rPr>
            </w:pPr>
          </w:p>
        </w:tc>
      </w:tr>
      <w:tr>
        <w:trPr>
          <w:trHeight w:val="210"/>
        </w:trPr>
        <w:tc>
          <w:tcPr>
            <w:tcW w:w="5460" w:type="dxa"/>
            <w:vAlign w:val="bottom"/>
            <w:gridSpan w:val="2"/>
          </w:tcPr>
          <w:p>
            <w:pPr>
              <w:ind w:left="20"/>
              <w:spacing w:after="0"/>
              <w:rPr>
                <w:sz w:val="20"/>
                <w:szCs w:val="20"/>
                <w:color w:val="auto"/>
              </w:rPr>
            </w:pPr>
            <w:r>
              <w:rPr>
                <w:rFonts w:ascii="Arial" w:cs="Arial" w:eastAsia="Arial" w:hAnsi="Arial"/>
                <w:sz w:val="17"/>
                <w:szCs w:val="17"/>
                <w:color w:val="auto"/>
              </w:rPr>
              <w:t>Gain on derivative financial instruments (note 13)</w:t>
            </w:r>
          </w:p>
        </w:tc>
        <w:tc>
          <w:tcPr>
            <w:tcW w:w="160" w:type="dxa"/>
            <w:vAlign w:val="bottom"/>
          </w:tcPr>
          <w:p>
            <w:pPr>
              <w:spacing w:after="0"/>
              <w:rPr>
                <w:sz w:val="18"/>
                <w:szCs w:val="18"/>
                <w:color w:val="auto"/>
              </w:rPr>
            </w:pPr>
          </w:p>
        </w:tc>
        <w:tc>
          <w:tcPr>
            <w:tcW w:w="76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(8,836)</w:t>
            </w:r>
          </w:p>
        </w:tc>
        <w:tc>
          <w:tcPr>
            <w:tcW w:w="1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7"/>
                <w:szCs w:val="17"/>
                <w:color w:val="auto"/>
              </w:rPr>
              <w:t>(518)</w:t>
            </w:r>
          </w:p>
        </w:tc>
        <w:tc>
          <w:tcPr>
            <w:tcW w:w="1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(260)</w:t>
            </w:r>
          </w:p>
        </w:tc>
        <w:tc>
          <w:tcPr>
            <w:tcW w:w="180" w:type="dxa"/>
            <w:vAlign w:val="bottom"/>
          </w:tcPr>
          <w:p>
            <w:pPr>
              <w:spacing w:after="0"/>
              <w:rPr>
                <w:sz w:val="18"/>
                <w:szCs w:val="18"/>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7"/>
                <w:szCs w:val="17"/>
                <w:color w:val="auto"/>
              </w:rPr>
              <w:t>(4,264)</w:t>
            </w: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Gain on sale of available-for-sale securities (note 8)</w:t>
            </w:r>
          </w:p>
        </w:tc>
        <w:tc>
          <w:tcPr>
            <w:tcW w:w="16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(2,675)</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(5,016)</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(23,724)</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(5,289)</w:t>
            </w:r>
          </w:p>
        </w:tc>
        <w:tc>
          <w:tcPr>
            <w:tcW w:w="0" w:type="dxa"/>
            <w:vAlign w:val="bottom"/>
          </w:tcPr>
          <w:p>
            <w:pPr>
              <w:spacing w:after="0"/>
              <w:rPr>
                <w:sz w:val="1"/>
                <w:szCs w:val="1"/>
                <w:color w:val="auto"/>
              </w:rPr>
            </w:pPr>
          </w:p>
        </w:tc>
      </w:tr>
      <w:tr>
        <w:trPr>
          <w:trHeight w:val="210"/>
        </w:trPr>
        <w:tc>
          <w:tcPr>
            <w:tcW w:w="5460" w:type="dxa"/>
            <w:vAlign w:val="bottom"/>
            <w:gridSpan w:val="2"/>
          </w:tcPr>
          <w:p>
            <w:pPr>
              <w:ind w:left="20"/>
              <w:spacing w:after="0"/>
              <w:rPr>
                <w:sz w:val="20"/>
                <w:szCs w:val="20"/>
                <w:color w:val="auto"/>
              </w:rPr>
            </w:pPr>
            <w:r>
              <w:rPr>
                <w:rFonts w:ascii="Arial" w:cs="Arial" w:eastAsia="Arial" w:hAnsi="Arial"/>
                <w:sz w:val="17"/>
                <w:szCs w:val="17"/>
                <w:color w:val="auto"/>
              </w:rPr>
              <w:t>Environmental remediation</w:t>
            </w:r>
          </w:p>
        </w:tc>
        <w:tc>
          <w:tcPr>
            <w:tcW w:w="160" w:type="dxa"/>
            <w:vAlign w:val="bottom"/>
          </w:tcPr>
          <w:p>
            <w:pPr>
              <w:spacing w:after="0"/>
              <w:rPr>
                <w:sz w:val="18"/>
                <w:szCs w:val="18"/>
                <w:color w:val="auto"/>
              </w:rPr>
            </w:pPr>
          </w:p>
        </w:tc>
        <w:tc>
          <w:tcPr>
            <w:tcW w:w="76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(141)</w:t>
            </w: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501</w:t>
            </w:r>
          </w:p>
        </w:tc>
        <w:tc>
          <w:tcPr>
            <w:tcW w:w="1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288</w:t>
            </w:r>
          </w:p>
        </w:tc>
        <w:tc>
          <w:tcPr>
            <w:tcW w:w="1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673</w:t>
            </w: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Foreign currency translation loss (gain)</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4,779</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6,568</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(6,911)</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1,509</w:t>
            </w:r>
          </w:p>
        </w:tc>
        <w:tc>
          <w:tcPr>
            <w:tcW w:w="0" w:type="dxa"/>
            <w:vAlign w:val="bottom"/>
          </w:tcPr>
          <w:p>
            <w:pPr>
              <w:spacing w:after="0"/>
              <w:rPr>
                <w:sz w:val="1"/>
                <w:szCs w:val="1"/>
                <w:color w:val="auto"/>
              </w:rPr>
            </w:pPr>
          </w:p>
        </w:tc>
      </w:tr>
      <w:tr>
        <w:trPr>
          <w:trHeight w:val="228"/>
        </w:trPr>
        <w:tc>
          <w:tcPr>
            <w:tcW w:w="5460" w:type="dxa"/>
            <w:vAlign w:val="bottom"/>
            <w:gridSpan w:val="2"/>
          </w:tcPr>
          <w:p>
            <w:pPr>
              <w:ind w:left="20"/>
              <w:spacing w:after="0"/>
              <w:rPr>
                <w:sz w:val="20"/>
                <w:szCs w:val="20"/>
                <w:color w:val="auto"/>
              </w:rPr>
            </w:pPr>
            <w:r>
              <w:rPr>
                <w:rFonts w:ascii="Arial" w:cs="Arial" w:eastAsia="Arial" w:hAnsi="Arial"/>
                <w:sz w:val="17"/>
                <w:szCs w:val="17"/>
                <w:color w:val="auto"/>
              </w:rPr>
              <w:t>Other expenses</w:t>
            </w: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7"/>
                <w:szCs w:val="17"/>
                <w:b w:val="1"/>
                <w:bCs w:val="1"/>
                <w:color w:val="auto"/>
              </w:rPr>
              <w:t>2,358</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7,310</w:t>
            </w:r>
          </w:p>
        </w:tc>
        <w:tc>
          <w:tcPr>
            <w:tcW w:w="14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7,529</w:t>
            </w:r>
          </w:p>
        </w:tc>
        <w:tc>
          <w:tcPr>
            <w:tcW w:w="180" w:type="dxa"/>
            <w:vAlign w:val="bottom"/>
          </w:tcPr>
          <w:p>
            <w:pPr>
              <w:spacing w:after="0"/>
              <w:rPr>
                <w:sz w:val="19"/>
                <w:szCs w:val="19"/>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6,892</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Income before income and mining taxes</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20,909</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33,817</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77,622</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180,535</w:t>
            </w:r>
          </w:p>
        </w:tc>
        <w:tc>
          <w:tcPr>
            <w:tcW w:w="0" w:type="dxa"/>
            <w:vAlign w:val="bottom"/>
          </w:tcPr>
          <w:p>
            <w:pPr>
              <w:spacing w:after="0"/>
              <w:rPr>
                <w:sz w:val="1"/>
                <w:szCs w:val="1"/>
                <w:color w:val="auto"/>
              </w:rPr>
            </w:pPr>
          </w:p>
        </w:tc>
      </w:tr>
      <w:tr>
        <w:trPr>
          <w:trHeight w:val="228"/>
        </w:trPr>
        <w:tc>
          <w:tcPr>
            <w:tcW w:w="5460" w:type="dxa"/>
            <w:vAlign w:val="bottom"/>
            <w:gridSpan w:val="2"/>
          </w:tcPr>
          <w:p>
            <w:pPr>
              <w:ind w:left="20"/>
              <w:spacing w:after="0"/>
              <w:rPr>
                <w:sz w:val="20"/>
                <w:szCs w:val="20"/>
                <w:color w:val="auto"/>
              </w:rPr>
            </w:pPr>
            <w:r>
              <w:rPr>
                <w:rFonts w:ascii="Arial" w:cs="Arial" w:eastAsia="Arial" w:hAnsi="Arial"/>
                <w:sz w:val="17"/>
                <w:szCs w:val="17"/>
                <w:color w:val="auto"/>
              </w:rPr>
              <w:t>Income and mining taxes expense</w:t>
            </w: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7"/>
                <w:szCs w:val="17"/>
                <w:b w:val="1"/>
                <w:bCs w:val="1"/>
                <w:color w:val="auto"/>
              </w:rPr>
              <w:t>10,826</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11,659</w:t>
            </w:r>
          </w:p>
        </w:tc>
        <w:tc>
          <w:tcPr>
            <w:tcW w:w="14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38,796</w:t>
            </w:r>
          </w:p>
        </w:tc>
        <w:tc>
          <w:tcPr>
            <w:tcW w:w="180" w:type="dxa"/>
            <w:vAlign w:val="bottom"/>
          </w:tcPr>
          <w:p>
            <w:pPr>
              <w:spacing w:after="0"/>
              <w:rPr>
                <w:sz w:val="19"/>
                <w:szCs w:val="19"/>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61,232</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for the period</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10,083</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22,158</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38,826</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119,303</w:t>
            </w:r>
          </w:p>
        </w:tc>
        <w:tc>
          <w:tcPr>
            <w:tcW w:w="0" w:type="dxa"/>
            <w:vAlign w:val="bottom"/>
          </w:tcPr>
          <w:p>
            <w:pPr>
              <w:spacing w:after="0"/>
              <w:rPr>
                <w:sz w:val="1"/>
                <w:szCs w:val="1"/>
                <w:color w:val="auto"/>
              </w:rPr>
            </w:pPr>
          </w:p>
        </w:tc>
      </w:tr>
      <w:tr>
        <w:trPr>
          <w:trHeight w:val="26"/>
        </w:trPr>
        <w:tc>
          <w:tcPr>
            <w:tcW w:w="5460" w:type="dxa"/>
            <w:vAlign w:val="bottom"/>
            <w:gridSpan w:val="2"/>
            <w:vMerge w:val="restart"/>
          </w:tcPr>
          <w:p>
            <w:pPr>
              <w:ind w:left="20"/>
              <w:spacing w:after="0"/>
              <w:rPr>
                <w:sz w:val="20"/>
                <w:szCs w:val="20"/>
                <w:color w:val="auto"/>
              </w:rPr>
            </w:pPr>
            <w:r>
              <w:rPr>
                <w:rFonts w:ascii="Arial" w:cs="Arial" w:eastAsia="Arial" w:hAnsi="Arial"/>
                <w:sz w:val="17"/>
                <w:szCs w:val="17"/>
                <w:color w:val="auto"/>
              </w:rPr>
              <w:t>Net income per share — basic (note 11)</w:t>
            </w: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60" w:type="dxa"/>
            <w:vAlign w:val="bottom"/>
            <w:gridSpan w:val="2"/>
            <w:vMerge w:val="continu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460" w:type="dxa"/>
            <w:vAlign w:val="bottom"/>
            <w:gridSpan w:val="2"/>
            <w:vMerge w:val="continue"/>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0.05</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0.12</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0.18</w:t>
            </w:r>
          </w:p>
        </w:tc>
        <w:tc>
          <w:tcPr>
            <w:tcW w:w="16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0.66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per share — diluted (note 11)</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0.05</w:t>
            </w: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0.12</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0.18</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0.66</w:t>
            </w:r>
          </w:p>
        </w:tc>
        <w:tc>
          <w:tcPr>
            <w:tcW w:w="0" w:type="dxa"/>
            <w:vAlign w:val="bottom"/>
          </w:tcPr>
          <w:p>
            <w:pPr>
              <w:spacing w:after="0"/>
              <w:rPr>
                <w:sz w:val="1"/>
                <w:szCs w:val="1"/>
                <w:color w:val="auto"/>
              </w:rPr>
            </w:pPr>
          </w:p>
        </w:tc>
      </w:tr>
      <w:tr>
        <w:trPr>
          <w:trHeight w:val="26"/>
        </w:trPr>
        <w:tc>
          <w:tcPr>
            <w:tcW w:w="5460" w:type="dxa"/>
            <w:vAlign w:val="bottom"/>
            <w:gridSpan w:val="2"/>
            <w:vMerge w:val="restart"/>
          </w:tcPr>
          <w:p>
            <w:pPr>
              <w:ind w:left="20"/>
              <w:spacing w:after="0"/>
              <w:rPr>
                <w:sz w:val="20"/>
                <w:szCs w:val="20"/>
                <w:color w:val="auto"/>
              </w:rPr>
            </w:pPr>
            <w:r>
              <w:rPr>
                <w:rFonts w:ascii="Arial" w:cs="Arial" w:eastAsia="Arial" w:hAnsi="Arial"/>
                <w:sz w:val="17"/>
                <w:szCs w:val="17"/>
                <w:color w:val="auto"/>
              </w:rPr>
              <w:t>Cash dividends declared per common share</w:t>
            </w: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60" w:type="dxa"/>
            <w:vAlign w:val="bottom"/>
            <w:gridSpan w:val="2"/>
            <w:vMerge w:val="continu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460" w:type="dxa"/>
            <w:vAlign w:val="bottom"/>
            <w:gridSpan w:val="2"/>
            <w:vMerge w:val="continue"/>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0.08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0.08</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0.16</w:t>
            </w:r>
          </w:p>
        </w:tc>
        <w:tc>
          <w:tcPr>
            <w:tcW w:w="16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0.16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COMPREHENSIVE INCOME</w:t>
            </w:r>
          </w:p>
        </w:tc>
        <w:tc>
          <w:tcPr>
            <w:tcW w:w="1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5460" w:type="dxa"/>
            <w:vAlign w:val="bottom"/>
            <w:gridSpan w:val="2"/>
          </w:tcPr>
          <w:p>
            <w:pPr>
              <w:ind w:left="20"/>
              <w:spacing w:after="0"/>
              <w:rPr>
                <w:sz w:val="20"/>
                <w:szCs w:val="20"/>
                <w:color w:val="auto"/>
              </w:rPr>
            </w:pPr>
            <w:r>
              <w:rPr>
                <w:rFonts w:ascii="Arial" w:cs="Arial" w:eastAsia="Arial" w:hAnsi="Arial"/>
                <w:sz w:val="17"/>
                <w:szCs w:val="17"/>
                <w:color w:val="auto"/>
              </w:rPr>
              <w:t>Net income for the period</w:t>
            </w:r>
          </w:p>
        </w:tc>
        <w:tc>
          <w:tcPr>
            <w:tcW w:w="16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62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10,083</w:t>
            </w:r>
          </w:p>
        </w:tc>
        <w:tc>
          <w:tcPr>
            <w:tcW w:w="140" w:type="dxa"/>
            <w:vAlign w:val="bottom"/>
          </w:tcPr>
          <w:p>
            <w:pPr>
              <w:spacing w:after="0"/>
              <w:rPr>
                <w:sz w:val="19"/>
                <w:szCs w:val="19"/>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22,158</w:t>
            </w: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38,826</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119,303</w:t>
            </w: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 comprehensive income (loss):</w:t>
            </w:r>
          </w:p>
        </w:tc>
        <w:tc>
          <w:tcPr>
            <w:tcW w:w="16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60" w:type="dxa"/>
            <w:vAlign w:val="bottom"/>
            <w:gridSpan w:val="2"/>
          </w:tcPr>
          <w:p>
            <w:pPr>
              <w:ind w:left="20"/>
              <w:spacing w:after="0"/>
              <w:rPr>
                <w:sz w:val="20"/>
                <w:szCs w:val="20"/>
                <w:color w:val="auto"/>
              </w:rPr>
            </w:pPr>
            <w:r>
              <w:rPr>
                <w:rFonts w:ascii="Arial" w:cs="Arial" w:eastAsia="Arial" w:hAnsi="Arial"/>
                <w:sz w:val="17"/>
                <w:szCs w:val="17"/>
                <w:color w:val="auto"/>
              </w:rPr>
              <w:t>Items that may be subsequently reclassified to net income:</w:t>
            </w: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Available-for-sale securities and other investments:</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60" w:type="dxa"/>
            <w:vAlign w:val="bottom"/>
            <w:gridSpan w:val="2"/>
          </w:tcPr>
          <w:p>
            <w:pPr>
              <w:ind w:left="360"/>
              <w:spacing w:after="0"/>
              <w:rPr>
                <w:sz w:val="20"/>
                <w:szCs w:val="20"/>
                <w:color w:val="auto"/>
              </w:rPr>
            </w:pPr>
            <w:r>
              <w:rPr>
                <w:rFonts w:ascii="Arial" w:cs="Arial" w:eastAsia="Arial" w:hAnsi="Arial"/>
                <w:sz w:val="17"/>
                <w:szCs w:val="17"/>
                <w:color w:val="auto"/>
              </w:rPr>
              <w:t>Unrealized change in fair value of available-for-sale securities</w:t>
            </w:r>
          </w:p>
        </w:tc>
        <w:tc>
          <w:tcPr>
            <w:tcW w:w="16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3,606</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5,264</w:t>
            </w:r>
          </w:p>
        </w:tc>
        <w:tc>
          <w:tcPr>
            <w:tcW w:w="1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14,593</w:t>
            </w:r>
          </w:p>
        </w:tc>
        <w:tc>
          <w:tcPr>
            <w:tcW w:w="1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26,282</w:t>
            </w:r>
          </w:p>
        </w:tc>
        <w:tc>
          <w:tcPr>
            <w:tcW w:w="0" w:type="dxa"/>
            <w:vAlign w:val="bottom"/>
          </w:tcPr>
          <w:p>
            <w:pPr>
              <w:spacing w:after="0"/>
              <w:rPr>
                <w:sz w:val="1"/>
                <w:szCs w:val="1"/>
                <w:color w:val="auto"/>
              </w:rPr>
            </w:pPr>
          </w:p>
        </w:tc>
      </w:tr>
      <w:tr>
        <w:trPr>
          <w:trHeight w:val="201"/>
        </w:trPr>
        <w:tc>
          <w:tcPr>
            <w:tcW w:w="546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Reclassification to impairment loss on available-for-sale securities</w:t>
            </w:r>
          </w:p>
        </w:tc>
        <w:tc>
          <w:tcPr>
            <w:tcW w:w="160" w:type="dxa"/>
            <w:vAlign w:val="bottom"/>
            <w:shd w:val="clear" w:color="auto" w:fill="CCEEFF"/>
          </w:tcPr>
          <w:p>
            <w:pPr>
              <w:spacing w:after="0"/>
              <w:rPr>
                <w:sz w:val="17"/>
                <w:szCs w:val="17"/>
                <w:color w:val="auto"/>
              </w:rPr>
            </w:pPr>
          </w:p>
        </w:tc>
        <w:tc>
          <w:tcPr>
            <w:tcW w:w="62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345</w:t>
            </w: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1,030</w:t>
            </w:r>
          </w:p>
        </w:tc>
        <w:tc>
          <w:tcPr>
            <w:tcW w:w="1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5460" w:type="dxa"/>
            <w:vAlign w:val="bottom"/>
            <w:gridSpan w:val="2"/>
            <w:shd w:val="clear" w:color="auto" w:fill="CCEEFF"/>
          </w:tcPr>
          <w:p>
            <w:pPr>
              <w:ind w:left="540"/>
              <w:spacing w:after="0"/>
              <w:rPr>
                <w:sz w:val="20"/>
                <w:szCs w:val="20"/>
                <w:color w:val="auto"/>
              </w:rPr>
            </w:pPr>
            <w:r>
              <w:rPr>
                <w:rFonts w:ascii="Arial" w:cs="Arial" w:eastAsia="Arial" w:hAnsi="Arial"/>
                <w:sz w:val="17"/>
                <w:szCs w:val="17"/>
                <w:color w:val="auto"/>
              </w:rPr>
              <w:t>(note 8)</w:t>
            </w:r>
          </w:p>
        </w:tc>
        <w:tc>
          <w:tcPr>
            <w:tcW w:w="160" w:type="dxa"/>
            <w:vAlign w:val="bottom"/>
            <w:shd w:val="clear" w:color="auto" w:fill="CCEEFF"/>
          </w:tcPr>
          <w:p>
            <w:pPr>
              <w:spacing w:after="0"/>
              <w:rPr>
                <w:sz w:val="18"/>
                <w:szCs w:val="18"/>
                <w:color w:val="auto"/>
              </w:rPr>
            </w:pPr>
          </w:p>
        </w:tc>
        <w:tc>
          <w:tcPr>
            <w:tcW w:w="620" w:type="dxa"/>
            <w:vAlign w:val="bottom"/>
            <w:gridSpan w:val="2"/>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2,419</w:t>
            </w:r>
          </w:p>
        </w:tc>
        <w:tc>
          <w:tcPr>
            <w:tcW w:w="140" w:type="dxa"/>
            <w:vAlign w:val="bottom"/>
            <w:shd w:val="clear" w:color="auto" w:fill="CCEEFF"/>
          </w:tcPr>
          <w:p>
            <w:pPr>
              <w:spacing w:after="0"/>
              <w:rPr>
                <w:sz w:val="18"/>
                <w:szCs w:val="18"/>
                <w:color w:val="auto"/>
              </w:rPr>
            </w:pPr>
          </w:p>
        </w:tc>
        <w:tc>
          <w:tcPr>
            <w:tcW w:w="780" w:type="dxa"/>
            <w:vAlign w:val="bottom"/>
            <w:gridSpan w:val="2"/>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2,419</w:t>
            </w:r>
          </w:p>
        </w:tc>
        <w:tc>
          <w:tcPr>
            <w:tcW w:w="0" w:type="dxa"/>
            <w:vAlign w:val="bottom"/>
          </w:tcPr>
          <w:p>
            <w:pPr>
              <w:spacing w:after="0"/>
              <w:rPr>
                <w:sz w:val="1"/>
                <w:szCs w:val="1"/>
                <w:color w:val="auto"/>
              </w:rPr>
            </w:pPr>
          </w:p>
        </w:tc>
      </w:tr>
      <w:tr>
        <w:trPr>
          <w:trHeight w:val="210"/>
        </w:trPr>
        <w:tc>
          <w:tcPr>
            <w:tcW w:w="5460" w:type="dxa"/>
            <w:vAlign w:val="bottom"/>
            <w:gridSpan w:val="2"/>
          </w:tcPr>
          <w:p>
            <w:pPr>
              <w:ind w:left="360"/>
              <w:spacing w:after="0"/>
              <w:rPr>
                <w:sz w:val="20"/>
                <w:szCs w:val="20"/>
                <w:color w:val="auto"/>
              </w:rPr>
            </w:pPr>
            <w:r>
              <w:rPr>
                <w:rFonts w:ascii="Arial" w:cs="Arial" w:eastAsia="Arial" w:hAnsi="Arial"/>
                <w:sz w:val="17"/>
                <w:szCs w:val="17"/>
                <w:color w:val="auto"/>
                <w:w w:val="96"/>
              </w:rPr>
              <w:t>Reclassification to gain on sale of available-for-sale securities (note 8)</w:t>
            </w:r>
          </w:p>
        </w:tc>
        <w:tc>
          <w:tcPr>
            <w:tcW w:w="160" w:type="dxa"/>
            <w:vAlign w:val="bottom"/>
          </w:tcPr>
          <w:p>
            <w:pPr>
              <w:spacing w:after="0"/>
              <w:rPr>
                <w:sz w:val="18"/>
                <w:szCs w:val="18"/>
                <w:color w:val="auto"/>
              </w:rPr>
            </w:pPr>
          </w:p>
        </w:tc>
        <w:tc>
          <w:tcPr>
            <w:tcW w:w="76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(2,675)</w:t>
            </w:r>
          </w:p>
        </w:tc>
        <w:tc>
          <w:tcPr>
            <w:tcW w:w="1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7"/>
                <w:szCs w:val="17"/>
                <w:color w:val="auto"/>
              </w:rPr>
              <w:t>(5,016)</w:t>
            </w:r>
          </w:p>
        </w:tc>
        <w:tc>
          <w:tcPr>
            <w:tcW w:w="1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(23,724)</w:t>
            </w:r>
          </w:p>
        </w:tc>
        <w:tc>
          <w:tcPr>
            <w:tcW w:w="180" w:type="dxa"/>
            <w:vAlign w:val="bottom"/>
          </w:tcPr>
          <w:p>
            <w:pPr>
              <w:spacing w:after="0"/>
              <w:rPr>
                <w:sz w:val="18"/>
                <w:szCs w:val="18"/>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7"/>
                <w:szCs w:val="17"/>
                <w:color w:val="auto"/>
              </w:rPr>
              <w:t>(5,289)</w:t>
            </w: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Income tax impact of reclassification items</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323</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3,036</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8"/>
        </w:trPr>
        <w:tc>
          <w:tcPr>
            <w:tcW w:w="5460" w:type="dxa"/>
            <w:vAlign w:val="bottom"/>
            <w:gridSpan w:val="2"/>
          </w:tcPr>
          <w:p>
            <w:pPr>
              <w:ind w:left="360"/>
              <w:spacing w:after="0"/>
              <w:rPr>
                <w:sz w:val="20"/>
                <w:szCs w:val="20"/>
                <w:color w:val="auto"/>
              </w:rPr>
            </w:pPr>
            <w:r>
              <w:rPr>
                <w:rFonts w:ascii="Arial" w:cs="Arial" w:eastAsia="Arial" w:hAnsi="Arial"/>
                <w:sz w:val="17"/>
                <w:szCs w:val="17"/>
                <w:color w:val="auto"/>
              </w:rPr>
              <w:t>Income tax impact of other comprehensive loss items</w:t>
            </w:r>
          </w:p>
        </w:tc>
        <w:tc>
          <w:tcPr>
            <w:tcW w:w="160" w:type="dxa"/>
            <w:vAlign w:val="bottom"/>
          </w:tcPr>
          <w:p>
            <w:pPr>
              <w:spacing w:after="0"/>
              <w:rPr>
                <w:sz w:val="19"/>
                <w:szCs w:val="19"/>
                <w:color w:val="auto"/>
              </w:rPr>
            </w:pPr>
          </w:p>
        </w:tc>
        <w:tc>
          <w:tcPr>
            <w:tcW w:w="76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(502)</w:t>
            </w:r>
          </w:p>
        </w:tc>
        <w:tc>
          <w:tcPr>
            <w:tcW w:w="180" w:type="dxa"/>
            <w:vAlign w:val="bottom"/>
          </w:tcPr>
          <w:p>
            <w:pPr>
              <w:spacing w:after="0"/>
              <w:rPr>
                <w:sz w:val="19"/>
                <w:szCs w:val="19"/>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(1,965)</w:t>
            </w:r>
          </w:p>
        </w:tc>
        <w:tc>
          <w:tcPr>
            <w:tcW w:w="180" w:type="dxa"/>
            <w:vAlign w:val="bottom"/>
          </w:tcPr>
          <w:p>
            <w:pPr>
              <w:spacing w:after="0"/>
              <w:rPr>
                <w:sz w:val="19"/>
                <w:szCs w:val="19"/>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40" w:type="dxa"/>
            <w:vAlign w:val="bottom"/>
            <w:shd w:val="clear" w:color="auto" w:fill="CCEEFF"/>
          </w:tcPr>
          <w:p>
            <w:pPr>
              <w:spacing w:after="0"/>
              <w:rPr>
                <w:sz w:val="18"/>
                <w:szCs w:val="18"/>
                <w:color w:val="auto"/>
              </w:rPr>
            </w:pPr>
          </w:p>
        </w:tc>
        <w:tc>
          <w:tcPr>
            <w:tcW w:w="4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1,097</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2,667</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(7,030)</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23,412</w:t>
            </w:r>
          </w:p>
        </w:tc>
        <w:tc>
          <w:tcPr>
            <w:tcW w:w="0" w:type="dxa"/>
            <w:vAlign w:val="bottom"/>
          </w:tcPr>
          <w:p>
            <w:pPr>
              <w:spacing w:after="0"/>
              <w:rPr>
                <w:sz w:val="1"/>
                <w:szCs w:val="1"/>
                <w:color w:val="auto"/>
              </w:rPr>
            </w:pPr>
          </w:p>
        </w:tc>
      </w:tr>
      <w:tr>
        <w:trPr>
          <w:trHeight w:val="26"/>
        </w:trPr>
        <w:tc>
          <w:tcPr>
            <w:tcW w:w="5460" w:type="dxa"/>
            <w:vAlign w:val="bottom"/>
            <w:gridSpan w:val="2"/>
            <w:vMerge w:val="restart"/>
          </w:tcPr>
          <w:p>
            <w:pPr>
              <w:ind w:left="20"/>
              <w:spacing w:after="0"/>
              <w:rPr>
                <w:sz w:val="20"/>
                <w:szCs w:val="20"/>
                <w:color w:val="auto"/>
              </w:rPr>
            </w:pPr>
            <w:r>
              <w:rPr>
                <w:rFonts w:ascii="Arial" w:cs="Arial" w:eastAsia="Arial" w:hAnsi="Arial"/>
                <w:sz w:val="17"/>
                <w:szCs w:val="17"/>
                <w:color w:val="auto"/>
              </w:rPr>
              <w:t>Items that will not be subsequently reclassified to net income:</w:t>
            </w: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546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54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Pension benefit obligations:</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60" w:type="dxa"/>
            <w:vAlign w:val="bottom"/>
            <w:gridSpan w:val="2"/>
          </w:tcPr>
          <w:p>
            <w:pPr>
              <w:ind w:left="360"/>
              <w:spacing w:after="0"/>
              <w:rPr>
                <w:sz w:val="20"/>
                <w:szCs w:val="20"/>
                <w:color w:val="auto"/>
              </w:rPr>
            </w:pPr>
            <w:r>
              <w:rPr>
                <w:rFonts w:ascii="Arial" w:cs="Arial" w:eastAsia="Arial" w:hAnsi="Arial"/>
                <w:sz w:val="17"/>
                <w:szCs w:val="17"/>
                <w:color w:val="auto"/>
              </w:rPr>
              <w:t>Remeasurement losses of pension benefit obligations</w:t>
            </w:r>
          </w:p>
        </w:tc>
        <w:tc>
          <w:tcPr>
            <w:tcW w:w="160" w:type="dxa"/>
            <w:vAlign w:val="bottom"/>
          </w:tcPr>
          <w:p>
            <w:pPr>
              <w:spacing w:after="0"/>
              <w:rPr>
                <w:sz w:val="18"/>
                <w:szCs w:val="18"/>
                <w:color w:val="auto"/>
              </w:rPr>
            </w:pPr>
          </w:p>
        </w:tc>
        <w:tc>
          <w:tcPr>
            <w:tcW w:w="76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(209)</w:t>
            </w:r>
          </w:p>
        </w:tc>
        <w:tc>
          <w:tcPr>
            <w:tcW w:w="1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(415)</w:t>
            </w:r>
          </w:p>
        </w:tc>
        <w:tc>
          <w:tcPr>
            <w:tcW w:w="1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Income tax impact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54</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109</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1140" w:type="dxa"/>
            <w:vAlign w:val="bottom"/>
          </w:tcPr>
          <w:p>
            <w:pPr>
              <w:spacing w:after="0"/>
              <w:rPr>
                <w:sz w:val="19"/>
                <w:szCs w:val="19"/>
                <w:color w:val="auto"/>
              </w:rPr>
            </w:pPr>
          </w:p>
        </w:tc>
        <w:tc>
          <w:tcPr>
            <w:tcW w:w="43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(155)</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(306)</w:t>
            </w:r>
          </w:p>
        </w:tc>
        <w:tc>
          <w:tcPr>
            <w:tcW w:w="16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 comprehensive income (loss) for the period</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942</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2,667</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(7,336)</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23,412</w:t>
            </w:r>
          </w:p>
        </w:tc>
        <w:tc>
          <w:tcPr>
            <w:tcW w:w="0" w:type="dxa"/>
            <w:vAlign w:val="bottom"/>
          </w:tcPr>
          <w:p>
            <w:pPr>
              <w:spacing w:after="0"/>
              <w:rPr>
                <w:sz w:val="1"/>
                <w:szCs w:val="1"/>
                <w:color w:val="auto"/>
              </w:rPr>
            </w:pPr>
          </w:p>
        </w:tc>
      </w:tr>
      <w:tr>
        <w:trPr>
          <w:trHeight w:val="26"/>
        </w:trPr>
        <w:tc>
          <w:tcPr>
            <w:tcW w:w="5460" w:type="dxa"/>
            <w:vAlign w:val="bottom"/>
            <w:gridSpan w:val="2"/>
            <w:vMerge w:val="restart"/>
          </w:tcPr>
          <w:p>
            <w:pPr>
              <w:ind w:left="20"/>
              <w:spacing w:after="0"/>
              <w:rPr>
                <w:sz w:val="20"/>
                <w:szCs w:val="20"/>
                <w:color w:val="auto"/>
              </w:rPr>
            </w:pPr>
            <w:r>
              <w:rPr>
                <w:rFonts w:ascii="Arial" w:cs="Arial" w:eastAsia="Arial" w:hAnsi="Arial"/>
                <w:sz w:val="17"/>
                <w:szCs w:val="17"/>
                <w:color w:val="auto"/>
              </w:rPr>
              <w:t>Comprehensive income for the period</w:t>
            </w:r>
          </w:p>
        </w:tc>
        <w:tc>
          <w:tcPr>
            <w:tcW w:w="16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460" w:type="dxa"/>
            <w:vAlign w:val="bottom"/>
            <w:gridSpan w:val="2"/>
            <w:vMerge w:val="continue"/>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11,025</w:t>
            </w:r>
          </w:p>
        </w:tc>
        <w:tc>
          <w:tcPr>
            <w:tcW w:w="2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24,825</w:t>
            </w:r>
          </w:p>
        </w:tc>
        <w:tc>
          <w:tcPr>
            <w:tcW w:w="1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31,490</w:t>
            </w:r>
          </w:p>
        </w:tc>
        <w:tc>
          <w:tcPr>
            <w:tcW w:w="16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1"/>
              </w:rPr>
              <w:t>142,715</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1"/>
        </w:trPr>
        <w:tc>
          <w:tcPr>
            <w:tcW w:w="1140" w:type="dxa"/>
            <w:vAlign w:val="bottom"/>
            <w:tcBorders>
              <w:bottom w:val="single" w:sz="8" w:color="auto"/>
            </w:tcBorders>
          </w:tcPr>
          <w:p>
            <w:pPr>
              <w:spacing w:after="0"/>
              <w:rPr>
                <w:sz w:val="7"/>
                <w:szCs w:val="7"/>
                <w:color w:val="auto"/>
              </w:rPr>
            </w:pPr>
          </w:p>
        </w:tc>
        <w:tc>
          <w:tcPr>
            <w:tcW w:w="4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w:t>
      </w:r>
    </w:p>
    <w:p>
      <w:pPr>
        <w:spacing w:after="0" w:line="191" w:lineRule="exact"/>
        <w:rPr>
          <w:sz w:val="20"/>
          <w:szCs w:val="20"/>
          <w:color w:val="auto"/>
        </w:rPr>
      </w:pPr>
    </w:p>
    <w:p>
      <w:pPr>
        <w:ind w:left="540" w:hanging="533"/>
        <w:spacing w:after="0"/>
        <w:tabs>
          <w:tab w:leader="none" w:pos="540" w:val="left"/>
        </w:tabs>
        <w:numPr>
          <w:ilvl w:val="0"/>
          <w:numId w:val="8"/>
        </w:numPr>
        <w:rPr>
          <w:rFonts w:ascii="Arial" w:cs="Arial" w:eastAsia="Arial" w:hAnsi="Arial"/>
          <w:sz w:val="13"/>
          <w:szCs w:val="13"/>
          <w:color w:val="auto"/>
        </w:rPr>
      </w:pPr>
      <w:r>
        <w:rPr>
          <w:rFonts w:ascii="Arial" w:cs="Arial" w:eastAsia="Arial" w:hAnsi="Arial"/>
          <w:sz w:val="13"/>
          <w:szCs w:val="13"/>
          <w:color w:val="auto"/>
        </w:rPr>
        <w:t>Exclusive of amortization, which is shown separately.</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41" w:name="page42"/>
    <w:bookmarkEnd w:id="41"/>
    <w:p>
      <w:pPr>
        <w:jc w:val="center"/>
        <w:ind w:right="10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CONDENSED INTERIM CONSOLIDATED STATEMENTS OF EQUITY</w:t>
      </w:r>
    </w:p>
    <w:p>
      <w:pPr>
        <w:spacing w:after="0" w:line="1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(thousands of United States dollars, except share and per share amounts)</w:t>
      </w:r>
    </w:p>
    <w:p>
      <w:pPr>
        <w:spacing w:after="0" w:line="14" w:lineRule="exact"/>
        <w:rPr>
          <w:sz w:val="20"/>
          <w:szCs w:val="20"/>
          <w:color w:val="auto"/>
        </w:rPr>
      </w:pPr>
    </w:p>
    <w:p>
      <w:pPr>
        <w:jc w:val="center"/>
        <w:ind w:right="140"/>
        <w:spacing w:after="0"/>
        <w:rPr>
          <w:sz w:val="20"/>
          <w:szCs w:val="20"/>
          <w:color w:val="auto"/>
        </w:rPr>
      </w:pPr>
      <w:r>
        <w:rPr>
          <w:rFonts w:ascii="Arial" w:cs="Arial" w:eastAsia="Arial" w:hAnsi="Arial"/>
          <w:sz w:val="17"/>
          <w:szCs w:val="17"/>
          <w:b w:val="1"/>
          <w:bCs w:val="1"/>
          <w:color w:val="auto"/>
        </w:rPr>
        <w:t>(Unaudited)</w:t>
      </w: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700" w:type="dxa"/>
            <w:vAlign w:val="bottom"/>
          </w:tcPr>
          <w:p>
            <w:pPr>
              <w:spacing w:after="0"/>
              <w:rPr>
                <w:sz w:val="13"/>
                <w:szCs w:val="13"/>
                <w:color w:val="auto"/>
              </w:rPr>
            </w:pPr>
          </w:p>
        </w:tc>
        <w:tc>
          <w:tcPr>
            <w:tcW w:w="1860" w:type="dxa"/>
            <w:vAlign w:val="bottom"/>
            <w:gridSpan w:val="5"/>
            <w:vMerge w:val="restart"/>
          </w:tcPr>
          <w:p>
            <w:pPr>
              <w:jc w:val="right"/>
              <w:ind w:right="540"/>
              <w:spacing w:after="0"/>
              <w:rPr>
                <w:sz w:val="20"/>
                <w:szCs w:val="20"/>
                <w:color w:val="auto"/>
              </w:rPr>
            </w:pPr>
            <w:r>
              <w:rPr>
                <w:rFonts w:ascii="Arial" w:cs="Arial" w:eastAsia="Arial" w:hAnsi="Arial"/>
                <w:sz w:val="13"/>
                <w:szCs w:val="13"/>
                <w:b w:val="1"/>
                <w:bCs w:val="1"/>
                <w:color w:val="auto"/>
              </w:rPr>
              <w:t>Common Shares</w:t>
            </w: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Accumulated</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9"/>
        </w:trPr>
        <w:tc>
          <w:tcPr>
            <w:tcW w:w="2700" w:type="dxa"/>
            <w:vAlign w:val="bottom"/>
          </w:tcPr>
          <w:p>
            <w:pPr>
              <w:spacing w:after="0"/>
              <w:rPr>
                <w:sz w:val="6"/>
                <w:szCs w:val="6"/>
                <w:color w:val="auto"/>
              </w:rPr>
            </w:pPr>
          </w:p>
        </w:tc>
        <w:tc>
          <w:tcPr>
            <w:tcW w:w="1860" w:type="dxa"/>
            <w:vAlign w:val="bottom"/>
            <w:gridSpan w:val="5"/>
            <w:vMerge w:val="continue"/>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80" w:type="dxa"/>
            <w:vAlign w:val="bottom"/>
            <w:gridSpan w:val="2"/>
            <w:vMerge w:val="restart"/>
          </w:tcPr>
          <w:p>
            <w:pPr>
              <w:jc w:val="center"/>
              <w:ind w:right="260"/>
              <w:spacing w:after="0" w:line="144" w:lineRule="exact"/>
              <w:rPr>
                <w:sz w:val="20"/>
                <w:szCs w:val="20"/>
                <w:color w:val="auto"/>
              </w:rPr>
            </w:pPr>
            <w:r>
              <w:rPr>
                <w:rFonts w:ascii="Arial" w:cs="Arial" w:eastAsia="Arial" w:hAnsi="Arial"/>
                <w:sz w:val="13"/>
                <w:szCs w:val="13"/>
                <w:b w:val="1"/>
                <w:bCs w:val="1"/>
                <w:color w:val="auto"/>
                <w:w w:val="97"/>
              </w:rPr>
              <w:t>Other</w:t>
            </w: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6"/>
        </w:trPr>
        <w:tc>
          <w:tcPr>
            <w:tcW w:w="2700" w:type="dxa"/>
            <w:vAlign w:val="bottom"/>
          </w:tcPr>
          <w:p>
            <w:pPr>
              <w:spacing w:after="0"/>
              <w:rPr>
                <w:sz w:val="5"/>
                <w:szCs w:val="5"/>
                <w:color w:val="auto"/>
              </w:rPr>
            </w:pPr>
          </w:p>
        </w:tc>
        <w:tc>
          <w:tcPr>
            <w:tcW w:w="1860" w:type="dxa"/>
            <w:vAlign w:val="bottom"/>
            <w:gridSpan w:val="5"/>
            <w:vMerge w:val="restart"/>
          </w:tcPr>
          <w:p>
            <w:pPr>
              <w:jc w:val="right"/>
              <w:ind w:right="680"/>
              <w:spacing w:after="0"/>
              <w:rPr>
                <w:sz w:val="20"/>
                <w:szCs w:val="20"/>
                <w:color w:val="auto"/>
              </w:rPr>
            </w:pPr>
            <w:r>
              <w:rPr>
                <w:rFonts w:ascii="Arial" w:cs="Arial" w:eastAsia="Arial" w:hAnsi="Arial"/>
                <w:sz w:val="13"/>
                <w:szCs w:val="13"/>
                <w:b w:val="1"/>
                <w:bCs w:val="1"/>
                <w:color w:val="auto"/>
              </w:rPr>
              <w:t>Oustanding</w:t>
            </w: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7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700" w:type="dxa"/>
            <w:vAlign w:val="bottom"/>
          </w:tcPr>
          <w:p>
            <w:pPr>
              <w:spacing w:after="0"/>
              <w:rPr>
                <w:sz w:val="7"/>
                <w:szCs w:val="7"/>
                <w:color w:val="auto"/>
              </w:rPr>
            </w:pPr>
          </w:p>
        </w:tc>
        <w:tc>
          <w:tcPr>
            <w:tcW w:w="1860" w:type="dxa"/>
            <w:vAlign w:val="bottom"/>
            <w:gridSpan w:val="5"/>
            <w:vMerge w:val="continue"/>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gridSpan w:val="2"/>
            <w:vMerge w:val="restart"/>
          </w:tcPr>
          <w:p>
            <w:pPr>
              <w:jc w:val="right"/>
              <w:ind w:right="320"/>
              <w:spacing w:after="0" w:line="144" w:lineRule="exact"/>
              <w:rPr>
                <w:sz w:val="20"/>
                <w:szCs w:val="20"/>
                <w:color w:val="auto"/>
              </w:rPr>
            </w:pPr>
            <w:r>
              <w:rPr>
                <w:rFonts w:ascii="Arial" w:cs="Arial" w:eastAsia="Arial" w:hAnsi="Arial"/>
                <w:sz w:val="13"/>
                <w:szCs w:val="13"/>
                <w:b w:val="1"/>
                <w:bCs w:val="1"/>
                <w:color w:val="auto"/>
              </w:rPr>
              <w:t>Stock</w:t>
            </w:r>
          </w:p>
        </w:tc>
        <w:tc>
          <w:tcPr>
            <w:tcW w:w="1000" w:type="dxa"/>
            <w:vAlign w:val="bottom"/>
            <w:gridSpan w:val="3"/>
            <w:vMerge w:val="restart"/>
          </w:tcPr>
          <w:p>
            <w:pPr>
              <w:jc w:val="right"/>
              <w:ind w:right="240"/>
              <w:spacing w:after="0" w:line="144" w:lineRule="exact"/>
              <w:rPr>
                <w:sz w:val="20"/>
                <w:szCs w:val="20"/>
                <w:color w:val="auto"/>
              </w:rPr>
            </w:pPr>
            <w:r>
              <w:rPr>
                <w:rFonts w:ascii="Arial" w:cs="Arial" w:eastAsia="Arial" w:hAnsi="Arial"/>
                <w:sz w:val="13"/>
                <w:szCs w:val="13"/>
                <w:b w:val="1"/>
                <w:bCs w:val="1"/>
                <w:color w:val="auto"/>
              </w:rPr>
              <w:t>Contributed</w:t>
            </w: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180" w:type="dxa"/>
            <w:vAlign w:val="bottom"/>
            <w:gridSpan w:val="3"/>
            <w:vMerge w:val="restart"/>
          </w:tcPr>
          <w:p>
            <w:pPr>
              <w:jc w:val="center"/>
              <w:ind w:right="160"/>
              <w:spacing w:after="0" w:line="144" w:lineRule="exact"/>
              <w:rPr>
                <w:sz w:val="20"/>
                <w:szCs w:val="20"/>
                <w:color w:val="auto"/>
              </w:rPr>
            </w:pPr>
            <w:r>
              <w:rPr>
                <w:rFonts w:ascii="Arial" w:cs="Arial" w:eastAsia="Arial" w:hAnsi="Arial"/>
                <w:sz w:val="13"/>
                <w:szCs w:val="13"/>
                <w:b w:val="1"/>
                <w:bCs w:val="1"/>
                <w:color w:val="auto"/>
                <w:w w:val="88"/>
              </w:rPr>
              <w:t>Comprehensive</w:t>
            </w:r>
          </w:p>
        </w:tc>
        <w:tc>
          <w:tcPr>
            <w:tcW w:w="120" w:type="dxa"/>
            <w:vAlign w:val="bottom"/>
          </w:tcPr>
          <w:p>
            <w:pPr>
              <w:spacing w:after="0"/>
              <w:rPr>
                <w:sz w:val="7"/>
                <w:szCs w:val="7"/>
                <w:color w:val="auto"/>
              </w:rPr>
            </w:pPr>
          </w:p>
        </w:tc>
        <w:tc>
          <w:tcPr>
            <w:tcW w:w="760" w:type="dxa"/>
            <w:vAlign w:val="bottom"/>
            <w:gridSpan w:val="2"/>
            <w:vMerge w:val="restart"/>
          </w:tcPr>
          <w:p>
            <w:pPr>
              <w:jc w:val="right"/>
              <w:ind w:right="380"/>
              <w:spacing w:after="0" w:line="144" w:lineRule="exact"/>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33"/>
        </w:trPr>
        <w:tc>
          <w:tcPr>
            <w:tcW w:w="2700" w:type="dxa"/>
            <w:vAlign w:val="bottom"/>
          </w:tcPr>
          <w:p>
            <w:pPr>
              <w:spacing w:after="0"/>
              <w:rPr>
                <w:sz w:val="2"/>
                <w:szCs w:val="2"/>
                <w:color w:val="auto"/>
              </w:rPr>
            </w:pPr>
          </w:p>
        </w:tc>
        <w:tc>
          <w:tcPr>
            <w:tcW w:w="800" w:type="dxa"/>
            <w:vAlign w:val="bottom"/>
            <w:tcBorders>
              <w:top w:val="single" w:sz="8" w:color="auto"/>
            </w:tcBorders>
          </w:tcPr>
          <w:p>
            <w:pPr>
              <w:spacing w:after="0"/>
              <w:rPr>
                <w:sz w:val="2"/>
                <w:szCs w:val="2"/>
                <w:color w:val="auto"/>
              </w:rPr>
            </w:pPr>
          </w:p>
        </w:tc>
        <w:tc>
          <w:tcPr>
            <w:tcW w:w="160" w:type="dxa"/>
            <w:vAlign w:val="bottom"/>
            <w:tcBorders>
              <w:top w:val="single" w:sz="8" w:color="auto"/>
            </w:tcBorders>
          </w:tcPr>
          <w:p>
            <w:pPr>
              <w:spacing w:after="0"/>
              <w:rPr>
                <w:sz w:val="2"/>
                <w:szCs w:val="2"/>
                <w:color w:val="auto"/>
              </w:rPr>
            </w:pPr>
          </w:p>
        </w:tc>
        <w:tc>
          <w:tcPr>
            <w:tcW w:w="120" w:type="dxa"/>
            <w:vAlign w:val="bottom"/>
            <w:tcBorders>
              <w:top w:val="single" w:sz="8" w:color="auto"/>
            </w:tcBorders>
          </w:tcPr>
          <w:p>
            <w:pPr>
              <w:spacing w:after="0"/>
              <w:rPr>
                <w:sz w:val="2"/>
                <w:szCs w:val="2"/>
                <w:color w:val="auto"/>
              </w:rPr>
            </w:pPr>
          </w:p>
        </w:tc>
        <w:tc>
          <w:tcPr>
            <w:tcW w:w="620" w:type="dxa"/>
            <w:vAlign w:val="bottom"/>
            <w:tcBorders>
              <w:top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vMerge w:val="continue"/>
          </w:tcPr>
          <w:p>
            <w:pPr>
              <w:spacing w:after="0"/>
              <w:rPr>
                <w:sz w:val="2"/>
                <w:szCs w:val="2"/>
                <w:color w:val="auto"/>
              </w:rPr>
            </w:pPr>
          </w:p>
        </w:tc>
        <w:tc>
          <w:tcPr>
            <w:tcW w:w="100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7"/>
        </w:trPr>
        <w:tc>
          <w:tcPr>
            <w:tcW w:w="2700" w:type="dxa"/>
            <w:vAlign w:val="bottom"/>
          </w:tcPr>
          <w:p>
            <w:pPr>
              <w:spacing w:after="0"/>
              <w:rPr>
                <w:sz w:val="13"/>
                <w:szCs w:val="13"/>
                <w:color w:val="auto"/>
              </w:rPr>
            </w:pPr>
          </w:p>
        </w:tc>
        <w:tc>
          <w:tcPr>
            <w:tcW w:w="80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rPr>
              <w:t>Shares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74"/>
              <w:spacing w:after="0"/>
              <w:rPr>
                <w:sz w:val="20"/>
                <w:szCs w:val="20"/>
                <w:color w:val="auto"/>
              </w:rPr>
            </w:pPr>
            <w:r>
              <w:rPr>
                <w:rFonts w:ascii="Arial" w:cs="Arial" w:eastAsia="Arial" w:hAnsi="Arial"/>
                <w:sz w:val="13"/>
                <w:szCs w:val="13"/>
                <w:b w:val="1"/>
                <w:bCs w:val="1"/>
                <w:color w:val="auto"/>
                <w:w w:val="93"/>
              </w:rPr>
              <w:t>Amount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jc w:val="right"/>
              <w:ind w:right="14"/>
              <w:spacing w:after="0"/>
              <w:rPr>
                <w:sz w:val="20"/>
                <w:szCs w:val="20"/>
                <w:color w:val="auto"/>
              </w:rPr>
            </w:pPr>
            <w:r>
              <w:rPr>
                <w:rFonts w:ascii="Arial" w:cs="Arial" w:eastAsia="Arial" w:hAnsi="Arial"/>
                <w:sz w:val="13"/>
                <w:szCs w:val="13"/>
                <w:b w:val="1"/>
                <w:bCs w:val="1"/>
                <w:color w:val="auto"/>
                <w:w w:val="89"/>
              </w:rPr>
              <w:t>Options</w:t>
            </w: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w w:val="99"/>
              </w:rPr>
              <w:t>Surplus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right"/>
              <w:ind w:right="94"/>
              <w:spacing w:after="0"/>
              <w:rPr>
                <w:sz w:val="20"/>
                <w:szCs w:val="20"/>
                <w:color w:val="auto"/>
              </w:rPr>
            </w:pPr>
            <w:r>
              <w:rPr>
                <w:rFonts w:ascii="Arial" w:cs="Arial" w:eastAsia="Arial" w:hAnsi="Arial"/>
                <w:sz w:val="13"/>
                <w:szCs w:val="13"/>
                <w:b w:val="1"/>
                <w:bCs w:val="1"/>
                <w:color w:val="auto"/>
                <w:w w:val="95"/>
              </w:rPr>
              <w:t>Deficit</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92"/>
              </w:rPr>
              <w:t>Income</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14"/>
              <w:spacing w:after="0"/>
              <w:rPr>
                <w:sz w:val="20"/>
                <w:szCs w:val="20"/>
                <w:color w:val="auto"/>
              </w:rPr>
            </w:pPr>
            <w:r>
              <w:rPr>
                <w:rFonts w:ascii="Arial" w:cs="Arial" w:eastAsia="Arial" w:hAnsi="Arial"/>
                <w:sz w:val="13"/>
                <w:szCs w:val="13"/>
                <w:b w:val="1"/>
                <w:bCs w:val="1"/>
                <w:color w:val="auto"/>
              </w:rPr>
              <w:t>Equity</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700" w:type="dxa"/>
            <w:vAlign w:val="bottom"/>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Balance December 31, 2013</w:t>
            </w:r>
          </w:p>
        </w:tc>
        <w:tc>
          <w:tcPr>
            <w:tcW w:w="9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173,953,975</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3,294,007</w:t>
            </w:r>
          </w:p>
        </w:tc>
        <w:tc>
          <w:tcPr>
            <w:tcW w:w="8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0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184,078</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37,254</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color w:val="auto"/>
              </w:rPr>
              <w:t>(800,074)</w:t>
            </w:r>
          </w:p>
        </w:tc>
        <w:tc>
          <w:tcPr>
            <w:tcW w:w="1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10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2,141</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2,717,406</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Net income</w:t>
            </w:r>
          </w:p>
        </w:tc>
        <w:tc>
          <w:tcPr>
            <w:tcW w:w="9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2700" w:type="dxa"/>
            <w:vAlign w:val="bottom"/>
            <w:vMerge w:val="continue"/>
          </w:tcPr>
          <w:p>
            <w:pPr>
              <w:spacing w:after="0"/>
              <w:rPr>
                <w:sz w:val="11"/>
                <w:szCs w:val="11"/>
                <w:color w:val="auto"/>
              </w:rPr>
            </w:pPr>
          </w:p>
        </w:tc>
        <w:tc>
          <w:tcPr>
            <w:tcW w:w="8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119,303</w:t>
            </w: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119,303</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Other comprehensive income</w:t>
            </w:r>
          </w:p>
        </w:tc>
        <w:tc>
          <w:tcPr>
            <w:tcW w:w="9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23,412</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23,412</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Total comprehensive income</w:t>
            </w:r>
          </w:p>
        </w:tc>
        <w:tc>
          <w:tcPr>
            <w:tcW w:w="9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700" w:type="dxa"/>
            <w:vAlign w:val="bottom"/>
            <w:vMerge w:val="continue"/>
          </w:tcPr>
          <w:p>
            <w:pPr>
              <w:spacing w:after="0"/>
              <w:rPr>
                <w:sz w:val="13"/>
                <w:szCs w:val="13"/>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119,303</w:t>
            </w:r>
          </w:p>
        </w:tc>
        <w:tc>
          <w:tcPr>
            <w:tcW w:w="160" w:type="dxa"/>
            <w:vAlign w:val="bottom"/>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23,412</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142,715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700" w:type="dxa"/>
            <w:vAlign w:val="bottom"/>
            <w:shd w:val="clear" w:color="auto" w:fill="CCEEFF"/>
          </w:tcPr>
          <w:p>
            <w:pPr>
              <w:spacing w:after="0" w:line="140" w:lineRule="exact"/>
              <w:rPr>
                <w:sz w:val="20"/>
                <w:szCs w:val="20"/>
                <w:color w:val="auto"/>
              </w:rPr>
            </w:pPr>
            <w:r>
              <w:rPr>
                <w:rFonts w:ascii="Arial" w:cs="Arial" w:eastAsia="Arial" w:hAnsi="Arial"/>
                <w:sz w:val="13"/>
                <w:szCs w:val="13"/>
                <w:color w:val="auto"/>
              </w:rPr>
              <w:t>Transactions with owners:</w:t>
            </w: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Shares issued under employee stock option</w:t>
            </w: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 (notes 11 and 12)</w:t>
            </w: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377,425</w:t>
            </w: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12,976</w:t>
            </w:r>
          </w:p>
        </w:tc>
        <w:tc>
          <w:tcPr>
            <w:tcW w:w="80" w:type="dxa"/>
            <w:vAlign w:val="bottom"/>
          </w:tcPr>
          <w:p>
            <w:pPr>
              <w:spacing w:after="0"/>
              <w:rPr>
                <w:sz w:val="13"/>
                <w:szCs w:val="1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3"/>
                <w:szCs w:val="13"/>
                <w:color w:val="auto"/>
              </w:rPr>
              <w:t>(2,693)</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10,283</w:t>
            </w: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140"/>
              <w:spacing w:after="0" w:line="144" w:lineRule="exact"/>
              <w:rPr>
                <w:sz w:val="20"/>
                <w:szCs w:val="20"/>
                <w:color w:val="auto"/>
              </w:rPr>
            </w:pPr>
            <w:r>
              <w:rPr>
                <w:rFonts w:ascii="Arial" w:cs="Arial" w:eastAsia="Arial" w:hAnsi="Arial"/>
                <w:sz w:val="13"/>
                <w:szCs w:val="13"/>
                <w:color w:val="auto"/>
              </w:rPr>
              <w:t>Stock options (notes 11 and 12)</w:t>
            </w:r>
          </w:p>
        </w:tc>
        <w:tc>
          <w:tcPr>
            <w:tcW w:w="9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13,308</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13,308</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w w:val="94"/>
              </w:rPr>
              <w:t>Shares issued under incentive share purchase</w:t>
            </w: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 (note 12)</w:t>
            </w: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238,042</w:t>
            </w: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8,088</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8,088</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Shares issued under dividend reinvestment</w:t>
            </w:r>
          </w:p>
        </w:tc>
        <w:tc>
          <w:tcPr>
            <w:tcW w:w="8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98,075</w:t>
            </w: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3,042</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3,042</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Shares issued for joint acquisition of Osisko</w:t>
            </w: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(note 5)</w:t>
            </w: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34,794,892</w:t>
            </w: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1,164,237</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1,164,237</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w w:val="97"/>
              </w:rPr>
              <w:t>Common shares held by a depository relating</w:t>
            </w:r>
          </w:p>
        </w:tc>
        <w:tc>
          <w:tcPr>
            <w:tcW w:w="8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280"/>
              <w:spacing w:after="0" w:line="144" w:lineRule="exact"/>
              <w:rPr>
                <w:sz w:val="20"/>
                <w:szCs w:val="20"/>
                <w:color w:val="auto"/>
              </w:rPr>
            </w:pPr>
            <w:r>
              <w:rPr>
                <w:rFonts w:ascii="Arial" w:cs="Arial" w:eastAsia="Arial" w:hAnsi="Arial"/>
                <w:sz w:val="13"/>
                <w:szCs w:val="13"/>
                <w:color w:val="auto"/>
              </w:rPr>
              <w:t>to Convertible Debentures previously</w:t>
            </w: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issued by Osisko (notes 5 and 10)</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(871,680)</w:t>
            </w: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(29,166)</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(29,166)</w:t>
            </w:r>
          </w:p>
        </w:tc>
        <w:tc>
          <w:tcPr>
            <w:tcW w:w="0" w:type="dxa"/>
            <w:vAlign w:val="bottom"/>
          </w:tcPr>
          <w:p>
            <w:pPr>
              <w:spacing w:after="0"/>
              <w:rPr>
                <w:sz w:val="1"/>
                <w:szCs w:val="1"/>
                <w:color w:val="auto"/>
              </w:rPr>
            </w:pPr>
          </w:p>
        </w:tc>
      </w:tr>
      <w:tr>
        <w:trPr>
          <w:trHeight w:val="144"/>
        </w:trPr>
        <w:tc>
          <w:tcPr>
            <w:tcW w:w="2700" w:type="dxa"/>
            <w:vAlign w:val="bottom"/>
          </w:tcPr>
          <w:p>
            <w:pPr>
              <w:ind w:left="140"/>
              <w:spacing w:after="0" w:line="144" w:lineRule="exact"/>
              <w:rPr>
                <w:sz w:val="20"/>
                <w:szCs w:val="20"/>
                <w:color w:val="auto"/>
              </w:rPr>
            </w:pPr>
            <w:r>
              <w:rPr>
                <w:rFonts w:ascii="Arial" w:cs="Arial" w:eastAsia="Arial" w:hAnsi="Arial"/>
                <w:sz w:val="13"/>
                <w:szCs w:val="13"/>
                <w:color w:val="auto"/>
              </w:rPr>
              <w:t>Dividends declared ($0.16 per share)</w:t>
            </w:r>
          </w:p>
        </w:tc>
        <w:tc>
          <w:tcPr>
            <w:tcW w:w="9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(27,908)</w:t>
            </w:r>
          </w:p>
        </w:tc>
        <w:tc>
          <w:tcPr>
            <w:tcW w:w="100" w:type="dxa"/>
            <w:vAlign w:val="bottom"/>
          </w:tcPr>
          <w:p>
            <w:pPr>
              <w:spacing w:after="0"/>
              <w:rPr>
                <w:sz w:val="12"/>
                <w:szCs w:val="12"/>
                <w:color w:val="auto"/>
              </w:rPr>
            </w:pPr>
          </w:p>
        </w:tc>
        <w:tc>
          <w:tcPr>
            <w:tcW w:w="10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6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(27,908)</w:t>
            </w: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140"/>
              <w:spacing w:after="0" w:line="144" w:lineRule="exact"/>
              <w:rPr>
                <w:sz w:val="20"/>
                <w:szCs w:val="20"/>
                <w:color w:val="auto"/>
              </w:rPr>
            </w:pPr>
            <w:r>
              <w:rPr>
                <w:rFonts w:ascii="Arial" w:cs="Arial" w:eastAsia="Arial" w:hAnsi="Arial"/>
                <w:sz w:val="13"/>
                <w:szCs w:val="13"/>
                <w:color w:val="auto"/>
              </w:rPr>
              <w:t>Restricted share unit plan (note 12)</w:t>
            </w:r>
          </w:p>
        </w:tc>
        <w:tc>
          <w:tcPr>
            <w:tcW w:w="9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(66,363)</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(1,274)</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(1,274)</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b w:val="1"/>
                <w:bCs w:val="1"/>
                <w:color w:val="auto"/>
              </w:rPr>
              <w:t>Balance June 30, 2014</w:t>
            </w:r>
          </w:p>
        </w:tc>
        <w:tc>
          <w:tcPr>
            <w:tcW w:w="9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700" w:type="dxa"/>
            <w:vAlign w:val="bottom"/>
            <w:vMerge w:val="continue"/>
          </w:tcPr>
          <w:p>
            <w:pPr>
              <w:spacing w:after="0"/>
              <w:rPr>
                <w:sz w:val="13"/>
                <w:szCs w:val="13"/>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208,524,366</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4,451,910</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194,693</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37,254</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96"/>
              </w:rPr>
              <w:t>(708,679)</w:t>
            </w:r>
          </w:p>
        </w:tc>
        <w:tc>
          <w:tcPr>
            <w:tcW w:w="16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25,553</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4,000,731</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270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Balance December 31, 2014</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214,236,234</w:t>
            </w: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4,599,788</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200,830</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37,254</w:t>
            </w: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(779,382)</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4,068,490</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Net income</w:t>
            </w:r>
          </w:p>
        </w:tc>
        <w:tc>
          <w:tcPr>
            <w:tcW w:w="9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2700" w:type="dxa"/>
            <w:vAlign w:val="bottom"/>
            <w:vMerge w:val="continue"/>
          </w:tcPr>
          <w:p>
            <w:pPr>
              <w:spacing w:after="0"/>
              <w:rPr>
                <w:sz w:val="11"/>
                <w:szCs w:val="11"/>
                <w:color w:val="auto"/>
              </w:rPr>
            </w:pPr>
          </w:p>
        </w:tc>
        <w:tc>
          <w:tcPr>
            <w:tcW w:w="8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38,826</w:t>
            </w: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38,826</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Other comprehensive loss</w:t>
            </w:r>
          </w:p>
        </w:tc>
        <w:tc>
          <w:tcPr>
            <w:tcW w:w="9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(306)</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(7,030)</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(7,336)</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Total comprehensive income (loss)</w:t>
            </w:r>
          </w:p>
        </w:tc>
        <w:tc>
          <w:tcPr>
            <w:tcW w:w="9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700" w:type="dxa"/>
            <w:vAlign w:val="bottom"/>
            <w:vMerge w:val="continue"/>
          </w:tcPr>
          <w:p>
            <w:pPr>
              <w:spacing w:after="0"/>
              <w:rPr>
                <w:sz w:val="13"/>
                <w:szCs w:val="13"/>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38,520</w:t>
            </w:r>
          </w:p>
        </w:tc>
        <w:tc>
          <w:tcPr>
            <w:tcW w:w="160" w:type="dxa"/>
            <w:vAlign w:val="bottom"/>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(7,030)</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31,490</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700" w:type="dxa"/>
            <w:vAlign w:val="bottom"/>
            <w:shd w:val="clear" w:color="auto" w:fill="CCEEFF"/>
          </w:tcPr>
          <w:p>
            <w:pPr>
              <w:spacing w:after="0" w:line="140" w:lineRule="exact"/>
              <w:rPr>
                <w:sz w:val="20"/>
                <w:szCs w:val="20"/>
                <w:color w:val="auto"/>
              </w:rPr>
            </w:pPr>
            <w:r>
              <w:rPr>
                <w:rFonts w:ascii="Arial" w:cs="Arial" w:eastAsia="Arial" w:hAnsi="Arial"/>
                <w:sz w:val="13"/>
                <w:szCs w:val="13"/>
                <w:color w:val="auto"/>
              </w:rPr>
              <w:t>Transactions with owners:</w:t>
            </w: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Shares issued under employee stock option</w:t>
            </w: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 (notes 11 and 12)</w:t>
            </w: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529,733</w:t>
            </w: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16,464</w:t>
            </w:r>
          </w:p>
        </w:tc>
        <w:tc>
          <w:tcPr>
            <w:tcW w:w="80" w:type="dxa"/>
            <w:vAlign w:val="bottom"/>
          </w:tcPr>
          <w:p>
            <w:pPr>
              <w:spacing w:after="0"/>
              <w:rPr>
                <w:sz w:val="13"/>
                <w:szCs w:val="1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3"/>
                <w:szCs w:val="13"/>
                <w:color w:val="auto"/>
              </w:rPr>
              <w:t>(3,506)</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12,958</w:t>
            </w: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140"/>
              <w:spacing w:after="0" w:line="144" w:lineRule="exact"/>
              <w:rPr>
                <w:sz w:val="20"/>
                <w:szCs w:val="20"/>
                <w:color w:val="auto"/>
              </w:rPr>
            </w:pPr>
            <w:r>
              <w:rPr>
                <w:rFonts w:ascii="Arial" w:cs="Arial" w:eastAsia="Arial" w:hAnsi="Arial"/>
                <w:sz w:val="13"/>
                <w:szCs w:val="13"/>
                <w:color w:val="auto"/>
              </w:rPr>
              <w:t>Stock options (notes 11 and 12)</w:t>
            </w:r>
          </w:p>
        </w:tc>
        <w:tc>
          <w:tcPr>
            <w:tcW w:w="9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12,205</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12,205</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w w:val="94"/>
              </w:rPr>
              <w:t>Shares issued under incentive share purchase</w:t>
            </w: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 (note 12)</w:t>
            </w: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254,743</w:t>
            </w: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7,402</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7,402</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Shares issued under dividend reinvestment</w:t>
            </w:r>
          </w:p>
        </w:tc>
        <w:tc>
          <w:tcPr>
            <w:tcW w:w="8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170,507</w:t>
            </w: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5,050</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5,050</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w w:val="98"/>
              </w:rPr>
              <w:t>Shares issued for joint acquisition of Malartic</w:t>
            </w: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CHL property</w:t>
            </w: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459,197</w:t>
            </w: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13,441</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13,441</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Shares issued for acquisition of Soltoro Ltd.</w:t>
            </w:r>
          </w:p>
        </w:tc>
        <w:tc>
          <w:tcPr>
            <w:tcW w:w="8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(note 5)</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770,429</w:t>
            </w: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24,351</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24,351</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Shares issued to settle Convertible</w:t>
            </w: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700" w:type="dxa"/>
            <w:vAlign w:val="bottom"/>
          </w:tcPr>
          <w:p>
            <w:pPr>
              <w:ind w:left="280"/>
              <w:spacing w:after="0" w:line="144" w:lineRule="exact"/>
              <w:rPr>
                <w:sz w:val="20"/>
                <w:szCs w:val="20"/>
                <w:color w:val="auto"/>
              </w:rPr>
            </w:pPr>
            <w:r>
              <w:rPr>
                <w:rFonts w:ascii="Arial" w:cs="Arial" w:eastAsia="Arial" w:hAnsi="Arial"/>
                <w:sz w:val="13"/>
                <w:szCs w:val="13"/>
                <w:color w:val="auto"/>
              </w:rPr>
              <w:t>Debentures previously issued by Osisko</w:t>
            </w: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(note 10)</w:t>
            </w: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871,680</w:t>
            </w: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24,779</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24,779</w:t>
            </w: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140"/>
              <w:spacing w:after="0" w:line="144" w:lineRule="exact"/>
              <w:rPr>
                <w:sz w:val="20"/>
                <w:szCs w:val="20"/>
                <w:color w:val="auto"/>
              </w:rPr>
            </w:pPr>
            <w:r>
              <w:rPr>
                <w:rFonts w:ascii="Arial" w:cs="Arial" w:eastAsia="Arial" w:hAnsi="Arial"/>
                <w:sz w:val="13"/>
                <w:szCs w:val="13"/>
                <w:color w:val="auto"/>
              </w:rPr>
              <w:t>Dividends declared ($0.16 per share)</w:t>
            </w:r>
          </w:p>
        </w:tc>
        <w:tc>
          <w:tcPr>
            <w:tcW w:w="9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(34,211)</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(34,211)</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Restricted share unit plan and Long Term</w:t>
            </w: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2700" w:type="dxa"/>
            <w:vAlign w:val="bottom"/>
          </w:tcPr>
          <w:p>
            <w:pPr>
              <w:ind w:left="280"/>
              <w:spacing w:after="0"/>
              <w:rPr>
                <w:sz w:val="20"/>
                <w:szCs w:val="20"/>
                <w:color w:val="auto"/>
              </w:rPr>
            </w:pPr>
            <w:r>
              <w:rPr>
                <w:rFonts w:ascii="Arial" w:cs="Arial" w:eastAsia="Arial" w:hAnsi="Arial"/>
                <w:sz w:val="13"/>
                <w:szCs w:val="13"/>
                <w:color w:val="auto"/>
              </w:rPr>
              <w:t>Incentive Plan (note 12)</w:t>
            </w:r>
          </w:p>
        </w:tc>
        <w:tc>
          <w:tcPr>
            <w:tcW w:w="960" w:type="dxa"/>
            <w:vAlign w:val="bottom"/>
            <w:gridSpan w:val="2"/>
          </w:tcPr>
          <w:p>
            <w:pPr>
              <w:jc w:val="right"/>
              <w:ind w:right="100"/>
              <w:spacing w:after="0"/>
              <w:rPr>
                <w:sz w:val="20"/>
                <w:szCs w:val="20"/>
                <w:color w:val="auto"/>
              </w:rPr>
            </w:pPr>
            <w:r>
              <w:rPr>
                <w:rFonts w:ascii="Arial" w:cs="Arial" w:eastAsia="Arial" w:hAnsi="Arial"/>
                <w:sz w:val="13"/>
                <w:szCs w:val="13"/>
                <w:color w:val="auto"/>
              </w:rPr>
              <w:t>(259,537)</w:t>
            </w:r>
          </w:p>
        </w:tc>
        <w:tc>
          <w:tcPr>
            <w:tcW w:w="12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(6,186)</w:t>
            </w:r>
          </w:p>
        </w:tc>
        <w:tc>
          <w:tcPr>
            <w:tcW w:w="8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3"/>
                <w:szCs w:val="13"/>
                <w:color w:val="auto"/>
              </w:rPr>
              <w:t>(6,186)</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700" w:type="dxa"/>
            <w:vAlign w:val="bottom"/>
            <w:shd w:val="clear" w:color="auto" w:fill="CCEEFF"/>
          </w:tcPr>
          <w:p>
            <w:pPr>
              <w:spacing w:after="0" w:line="144" w:lineRule="exact"/>
              <w:rPr>
                <w:sz w:val="20"/>
                <w:szCs w:val="20"/>
                <w:color w:val="auto"/>
              </w:rPr>
            </w:pPr>
            <w:r>
              <w:rPr>
                <w:rFonts w:ascii="Arial" w:cs="Arial" w:eastAsia="Arial" w:hAnsi="Arial"/>
                <w:sz w:val="13"/>
                <w:szCs w:val="13"/>
                <w:b w:val="1"/>
                <w:bCs w:val="1"/>
                <w:color w:val="auto"/>
              </w:rPr>
              <w:t>Balance June 30, 2015</w:t>
            </w:r>
          </w:p>
        </w:tc>
        <w:tc>
          <w:tcPr>
            <w:tcW w:w="9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217,032,986</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4,685,089</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209,529</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37,254</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(775,073)</w:t>
            </w:r>
          </w:p>
        </w:tc>
        <w:tc>
          <w:tcPr>
            <w:tcW w:w="10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2,970</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4,159,769</w:t>
            </w:r>
          </w:p>
        </w:tc>
        <w:tc>
          <w:tcPr>
            <w:tcW w:w="0" w:type="dxa"/>
            <w:vAlign w:val="bottom"/>
          </w:tcPr>
          <w:p>
            <w:pPr>
              <w:spacing w:after="0"/>
              <w:rPr>
                <w:sz w:val="1"/>
                <w:szCs w:val="1"/>
                <w:color w:val="auto"/>
              </w:rPr>
            </w:pPr>
          </w:p>
        </w:tc>
      </w:tr>
      <w:tr>
        <w:trPr>
          <w:trHeight w:val="26"/>
        </w:trPr>
        <w:tc>
          <w:tcPr>
            <w:tcW w:w="270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ind w:right="100"/>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240"/>
          </w:cols>
          <w:pgMar w:left="1380" w:top="337" w:right="1279" w:bottom="1440" w:gutter="0" w:footer="0" w:header="0"/>
        </w:sectPr>
      </w:pPr>
    </w:p>
    <w:bookmarkStart w:id="42" w:name="page43"/>
    <w:bookmarkEnd w:id="42"/>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INTERIM CONSOLIDATED STATEMENTS OF CASH FLOWS</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(thousands of United States dollars)</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(Unaudited)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5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20" w:type="dxa"/>
            <w:vAlign w:val="bottom"/>
            <w:gridSpan w:val="6"/>
          </w:tcPr>
          <w:p>
            <w:pPr>
              <w:jc w:val="right"/>
              <w:ind w:right="400"/>
              <w:spacing w:after="0"/>
              <w:rPr>
                <w:sz w:val="20"/>
                <w:szCs w:val="20"/>
                <w:color w:val="auto"/>
              </w:rPr>
            </w:pPr>
            <w:r>
              <w:rPr>
                <w:rFonts w:ascii="Arial" w:cs="Arial" w:eastAsia="Arial" w:hAnsi="Arial"/>
                <w:sz w:val="13"/>
                <w:szCs w:val="13"/>
                <w:b w:val="1"/>
                <w:bCs w:val="1"/>
                <w:color w:val="auto"/>
              </w:rPr>
              <w:t>Three Months Ended</w:t>
            </w:r>
          </w:p>
        </w:tc>
        <w:tc>
          <w:tcPr>
            <w:tcW w:w="120" w:type="dxa"/>
            <w:vAlign w:val="bottom"/>
          </w:tcPr>
          <w:p>
            <w:pPr>
              <w:spacing w:after="0"/>
              <w:rPr>
                <w:sz w:val="13"/>
                <w:szCs w:val="13"/>
                <w:color w:val="auto"/>
              </w:rPr>
            </w:pPr>
          </w:p>
        </w:tc>
        <w:tc>
          <w:tcPr>
            <w:tcW w:w="172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Six Months Ended</w:t>
            </w:r>
          </w:p>
        </w:tc>
        <w:tc>
          <w:tcPr>
            <w:tcW w:w="0" w:type="dxa"/>
            <w:vAlign w:val="bottom"/>
          </w:tcPr>
          <w:p>
            <w:pPr>
              <w:spacing w:after="0"/>
              <w:rPr>
                <w:sz w:val="1"/>
                <w:szCs w:val="1"/>
                <w:color w:val="auto"/>
              </w:rPr>
            </w:pPr>
          </w:p>
        </w:tc>
      </w:tr>
      <w:tr>
        <w:trPr>
          <w:trHeight w:val="157"/>
        </w:trPr>
        <w:tc>
          <w:tcPr>
            <w:tcW w:w="5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20" w:type="dxa"/>
            <w:vAlign w:val="bottom"/>
            <w:gridSpan w:val="6"/>
          </w:tcPr>
          <w:p>
            <w:pPr>
              <w:jc w:val="right"/>
              <w:ind w:right="760"/>
              <w:spacing w:after="0"/>
              <w:rPr>
                <w:sz w:val="20"/>
                <w:szCs w:val="20"/>
                <w:color w:val="auto"/>
              </w:rPr>
            </w:pPr>
            <w:r>
              <w:rPr>
                <w:rFonts w:ascii="Arial" w:cs="Arial" w:eastAsia="Arial" w:hAnsi="Arial"/>
                <w:sz w:val="13"/>
                <w:szCs w:val="13"/>
                <w:b w:val="1"/>
                <w:bCs w:val="1"/>
                <w:color w:val="auto"/>
              </w:rPr>
              <w:t>June 30,</w:t>
            </w:r>
          </w:p>
        </w:tc>
        <w:tc>
          <w:tcPr>
            <w:tcW w:w="120" w:type="dxa"/>
            <w:vAlign w:val="bottom"/>
          </w:tcPr>
          <w:p>
            <w:pPr>
              <w:spacing w:after="0"/>
              <w:rPr>
                <w:sz w:val="13"/>
                <w:szCs w:val="13"/>
                <w:color w:val="auto"/>
              </w:rPr>
            </w:pPr>
          </w:p>
        </w:tc>
        <w:tc>
          <w:tcPr>
            <w:tcW w:w="960" w:type="dxa"/>
            <w:vAlign w:val="bottom"/>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0"/>
        </w:trPr>
        <w:tc>
          <w:tcPr>
            <w:tcW w:w="5440" w:type="dxa"/>
            <w:vAlign w:val="bottom"/>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640" w:type="dxa"/>
            <w:vAlign w:val="bottom"/>
            <w:tcBorders>
              <w:top w:val="single" w:sz="8" w:color="auto"/>
              <w:bottom w:val="single" w:sz="8" w:color="auto"/>
            </w:tcBorders>
          </w:tcPr>
          <w:p>
            <w:pPr>
              <w:jc w:val="right"/>
              <w:ind w:right="156"/>
              <w:spacing w:after="0"/>
              <w:rPr>
                <w:sz w:val="20"/>
                <w:szCs w:val="20"/>
                <w:color w:val="auto"/>
              </w:rPr>
            </w:pPr>
            <w:r>
              <w:rPr>
                <w:rFonts w:ascii="Arial" w:cs="Arial" w:eastAsia="Arial" w:hAnsi="Arial"/>
                <w:sz w:val="13"/>
                <w:szCs w:val="13"/>
                <w:b w:val="1"/>
                <w:bCs w:val="1"/>
                <w:color w:val="auto"/>
              </w:rPr>
              <w:t>2015</w:t>
            </w:r>
          </w:p>
        </w:tc>
        <w:tc>
          <w:tcPr>
            <w:tcW w:w="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640" w:type="dxa"/>
            <w:vAlign w:val="bottom"/>
            <w:tcBorders>
              <w:top w:val="single" w:sz="8" w:color="auto"/>
              <w:bottom w:val="single" w:sz="8" w:color="auto"/>
            </w:tcBorders>
          </w:tcPr>
          <w:p>
            <w:pPr>
              <w:jc w:val="right"/>
              <w:ind w:right="155"/>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640" w:type="dxa"/>
            <w:vAlign w:val="bottom"/>
            <w:tcBorders>
              <w:top w:val="single" w:sz="8" w:color="auto"/>
              <w:bottom w:val="single" w:sz="8" w:color="auto"/>
            </w:tcBorders>
          </w:tcPr>
          <w:p>
            <w:pPr>
              <w:jc w:val="right"/>
              <w:ind w:right="156"/>
              <w:spacing w:after="0"/>
              <w:rPr>
                <w:sz w:val="20"/>
                <w:szCs w:val="20"/>
                <w:color w:val="auto"/>
              </w:rPr>
            </w:pPr>
            <w:r>
              <w:rPr>
                <w:rFonts w:ascii="Arial" w:cs="Arial" w:eastAsia="Arial" w:hAnsi="Arial"/>
                <w:sz w:val="13"/>
                <w:szCs w:val="13"/>
                <w:b w:val="1"/>
                <w:bCs w:val="1"/>
                <w:color w:val="auto"/>
              </w:rPr>
              <w:t>2015</w:t>
            </w:r>
          </w:p>
        </w:tc>
        <w:tc>
          <w:tcPr>
            <w:tcW w:w="160" w:type="dxa"/>
            <w:vAlign w:val="bottom"/>
            <w:tcBorders>
              <w:top w:val="single" w:sz="8" w:color="auto"/>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620" w:type="dxa"/>
            <w:vAlign w:val="bottom"/>
            <w:tcBorders>
              <w:top w:val="single" w:sz="8" w:color="auto"/>
              <w:bottom w:val="single" w:sz="8" w:color="auto"/>
            </w:tcBorders>
          </w:tcPr>
          <w:p>
            <w:pPr>
              <w:jc w:val="right"/>
              <w:ind w:right="175"/>
              <w:spacing w:after="0"/>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OPERATING ACTIVITIES</w:t>
            </w: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440" w:type="dxa"/>
            <w:vAlign w:val="bottom"/>
          </w:tcPr>
          <w:p>
            <w:pPr>
              <w:ind w:left="20"/>
              <w:spacing w:after="0"/>
              <w:rPr>
                <w:sz w:val="20"/>
                <w:szCs w:val="20"/>
                <w:color w:val="auto"/>
              </w:rPr>
            </w:pPr>
            <w:r>
              <w:rPr>
                <w:rFonts w:ascii="Arial" w:cs="Arial" w:eastAsia="Arial" w:hAnsi="Arial"/>
                <w:sz w:val="17"/>
                <w:szCs w:val="17"/>
                <w:color w:val="auto"/>
              </w:rPr>
              <w:t>Net income for the period</w:t>
            </w:r>
          </w:p>
        </w:tc>
        <w:tc>
          <w:tcPr>
            <w:tcW w:w="12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660" w:type="dxa"/>
            <w:vAlign w:val="bottom"/>
            <w:gridSpan w:val="2"/>
          </w:tcPr>
          <w:p>
            <w:pPr>
              <w:jc w:val="right"/>
              <w:spacing w:after="0"/>
              <w:rPr>
                <w:sz w:val="20"/>
                <w:szCs w:val="20"/>
                <w:color w:val="auto"/>
              </w:rPr>
            </w:pPr>
            <w:r>
              <w:rPr>
                <w:rFonts w:ascii="Arial" w:cs="Arial" w:eastAsia="Arial" w:hAnsi="Arial"/>
                <w:sz w:val="17"/>
                <w:szCs w:val="17"/>
                <w:b w:val="1"/>
                <w:bCs w:val="1"/>
                <w:color w:val="auto"/>
              </w:rPr>
              <w:t>10,083</w:t>
            </w: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22,158</w:t>
            </w:r>
          </w:p>
        </w:tc>
        <w:tc>
          <w:tcPr>
            <w:tcW w:w="12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38,826</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119,303</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Add (deduct) items not affecting cash:</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40" w:type="dxa"/>
            <w:vAlign w:val="bottom"/>
          </w:tcPr>
          <w:p>
            <w:pPr>
              <w:ind w:left="160"/>
              <w:spacing w:after="0"/>
              <w:rPr>
                <w:sz w:val="20"/>
                <w:szCs w:val="20"/>
                <w:color w:val="auto"/>
              </w:rPr>
            </w:pPr>
            <w:r>
              <w:rPr>
                <w:rFonts w:ascii="Arial" w:cs="Arial" w:eastAsia="Arial" w:hAnsi="Arial"/>
                <w:sz w:val="17"/>
                <w:szCs w:val="17"/>
                <w:color w:val="auto"/>
              </w:rPr>
              <w:t>Amortization of property, plant and mine development</w:t>
            </w:r>
          </w:p>
        </w:tc>
        <w:tc>
          <w:tcPr>
            <w:tcW w:w="120" w:type="dxa"/>
            <w:vAlign w:val="bottom"/>
          </w:tcPr>
          <w:p>
            <w:pPr>
              <w:spacing w:after="0"/>
              <w:rPr>
                <w:sz w:val="18"/>
                <w:szCs w:val="18"/>
                <w:color w:val="auto"/>
              </w:rPr>
            </w:pPr>
          </w:p>
        </w:tc>
        <w:tc>
          <w:tcPr>
            <w:tcW w:w="660" w:type="dxa"/>
            <w:vAlign w:val="bottom"/>
            <w:gridSpan w:val="2"/>
          </w:tcPr>
          <w:p>
            <w:pPr>
              <w:jc w:val="right"/>
              <w:spacing w:after="0"/>
              <w:rPr>
                <w:sz w:val="20"/>
                <w:szCs w:val="20"/>
                <w:color w:val="auto"/>
              </w:rPr>
            </w:pPr>
            <w:r>
              <w:rPr>
                <w:rFonts w:ascii="Arial" w:cs="Arial" w:eastAsia="Arial" w:hAnsi="Arial"/>
                <w:sz w:val="17"/>
                <w:szCs w:val="17"/>
                <w:b w:val="1"/>
                <w:bCs w:val="1"/>
                <w:color w:val="auto"/>
              </w:rPr>
              <w:t>157,615</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93,656</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293,512</w:t>
            </w:r>
          </w:p>
        </w:tc>
        <w:tc>
          <w:tcPr>
            <w:tcW w:w="16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177,137</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Deferred income and mining taxes</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(13,680)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(757)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5,620</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19,207</w:t>
            </w:r>
          </w:p>
        </w:tc>
        <w:tc>
          <w:tcPr>
            <w:tcW w:w="0" w:type="dxa"/>
            <w:vAlign w:val="bottom"/>
          </w:tcPr>
          <w:p>
            <w:pPr>
              <w:spacing w:after="0"/>
              <w:rPr>
                <w:sz w:val="1"/>
                <w:szCs w:val="1"/>
                <w:color w:val="auto"/>
              </w:rPr>
            </w:pPr>
          </w:p>
        </w:tc>
      </w:tr>
      <w:tr>
        <w:trPr>
          <w:trHeight w:val="210"/>
        </w:trPr>
        <w:tc>
          <w:tcPr>
            <w:tcW w:w="5440" w:type="dxa"/>
            <w:vAlign w:val="bottom"/>
          </w:tcPr>
          <w:p>
            <w:pPr>
              <w:ind w:left="160"/>
              <w:spacing w:after="0"/>
              <w:rPr>
                <w:sz w:val="20"/>
                <w:szCs w:val="20"/>
                <w:color w:val="auto"/>
              </w:rPr>
            </w:pPr>
            <w:r>
              <w:rPr>
                <w:rFonts w:ascii="Arial" w:cs="Arial" w:eastAsia="Arial" w:hAnsi="Arial"/>
                <w:sz w:val="17"/>
                <w:szCs w:val="17"/>
                <w:color w:val="auto"/>
              </w:rPr>
              <w:t>Gain on sale of available-for-sale securities (note 8)</w:t>
            </w:r>
          </w:p>
        </w:tc>
        <w:tc>
          <w:tcPr>
            <w:tcW w:w="120" w:type="dxa"/>
            <w:vAlign w:val="bottom"/>
          </w:tcPr>
          <w:p>
            <w:pPr>
              <w:spacing w:after="0"/>
              <w:rPr>
                <w:sz w:val="18"/>
                <w:szCs w:val="18"/>
                <w:color w:val="auto"/>
              </w:rPr>
            </w:pPr>
          </w:p>
        </w:tc>
        <w:tc>
          <w:tcPr>
            <w:tcW w:w="80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(2,675)</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(5,016)</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(23,724)</w:t>
            </w:r>
          </w:p>
        </w:tc>
        <w:tc>
          <w:tcPr>
            <w:tcW w:w="1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(5,289)</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Stock-based compensation (note 12)</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8,131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9,872</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19,849</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22,480</w:t>
            </w:r>
          </w:p>
        </w:tc>
        <w:tc>
          <w:tcPr>
            <w:tcW w:w="0" w:type="dxa"/>
            <w:vAlign w:val="bottom"/>
          </w:tcPr>
          <w:p>
            <w:pPr>
              <w:spacing w:after="0"/>
              <w:rPr>
                <w:sz w:val="1"/>
                <w:szCs w:val="1"/>
                <w:color w:val="auto"/>
              </w:rPr>
            </w:pPr>
          </w:p>
        </w:tc>
      </w:tr>
      <w:tr>
        <w:trPr>
          <w:trHeight w:val="210"/>
        </w:trPr>
        <w:tc>
          <w:tcPr>
            <w:tcW w:w="5440" w:type="dxa"/>
            <w:vAlign w:val="bottom"/>
          </w:tcPr>
          <w:p>
            <w:pPr>
              <w:ind w:left="160"/>
              <w:spacing w:after="0"/>
              <w:rPr>
                <w:sz w:val="20"/>
                <w:szCs w:val="20"/>
                <w:color w:val="auto"/>
              </w:rPr>
            </w:pPr>
            <w:r>
              <w:rPr>
                <w:rFonts w:ascii="Arial" w:cs="Arial" w:eastAsia="Arial" w:hAnsi="Arial"/>
                <w:sz w:val="17"/>
                <w:szCs w:val="17"/>
                <w:color w:val="auto"/>
              </w:rPr>
              <w:t>Impairment loss on available-for-sale securities (note 8)</w:t>
            </w:r>
          </w:p>
        </w:tc>
        <w:tc>
          <w:tcPr>
            <w:tcW w:w="120" w:type="dxa"/>
            <w:vAlign w:val="bottom"/>
          </w:tcPr>
          <w:p>
            <w:pPr>
              <w:spacing w:after="0"/>
              <w:rPr>
                <w:sz w:val="18"/>
                <w:szCs w:val="18"/>
                <w:color w:val="auto"/>
              </w:rPr>
            </w:pPr>
          </w:p>
        </w:tc>
        <w:tc>
          <w:tcPr>
            <w:tcW w:w="660" w:type="dxa"/>
            <w:vAlign w:val="bottom"/>
            <w:gridSpan w:val="2"/>
          </w:tcPr>
          <w:p>
            <w:pPr>
              <w:jc w:val="right"/>
              <w:spacing w:after="0"/>
              <w:rPr>
                <w:sz w:val="20"/>
                <w:szCs w:val="20"/>
                <w:color w:val="auto"/>
              </w:rPr>
            </w:pPr>
            <w:r>
              <w:rPr>
                <w:rFonts w:ascii="Arial" w:cs="Arial" w:eastAsia="Arial" w:hAnsi="Arial"/>
                <w:sz w:val="17"/>
                <w:szCs w:val="17"/>
                <w:b w:val="1"/>
                <w:bCs w:val="1"/>
                <w:color w:val="auto"/>
              </w:rPr>
              <w:t>345</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2,419</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1,030</w:t>
            </w:r>
          </w:p>
        </w:tc>
        <w:tc>
          <w:tcPr>
            <w:tcW w:w="16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2,419</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Foreign currency translation loss (gain)</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4,779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6,568</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(6,911)</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1,509</w:t>
            </w:r>
          </w:p>
        </w:tc>
        <w:tc>
          <w:tcPr>
            <w:tcW w:w="0" w:type="dxa"/>
            <w:vAlign w:val="bottom"/>
          </w:tcPr>
          <w:p>
            <w:pPr>
              <w:spacing w:after="0"/>
              <w:rPr>
                <w:sz w:val="1"/>
                <w:szCs w:val="1"/>
                <w:color w:val="auto"/>
              </w:rPr>
            </w:pPr>
          </w:p>
        </w:tc>
      </w:tr>
      <w:tr>
        <w:trPr>
          <w:trHeight w:val="210"/>
        </w:trPr>
        <w:tc>
          <w:tcPr>
            <w:tcW w:w="5440" w:type="dxa"/>
            <w:vAlign w:val="bottom"/>
          </w:tcPr>
          <w:p>
            <w:pPr>
              <w:ind w:left="160"/>
              <w:spacing w:after="0"/>
              <w:rPr>
                <w:sz w:val="20"/>
                <w:szCs w:val="20"/>
                <w:color w:val="auto"/>
              </w:rPr>
            </w:pPr>
            <w:r>
              <w:rPr>
                <w:rFonts w:ascii="Arial" w:cs="Arial" w:eastAsia="Arial" w:hAnsi="Arial"/>
                <w:sz w:val="17"/>
                <w:szCs w:val="17"/>
                <w:color w:val="auto"/>
              </w:rPr>
              <w:t>Other</w:t>
            </w:r>
          </w:p>
        </w:tc>
        <w:tc>
          <w:tcPr>
            <w:tcW w:w="120" w:type="dxa"/>
            <w:vAlign w:val="bottom"/>
          </w:tcPr>
          <w:p>
            <w:pPr>
              <w:spacing w:after="0"/>
              <w:rPr>
                <w:sz w:val="18"/>
                <w:szCs w:val="18"/>
                <w:color w:val="auto"/>
              </w:rPr>
            </w:pPr>
          </w:p>
        </w:tc>
        <w:tc>
          <w:tcPr>
            <w:tcW w:w="80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(11,403)</w:t>
            </w:r>
          </w:p>
        </w:tc>
        <w:tc>
          <w:tcPr>
            <w:tcW w:w="12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7,681</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2,133</w:t>
            </w:r>
          </w:p>
        </w:tc>
        <w:tc>
          <w:tcPr>
            <w:tcW w:w="16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7,906</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Adjustment for settlement of reclamation provision</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(407)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(709)</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(1,035)</w:t>
            </w:r>
          </w:p>
        </w:tc>
        <w:tc>
          <w:tcPr>
            <w:tcW w:w="0" w:type="dxa"/>
            <w:vAlign w:val="bottom"/>
          </w:tcPr>
          <w:p>
            <w:pPr>
              <w:spacing w:after="0"/>
              <w:rPr>
                <w:sz w:val="1"/>
                <w:szCs w:val="1"/>
                <w:color w:val="auto"/>
              </w:rPr>
            </w:pPr>
          </w:p>
        </w:tc>
      </w:tr>
      <w:tr>
        <w:trPr>
          <w:trHeight w:val="210"/>
        </w:trPr>
        <w:tc>
          <w:tcPr>
            <w:tcW w:w="5440" w:type="dxa"/>
            <w:vAlign w:val="bottom"/>
          </w:tcPr>
          <w:p>
            <w:pPr>
              <w:ind w:left="20"/>
              <w:spacing w:after="0"/>
              <w:rPr>
                <w:sz w:val="20"/>
                <w:szCs w:val="20"/>
                <w:color w:val="auto"/>
              </w:rPr>
            </w:pPr>
            <w:r>
              <w:rPr>
                <w:rFonts w:ascii="Arial" w:cs="Arial" w:eastAsia="Arial" w:hAnsi="Arial"/>
                <w:sz w:val="17"/>
                <w:szCs w:val="17"/>
                <w:color w:val="auto"/>
              </w:rPr>
              <w:t>Changes in non-cash working capital balances:</w:t>
            </w: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Trade receivables</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22</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15,364</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(1,462)</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8,253</w:t>
            </w:r>
          </w:p>
        </w:tc>
        <w:tc>
          <w:tcPr>
            <w:tcW w:w="0" w:type="dxa"/>
            <w:vAlign w:val="bottom"/>
          </w:tcPr>
          <w:p>
            <w:pPr>
              <w:spacing w:after="0"/>
              <w:rPr>
                <w:sz w:val="1"/>
                <w:szCs w:val="1"/>
                <w:color w:val="auto"/>
              </w:rPr>
            </w:pPr>
          </w:p>
        </w:tc>
      </w:tr>
      <w:tr>
        <w:trPr>
          <w:trHeight w:val="210"/>
        </w:trPr>
        <w:tc>
          <w:tcPr>
            <w:tcW w:w="5440" w:type="dxa"/>
            <w:vAlign w:val="bottom"/>
          </w:tcPr>
          <w:p>
            <w:pPr>
              <w:ind w:left="160"/>
              <w:spacing w:after="0"/>
              <w:rPr>
                <w:sz w:val="20"/>
                <w:szCs w:val="20"/>
                <w:color w:val="auto"/>
              </w:rPr>
            </w:pPr>
            <w:r>
              <w:rPr>
                <w:rFonts w:ascii="Arial" w:cs="Arial" w:eastAsia="Arial" w:hAnsi="Arial"/>
                <w:sz w:val="17"/>
                <w:szCs w:val="17"/>
                <w:color w:val="auto"/>
              </w:rPr>
              <w:t>Income taxes</w:t>
            </w:r>
          </w:p>
        </w:tc>
        <w:tc>
          <w:tcPr>
            <w:tcW w:w="120" w:type="dxa"/>
            <w:vAlign w:val="bottom"/>
          </w:tcPr>
          <w:p>
            <w:pPr>
              <w:spacing w:after="0"/>
              <w:rPr>
                <w:sz w:val="18"/>
                <w:szCs w:val="18"/>
                <w:color w:val="auto"/>
              </w:rPr>
            </w:pPr>
          </w:p>
        </w:tc>
        <w:tc>
          <w:tcPr>
            <w:tcW w:w="660" w:type="dxa"/>
            <w:vAlign w:val="bottom"/>
            <w:gridSpan w:val="2"/>
          </w:tcPr>
          <w:p>
            <w:pPr>
              <w:jc w:val="right"/>
              <w:spacing w:after="0"/>
              <w:rPr>
                <w:sz w:val="20"/>
                <w:szCs w:val="20"/>
                <w:color w:val="auto"/>
              </w:rPr>
            </w:pPr>
            <w:r>
              <w:rPr>
                <w:rFonts w:ascii="Arial" w:cs="Arial" w:eastAsia="Arial" w:hAnsi="Arial"/>
                <w:sz w:val="17"/>
                <w:szCs w:val="17"/>
                <w:b w:val="1"/>
                <w:bCs w:val="1"/>
                <w:color w:val="auto"/>
              </w:rPr>
              <w:t>13,043</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(1,227)</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(11,020)</w:t>
            </w:r>
          </w:p>
        </w:tc>
        <w:tc>
          <w:tcPr>
            <w:tcW w:w="16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20,520</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Inventories</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11,623</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6,432</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22,035</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29,903</w:t>
            </w:r>
          </w:p>
        </w:tc>
        <w:tc>
          <w:tcPr>
            <w:tcW w:w="0" w:type="dxa"/>
            <w:vAlign w:val="bottom"/>
          </w:tcPr>
          <w:p>
            <w:pPr>
              <w:spacing w:after="0"/>
              <w:rPr>
                <w:sz w:val="1"/>
                <w:szCs w:val="1"/>
                <w:color w:val="auto"/>
              </w:rPr>
            </w:pPr>
          </w:p>
        </w:tc>
      </w:tr>
      <w:tr>
        <w:trPr>
          <w:trHeight w:val="210"/>
        </w:trPr>
        <w:tc>
          <w:tcPr>
            <w:tcW w:w="5440" w:type="dxa"/>
            <w:vAlign w:val="bottom"/>
          </w:tcPr>
          <w:p>
            <w:pPr>
              <w:ind w:left="160"/>
              <w:spacing w:after="0"/>
              <w:rPr>
                <w:sz w:val="20"/>
                <w:szCs w:val="20"/>
                <w:color w:val="auto"/>
              </w:rPr>
            </w:pPr>
            <w:r>
              <w:rPr>
                <w:rFonts w:ascii="Arial" w:cs="Arial" w:eastAsia="Arial" w:hAnsi="Arial"/>
                <w:sz w:val="17"/>
                <w:szCs w:val="17"/>
                <w:color w:val="auto"/>
              </w:rPr>
              <w:t>Other current assets</w:t>
            </w:r>
          </w:p>
        </w:tc>
        <w:tc>
          <w:tcPr>
            <w:tcW w:w="120" w:type="dxa"/>
            <w:vAlign w:val="bottom"/>
          </w:tcPr>
          <w:p>
            <w:pPr>
              <w:spacing w:after="0"/>
              <w:rPr>
                <w:sz w:val="18"/>
                <w:szCs w:val="18"/>
                <w:color w:val="auto"/>
              </w:rPr>
            </w:pPr>
          </w:p>
        </w:tc>
        <w:tc>
          <w:tcPr>
            <w:tcW w:w="80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(18,186)</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(20,325)</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(23,023)</w:t>
            </w:r>
          </w:p>
        </w:tc>
        <w:tc>
          <w:tcPr>
            <w:tcW w:w="1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(4,805)</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Accounts payable and accrued liabilities</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36,435</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53,161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15,853</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35,756</w:t>
            </w:r>
          </w:p>
        </w:tc>
        <w:tc>
          <w:tcPr>
            <w:tcW w:w="0" w:type="dxa"/>
            <w:vAlign w:val="bottom"/>
          </w:tcPr>
          <w:p>
            <w:pPr>
              <w:spacing w:after="0"/>
              <w:rPr>
                <w:sz w:val="1"/>
                <w:szCs w:val="1"/>
                <w:color w:val="auto"/>
              </w:rPr>
            </w:pPr>
          </w:p>
        </w:tc>
      </w:tr>
      <w:tr>
        <w:trPr>
          <w:trHeight w:val="228"/>
        </w:trPr>
        <w:tc>
          <w:tcPr>
            <w:tcW w:w="5440" w:type="dxa"/>
            <w:vAlign w:val="bottom"/>
          </w:tcPr>
          <w:p>
            <w:pPr>
              <w:ind w:left="160"/>
              <w:spacing w:after="0"/>
              <w:rPr>
                <w:sz w:val="20"/>
                <w:szCs w:val="20"/>
                <w:color w:val="auto"/>
              </w:rPr>
            </w:pPr>
            <w:r>
              <w:rPr>
                <w:rFonts w:ascii="Arial" w:cs="Arial" w:eastAsia="Arial" w:hAnsi="Arial"/>
                <w:sz w:val="17"/>
                <w:szCs w:val="17"/>
                <w:color w:val="auto"/>
              </w:rPr>
              <w:t>Interest payable</w:t>
            </w:r>
          </w:p>
        </w:tc>
        <w:tc>
          <w:tcPr>
            <w:tcW w:w="120" w:type="dxa"/>
            <w:vAlign w:val="bottom"/>
          </w:tcPr>
          <w:p>
            <w:pPr>
              <w:spacing w:after="0"/>
              <w:rPr>
                <w:sz w:val="19"/>
                <w:szCs w:val="19"/>
                <w:color w:val="auto"/>
              </w:rPr>
            </w:pPr>
          </w:p>
        </w:tc>
        <w:tc>
          <w:tcPr>
            <w:tcW w:w="80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(7,376)</w:t>
            </w: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(7,157)</w:t>
            </w: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(205)</w:t>
            </w:r>
          </w:p>
        </w:tc>
        <w:tc>
          <w:tcPr>
            <w:tcW w:w="160" w:type="dxa"/>
            <w:vAlign w:val="bottom"/>
          </w:tcPr>
          <w:p>
            <w:pPr>
              <w:spacing w:after="0"/>
              <w:rPr>
                <w:sz w:val="19"/>
                <w:szCs w:val="19"/>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(140)</w:t>
            </w:r>
          </w:p>
        </w:tc>
        <w:tc>
          <w:tcPr>
            <w:tcW w:w="0" w:type="dxa"/>
            <w:vAlign w:val="bottom"/>
          </w:tcPr>
          <w:p>
            <w:pPr>
              <w:spacing w:after="0"/>
              <w:rPr>
                <w:sz w:val="1"/>
                <w:szCs w:val="1"/>
                <w:color w:val="auto"/>
              </w:rPr>
            </w:pPr>
          </w:p>
        </w:tc>
      </w:tr>
      <w:tr>
        <w:trPr>
          <w:trHeight w:val="21"/>
        </w:trPr>
        <w:tc>
          <w:tcPr>
            <w:tcW w:w="5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provided by operating activities</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188,349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182,728</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331,804</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433,124</w:t>
            </w:r>
          </w:p>
        </w:tc>
        <w:tc>
          <w:tcPr>
            <w:tcW w:w="0" w:type="dxa"/>
            <w:vAlign w:val="bottom"/>
          </w:tcPr>
          <w:p>
            <w:pPr>
              <w:spacing w:after="0"/>
              <w:rPr>
                <w:sz w:val="1"/>
                <w:szCs w:val="1"/>
                <w:color w:val="auto"/>
              </w:rPr>
            </w:pPr>
          </w:p>
        </w:tc>
      </w:tr>
      <w:tr>
        <w:trPr>
          <w:trHeight w:val="26"/>
        </w:trPr>
        <w:tc>
          <w:tcPr>
            <w:tcW w:w="544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INVESTING ACTIVITIES</w:t>
            </w: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98"/>
        </w:trPr>
        <w:tc>
          <w:tcPr>
            <w:tcW w:w="544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Additions to property, plant and mine development (note 9)</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(111,511)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3"/>
              </w:rPr>
              <w:t>(115,157)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(194,398)</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0"/>
              </w:rPr>
              <w:t>(216,617)</w:t>
            </w:r>
          </w:p>
        </w:tc>
        <w:tc>
          <w:tcPr>
            <w:tcW w:w="0" w:type="dxa"/>
            <w:vAlign w:val="bottom"/>
          </w:tcPr>
          <w:p>
            <w:pPr>
              <w:spacing w:after="0"/>
              <w:rPr>
                <w:sz w:val="1"/>
                <w:szCs w:val="1"/>
                <w:color w:val="auto"/>
              </w:rPr>
            </w:pPr>
          </w:p>
        </w:tc>
      </w:tr>
      <w:tr>
        <w:trPr>
          <w:trHeight w:val="210"/>
        </w:trPr>
        <w:tc>
          <w:tcPr>
            <w:tcW w:w="5440" w:type="dxa"/>
            <w:vAlign w:val="bottom"/>
          </w:tcPr>
          <w:p>
            <w:pPr>
              <w:ind w:left="20"/>
              <w:spacing w:after="0"/>
              <w:rPr>
                <w:sz w:val="20"/>
                <w:szCs w:val="20"/>
                <w:color w:val="auto"/>
              </w:rPr>
            </w:pPr>
            <w:r>
              <w:rPr>
                <w:rFonts w:ascii="Arial" w:cs="Arial" w:eastAsia="Arial" w:hAnsi="Arial"/>
                <w:sz w:val="17"/>
                <w:szCs w:val="17"/>
                <w:color w:val="auto"/>
              </w:rPr>
              <w:t>Acquisitions, net of cash and cash equivalents acquired (note 5)</w:t>
            </w:r>
          </w:p>
        </w:tc>
        <w:tc>
          <w:tcPr>
            <w:tcW w:w="120" w:type="dxa"/>
            <w:vAlign w:val="bottom"/>
          </w:tcPr>
          <w:p>
            <w:pPr>
              <w:spacing w:after="0"/>
              <w:rPr>
                <w:sz w:val="18"/>
                <w:szCs w:val="18"/>
                <w:color w:val="auto"/>
              </w:rPr>
            </w:pPr>
          </w:p>
        </w:tc>
        <w:tc>
          <w:tcPr>
            <w:tcW w:w="80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(5,983)</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w w:val="93"/>
              </w:rPr>
              <w:t>(403,509)</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(12,983)</w:t>
            </w:r>
          </w:p>
        </w:tc>
        <w:tc>
          <w:tcPr>
            <w:tcW w:w="1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w w:val="90"/>
              </w:rPr>
              <w:t>(403,509)</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purchases of short-term investments</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(947)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(2,004)</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(1,048)</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(2,004)</w:t>
            </w:r>
          </w:p>
        </w:tc>
        <w:tc>
          <w:tcPr>
            <w:tcW w:w="0" w:type="dxa"/>
            <w:vAlign w:val="bottom"/>
          </w:tcPr>
          <w:p>
            <w:pPr>
              <w:spacing w:after="0"/>
              <w:rPr>
                <w:sz w:val="1"/>
                <w:szCs w:val="1"/>
                <w:color w:val="auto"/>
              </w:rPr>
            </w:pPr>
          </w:p>
        </w:tc>
      </w:tr>
      <w:tr>
        <w:trPr>
          <w:trHeight w:val="210"/>
        </w:trPr>
        <w:tc>
          <w:tcPr>
            <w:tcW w:w="5440" w:type="dxa"/>
            <w:vAlign w:val="bottom"/>
          </w:tcPr>
          <w:p>
            <w:pPr>
              <w:ind w:left="20"/>
              <w:spacing w:after="0"/>
              <w:rPr>
                <w:sz w:val="20"/>
                <w:szCs w:val="20"/>
                <w:color w:val="auto"/>
              </w:rPr>
            </w:pPr>
            <w:r>
              <w:rPr>
                <w:rFonts w:ascii="Arial" w:cs="Arial" w:eastAsia="Arial" w:hAnsi="Arial"/>
                <w:sz w:val="17"/>
                <w:szCs w:val="17"/>
                <w:color w:val="auto"/>
                <w:w w:val="94"/>
              </w:rPr>
              <w:t>Net proceeds from sale of available-for-sale securities and warrants (note 8)</w:t>
            </w:r>
          </w:p>
        </w:tc>
        <w:tc>
          <w:tcPr>
            <w:tcW w:w="120" w:type="dxa"/>
            <w:vAlign w:val="bottom"/>
          </w:tcPr>
          <w:p>
            <w:pPr>
              <w:spacing w:after="0"/>
              <w:rPr>
                <w:sz w:val="18"/>
                <w:szCs w:val="18"/>
                <w:color w:val="auto"/>
              </w:rPr>
            </w:pPr>
          </w:p>
        </w:tc>
        <w:tc>
          <w:tcPr>
            <w:tcW w:w="660" w:type="dxa"/>
            <w:vAlign w:val="bottom"/>
            <w:gridSpan w:val="2"/>
          </w:tcPr>
          <w:p>
            <w:pPr>
              <w:jc w:val="right"/>
              <w:spacing w:after="0"/>
              <w:rPr>
                <w:sz w:val="20"/>
                <w:szCs w:val="20"/>
                <w:color w:val="auto"/>
              </w:rPr>
            </w:pPr>
            <w:r>
              <w:rPr>
                <w:rFonts w:ascii="Arial" w:cs="Arial" w:eastAsia="Arial" w:hAnsi="Arial"/>
                <w:sz w:val="17"/>
                <w:szCs w:val="17"/>
                <w:b w:val="1"/>
                <w:bCs w:val="1"/>
                <w:color w:val="auto"/>
              </w:rPr>
              <w:t>18,643</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39,529</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56,311</w:t>
            </w:r>
          </w:p>
        </w:tc>
        <w:tc>
          <w:tcPr>
            <w:tcW w:w="16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40,142</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Purchase of available-for-sale securities and warrants (note 8)</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(14,158)</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(19,433)</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(13,385)</w:t>
            </w:r>
          </w:p>
        </w:tc>
        <w:tc>
          <w:tcPr>
            <w:tcW w:w="0" w:type="dxa"/>
            <w:vAlign w:val="bottom"/>
          </w:tcPr>
          <w:p>
            <w:pPr>
              <w:spacing w:after="0"/>
              <w:rPr>
                <w:sz w:val="1"/>
                <w:szCs w:val="1"/>
                <w:color w:val="auto"/>
              </w:rPr>
            </w:pPr>
          </w:p>
        </w:tc>
      </w:tr>
      <w:tr>
        <w:trPr>
          <w:trHeight w:val="228"/>
        </w:trPr>
        <w:tc>
          <w:tcPr>
            <w:tcW w:w="5440" w:type="dxa"/>
            <w:vAlign w:val="bottom"/>
          </w:tcPr>
          <w:p>
            <w:pPr>
              <w:ind w:left="20"/>
              <w:spacing w:after="0"/>
              <w:rPr>
                <w:sz w:val="20"/>
                <w:szCs w:val="20"/>
                <w:color w:val="auto"/>
              </w:rPr>
            </w:pPr>
            <w:r>
              <w:rPr>
                <w:rFonts w:ascii="Arial" w:cs="Arial" w:eastAsia="Arial" w:hAnsi="Arial"/>
                <w:sz w:val="17"/>
                <w:szCs w:val="17"/>
                <w:color w:val="auto"/>
              </w:rPr>
              <w:t>Decrease (increase) in restricted cash</w:t>
            </w:r>
          </w:p>
        </w:tc>
        <w:tc>
          <w:tcPr>
            <w:tcW w:w="120" w:type="dxa"/>
            <w:vAlign w:val="bottom"/>
          </w:tcPr>
          <w:p>
            <w:pPr>
              <w:spacing w:after="0"/>
              <w:rPr>
                <w:sz w:val="19"/>
                <w:szCs w:val="19"/>
                <w:color w:val="auto"/>
              </w:rPr>
            </w:pPr>
          </w:p>
        </w:tc>
        <w:tc>
          <w:tcPr>
            <w:tcW w:w="660" w:type="dxa"/>
            <w:vAlign w:val="bottom"/>
            <w:gridSpan w:val="2"/>
          </w:tcPr>
          <w:p>
            <w:pPr>
              <w:jc w:val="right"/>
              <w:spacing w:after="0"/>
              <w:rPr>
                <w:sz w:val="20"/>
                <w:szCs w:val="20"/>
                <w:color w:val="auto"/>
              </w:rPr>
            </w:pPr>
            <w:r>
              <w:rPr>
                <w:rFonts w:ascii="Arial" w:cs="Arial" w:eastAsia="Arial" w:hAnsi="Arial"/>
                <w:sz w:val="17"/>
                <w:szCs w:val="17"/>
                <w:b w:val="1"/>
                <w:bCs w:val="1"/>
                <w:color w:val="auto"/>
              </w:rPr>
              <w:t>9,480</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(7,402)</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13,183</w:t>
            </w:r>
          </w:p>
        </w:tc>
        <w:tc>
          <w:tcPr>
            <w:tcW w:w="160" w:type="dxa"/>
            <w:vAlign w:val="bottom"/>
          </w:tcPr>
          <w:p>
            <w:pPr>
              <w:spacing w:after="0"/>
              <w:rPr>
                <w:sz w:val="19"/>
                <w:szCs w:val="19"/>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(1,458)</w:t>
            </w:r>
          </w:p>
        </w:tc>
        <w:tc>
          <w:tcPr>
            <w:tcW w:w="0" w:type="dxa"/>
            <w:vAlign w:val="bottom"/>
          </w:tcPr>
          <w:p>
            <w:pPr>
              <w:spacing w:after="0"/>
              <w:rPr>
                <w:sz w:val="1"/>
                <w:szCs w:val="1"/>
                <w:color w:val="auto"/>
              </w:rPr>
            </w:pPr>
          </w:p>
        </w:tc>
      </w:tr>
      <w:tr>
        <w:trPr>
          <w:trHeight w:val="21"/>
        </w:trPr>
        <w:tc>
          <w:tcPr>
            <w:tcW w:w="5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used in investing activities</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(104,476)</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3"/>
              </w:rPr>
              <w:t>(488,543)</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(158,368)</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0"/>
              </w:rPr>
              <w:t>(596,831)</w:t>
            </w:r>
          </w:p>
        </w:tc>
        <w:tc>
          <w:tcPr>
            <w:tcW w:w="0" w:type="dxa"/>
            <w:vAlign w:val="bottom"/>
          </w:tcPr>
          <w:p>
            <w:pPr>
              <w:spacing w:after="0"/>
              <w:rPr>
                <w:sz w:val="1"/>
                <w:szCs w:val="1"/>
                <w:color w:val="auto"/>
              </w:rPr>
            </w:pPr>
          </w:p>
        </w:tc>
      </w:tr>
      <w:tr>
        <w:trPr>
          <w:trHeight w:val="26"/>
        </w:trPr>
        <w:tc>
          <w:tcPr>
            <w:tcW w:w="544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FINANCING ACTIVITIES</w:t>
            </w: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98"/>
        </w:trPr>
        <w:tc>
          <w:tcPr>
            <w:tcW w:w="544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Dividends paid</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(14,423)</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(12,940)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(29,198)</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(24,913)</w:t>
            </w:r>
          </w:p>
        </w:tc>
        <w:tc>
          <w:tcPr>
            <w:tcW w:w="0" w:type="dxa"/>
            <w:vAlign w:val="bottom"/>
          </w:tcPr>
          <w:p>
            <w:pPr>
              <w:spacing w:after="0"/>
              <w:rPr>
                <w:sz w:val="1"/>
                <w:szCs w:val="1"/>
                <w:color w:val="auto"/>
              </w:rPr>
            </w:pPr>
          </w:p>
        </w:tc>
      </w:tr>
      <w:tr>
        <w:trPr>
          <w:trHeight w:val="210"/>
        </w:trPr>
        <w:tc>
          <w:tcPr>
            <w:tcW w:w="5440" w:type="dxa"/>
            <w:vAlign w:val="bottom"/>
          </w:tcPr>
          <w:p>
            <w:pPr>
              <w:ind w:left="20"/>
              <w:spacing w:after="0"/>
              <w:rPr>
                <w:sz w:val="20"/>
                <w:szCs w:val="20"/>
                <w:color w:val="auto"/>
              </w:rPr>
            </w:pPr>
            <w:r>
              <w:rPr>
                <w:rFonts w:ascii="Arial" w:cs="Arial" w:eastAsia="Arial" w:hAnsi="Arial"/>
                <w:sz w:val="17"/>
                <w:szCs w:val="17"/>
                <w:color w:val="auto"/>
              </w:rPr>
              <w:t>Repayment of finance lease obligations</w:t>
            </w:r>
          </w:p>
        </w:tc>
        <w:tc>
          <w:tcPr>
            <w:tcW w:w="120" w:type="dxa"/>
            <w:vAlign w:val="bottom"/>
          </w:tcPr>
          <w:p>
            <w:pPr>
              <w:spacing w:after="0"/>
              <w:rPr>
                <w:sz w:val="18"/>
                <w:szCs w:val="18"/>
                <w:color w:val="auto"/>
              </w:rPr>
            </w:pPr>
          </w:p>
        </w:tc>
        <w:tc>
          <w:tcPr>
            <w:tcW w:w="80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(5,039)</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(2,442)</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(13,444)</w:t>
            </w:r>
          </w:p>
        </w:tc>
        <w:tc>
          <w:tcPr>
            <w:tcW w:w="1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(6,694)</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Sale-leaseback financing</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1,027</w:t>
            </w:r>
          </w:p>
        </w:tc>
        <w:tc>
          <w:tcPr>
            <w:tcW w:w="0" w:type="dxa"/>
            <w:vAlign w:val="bottom"/>
          </w:tcPr>
          <w:p>
            <w:pPr>
              <w:spacing w:after="0"/>
              <w:rPr>
                <w:sz w:val="1"/>
                <w:szCs w:val="1"/>
                <w:color w:val="auto"/>
              </w:rPr>
            </w:pPr>
          </w:p>
        </w:tc>
      </w:tr>
      <w:tr>
        <w:trPr>
          <w:trHeight w:val="210"/>
        </w:trPr>
        <w:tc>
          <w:tcPr>
            <w:tcW w:w="5440" w:type="dxa"/>
            <w:vAlign w:val="bottom"/>
          </w:tcPr>
          <w:p>
            <w:pPr>
              <w:ind w:left="20"/>
              <w:spacing w:after="0"/>
              <w:rPr>
                <w:sz w:val="20"/>
                <w:szCs w:val="20"/>
                <w:color w:val="auto"/>
              </w:rPr>
            </w:pPr>
            <w:r>
              <w:rPr>
                <w:rFonts w:ascii="Arial" w:cs="Arial" w:eastAsia="Arial" w:hAnsi="Arial"/>
                <w:sz w:val="17"/>
                <w:szCs w:val="17"/>
                <w:color w:val="auto"/>
              </w:rPr>
              <w:t>Proceeds from long-term debt (note 10)</w:t>
            </w:r>
          </w:p>
        </w:tc>
        <w:tc>
          <w:tcPr>
            <w:tcW w:w="120" w:type="dxa"/>
            <w:vAlign w:val="bottom"/>
          </w:tcPr>
          <w:p>
            <w:pPr>
              <w:spacing w:after="0"/>
              <w:rPr>
                <w:sz w:val="18"/>
                <w:szCs w:val="18"/>
                <w:color w:val="auto"/>
              </w:rPr>
            </w:pPr>
          </w:p>
        </w:tc>
        <w:tc>
          <w:tcPr>
            <w:tcW w:w="660" w:type="dxa"/>
            <w:vAlign w:val="bottom"/>
            <w:gridSpan w:val="2"/>
          </w:tcPr>
          <w:p>
            <w:pPr>
              <w:jc w:val="right"/>
              <w:spacing w:after="0"/>
              <w:rPr>
                <w:sz w:val="20"/>
                <w:szCs w:val="20"/>
                <w:color w:val="auto"/>
              </w:rPr>
            </w:pPr>
            <w:r>
              <w:rPr>
                <w:rFonts w:ascii="Arial" w:cs="Arial" w:eastAsia="Arial" w:hAnsi="Arial"/>
                <w:sz w:val="17"/>
                <w:szCs w:val="17"/>
                <w:b w:val="1"/>
                <w:bCs w:val="1"/>
                <w:color w:val="auto"/>
              </w:rPr>
              <w:t>75,000</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730,000</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75,000</w:t>
            </w:r>
          </w:p>
        </w:tc>
        <w:tc>
          <w:tcPr>
            <w:tcW w:w="16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730,000</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Repayment of long-term debt (note 10)</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(126,086)</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3"/>
              </w:rPr>
              <w:t>(343,933)</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(226,086)</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0"/>
              </w:rPr>
              <w:t>(423,933)</w:t>
            </w:r>
          </w:p>
        </w:tc>
        <w:tc>
          <w:tcPr>
            <w:tcW w:w="0" w:type="dxa"/>
            <w:vAlign w:val="bottom"/>
          </w:tcPr>
          <w:p>
            <w:pPr>
              <w:spacing w:after="0"/>
              <w:rPr>
                <w:sz w:val="1"/>
                <w:szCs w:val="1"/>
                <w:color w:val="auto"/>
              </w:rPr>
            </w:pPr>
          </w:p>
        </w:tc>
      </w:tr>
      <w:tr>
        <w:trPr>
          <w:trHeight w:val="210"/>
        </w:trPr>
        <w:tc>
          <w:tcPr>
            <w:tcW w:w="5440" w:type="dxa"/>
            <w:vAlign w:val="bottom"/>
          </w:tcPr>
          <w:p>
            <w:pPr>
              <w:ind w:left="20"/>
              <w:spacing w:after="0"/>
              <w:rPr>
                <w:sz w:val="20"/>
                <w:szCs w:val="20"/>
                <w:color w:val="auto"/>
              </w:rPr>
            </w:pPr>
            <w:r>
              <w:rPr>
                <w:rFonts w:ascii="Arial" w:cs="Arial" w:eastAsia="Arial" w:hAnsi="Arial"/>
                <w:sz w:val="17"/>
                <w:szCs w:val="17"/>
                <w:color w:val="auto"/>
              </w:rPr>
              <w:t>Repurchase of common shares for restricted share unit plan (note 12)</w:t>
            </w:r>
          </w:p>
        </w:tc>
        <w:tc>
          <w:tcPr>
            <w:tcW w:w="120" w:type="dxa"/>
            <w:vAlign w:val="bottom"/>
          </w:tcPr>
          <w:p>
            <w:pPr>
              <w:spacing w:after="0"/>
              <w:rPr>
                <w:sz w:val="18"/>
                <w:szCs w:val="18"/>
                <w:color w:val="auto"/>
              </w:rPr>
            </w:pPr>
          </w:p>
        </w:tc>
        <w:tc>
          <w:tcPr>
            <w:tcW w:w="80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(1,257)</w:t>
            </w:r>
          </w:p>
        </w:tc>
        <w:tc>
          <w:tcPr>
            <w:tcW w:w="12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(11,899)</w:t>
            </w:r>
          </w:p>
        </w:tc>
        <w:tc>
          <w:tcPr>
            <w:tcW w:w="1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(7,518)</w:t>
            </w: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Proceeds on exercise of stock options (note 12)</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4,735</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8,471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12,958</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10,456</w:t>
            </w:r>
          </w:p>
        </w:tc>
        <w:tc>
          <w:tcPr>
            <w:tcW w:w="0" w:type="dxa"/>
            <w:vAlign w:val="bottom"/>
          </w:tcPr>
          <w:p>
            <w:pPr>
              <w:spacing w:after="0"/>
              <w:rPr>
                <w:sz w:val="1"/>
                <w:szCs w:val="1"/>
                <w:color w:val="auto"/>
              </w:rPr>
            </w:pPr>
          </w:p>
        </w:tc>
      </w:tr>
      <w:tr>
        <w:trPr>
          <w:trHeight w:val="228"/>
        </w:trPr>
        <w:tc>
          <w:tcPr>
            <w:tcW w:w="5440" w:type="dxa"/>
            <w:vAlign w:val="bottom"/>
          </w:tcPr>
          <w:p>
            <w:pPr>
              <w:ind w:left="20"/>
              <w:spacing w:after="0"/>
              <w:rPr>
                <w:sz w:val="20"/>
                <w:szCs w:val="20"/>
                <w:color w:val="auto"/>
              </w:rPr>
            </w:pPr>
            <w:r>
              <w:rPr>
                <w:rFonts w:ascii="Arial" w:cs="Arial" w:eastAsia="Arial" w:hAnsi="Arial"/>
                <w:sz w:val="17"/>
                <w:szCs w:val="17"/>
                <w:color w:val="auto"/>
              </w:rPr>
              <w:t>Common shares issued</w:t>
            </w:r>
          </w:p>
        </w:tc>
        <w:tc>
          <w:tcPr>
            <w:tcW w:w="120" w:type="dxa"/>
            <w:vAlign w:val="bottom"/>
          </w:tcPr>
          <w:p>
            <w:pPr>
              <w:spacing w:after="0"/>
              <w:rPr>
                <w:sz w:val="19"/>
                <w:szCs w:val="19"/>
                <w:color w:val="auto"/>
              </w:rPr>
            </w:pPr>
          </w:p>
        </w:tc>
        <w:tc>
          <w:tcPr>
            <w:tcW w:w="660" w:type="dxa"/>
            <w:vAlign w:val="bottom"/>
            <w:gridSpan w:val="2"/>
          </w:tcPr>
          <w:p>
            <w:pPr>
              <w:jc w:val="right"/>
              <w:spacing w:after="0"/>
              <w:rPr>
                <w:sz w:val="20"/>
                <w:szCs w:val="20"/>
                <w:color w:val="auto"/>
              </w:rPr>
            </w:pPr>
            <w:r>
              <w:rPr>
                <w:rFonts w:ascii="Arial" w:cs="Arial" w:eastAsia="Arial" w:hAnsi="Arial"/>
                <w:sz w:val="17"/>
                <w:szCs w:val="17"/>
                <w:b w:val="1"/>
                <w:bCs w:val="1"/>
                <w:color w:val="auto"/>
              </w:rPr>
              <w:t>2,556</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2,795</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4,973</w:t>
            </w:r>
          </w:p>
        </w:tc>
        <w:tc>
          <w:tcPr>
            <w:tcW w:w="160" w:type="dxa"/>
            <w:vAlign w:val="bottom"/>
          </w:tcPr>
          <w:p>
            <w:pPr>
              <w:spacing w:after="0"/>
              <w:rPr>
                <w:sz w:val="19"/>
                <w:szCs w:val="19"/>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5,439</w:t>
            </w:r>
          </w:p>
        </w:tc>
        <w:tc>
          <w:tcPr>
            <w:tcW w:w="0" w:type="dxa"/>
            <w:vAlign w:val="bottom"/>
          </w:tcPr>
          <w:p>
            <w:pPr>
              <w:spacing w:after="0"/>
              <w:rPr>
                <w:sz w:val="1"/>
                <w:szCs w:val="1"/>
                <w:color w:val="auto"/>
              </w:rPr>
            </w:pPr>
          </w:p>
        </w:tc>
      </w:tr>
      <w:tr>
        <w:trPr>
          <w:trHeight w:val="21"/>
        </w:trPr>
        <w:tc>
          <w:tcPr>
            <w:tcW w:w="5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(used in) provided by financing activities</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(64,514)</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381,951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w w:val="93"/>
              </w:rPr>
              <w:t>(187,696)</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283,864</w:t>
            </w:r>
          </w:p>
        </w:tc>
        <w:tc>
          <w:tcPr>
            <w:tcW w:w="0" w:type="dxa"/>
            <w:vAlign w:val="bottom"/>
          </w:tcPr>
          <w:p>
            <w:pPr>
              <w:spacing w:after="0"/>
              <w:rPr>
                <w:sz w:val="1"/>
                <w:szCs w:val="1"/>
                <w:color w:val="auto"/>
              </w:rPr>
            </w:pPr>
          </w:p>
        </w:tc>
      </w:tr>
      <w:tr>
        <w:trPr>
          <w:trHeight w:val="26"/>
        </w:trPr>
        <w:tc>
          <w:tcPr>
            <w:tcW w:w="544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Effect of exchange rate changes on cash and cash equivalents</w:t>
            </w:r>
          </w:p>
        </w:tc>
        <w:tc>
          <w:tcPr>
            <w:tcW w:w="120" w:type="dxa"/>
            <w:vAlign w:val="bottom"/>
          </w:tcPr>
          <w:p>
            <w:pPr>
              <w:spacing w:after="0"/>
              <w:rPr>
                <w:sz w:val="2"/>
                <w:szCs w:val="2"/>
                <w:color w:val="auto"/>
              </w:rPr>
            </w:pPr>
          </w:p>
        </w:tc>
        <w:tc>
          <w:tcPr>
            <w:tcW w:w="6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440" w:type="dxa"/>
            <w:vAlign w:val="bottom"/>
            <w:vMerge w:val="continue"/>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966</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1,658</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(4,946)</w:t>
            </w:r>
          </w:p>
        </w:tc>
        <w:tc>
          <w:tcPr>
            <w:tcW w:w="1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311</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w w:val="93"/>
              </w:rPr>
              <w:t>Net increase (decrease) in cash and cash equivalents during the period</w:t>
            </w: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20,325</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77,794</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(19,206)</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120,468</w:t>
            </w:r>
          </w:p>
        </w:tc>
        <w:tc>
          <w:tcPr>
            <w:tcW w:w="0" w:type="dxa"/>
            <w:vAlign w:val="bottom"/>
          </w:tcPr>
          <w:p>
            <w:pPr>
              <w:spacing w:after="0"/>
              <w:rPr>
                <w:sz w:val="1"/>
                <w:szCs w:val="1"/>
                <w:color w:val="auto"/>
              </w:rPr>
            </w:pPr>
          </w:p>
        </w:tc>
      </w:tr>
      <w:tr>
        <w:trPr>
          <w:trHeight w:val="228"/>
        </w:trPr>
        <w:tc>
          <w:tcPr>
            <w:tcW w:w="5440" w:type="dxa"/>
            <w:vAlign w:val="bottom"/>
          </w:tcPr>
          <w:p>
            <w:pPr>
              <w:ind w:left="20"/>
              <w:spacing w:after="0"/>
              <w:rPr>
                <w:sz w:val="20"/>
                <w:szCs w:val="20"/>
                <w:color w:val="auto"/>
              </w:rPr>
            </w:pPr>
            <w:r>
              <w:rPr>
                <w:rFonts w:ascii="Arial" w:cs="Arial" w:eastAsia="Arial" w:hAnsi="Arial"/>
                <w:sz w:val="17"/>
                <w:szCs w:val="17"/>
                <w:b w:val="1"/>
                <w:bCs w:val="1"/>
                <w:color w:val="auto"/>
              </w:rPr>
              <w:t>Cash and cash equivalents, beginning of period</w:t>
            </w:r>
          </w:p>
        </w:tc>
        <w:tc>
          <w:tcPr>
            <w:tcW w:w="120" w:type="dxa"/>
            <w:vAlign w:val="bottom"/>
          </w:tcPr>
          <w:p>
            <w:pPr>
              <w:spacing w:after="0"/>
              <w:rPr>
                <w:sz w:val="19"/>
                <w:szCs w:val="19"/>
                <w:color w:val="auto"/>
              </w:rPr>
            </w:pPr>
          </w:p>
        </w:tc>
        <w:tc>
          <w:tcPr>
            <w:tcW w:w="660" w:type="dxa"/>
            <w:vAlign w:val="bottom"/>
            <w:gridSpan w:val="2"/>
          </w:tcPr>
          <w:p>
            <w:pPr>
              <w:jc w:val="right"/>
              <w:spacing w:after="0"/>
              <w:rPr>
                <w:sz w:val="20"/>
                <w:szCs w:val="20"/>
                <w:color w:val="auto"/>
              </w:rPr>
            </w:pPr>
            <w:r>
              <w:rPr>
                <w:rFonts w:ascii="Arial" w:cs="Arial" w:eastAsia="Arial" w:hAnsi="Arial"/>
                <w:sz w:val="17"/>
                <w:szCs w:val="17"/>
                <w:b w:val="1"/>
                <w:bCs w:val="1"/>
                <w:color w:val="auto"/>
              </w:rPr>
              <w:t>138,006</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181,775</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b w:val="1"/>
                <w:bCs w:val="1"/>
                <w:color w:val="auto"/>
              </w:rPr>
              <w:t>177,537</w:t>
            </w:r>
          </w:p>
        </w:tc>
        <w:tc>
          <w:tcPr>
            <w:tcW w:w="160" w:type="dxa"/>
            <w:vAlign w:val="bottom"/>
          </w:tcPr>
          <w:p>
            <w:pPr>
              <w:spacing w:after="0"/>
              <w:rPr>
                <w:sz w:val="19"/>
                <w:szCs w:val="19"/>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139,101</w:t>
            </w:r>
          </w:p>
        </w:tc>
        <w:tc>
          <w:tcPr>
            <w:tcW w:w="0" w:type="dxa"/>
            <w:vAlign w:val="bottom"/>
          </w:tcPr>
          <w:p>
            <w:pPr>
              <w:spacing w:after="0"/>
              <w:rPr>
                <w:sz w:val="1"/>
                <w:szCs w:val="1"/>
                <w:color w:val="auto"/>
              </w:rPr>
            </w:pPr>
          </w:p>
        </w:tc>
      </w:tr>
      <w:tr>
        <w:trPr>
          <w:trHeight w:val="21"/>
        </w:trPr>
        <w:tc>
          <w:tcPr>
            <w:tcW w:w="5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Cash and cash equivalents, end of period</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158,331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259,569</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158,331</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259,569</w:t>
            </w:r>
          </w:p>
        </w:tc>
        <w:tc>
          <w:tcPr>
            <w:tcW w:w="0" w:type="dxa"/>
            <w:vAlign w:val="bottom"/>
          </w:tcPr>
          <w:p>
            <w:pPr>
              <w:spacing w:after="0"/>
              <w:rPr>
                <w:sz w:val="1"/>
                <w:szCs w:val="1"/>
                <w:color w:val="auto"/>
              </w:rPr>
            </w:pPr>
          </w:p>
        </w:tc>
      </w:tr>
      <w:tr>
        <w:trPr>
          <w:trHeight w:val="26"/>
        </w:trPr>
        <w:tc>
          <w:tcPr>
            <w:tcW w:w="544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SUPPLEMENTAL CASH FLOW INFORMATION</w:t>
            </w: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40" w:type="dxa"/>
            <w:vAlign w:val="bottom"/>
            <w:vMerge w:val="continue"/>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4"/>
        </w:trPr>
        <w:tc>
          <w:tcPr>
            <w:tcW w:w="544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5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Interest paid</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7"/>
                <w:szCs w:val="17"/>
                <w:b w:val="1"/>
                <w:bCs w:val="1"/>
                <w:color w:val="auto"/>
              </w:rPr>
              <w:t>24,817</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22,305</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35,898</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30,456</w:t>
            </w:r>
          </w:p>
        </w:tc>
        <w:tc>
          <w:tcPr>
            <w:tcW w:w="0" w:type="dxa"/>
            <w:vAlign w:val="bottom"/>
          </w:tcPr>
          <w:p>
            <w:pPr>
              <w:spacing w:after="0"/>
              <w:rPr>
                <w:sz w:val="1"/>
                <w:szCs w:val="1"/>
                <w:color w:val="auto"/>
              </w:rPr>
            </w:pPr>
          </w:p>
        </w:tc>
      </w:tr>
      <w:tr>
        <w:trPr>
          <w:trHeight w:val="26"/>
        </w:trPr>
        <w:tc>
          <w:tcPr>
            <w:tcW w:w="5440" w:type="dxa"/>
            <w:vAlign w:val="bottom"/>
            <w:vMerge w:val="restart"/>
          </w:tcPr>
          <w:p>
            <w:pPr>
              <w:ind w:left="20"/>
              <w:spacing w:after="0"/>
              <w:rPr>
                <w:sz w:val="20"/>
                <w:szCs w:val="20"/>
                <w:color w:val="auto"/>
              </w:rPr>
            </w:pPr>
            <w:r>
              <w:rPr>
                <w:rFonts w:ascii="Arial" w:cs="Arial" w:eastAsia="Arial" w:hAnsi="Arial"/>
                <w:sz w:val="17"/>
                <w:szCs w:val="17"/>
                <w:color w:val="auto"/>
              </w:rPr>
              <w:t>Income and mining taxes paid</w:t>
            </w: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40" w:type="dxa"/>
            <w:vAlign w:val="bottom"/>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440" w:type="dxa"/>
            <w:vAlign w:val="bottom"/>
            <w:vMerge w:val="continue"/>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151</w:t>
            </w:r>
          </w:p>
        </w:tc>
        <w:tc>
          <w:tcPr>
            <w:tcW w:w="2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13,172</w:t>
            </w: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38,098</w:t>
            </w:r>
          </w:p>
        </w:tc>
        <w:tc>
          <w:tcPr>
            <w:tcW w:w="1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21,321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43" w:name="page44"/>
    <w:bookmarkEnd w:id="4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INTERIM CONSOLIDATED FINANCIAL STATEMENTS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0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ind w:left="260" w:hanging="255"/>
        <w:spacing w:after="0"/>
        <w:tabs>
          <w:tab w:leader="none" w:pos="260" w:val="left"/>
        </w:tabs>
        <w:numPr>
          <w:ilvl w:val="0"/>
          <w:numId w:val="9"/>
        </w:numPr>
        <w:rPr>
          <w:rFonts w:ascii="Arial" w:cs="Arial" w:eastAsia="Arial" w:hAnsi="Arial"/>
          <w:sz w:val="13"/>
          <w:szCs w:val="13"/>
          <w:b w:val="1"/>
          <w:bCs w:val="1"/>
          <w:color w:val="auto"/>
        </w:rPr>
      </w:pPr>
      <w:r>
        <w:rPr>
          <w:rFonts w:ascii="Arial" w:cs="Arial" w:eastAsia="Arial" w:hAnsi="Arial"/>
          <w:sz w:val="13"/>
          <w:szCs w:val="13"/>
          <w:b w:val="1"/>
          <w:bCs w:val="1"/>
          <w:color w:val="auto"/>
        </w:rPr>
        <w:t>CORPORATE INFORMATION</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Agnico Eagle Mines Limited ("Agnico Eagle" or the "Company") is principally engaged in the production and sale of gold, as well as related activities such as exploration and mine development. The Company's mining operations are located in Canada, Mexico and Finland and it has exploration activities in Canada, Europe, Latin America and the United States. Agnico Eagle is a public company incorporated and domiciled in Canada with its head and registered office located at 145 King Street East, Suite 400, Toronto, Ontario, M5C 2Y7. The Company is listed on the Toronto Stock Exchange and the New York Stock Exchange. Agnico Eagle sells its gold production into the world market.</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These condensed interim consolidated financial statements were authorized for issuance by the Board of Directors on August 12, 2015.</w:t>
      </w:r>
    </w:p>
    <w:p>
      <w:pPr>
        <w:spacing w:after="0" w:line="200" w:lineRule="exact"/>
        <w:rPr>
          <w:sz w:val="20"/>
          <w:szCs w:val="20"/>
          <w:color w:val="auto"/>
        </w:rPr>
      </w:pPr>
    </w:p>
    <w:p>
      <w:pPr>
        <w:ind w:left="260" w:hanging="255"/>
        <w:spacing w:after="0"/>
        <w:tabs>
          <w:tab w:leader="none" w:pos="260" w:val="left"/>
        </w:tabs>
        <w:numPr>
          <w:ilvl w:val="0"/>
          <w:numId w:val="10"/>
        </w:numPr>
        <w:rPr>
          <w:rFonts w:ascii="Arial" w:cs="Arial" w:eastAsia="Arial" w:hAnsi="Arial"/>
          <w:sz w:val="13"/>
          <w:szCs w:val="13"/>
          <w:b w:val="1"/>
          <w:bCs w:val="1"/>
          <w:color w:val="auto"/>
        </w:rPr>
      </w:pPr>
      <w:r>
        <w:rPr>
          <w:rFonts w:ascii="Arial" w:cs="Arial" w:eastAsia="Arial" w:hAnsi="Arial"/>
          <w:sz w:val="13"/>
          <w:szCs w:val="13"/>
          <w:b w:val="1"/>
          <w:bCs w:val="1"/>
          <w:color w:val="auto"/>
        </w:rPr>
        <w:t>BASIS OF PRESENTATION</w:t>
      </w:r>
    </w:p>
    <w:p>
      <w:pPr>
        <w:spacing w:after="0" w:line="191" w:lineRule="exact"/>
        <w:rPr>
          <w:rFonts w:ascii="Arial" w:cs="Arial" w:eastAsia="Arial" w:hAnsi="Arial"/>
          <w:sz w:val="13"/>
          <w:szCs w:val="13"/>
          <w:b w:val="1"/>
          <w:bCs w:val="1"/>
          <w:color w:val="auto"/>
        </w:rPr>
      </w:pPr>
    </w:p>
    <w:p>
      <w:pPr>
        <w:ind w:left="1060" w:hanging="531"/>
        <w:spacing w:after="0"/>
        <w:tabs>
          <w:tab w:leader="none" w:pos="1060" w:val="left"/>
        </w:tabs>
        <w:numPr>
          <w:ilvl w:val="1"/>
          <w:numId w:val="10"/>
        </w:numPr>
        <w:rPr>
          <w:rFonts w:ascii="Arial" w:cs="Arial" w:eastAsia="Arial" w:hAnsi="Arial"/>
          <w:sz w:val="13"/>
          <w:szCs w:val="13"/>
          <w:b w:val="1"/>
          <w:bCs w:val="1"/>
          <w:color w:val="auto"/>
        </w:rPr>
      </w:pPr>
      <w:r>
        <w:rPr>
          <w:rFonts w:ascii="Arial" w:cs="Arial" w:eastAsia="Arial" w:hAnsi="Arial"/>
          <w:sz w:val="13"/>
          <w:szCs w:val="13"/>
          <w:b w:val="1"/>
          <w:bCs w:val="1"/>
          <w:color w:val="auto"/>
        </w:rPr>
        <w:t>Statement of Compliance</w:t>
      </w:r>
    </w:p>
    <w:p>
      <w:pPr>
        <w:spacing w:after="0" w:line="208" w:lineRule="exact"/>
        <w:rPr>
          <w:rFonts w:ascii="Arial" w:cs="Arial" w:eastAsia="Arial" w:hAnsi="Arial"/>
          <w:sz w:val="13"/>
          <w:szCs w:val="13"/>
          <w:b w:val="1"/>
          <w:bCs w:val="1"/>
          <w:color w:val="auto"/>
        </w:rPr>
      </w:pPr>
    </w:p>
    <w:p>
      <w:pPr>
        <w:jc w:val="both"/>
        <w:ind w:left="1060"/>
        <w:spacing w:after="0" w:line="243" w:lineRule="auto"/>
        <w:rPr>
          <w:rFonts w:ascii="Arial" w:cs="Arial" w:eastAsia="Arial" w:hAnsi="Arial"/>
          <w:sz w:val="13"/>
          <w:szCs w:val="13"/>
          <w:b w:val="1"/>
          <w:bCs w:val="1"/>
          <w:color w:val="auto"/>
        </w:rPr>
      </w:pPr>
      <w:r>
        <w:rPr>
          <w:rFonts w:ascii="Arial" w:cs="Arial" w:eastAsia="Arial" w:hAnsi="Arial"/>
          <w:sz w:val="13"/>
          <w:szCs w:val="13"/>
          <w:color w:val="auto"/>
        </w:rPr>
        <w:t xml:space="preserve">The accompanying condensed interim consolidated financial statements of Agnico Eagle have been prepared in accordance with International Accounting Standard 34 </w:t>
      </w:r>
      <w:r>
        <w:rPr>
          <w:rFonts w:ascii="Arial" w:cs="Arial" w:eastAsia="Arial" w:hAnsi="Arial"/>
          <w:sz w:val="13"/>
          <w:szCs w:val="13"/>
          <w:i w:val="1"/>
          <w:iCs w:val="1"/>
          <w:color w:val="auto"/>
        </w:rPr>
        <w:t>Interim Financial Reporting</w:t>
      </w:r>
      <w:r>
        <w:rPr>
          <w:rFonts w:ascii="Arial" w:cs="Arial" w:eastAsia="Arial" w:hAnsi="Arial"/>
          <w:sz w:val="13"/>
          <w:szCs w:val="13"/>
          <w:color w:val="auto"/>
        </w:rPr>
        <w:t xml:space="preserve"> ("IAS 34") as issued by the International Accounting Standards Board ("IASB") in United States ("US") dollars. These condensed interim consolidated financial statements do not include all of the disclosures required by International Financial Reporting Standards ("IFRS") for annual audited consolidated financial statements.</w:t>
      </w:r>
    </w:p>
    <w:p>
      <w:pPr>
        <w:spacing w:after="0" w:line="188" w:lineRule="exact"/>
        <w:rPr>
          <w:rFonts w:ascii="Arial" w:cs="Arial" w:eastAsia="Arial" w:hAnsi="Arial"/>
          <w:sz w:val="13"/>
          <w:szCs w:val="13"/>
          <w:b w:val="1"/>
          <w:bCs w:val="1"/>
          <w:color w:val="auto"/>
        </w:rPr>
      </w:pPr>
    </w:p>
    <w:p>
      <w:pPr>
        <w:ind w:left="1060"/>
        <w:spacing w:after="0" w:line="256" w:lineRule="auto"/>
        <w:rPr>
          <w:rFonts w:ascii="Arial" w:cs="Arial" w:eastAsia="Arial" w:hAnsi="Arial"/>
          <w:sz w:val="13"/>
          <w:szCs w:val="13"/>
          <w:b w:val="1"/>
          <w:bCs w:val="1"/>
          <w:color w:val="auto"/>
        </w:rPr>
      </w:pPr>
      <w:r>
        <w:rPr>
          <w:rFonts w:ascii="Arial" w:cs="Arial" w:eastAsia="Arial" w:hAnsi="Arial"/>
          <w:sz w:val="13"/>
          <w:szCs w:val="13"/>
          <w:color w:val="auto"/>
        </w:rPr>
        <w:t>These condensed interim consolidated financial statements were prepared on a going concern basis under the historical cost method except for certain financial assets and liabilities which are measured at fair value.</w:t>
      </w:r>
    </w:p>
    <w:p>
      <w:pPr>
        <w:spacing w:after="0" w:line="179" w:lineRule="exact"/>
        <w:rPr>
          <w:rFonts w:ascii="Arial" w:cs="Arial" w:eastAsia="Arial" w:hAnsi="Arial"/>
          <w:sz w:val="13"/>
          <w:szCs w:val="13"/>
          <w:b w:val="1"/>
          <w:bCs w:val="1"/>
          <w:color w:val="auto"/>
        </w:rPr>
      </w:pPr>
    </w:p>
    <w:p>
      <w:pPr>
        <w:ind w:left="1060"/>
        <w:spacing w:after="0" w:line="297" w:lineRule="auto"/>
        <w:rPr>
          <w:rFonts w:ascii="Arial" w:cs="Arial" w:eastAsia="Arial" w:hAnsi="Arial"/>
          <w:sz w:val="13"/>
          <w:szCs w:val="13"/>
          <w:b w:val="1"/>
          <w:bCs w:val="1"/>
          <w:color w:val="auto"/>
        </w:rPr>
      </w:pPr>
      <w:r>
        <w:rPr>
          <w:rFonts w:ascii="Arial" w:cs="Arial" w:eastAsia="Arial" w:hAnsi="Arial"/>
          <w:sz w:val="12"/>
          <w:szCs w:val="12"/>
          <w:color w:val="auto"/>
        </w:rPr>
        <w:t>These condensed interim consolidated financial statements should be read in conjunction with the Company's 2014 annual audited consolidated financial statements, including the accounting policies and notes thereto, included in the Annual Report and Annual Information Form/Form 40-F for the year ended December 31, 2014, which were prepared in accordance with IFRS.</w:t>
      </w:r>
    </w:p>
    <w:p>
      <w:pPr>
        <w:spacing w:after="0" w:line="156" w:lineRule="exact"/>
        <w:rPr>
          <w:rFonts w:ascii="Arial" w:cs="Arial" w:eastAsia="Arial" w:hAnsi="Arial"/>
          <w:sz w:val="13"/>
          <w:szCs w:val="13"/>
          <w:b w:val="1"/>
          <w:bCs w:val="1"/>
          <w:color w:val="auto"/>
        </w:rPr>
      </w:pPr>
    </w:p>
    <w:p>
      <w:pPr>
        <w:ind w:left="1060"/>
        <w:spacing w:after="0" w:line="297" w:lineRule="auto"/>
        <w:rPr>
          <w:rFonts w:ascii="Arial" w:cs="Arial" w:eastAsia="Arial" w:hAnsi="Arial"/>
          <w:sz w:val="13"/>
          <w:szCs w:val="13"/>
          <w:b w:val="1"/>
          <w:bCs w:val="1"/>
          <w:color w:val="auto"/>
        </w:rPr>
      </w:pPr>
      <w:r>
        <w:rPr>
          <w:rFonts w:ascii="Arial" w:cs="Arial" w:eastAsia="Arial" w:hAnsi="Arial"/>
          <w:sz w:val="12"/>
          <w:szCs w:val="12"/>
          <w:color w:val="auto"/>
        </w:rPr>
        <w:t>In the opinion of management, these condensed interim consolidated financial statements reflect all adjustments, which consist of normal and recurring adjustments necessary to present fairly the financial position as at June 30, 2015 and December 31, 2014 and the results of operations and cash flows for the three and six months ended June 30, 2015 and June 30, 2014.</w:t>
      </w:r>
    </w:p>
    <w:p>
      <w:pPr>
        <w:spacing w:after="0" w:line="156" w:lineRule="exact"/>
        <w:rPr>
          <w:rFonts w:ascii="Arial" w:cs="Arial" w:eastAsia="Arial" w:hAnsi="Arial"/>
          <w:sz w:val="13"/>
          <w:szCs w:val="13"/>
          <w:b w:val="1"/>
          <w:bCs w:val="1"/>
          <w:color w:val="auto"/>
        </w:rPr>
      </w:pPr>
    </w:p>
    <w:p>
      <w:pPr>
        <w:ind w:left="1060"/>
        <w:spacing w:after="0"/>
        <w:rPr>
          <w:rFonts w:ascii="Arial" w:cs="Arial" w:eastAsia="Arial" w:hAnsi="Arial"/>
          <w:sz w:val="13"/>
          <w:szCs w:val="13"/>
          <w:b w:val="1"/>
          <w:bCs w:val="1"/>
          <w:color w:val="auto"/>
        </w:rPr>
      </w:pPr>
      <w:r>
        <w:rPr>
          <w:rFonts w:ascii="Arial" w:cs="Arial" w:eastAsia="Arial" w:hAnsi="Arial"/>
          <w:sz w:val="13"/>
          <w:szCs w:val="13"/>
          <w:color w:val="auto"/>
        </w:rPr>
        <w:t>Operating results for the three and six months ended June 30, 2015 are not necessarily indicative of the results that may be expected for the full year ending December 31, 2015.</w:t>
      </w:r>
    </w:p>
    <w:p>
      <w:pPr>
        <w:spacing w:after="0" w:line="187" w:lineRule="exact"/>
        <w:rPr>
          <w:rFonts w:ascii="Arial" w:cs="Arial" w:eastAsia="Arial" w:hAnsi="Arial"/>
          <w:sz w:val="13"/>
          <w:szCs w:val="13"/>
          <w:b w:val="1"/>
          <w:bCs w:val="1"/>
          <w:color w:val="auto"/>
        </w:rPr>
      </w:pPr>
    </w:p>
    <w:p>
      <w:pPr>
        <w:ind w:left="1060" w:right="9200" w:hanging="531"/>
        <w:spacing w:after="0" w:line="675" w:lineRule="auto"/>
        <w:tabs>
          <w:tab w:leader="none" w:pos="1060" w:val="left"/>
        </w:tabs>
        <w:numPr>
          <w:ilvl w:val="1"/>
          <w:numId w:val="10"/>
        </w:numPr>
        <w:rPr>
          <w:rFonts w:ascii="Arial" w:cs="Arial" w:eastAsia="Arial" w:hAnsi="Arial"/>
          <w:sz w:val="11"/>
          <w:szCs w:val="11"/>
          <w:b w:val="1"/>
          <w:bCs w:val="1"/>
          <w:color w:val="auto"/>
        </w:rPr>
      </w:pPr>
      <w:r>
        <w:rPr>
          <w:rFonts w:ascii="Arial" w:cs="Arial" w:eastAsia="Arial" w:hAnsi="Arial"/>
          <w:sz w:val="11"/>
          <w:szCs w:val="11"/>
          <w:b w:val="1"/>
          <w:bCs w:val="1"/>
          <w:color w:val="auto"/>
        </w:rPr>
        <w:t xml:space="preserve">Basis of Presentation </w:t>
      </w:r>
      <w:r>
        <w:rPr>
          <w:rFonts w:ascii="Arial" w:cs="Arial" w:eastAsia="Arial" w:hAnsi="Arial"/>
          <w:sz w:val="11"/>
          <w:szCs w:val="11"/>
          <w:i w:val="1"/>
          <w:iCs w:val="1"/>
          <w:color w:val="auto"/>
        </w:rPr>
        <w:t>Subsidiaries</w:t>
      </w:r>
    </w:p>
    <w:p>
      <w:pPr>
        <w:jc w:val="both"/>
        <w:ind w:left="1060"/>
        <w:spacing w:after="0" w:line="266" w:lineRule="auto"/>
        <w:rPr>
          <w:rFonts w:ascii="Arial" w:cs="Arial" w:eastAsia="Arial" w:hAnsi="Arial"/>
          <w:sz w:val="11"/>
          <w:szCs w:val="11"/>
          <w:b w:val="1"/>
          <w:bCs w:val="1"/>
          <w:color w:val="auto"/>
        </w:rPr>
      </w:pPr>
      <w:r>
        <w:rPr>
          <w:rFonts w:ascii="Arial" w:cs="Arial" w:eastAsia="Arial" w:hAnsi="Arial"/>
          <w:sz w:val="12"/>
          <w:szCs w:val="12"/>
          <w:color w:val="auto"/>
        </w:rPr>
        <w:t>These condensed interim consolidated financial statements include the accounts of Agnico Eagle and its consolidated subsidiaries. All intercompany balances, transactions, income and expenses and gains or losses have been eliminated on consolidation. Subsidiaries are consolidated where Agnico Eagle has the ability to exercise control. Control of an investee exists when Agnico Eagle is exposed to variable returns from the Company's involvement with the investee and has the ability to affect those returns through its power over the investee. The Company reassesses whether or not it controls an investee if facts and circumstances indicate that there are changes to one or more of the elements of control.</w:t>
      </w:r>
    </w:p>
    <w:p>
      <w:pPr>
        <w:spacing w:after="0" w:line="174" w:lineRule="exact"/>
        <w:rPr>
          <w:rFonts w:ascii="Arial" w:cs="Arial" w:eastAsia="Arial" w:hAnsi="Arial"/>
          <w:sz w:val="11"/>
          <w:szCs w:val="11"/>
          <w:b w:val="1"/>
          <w:bCs w:val="1"/>
          <w:color w:val="auto"/>
        </w:rPr>
      </w:pPr>
    </w:p>
    <w:p>
      <w:pPr>
        <w:ind w:left="1060"/>
        <w:spacing w:after="0"/>
        <w:rPr>
          <w:rFonts w:ascii="Arial" w:cs="Arial" w:eastAsia="Arial" w:hAnsi="Arial"/>
          <w:sz w:val="11"/>
          <w:szCs w:val="11"/>
          <w:b w:val="1"/>
          <w:bCs w:val="1"/>
          <w:color w:val="auto"/>
        </w:rPr>
      </w:pPr>
      <w:r>
        <w:rPr>
          <w:rFonts w:ascii="Arial" w:cs="Arial" w:eastAsia="Arial" w:hAnsi="Arial"/>
          <w:sz w:val="13"/>
          <w:szCs w:val="13"/>
          <w:i w:val="1"/>
          <w:iCs w:val="1"/>
          <w:color w:val="auto"/>
        </w:rPr>
        <w:t>Joint Arrangements</w:t>
      </w:r>
    </w:p>
    <w:p>
      <w:pPr>
        <w:spacing w:after="0" w:line="204" w:lineRule="exact"/>
        <w:rPr>
          <w:rFonts w:ascii="Arial" w:cs="Arial" w:eastAsia="Arial" w:hAnsi="Arial"/>
          <w:sz w:val="11"/>
          <w:szCs w:val="11"/>
          <w:b w:val="1"/>
          <w:bCs w:val="1"/>
          <w:color w:val="auto"/>
        </w:rPr>
      </w:pPr>
    </w:p>
    <w:p>
      <w:pPr>
        <w:ind w:left="1060"/>
        <w:spacing w:after="0" w:line="297" w:lineRule="auto"/>
        <w:rPr>
          <w:rFonts w:ascii="Arial" w:cs="Arial" w:eastAsia="Arial" w:hAnsi="Arial"/>
          <w:sz w:val="11"/>
          <w:szCs w:val="11"/>
          <w:b w:val="1"/>
          <w:bCs w:val="1"/>
          <w:color w:val="auto"/>
        </w:rPr>
      </w:pPr>
      <w:r>
        <w:rPr>
          <w:rFonts w:ascii="Arial" w:cs="Arial" w:eastAsia="Arial" w:hAnsi="Arial"/>
          <w:sz w:val="12"/>
          <w:szCs w:val="12"/>
          <w:color w:val="auto"/>
        </w:rPr>
        <w:t>A joint arrangement is defined as an arrangement in which two or more parties have joint control. Joint control is the contractually agreed sharing of control over an arrangement between two or more parties. This exists only when the decisions about the relevant activities that significantly affect the returns of the arrangement require the unanimous consent of the parties sharing control.</w:t>
      </w:r>
    </w:p>
    <w:p>
      <w:pPr>
        <w:spacing w:after="0" w:line="156" w:lineRule="exact"/>
        <w:rPr>
          <w:rFonts w:ascii="Arial" w:cs="Arial" w:eastAsia="Arial" w:hAnsi="Arial"/>
          <w:sz w:val="11"/>
          <w:szCs w:val="11"/>
          <w:b w:val="1"/>
          <w:bCs w:val="1"/>
          <w:color w:val="auto"/>
        </w:rPr>
      </w:pPr>
    </w:p>
    <w:p>
      <w:pPr>
        <w:jc w:val="both"/>
        <w:ind w:left="1060"/>
        <w:spacing w:after="0" w:line="243" w:lineRule="auto"/>
        <w:rPr>
          <w:rFonts w:ascii="Arial" w:cs="Arial" w:eastAsia="Arial" w:hAnsi="Arial"/>
          <w:sz w:val="11"/>
          <w:szCs w:val="11"/>
          <w:b w:val="1"/>
          <w:bCs w:val="1"/>
          <w:color w:val="auto"/>
        </w:rPr>
      </w:pPr>
      <w:r>
        <w:rPr>
          <w:rFonts w:ascii="Arial" w:cs="Arial" w:eastAsia="Arial" w:hAnsi="Arial"/>
          <w:sz w:val="13"/>
          <w:szCs w:val="13"/>
          <w:color w:val="auto"/>
        </w:rPr>
        <w:t>A joint operation is a joint arrangement whereby the parties that have joint control of the arrangement and have rights to the assets and obligations for the liabilities relating to the arrangement. These condensed interim consolidated financial statements include the Company's interest in the assets, liabilities, revenues and expenses of its joint operations, from the date that joint control commenced. Agnico Eagle's interest in the Canadian Malartic Corporation, located in Quebec, has been accounted for as a joint operation.</w:t>
      </w:r>
    </w:p>
    <w:p>
      <w:pPr>
        <w:spacing w:after="0" w:line="184" w:lineRule="exact"/>
        <w:rPr>
          <w:rFonts w:ascii="Arial" w:cs="Arial" w:eastAsia="Arial" w:hAnsi="Arial"/>
          <w:sz w:val="11"/>
          <w:szCs w:val="11"/>
          <w:b w:val="1"/>
          <w:bCs w:val="1"/>
          <w:color w:val="auto"/>
        </w:rPr>
      </w:pPr>
    </w:p>
    <w:p>
      <w:pPr>
        <w:ind w:left="260" w:hanging="255"/>
        <w:spacing w:after="0"/>
        <w:tabs>
          <w:tab w:leader="none" w:pos="260" w:val="left"/>
        </w:tabs>
        <w:numPr>
          <w:ilvl w:val="0"/>
          <w:numId w:val="10"/>
        </w:numPr>
        <w:rPr>
          <w:rFonts w:ascii="Arial" w:cs="Arial" w:eastAsia="Arial" w:hAnsi="Arial"/>
          <w:sz w:val="13"/>
          <w:szCs w:val="13"/>
          <w:b w:val="1"/>
          <w:bCs w:val="1"/>
          <w:color w:val="auto"/>
        </w:rPr>
      </w:pPr>
      <w:r>
        <w:rPr>
          <w:rFonts w:ascii="Arial" w:cs="Arial" w:eastAsia="Arial" w:hAnsi="Arial"/>
          <w:sz w:val="13"/>
          <w:szCs w:val="13"/>
          <w:b w:val="1"/>
          <w:bCs w:val="1"/>
          <w:color w:val="auto"/>
        </w:rPr>
        <w:t>ACCOUNTING POLICIES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2"/>
          <w:szCs w:val="12"/>
          <w:color w:val="auto"/>
        </w:rPr>
        <w:t>These condensed interim consolidated financial statements follow the same accounting policies and methods of their application as the December 31, 2014 annual audited consolidated financial statements.</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4" w:name="page45"/>
    <w:bookmarkEnd w:id="4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ind w:left="260" w:hanging="255"/>
        <w:spacing w:after="0"/>
        <w:tabs>
          <w:tab w:leader="none" w:pos="260" w:val="left"/>
        </w:tabs>
        <w:numPr>
          <w:ilvl w:val="0"/>
          <w:numId w:val="11"/>
        </w:numPr>
        <w:rPr>
          <w:rFonts w:ascii="Arial" w:cs="Arial" w:eastAsia="Arial" w:hAnsi="Arial"/>
          <w:sz w:val="13"/>
          <w:szCs w:val="13"/>
          <w:b w:val="1"/>
          <w:bCs w:val="1"/>
          <w:color w:val="auto"/>
        </w:rPr>
      </w:pPr>
      <w:r>
        <w:rPr>
          <w:rFonts w:ascii="Arial" w:cs="Arial" w:eastAsia="Arial" w:hAnsi="Arial"/>
          <w:sz w:val="13"/>
          <w:szCs w:val="13"/>
          <w:b w:val="1"/>
          <w:bCs w:val="1"/>
          <w:color w:val="auto"/>
        </w:rPr>
        <w:t>SIGNIFICANT JUDGMENTS, ESTIMATES AND ASSUMPTIONS</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The preparation of these condensed interim consolidated financial statements in conformity with IFRS requires management to make judgments, estimates and assumptions that affect the amounts reported in the condensed interim consolidated financial statements and accompanying notes. Management believes that the estimates used in the preparation of the condensed interim consolidated financial statements are reasonable; however, actual results may differ materially from these estimates. The areas involving significant judgments, estimates and assumptions have been detailed in note 4 to the Company's annual audited consolidated financial statements for the year ended December 31, 2014.</w:t>
      </w:r>
    </w:p>
    <w:p>
      <w:pPr>
        <w:spacing w:after="0" w:line="187" w:lineRule="exact"/>
        <w:rPr>
          <w:sz w:val="20"/>
          <w:szCs w:val="20"/>
          <w:color w:val="auto"/>
        </w:rPr>
      </w:pPr>
    </w:p>
    <w:p>
      <w:pPr>
        <w:ind w:left="520" w:right="10200" w:hanging="515"/>
        <w:spacing w:after="0" w:line="619" w:lineRule="auto"/>
        <w:tabs>
          <w:tab w:leader="none" w:pos="251" w:val="left"/>
        </w:tabs>
        <w:numPr>
          <w:ilvl w:val="0"/>
          <w:numId w:val="12"/>
        </w:numPr>
        <w:rPr>
          <w:rFonts w:ascii="Arial" w:cs="Arial" w:eastAsia="Arial" w:hAnsi="Arial"/>
          <w:sz w:val="12"/>
          <w:szCs w:val="12"/>
          <w:b w:val="1"/>
          <w:bCs w:val="1"/>
          <w:color w:val="auto"/>
        </w:rPr>
      </w:pPr>
      <w:r>
        <w:rPr>
          <w:rFonts w:ascii="Arial" w:cs="Arial" w:eastAsia="Arial" w:hAnsi="Arial"/>
          <w:sz w:val="12"/>
          <w:szCs w:val="12"/>
          <w:b w:val="1"/>
          <w:bCs w:val="1"/>
          <w:color w:val="auto"/>
        </w:rPr>
        <w:t xml:space="preserve">ACQUISITIONS </w:t>
      </w:r>
      <w:r>
        <w:rPr>
          <w:rFonts w:ascii="Arial" w:cs="Arial" w:eastAsia="Arial" w:hAnsi="Arial"/>
          <w:sz w:val="12"/>
          <w:szCs w:val="12"/>
          <w:b w:val="1"/>
          <w:bCs w:val="1"/>
          <w:i w:val="1"/>
          <w:iCs w:val="1"/>
          <w:color w:val="auto"/>
        </w:rPr>
        <w:t>Soltoro Ltd.</w:t>
      </w:r>
    </w:p>
    <w:p>
      <w:pPr>
        <w:jc w:val="both"/>
        <w:ind w:left="520"/>
        <w:spacing w:after="0" w:line="243" w:lineRule="auto"/>
        <w:rPr>
          <w:sz w:val="20"/>
          <w:szCs w:val="20"/>
          <w:color w:val="auto"/>
        </w:rPr>
      </w:pPr>
      <w:r>
        <w:rPr>
          <w:rFonts w:ascii="Arial" w:cs="Arial" w:eastAsia="Arial" w:hAnsi="Arial"/>
          <w:sz w:val="13"/>
          <w:szCs w:val="13"/>
          <w:color w:val="auto"/>
        </w:rPr>
        <w:t xml:space="preserve">On June 9, 2015, the Company acquired all of the issued and outstanding common shares of Soltoro Ltd. ("Soltoro"), including common shares issuable on the exercise of Soltoro's outstanding options and warrants, by way of a plan of arrangement under the </w:t>
      </w:r>
      <w:r>
        <w:rPr>
          <w:rFonts w:ascii="Arial" w:cs="Arial" w:eastAsia="Arial" w:hAnsi="Arial"/>
          <w:sz w:val="13"/>
          <w:szCs w:val="13"/>
          <w:i w:val="1"/>
          <w:iCs w:val="1"/>
          <w:color w:val="auto"/>
        </w:rPr>
        <w:t>Canada Business Corporations Act</w:t>
      </w:r>
      <w:r>
        <w:rPr>
          <w:rFonts w:ascii="Arial" w:cs="Arial" w:eastAsia="Arial" w:hAnsi="Arial"/>
          <w:sz w:val="13"/>
          <w:szCs w:val="13"/>
          <w:color w:val="auto"/>
        </w:rPr>
        <w:t xml:space="preserve"> (the "Soltoro Arrangement"). Soltoro is an exploration company focused on the discovery of precious metals in Mexico.</w:t>
      </w:r>
    </w:p>
    <w:p>
      <w:pPr>
        <w:spacing w:after="0" w:line="188"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Each outstanding share of Soltoro was exchanged under the Soltoro Arrangement for: (i) C$0.01 in cash; (ii) 0.00793 of an Agnico Eagle common share; and (iii) 1 common share of Palamina Corp., a company that was newly formed in connection with the Soltoro Arrangement.</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Pursuant to the Soltoro Arrangement, Soltoro transferred all mining properties located outside of the state of Jalisco, Mexico to Palamina Corp., while Soltoro retained all mining properties located within the state of Jalisco, Mexico. Agnico Eagle had no interest in Palamina Corp. upon the closing of the Soltoro Arrangement.</w:t>
      </w:r>
    </w:p>
    <w:p>
      <w:pPr>
        <w:spacing w:after="0" w:line="179"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Agnico Eagle's total purchase price of $26.7 million was comprised of $2.4 million in cash, including $1.6 million in cash contributed to Palamina Corp., and 770,429 Agnico Eagle common shares issued from treasury. The Soltoro acquisition was accounted for as an asset acquisition and transaction costs associated with the acquisition totaling $1.4 million were capitalized to the mining properties acquired separately from the purchase price allocation set out below.</w:t>
      </w:r>
    </w:p>
    <w:p>
      <w:pPr>
        <w:spacing w:after="0" w:line="188" w:lineRule="exact"/>
        <w:rPr>
          <w:sz w:val="20"/>
          <w:szCs w:val="20"/>
          <w:color w:val="auto"/>
        </w:rPr>
      </w:pPr>
    </w:p>
    <w:tbl>
      <w:tblPr>
        <w:tblLayout w:type="fixed"/>
        <w:tblInd w:w="520" w:type="dxa"/>
        <w:tblCellMar>
          <w:top w:w="0" w:type="dxa"/>
          <w:left w:w="0" w:type="dxa"/>
          <w:bottom w:w="0" w:type="dxa"/>
          <w:right w:w="0" w:type="dxa"/>
        </w:tblCellMar>
      </w:tblPr>
      <w:tr>
        <w:trPr>
          <w:trHeight w:val="165"/>
        </w:trPr>
        <w:tc>
          <w:tcPr>
            <w:tcW w:w="9020" w:type="dxa"/>
            <w:vAlign w:val="bottom"/>
            <w:gridSpan w:val="2"/>
          </w:tcPr>
          <w:p>
            <w:pPr>
              <w:spacing w:after="0"/>
              <w:rPr>
                <w:sz w:val="20"/>
                <w:szCs w:val="20"/>
                <w:color w:val="auto"/>
              </w:rPr>
            </w:pPr>
            <w:r>
              <w:rPr>
                <w:rFonts w:ascii="Arial" w:cs="Arial" w:eastAsia="Arial" w:hAnsi="Arial"/>
                <w:sz w:val="13"/>
                <w:szCs w:val="13"/>
                <w:color w:val="auto"/>
              </w:rPr>
              <w:t>The following table sets out the allocation of the purchase price to assets acquired and liabilities assumed, based on management's estimates of fair value:</w:t>
            </w: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620" w:type="dxa"/>
            <w:vAlign w:val="bottom"/>
          </w:tcPr>
          <w:p>
            <w:pPr>
              <w:spacing w:after="0"/>
              <w:rPr>
                <w:sz w:val="17"/>
                <w:szCs w:val="17"/>
                <w:color w:val="auto"/>
              </w:rPr>
            </w:pPr>
          </w:p>
        </w:tc>
        <w:tc>
          <w:tcPr>
            <w:tcW w:w="84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b w:val="1"/>
                <w:bCs w:val="1"/>
                <w:color w:val="auto"/>
              </w:rPr>
              <w:t>Total purchase price:</w:t>
            </w:r>
          </w:p>
        </w:tc>
        <w:tc>
          <w:tcPr>
            <w:tcW w:w="1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tcPr>
          <w:p>
            <w:pPr>
              <w:ind w:left="220"/>
              <w:spacing w:after="0" w:line="144" w:lineRule="exact"/>
              <w:rPr>
                <w:sz w:val="20"/>
                <w:szCs w:val="20"/>
                <w:color w:val="auto"/>
              </w:rPr>
            </w:pPr>
            <w:r>
              <w:rPr>
                <w:rFonts w:ascii="Arial" w:cs="Arial" w:eastAsia="Arial" w:hAnsi="Arial"/>
                <w:sz w:val="13"/>
                <w:szCs w:val="13"/>
                <w:color w:val="auto"/>
              </w:rPr>
              <w:t>Cash paid for acquisition</w:t>
            </w:r>
          </w:p>
        </w:tc>
        <w:tc>
          <w:tcPr>
            <w:tcW w:w="160" w:type="dxa"/>
            <w:vAlign w:val="bottom"/>
          </w:tcPr>
          <w:p>
            <w:pPr>
              <w:jc w:val="right"/>
              <w:spacing w:after="0" w:line="144" w:lineRule="exact"/>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2,366</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Agnico Eagle common shares issued for acquisition</w:t>
            </w:r>
          </w:p>
        </w:tc>
        <w:tc>
          <w:tcPr>
            <w:tcW w:w="16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24,351</w:t>
            </w:r>
          </w:p>
        </w:tc>
        <w:tc>
          <w:tcPr>
            <w:tcW w:w="0" w:type="dxa"/>
            <w:vAlign w:val="bottom"/>
          </w:tcPr>
          <w:p>
            <w:pPr>
              <w:spacing w:after="0"/>
              <w:rPr>
                <w:sz w:val="1"/>
                <w:szCs w:val="1"/>
                <w:color w:val="auto"/>
              </w:rPr>
            </w:pPr>
          </w:p>
        </w:tc>
      </w:tr>
      <w:tr>
        <w:trPr>
          <w:trHeight w:val="26"/>
        </w:trPr>
        <w:tc>
          <w:tcPr>
            <w:tcW w:w="620" w:type="dxa"/>
            <w:vAlign w:val="bottom"/>
          </w:tcPr>
          <w:p>
            <w:pPr>
              <w:spacing w:after="0"/>
              <w:rPr>
                <w:sz w:val="2"/>
                <w:szCs w:val="2"/>
                <w:color w:val="auto"/>
              </w:rPr>
            </w:pPr>
          </w:p>
        </w:tc>
        <w:tc>
          <w:tcPr>
            <w:tcW w:w="8400" w:type="dxa"/>
            <w:vAlign w:val="bottom"/>
            <w:vMerge w:val="restart"/>
          </w:tcPr>
          <w:p>
            <w:pPr>
              <w:ind w:left="220"/>
              <w:spacing w:after="0"/>
              <w:rPr>
                <w:sz w:val="20"/>
                <w:szCs w:val="20"/>
                <w:color w:val="auto"/>
              </w:rPr>
            </w:pPr>
            <w:r>
              <w:rPr>
                <w:rFonts w:ascii="Arial" w:cs="Arial" w:eastAsia="Arial" w:hAnsi="Arial"/>
                <w:sz w:val="13"/>
                <w:szCs w:val="13"/>
                <w:color w:val="auto"/>
              </w:rPr>
              <w:t>Total purchase price to allocate</w:t>
            </w:r>
          </w:p>
        </w:tc>
        <w:tc>
          <w:tcPr>
            <w:tcW w:w="160" w:type="dxa"/>
            <w:vAlign w:val="bottom"/>
          </w:tcPr>
          <w:p>
            <w:pPr>
              <w:spacing w:after="0"/>
              <w:rPr>
                <w:sz w:val="2"/>
                <w:szCs w:val="2"/>
                <w:color w:val="auto"/>
              </w:rPr>
            </w:pPr>
          </w:p>
        </w:tc>
        <w:tc>
          <w:tcPr>
            <w:tcW w:w="5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0" w:type="dxa"/>
            <w:vAlign w:val="bottom"/>
          </w:tcPr>
          <w:p>
            <w:pPr>
              <w:spacing w:after="0"/>
              <w:rPr>
                <w:sz w:val="13"/>
                <w:szCs w:val="13"/>
                <w:color w:val="auto"/>
              </w:rPr>
            </w:pPr>
          </w:p>
        </w:tc>
        <w:tc>
          <w:tcPr>
            <w:tcW w:w="8400" w:type="dxa"/>
            <w:vAlign w:val="bottom"/>
            <w:vMerge w:val="continue"/>
          </w:tcPr>
          <w:p>
            <w:pPr>
              <w:spacing w:after="0"/>
              <w:rPr>
                <w:sz w:val="13"/>
                <w:szCs w:val="1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26,717</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20" w:type="dxa"/>
            <w:vAlign w:val="bottom"/>
          </w:tcPr>
          <w:p>
            <w:pPr>
              <w:spacing w:after="0" w:line="20" w:lineRule="exact"/>
              <w:rPr>
                <w:sz w:val="1"/>
                <w:szCs w:val="1"/>
                <w:color w:val="auto"/>
              </w:rPr>
            </w:pPr>
          </w:p>
        </w:tc>
        <w:tc>
          <w:tcPr>
            <w:tcW w:w="84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620" w:type="dxa"/>
            <w:vAlign w:val="bottom"/>
          </w:tcPr>
          <w:p>
            <w:pPr>
              <w:spacing w:after="0"/>
              <w:rPr>
                <w:sz w:val="24"/>
                <w:szCs w:val="24"/>
                <w:color w:val="auto"/>
              </w:rPr>
            </w:pPr>
          </w:p>
        </w:tc>
        <w:tc>
          <w:tcPr>
            <w:tcW w:w="8400" w:type="dxa"/>
            <w:vAlign w:val="bottom"/>
            <w:shd w:val="clear" w:color="auto" w:fill="CCEEFF"/>
          </w:tcPr>
          <w:p>
            <w:pPr>
              <w:ind w:left="220"/>
              <w:spacing w:after="0"/>
              <w:rPr>
                <w:sz w:val="20"/>
                <w:szCs w:val="20"/>
                <w:color w:val="auto"/>
              </w:rPr>
            </w:pPr>
            <w:r>
              <w:rPr>
                <w:rFonts w:ascii="Arial" w:cs="Arial" w:eastAsia="Arial" w:hAnsi="Arial"/>
                <w:sz w:val="13"/>
                <w:szCs w:val="13"/>
                <w:b w:val="1"/>
                <w:bCs w:val="1"/>
                <w:color w:val="auto"/>
              </w:rPr>
              <w:t>Fair value of assets acquired and liabilities assumed:</w:t>
            </w:r>
          </w:p>
        </w:tc>
        <w:tc>
          <w:tcPr>
            <w:tcW w:w="16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tcPr>
          <w:p>
            <w:pPr>
              <w:ind w:left="220"/>
              <w:spacing w:after="0" w:line="144" w:lineRule="exact"/>
              <w:rPr>
                <w:sz w:val="20"/>
                <w:szCs w:val="20"/>
                <w:color w:val="auto"/>
              </w:rPr>
            </w:pPr>
            <w:r>
              <w:rPr>
                <w:rFonts w:ascii="Arial" w:cs="Arial" w:eastAsia="Arial" w:hAnsi="Arial"/>
                <w:sz w:val="13"/>
                <w:szCs w:val="13"/>
                <w:color w:val="auto"/>
              </w:rPr>
              <w:t>Mining properties</w:t>
            </w:r>
          </w:p>
        </w:tc>
        <w:tc>
          <w:tcPr>
            <w:tcW w:w="160" w:type="dxa"/>
            <w:vAlign w:val="bottom"/>
          </w:tcPr>
          <w:p>
            <w:pPr>
              <w:jc w:val="right"/>
              <w:spacing w:after="0" w:line="144" w:lineRule="exact"/>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27,053</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Cash and cash equivalents</w:t>
            </w:r>
          </w:p>
        </w:tc>
        <w:tc>
          <w:tcPr>
            <w:tcW w:w="16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2,375</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tcPr>
          <w:p>
            <w:pPr>
              <w:ind w:left="220"/>
              <w:spacing w:after="0" w:line="144" w:lineRule="exact"/>
              <w:rPr>
                <w:sz w:val="20"/>
                <w:szCs w:val="20"/>
                <w:color w:val="auto"/>
              </w:rPr>
            </w:pPr>
            <w:r>
              <w:rPr>
                <w:rFonts w:ascii="Arial" w:cs="Arial" w:eastAsia="Arial" w:hAnsi="Arial"/>
                <w:sz w:val="13"/>
                <w:szCs w:val="13"/>
                <w:color w:val="auto"/>
              </w:rPr>
              <w:t>Available-for-sale securities</w:t>
            </w:r>
          </w:p>
        </w:tc>
        <w:tc>
          <w:tcPr>
            <w:tcW w:w="160" w:type="dxa"/>
            <w:vAlign w:val="bottom"/>
          </w:tcPr>
          <w:p>
            <w:pPr>
              <w:spacing w:after="0"/>
              <w:rPr>
                <w:sz w:val="12"/>
                <w:szCs w:val="12"/>
                <w:color w:val="auto"/>
              </w:rPr>
            </w:pPr>
          </w:p>
        </w:tc>
        <w:tc>
          <w:tcPr>
            <w:tcW w:w="5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17</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Other current assets</w:t>
            </w:r>
          </w:p>
        </w:tc>
        <w:tc>
          <w:tcPr>
            <w:tcW w:w="16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130</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tcPr>
          <w:p>
            <w:pPr>
              <w:ind w:left="220"/>
              <w:spacing w:after="0" w:line="144" w:lineRule="exact"/>
              <w:rPr>
                <w:sz w:val="20"/>
                <w:szCs w:val="20"/>
                <w:color w:val="auto"/>
              </w:rPr>
            </w:pPr>
            <w:r>
              <w:rPr>
                <w:rFonts w:ascii="Arial" w:cs="Arial" w:eastAsia="Arial" w:hAnsi="Arial"/>
                <w:sz w:val="13"/>
                <w:szCs w:val="13"/>
                <w:color w:val="auto"/>
              </w:rPr>
              <w:t>Plant and equipment</w:t>
            </w:r>
          </w:p>
        </w:tc>
        <w:tc>
          <w:tcPr>
            <w:tcW w:w="160" w:type="dxa"/>
            <w:vAlign w:val="bottom"/>
          </w:tcPr>
          <w:p>
            <w:pPr>
              <w:spacing w:after="0"/>
              <w:rPr>
                <w:sz w:val="12"/>
                <w:szCs w:val="12"/>
                <w:color w:val="auto"/>
              </w:rPr>
            </w:pPr>
          </w:p>
        </w:tc>
        <w:tc>
          <w:tcPr>
            <w:tcW w:w="5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33</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Accounts payable and accrued liabilities</w:t>
            </w:r>
          </w:p>
        </w:tc>
        <w:tc>
          <w:tcPr>
            <w:tcW w:w="16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(1,134)</w:t>
            </w:r>
          </w:p>
        </w:tc>
        <w:tc>
          <w:tcPr>
            <w:tcW w:w="0" w:type="dxa"/>
            <w:vAlign w:val="bottom"/>
          </w:tcPr>
          <w:p>
            <w:pPr>
              <w:spacing w:after="0"/>
              <w:rPr>
                <w:sz w:val="1"/>
                <w:szCs w:val="1"/>
                <w:color w:val="auto"/>
              </w:rPr>
            </w:pPr>
          </w:p>
        </w:tc>
      </w:tr>
      <w:tr>
        <w:trPr>
          <w:trHeight w:val="168"/>
        </w:trPr>
        <w:tc>
          <w:tcPr>
            <w:tcW w:w="620" w:type="dxa"/>
            <w:vAlign w:val="bottom"/>
          </w:tcPr>
          <w:p>
            <w:pPr>
              <w:spacing w:after="0"/>
              <w:rPr>
                <w:sz w:val="14"/>
                <w:szCs w:val="14"/>
                <w:color w:val="auto"/>
              </w:rPr>
            </w:pPr>
          </w:p>
        </w:tc>
        <w:tc>
          <w:tcPr>
            <w:tcW w:w="8400" w:type="dxa"/>
            <w:vAlign w:val="bottom"/>
          </w:tcPr>
          <w:p>
            <w:pPr>
              <w:ind w:left="220"/>
              <w:spacing w:after="0"/>
              <w:rPr>
                <w:sz w:val="20"/>
                <w:szCs w:val="20"/>
                <w:color w:val="auto"/>
              </w:rPr>
            </w:pPr>
            <w:r>
              <w:rPr>
                <w:rFonts w:ascii="Arial" w:cs="Arial" w:eastAsia="Arial" w:hAnsi="Arial"/>
                <w:sz w:val="13"/>
                <w:szCs w:val="13"/>
                <w:color w:val="auto"/>
              </w:rPr>
              <w:t>Other current liabilities</w:t>
            </w:r>
          </w:p>
        </w:tc>
        <w:tc>
          <w:tcPr>
            <w:tcW w:w="160" w:type="dxa"/>
            <w:vAlign w:val="bottom"/>
          </w:tcPr>
          <w:p>
            <w:pPr>
              <w:spacing w:after="0"/>
              <w:rPr>
                <w:sz w:val="14"/>
                <w:szCs w:val="14"/>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3"/>
                <w:szCs w:val="13"/>
                <w:color w:val="auto"/>
              </w:rPr>
              <w:t>(1,757)</w:t>
            </w:r>
          </w:p>
        </w:tc>
        <w:tc>
          <w:tcPr>
            <w:tcW w:w="0" w:type="dxa"/>
            <w:vAlign w:val="bottom"/>
          </w:tcPr>
          <w:p>
            <w:pPr>
              <w:spacing w:after="0"/>
              <w:rPr>
                <w:sz w:val="1"/>
                <w:szCs w:val="1"/>
                <w:color w:val="auto"/>
              </w:rPr>
            </w:pPr>
          </w:p>
        </w:tc>
      </w:tr>
      <w:tr>
        <w:trPr>
          <w:trHeight w:val="140"/>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Net assets acquired</w:t>
            </w:r>
          </w:p>
        </w:tc>
        <w:tc>
          <w:tcPr>
            <w:tcW w:w="16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rPr>
              <w:t>$</w:t>
            </w:r>
          </w:p>
        </w:tc>
        <w:tc>
          <w:tcPr>
            <w:tcW w:w="42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rPr>
              <w:t>26,717</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620" w:type="dxa"/>
            <w:vAlign w:val="bottom"/>
          </w:tcPr>
          <w:p>
            <w:pPr>
              <w:spacing w:after="0"/>
              <w:rPr>
                <w:sz w:val="2"/>
                <w:szCs w:val="2"/>
                <w:color w:val="auto"/>
              </w:rPr>
            </w:pPr>
          </w:p>
        </w:tc>
        <w:tc>
          <w:tcPr>
            <w:tcW w:w="84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20" w:type="dxa"/>
            <w:vAlign w:val="bottom"/>
          </w:tcPr>
          <w:p>
            <w:pPr>
              <w:spacing w:after="0" w:line="20" w:lineRule="exact"/>
              <w:rPr>
                <w:sz w:val="1"/>
                <w:szCs w:val="1"/>
                <w:color w:val="auto"/>
              </w:rPr>
            </w:pPr>
          </w:p>
        </w:tc>
        <w:tc>
          <w:tcPr>
            <w:tcW w:w="84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Gunnarn Mining AB</w:t>
      </w:r>
    </w:p>
    <w:p>
      <w:pPr>
        <w:spacing w:after="0" w:line="204"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On June 11, 2015, the Company acquired 55.0% of the issued and outstanding common shares of Gunnarn Mining AB ("Gunnarn") from Orex Minerals Inc. ("Orex"), by way of a share purchase agreement and joint venture agreement (the "Gunnarn Agreements"). Gunnarn holds a 100.0% interest in the Barsele project located in northern Sweden.</w:t>
      </w:r>
    </w:p>
    <w:p>
      <w:pPr>
        <w:spacing w:after="0" w:line="179" w:lineRule="exact"/>
        <w:rPr>
          <w:sz w:val="20"/>
          <w:szCs w:val="20"/>
          <w:color w:val="auto"/>
        </w:rPr>
      </w:pPr>
    </w:p>
    <w:p>
      <w:pPr>
        <w:ind w:left="520"/>
        <w:spacing w:after="0" w:line="297" w:lineRule="auto"/>
        <w:rPr>
          <w:sz w:val="20"/>
          <w:szCs w:val="20"/>
          <w:color w:val="auto"/>
        </w:rPr>
      </w:pPr>
      <w:r>
        <w:rPr>
          <w:rFonts w:ascii="Arial" w:cs="Arial" w:eastAsia="Arial" w:hAnsi="Arial"/>
          <w:sz w:val="12"/>
          <w:szCs w:val="12"/>
          <w:color w:val="auto"/>
        </w:rPr>
        <w:t>Agnico Eagle's total purchase price of $13.1 million was comprised of $6.0 million in cash and $7.1 million in accrued consideration. Pursuant to the Gunnarn Agreements, the $7.1 million in accrued consideration includes two $2.0 million payments to be made by the Company to Orex in cash or Agnico Eagle common shares at Agnico Eagle's sole discretion on June 11, 2016 and June 11, 2017,</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5" w:name="page46"/>
    <w:bookmarkEnd w:id="4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ind w:left="260" w:hanging="255"/>
        <w:spacing w:after="0"/>
        <w:tabs>
          <w:tab w:leader="none" w:pos="260" w:val="left"/>
        </w:tabs>
        <w:numPr>
          <w:ilvl w:val="0"/>
          <w:numId w:val="13"/>
        </w:numPr>
        <w:rPr>
          <w:rFonts w:ascii="Arial" w:cs="Arial" w:eastAsia="Arial" w:hAnsi="Arial"/>
          <w:sz w:val="13"/>
          <w:szCs w:val="13"/>
          <w:b w:val="1"/>
          <w:bCs w:val="1"/>
          <w:color w:val="auto"/>
        </w:rPr>
      </w:pPr>
      <w:r>
        <w:rPr>
          <w:rFonts w:ascii="Arial" w:cs="Arial" w:eastAsia="Arial" w:hAnsi="Arial"/>
          <w:sz w:val="13"/>
          <w:szCs w:val="13"/>
          <w:b w:val="1"/>
          <w:bCs w:val="1"/>
          <w:color w:val="auto"/>
        </w:rPr>
        <w:t>ACQUISITIONS (Continued)</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respectively. Agnico Eagle has also committed to $7.0 million in exploration expenditures associated with the Barsele project by June 11, 2018 and may earn an additional 15.0% interest in Gunnarn if the Company completes a pre-feasibility study related to the Barsele project. Orex was granted a 2.0% net smelter royalty on production from the Barsele project which may be repurchased by Agnico Eagle at any time for $5.0 million.</w:t>
      </w:r>
    </w:p>
    <w:p>
      <w:pPr>
        <w:spacing w:after="0" w:line="188"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Under the Gunnarn Agreements, Agnico Eagle will hold a majority of the seats on the board of directors of Gunnarn and will be the sole operator of the Barsele project in exchange for customary management fees.</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Gunnarn acquisition was accounted for as an asset acquisition and transaction costs associated with the acquisition totaling $0.6 million were capitalized to the mining properties acquired separately from the purchase allocation set out below.</w:t>
      </w:r>
    </w:p>
    <w:p>
      <w:pPr>
        <w:spacing w:after="0" w:line="179" w:lineRule="exact"/>
        <w:rPr>
          <w:sz w:val="20"/>
          <w:szCs w:val="20"/>
          <w:color w:val="auto"/>
        </w:rPr>
      </w:pPr>
    </w:p>
    <w:tbl>
      <w:tblPr>
        <w:tblLayout w:type="fixed"/>
        <w:tblInd w:w="520" w:type="dxa"/>
        <w:tblCellMar>
          <w:top w:w="0" w:type="dxa"/>
          <w:left w:w="0" w:type="dxa"/>
          <w:bottom w:w="0" w:type="dxa"/>
          <w:right w:w="0" w:type="dxa"/>
        </w:tblCellMar>
      </w:tblPr>
      <w:tr>
        <w:trPr>
          <w:trHeight w:val="165"/>
        </w:trPr>
        <w:tc>
          <w:tcPr>
            <w:tcW w:w="9020" w:type="dxa"/>
            <w:vAlign w:val="bottom"/>
            <w:gridSpan w:val="2"/>
          </w:tcPr>
          <w:p>
            <w:pPr>
              <w:spacing w:after="0"/>
              <w:rPr>
                <w:sz w:val="20"/>
                <w:szCs w:val="20"/>
                <w:color w:val="auto"/>
              </w:rPr>
            </w:pPr>
            <w:r>
              <w:rPr>
                <w:rFonts w:ascii="Arial" w:cs="Arial" w:eastAsia="Arial" w:hAnsi="Arial"/>
                <w:sz w:val="13"/>
                <w:szCs w:val="13"/>
                <w:color w:val="auto"/>
              </w:rPr>
              <w:t>The following table sets out the allocation of the purchase price to assets acquired and liabilities assumed, based on management's estimates of fair value:</w:t>
            </w: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620" w:type="dxa"/>
            <w:vAlign w:val="bottom"/>
          </w:tcPr>
          <w:p>
            <w:pPr>
              <w:spacing w:after="0"/>
              <w:rPr>
                <w:sz w:val="17"/>
                <w:szCs w:val="17"/>
                <w:color w:val="auto"/>
              </w:rPr>
            </w:pPr>
          </w:p>
        </w:tc>
        <w:tc>
          <w:tcPr>
            <w:tcW w:w="84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b w:val="1"/>
                <w:bCs w:val="1"/>
                <w:color w:val="auto"/>
              </w:rPr>
              <w:t>Total purchase price:</w:t>
            </w:r>
          </w:p>
        </w:tc>
        <w:tc>
          <w:tcPr>
            <w:tcW w:w="1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tcPr>
          <w:p>
            <w:pPr>
              <w:ind w:left="220"/>
              <w:spacing w:after="0" w:line="144" w:lineRule="exact"/>
              <w:rPr>
                <w:sz w:val="20"/>
                <w:szCs w:val="20"/>
                <w:color w:val="auto"/>
              </w:rPr>
            </w:pPr>
            <w:r>
              <w:rPr>
                <w:rFonts w:ascii="Arial" w:cs="Arial" w:eastAsia="Arial" w:hAnsi="Arial"/>
                <w:sz w:val="13"/>
                <w:szCs w:val="13"/>
                <w:color w:val="auto"/>
              </w:rPr>
              <w:t>Cash paid for acquisition</w:t>
            </w:r>
          </w:p>
        </w:tc>
        <w:tc>
          <w:tcPr>
            <w:tcW w:w="160" w:type="dxa"/>
            <w:vAlign w:val="bottom"/>
          </w:tcPr>
          <w:p>
            <w:pPr>
              <w:jc w:val="right"/>
              <w:spacing w:after="0" w:line="144" w:lineRule="exact"/>
              <w:rPr>
                <w:sz w:val="20"/>
                <w:szCs w:val="20"/>
                <w:color w:val="auto"/>
              </w:rPr>
            </w:pPr>
            <w:r>
              <w:rPr>
                <w:rFonts w:ascii="Arial" w:cs="Arial" w:eastAsia="Arial" w:hAnsi="Arial"/>
                <w:sz w:val="13"/>
                <w:szCs w:val="13"/>
                <w:color w:val="auto"/>
              </w:rPr>
              <w:t>$</w:t>
            </w:r>
          </w:p>
        </w:tc>
        <w:tc>
          <w:tcPr>
            <w:tcW w:w="44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5,994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Accrued consideration</w:t>
            </w:r>
          </w:p>
        </w:tc>
        <w:tc>
          <w:tcPr>
            <w:tcW w:w="1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7,150</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620" w:type="dxa"/>
            <w:vAlign w:val="bottom"/>
          </w:tcPr>
          <w:p>
            <w:pPr>
              <w:spacing w:after="0"/>
              <w:rPr>
                <w:sz w:val="2"/>
                <w:szCs w:val="2"/>
                <w:color w:val="auto"/>
              </w:rPr>
            </w:pPr>
          </w:p>
        </w:tc>
        <w:tc>
          <w:tcPr>
            <w:tcW w:w="8400" w:type="dxa"/>
            <w:vAlign w:val="bottom"/>
            <w:vMerge w:val="restart"/>
          </w:tcPr>
          <w:p>
            <w:pPr>
              <w:ind w:left="220"/>
              <w:spacing w:after="0"/>
              <w:rPr>
                <w:sz w:val="20"/>
                <w:szCs w:val="20"/>
                <w:color w:val="auto"/>
              </w:rPr>
            </w:pPr>
            <w:r>
              <w:rPr>
                <w:rFonts w:ascii="Arial" w:cs="Arial" w:eastAsia="Arial" w:hAnsi="Arial"/>
                <w:sz w:val="13"/>
                <w:szCs w:val="13"/>
                <w:color w:val="auto"/>
              </w:rPr>
              <w:t>Total purchase price to allocate</w:t>
            </w:r>
          </w:p>
        </w:tc>
        <w:tc>
          <w:tcPr>
            <w:tcW w:w="1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0" w:type="dxa"/>
            <w:vAlign w:val="bottom"/>
          </w:tcPr>
          <w:p>
            <w:pPr>
              <w:spacing w:after="0"/>
              <w:rPr>
                <w:sz w:val="13"/>
                <w:szCs w:val="13"/>
                <w:color w:val="auto"/>
              </w:rPr>
            </w:pPr>
          </w:p>
        </w:tc>
        <w:tc>
          <w:tcPr>
            <w:tcW w:w="8400" w:type="dxa"/>
            <w:vAlign w:val="bottom"/>
            <w:vMerge w:val="continue"/>
          </w:tcPr>
          <w:p>
            <w:pPr>
              <w:spacing w:after="0"/>
              <w:rPr>
                <w:sz w:val="13"/>
                <w:szCs w:val="1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13,144</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20" w:type="dxa"/>
            <w:vAlign w:val="bottom"/>
          </w:tcPr>
          <w:p>
            <w:pPr>
              <w:spacing w:after="0" w:line="20" w:lineRule="exact"/>
              <w:rPr>
                <w:sz w:val="1"/>
                <w:szCs w:val="1"/>
                <w:color w:val="auto"/>
              </w:rPr>
            </w:pPr>
          </w:p>
        </w:tc>
        <w:tc>
          <w:tcPr>
            <w:tcW w:w="84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620" w:type="dxa"/>
            <w:vAlign w:val="bottom"/>
          </w:tcPr>
          <w:p>
            <w:pPr>
              <w:spacing w:after="0"/>
              <w:rPr>
                <w:sz w:val="24"/>
                <w:szCs w:val="24"/>
                <w:color w:val="auto"/>
              </w:rPr>
            </w:pPr>
          </w:p>
        </w:tc>
        <w:tc>
          <w:tcPr>
            <w:tcW w:w="8400" w:type="dxa"/>
            <w:vAlign w:val="bottom"/>
            <w:shd w:val="clear" w:color="auto" w:fill="CCEEFF"/>
          </w:tcPr>
          <w:p>
            <w:pPr>
              <w:ind w:left="220"/>
              <w:spacing w:after="0"/>
              <w:rPr>
                <w:sz w:val="20"/>
                <w:szCs w:val="20"/>
                <w:color w:val="auto"/>
              </w:rPr>
            </w:pPr>
            <w:r>
              <w:rPr>
                <w:rFonts w:ascii="Arial" w:cs="Arial" w:eastAsia="Arial" w:hAnsi="Arial"/>
                <w:sz w:val="13"/>
                <w:szCs w:val="13"/>
                <w:b w:val="1"/>
                <w:bCs w:val="1"/>
                <w:color w:val="auto"/>
              </w:rPr>
              <w:t>Fair value of assets acquired and liabilities assumed:</w:t>
            </w:r>
          </w:p>
        </w:tc>
        <w:tc>
          <w:tcPr>
            <w:tcW w:w="16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tcPr>
          <w:p>
            <w:pPr>
              <w:ind w:left="220"/>
              <w:spacing w:after="0" w:line="144" w:lineRule="exact"/>
              <w:rPr>
                <w:sz w:val="20"/>
                <w:szCs w:val="20"/>
                <w:color w:val="auto"/>
              </w:rPr>
            </w:pPr>
            <w:r>
              <w:rPr>
                <w:rFonts w:ascii="Arial" w:cs="Arial" w:eastAsia="Arial" w:hAnsi="Arial"/>
                <w:sz w:val="13"/>
                <w:szCs w:val="13"/>
                <w:color w:val="auto"/>
              </w:rPr>
              <w:t>Mining properties</w:t>
            </w:r>
          </w:p>
        </w:tc>
        <w:tc>
          <w:tcPr>
            <w:tcW w:w="160" w:type="dxa"/>
            <w:vAlign w:val="bottom"/>
          </w:tcPr>
          <w:p>
            <w:pPr>
              <w:jc w:val="right"/>
              <w:spacing w:after="0" w:line="144" w:lineRule="exact"/>
              <w:rPr>
                <w:sz w:val="20"/>
                <w:szCs w:val="20"/>
                <w:color w:val="auto"/>
              </w:rPr>
            </w:pPr>
            <w:r>
              <w:rPr>
                <w:rFonts w:ascii="Arial" w:cs="Arial" w:eastAsia="Arial" w:hAnsi="Arial"/>
                <w:sz w:val="13"/>
                <w:szCs w:val="13"/>
                <w:color w:val="auto"/>
              </w:rPr>
              <w:t>$</w:t>
            </w:r>
          </w:p>
        </w:tc>
        <w:tc>
          <w:tcPr>
            <w:tcW w:w="44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20,021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Cash and cash equivalents</w:t>
            </w:r>
          </w:p>
        </w:tc>
        <w:tc>
          <w:tcPr>
            <w:tcW w:w="1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tcPr>
          <w:p>
            <w:pPr>
              <w:ind w:left="220"/>
              <w:spacing w:after="0" w:line="144" w:lineRule="exact"/>
              <w:rPr>
                <w:sz w:val="20"/>
                <w:szCs w:val="20"/>
                <w:color w:val="auto"/>
              </w:rPr>
            </w:pPr>
            <w:r>
              <w:rPr>
                <w:rFonts w:ascii="Arial" w:cs="Arial" w:eastAsia="Arial" w:hAnsi="Arial"/>
                <w:sz w:val="13"/>
                <w:szCs w:val="13"/>
                <w:color w:val="auto"/>
              </w:rPr>
              <w:t>Other current assets</w:t>
            </w:r>
          </w:p>
        </w:tc>
        <w:tc>
          <w:tcPr>
            <w:tcW w:w="160" w:type="dxa"/>
            <w:vAlign w:val="bottom"/>
          </w:tcPr>
          <w:p>
            <w:pPr>
              <w:spacing w:after="0"/>
              <w:rPr>
                <w:sz w:val="12"/>
                <w:szCs w:val="12"/>
                <w:color w:val="auto"/>
              </w:rPr>
            </w:pPr>
          </w:p>
        </w:tc>
        <w:tc>
          <w:tcPr>
            <w:tcW w:w="44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35</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Accounts payable and accrued liabilities</w:t>
            </w:r>
          </w:p>
        </w:tc>
        <w:tc>
          <w:tcPr>
            <w:tcW w:w="160" w:type="dxa"/>
            <w:vAlign w:val="bottom"/>
            <w:shd w:val="clear" w:color="auto" w:fill="CCEEFF"/>
          </w:tcPr>
          <w:p>
            <w:pPr>
              <w:spacing w:after="0"/>
              <w:rPr>
                <w:sz w:val="12"/>
                <w:szCs w:val="12"/>
                <w:color w:val="auto"/>
              </w:rPr>
            </w:pPr>
          </w:p>
        </w:tc>
        <w:tc>
          <w:tcPr>
            <w:tcW w:w="56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(80)</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tcPr>
          <w:p>
            <w:pPr>
              <w:ind w:left="220"/>
              <w:spacing w:after="0" w:line="144" w:lineRule="exact"/>
              <w:rPr>
                <w:sz w:val="20"/>
                <w:szCs w:val="20"/>
                <w:color w:val="auto"/>
              </w:rPr>
            </w:pPr>
            <w:r>
              <w:rPr>
                <w:rFonts w:ascii="Arial" w:cs="Arial" w:eastAsia="Arial" w:hAnsi="Arial"/>
                <w:sz w:val="13"/>
                <w:szCs w:val="13"/>
                <w:color w:val="auto"/>
              </w:rPr>
              <w:t>Long-term debt</w:t>
            </w:r>
          </w:p>
        </w:tc>
        <w:tc>
          <w:tcPr>
            <w:tcW w:w="160" w:type="dxa"/>
            <w:vAlign w:val="bottom"/>
          </w:tcPr>
          <w:p>
            <w:pPr>
              <w:spacing w:after="0"/>
              <w:rPr>
                <w:sz w:val="12"/>
                <w:szCs w:val="12"/>
                <w:color w:val="auto"/>
              </w:rPr>
            </w:pPr>
          </w:p>
        </w:tc>
        <w:tc>
          <w:tcPr>
            <w:tcW w:w="56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(29)</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84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Other liabilities</w:t>
            </w:r>
          </w:p>
        </w:tc>
        <w:tc>
          <w:tcPr>
            <w:tcW w:w="160" w:type="dxa"/>
            <w:vAlign w:val="bottom"/>
            <w:shd w:val="clear" w:color="auto" w:fill="CCEEFF"/>
          </w:tcPr>
          <w:p>
            <w:pPr>
              <w:spacing w:after="0"/>
              <w:rPr>
                <w:sz w:val="12"/>
                <w:szCs w:val="12"/>
                <w:color w:val="auto"/>
              </w:rPr>
            </w:pPr>
          </w:p>
        </w:tc>
        <w:tc>
          <w:tcPr>
            <w:tcW w:w="56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(6,806)</w:t>
            </w:r>
          </w:p>
        </w:tc>
        <w:tc>
          <w:tcPr>
            <w:tcW w:w="0" w:type="dxa"/>
            <w:vAlign w:val="bottom"/>
          </w:tcPr>
          <w:p>
            <w:pPr>
              <w:spacing w:after="0"/>
              <w:rPr>
                <w:sz w:val="1"/>
                <w:szCs w:val="1"/>
                <w:color w:val="auto"/>
              </w:rPr>
            </w:pPr>
          </w:p>
        </w:tc>
      </w:tr>
      <w:tr>
        <w:trPr>
          <w:trHeight w:val="26"/>
        </w:trPr>
        <w:tc>
          <w:tcPr>
            <w:tcW w:w="620" w:type="dxa"/>
            <w:vAlign w:val="bottom"/>
          </w:tcPr>
          <w:p>
            <w:pPr>
              <w:spacing w:after="0"/>
              <w:rPr>
                <w:sz w:val="2"/>
                <w:szCs w:val="2"/>
                <w:color w:val="auto"/>
              </w:rPr>
            </w:pPr>
          </w:p>
        </w:tc>
        <w:tc>
          <w:tcPr>
            <w:tcW w:w="8400" w:type="dxa"/>
            <w:vAlign w:val="bottom"/>
            <w:vMerge w:val="restart"/>
          </w:tcPr>
          <w:p>
            <w:pPr>
              <w:ind w:left="220"/>
              <w:spacing w:after="0"/>
              <w:rPr>
                <w:sz w:val="20"/>
                <w:szCs w:val="20"/>
                <w:color w:val="auto"/>
              </w:rPr>
            </w:pPr>
            <w:r>
              <w:rPr>
                <w:rFonts w:ascii="Arial" w:cs="Arial" w:eastAsia="Arial" w:hAnsi="Arial"/>
                <w:sz w:val="13"/>
                <w:szCs w:val="13"/>
                <w:color w:val="auto"/>
              </w:rPr>
              <w:t>Net assets acquired</w:t>
            </w:r>
          </w:p>
        </w:tc>
        <w:tc>
          <w:tcPr>
            <w:tcW w:w="1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0" w:type="dxa"/>
            <w:vAlign w:val="bottom"/>
          </w:tcPr>
          <w:p>
            <w:pPr>
              <w:spacing w:after="0"/>
              <w:rPr>
                <w:sz w:val="13"/>
                <w:szCs w:val="13"/>
                <w:color w:val="auto"/>
              </w:rPr>
            </w:pPr>
          </w:p>
        </w:tc>
        <w:tc>
          <w:tcPr>
            <w:tcW w:w="8400" w:type="dxa"/>
            <w:vAlign w:val="bottom"/>
            <w:vMerge w:val="continue"/>
          </w:tcPr>
          <w:p>
            <w:pPr>
              <w:spacing w:after="0"/>
              <w:rPr>
                <w:sz w:val="13"/>
                <w:szCs w:val="1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13,144</w:t>
            </w:r>
          </w:p>
        </w:tc>
        <w:tc>
          <w:tcPr>
            <w:tcW w:w="2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20" w:type="dxa"/>
            <w:vAlign w:val="bottom"/>
          </w:tcPr>
          <w:p>
            <w:pPr>
              <w:spacing w:after="0" w:line="20" w:lineRule="exact"/>
              <w:rPr>
                <w:sz w:val="1"/>
                <w:szCs w:val="1"/>
                <w:color w:val="auto"/>
              </w:rPr>
            </w:pPr>
          </w:p>
        </w:tc>
        <w:tc>
          <w:tcPr>
            <w:tcW w:w="84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Osisko Mining Corporation</w:t>
      </w:r>
    </w:p>
    <w:p>
      <w:pPr>
        <w:spacing w:after="0" w:line="204" w:lineRule="exact"/>
        <w:rPr>
          <w:sz w:val="20"/>
          <w:szCs w:val="20"/>
          <w:color w:val="auto"/>
        </w:rPr>
      </w:pPr>
    </w:p>
    <w:p>
      <w:pPr>
        <w:jc w:val="both"/>
        <w:ind w:left="520"/>
        <w:spacing w:after="0" w:line="238" w:lineRule="auto"/>
        <w:rPr>
          <w:sz w:val="20"/>
          <w:szCs w:val="20"/>
          <w:color w:val="auto"/>
        </w:rPr>
      </w:pPr>
      <w:r>
        <w:rPr>
          <w:rFonts w:ascii="Arial" w:cs="Arial" w:eastAsia="Arial" w:hAnsi="Arial"/>
          <w:sz w:val="13"/>
          <w:szCs w:val="13"/>
          <w:color w:val="auto"/>
        </w:rPr>
        <w:t>On June 16, 2014, Agnico Eagle and Yamana jointly acquired 100.0% of the issued and outstanding shares of Osisko by way of the Arrangement. Under the Arrangement, Agnico Eagle and Yamana each indirectly acquired 50.0% of Osisko's issued and outstanding shares. As part of the Arrangement, the Canadian Malartic mine in Quebec was transferred to the newly formed Canadian Malartic GP in which each of Agnico Eagle and Yamana have an indirect 50.0% interest. Agnico Eagle and Yamana will also jointly explore the Kirkland Lake assets, the Hammond Reef project and the Pandora and Wood-Pandora properties through their indirect joint ownership of Canadian Malartic Corporation (the successor to Osisko). Together, the acquired properties constitute the Canadian Malartic joint operation segment (see note 14 to these condensed interim consolidated financial statements for details).</w:t>
      </w:r>
    </w:p>
    <w:p>
      <w:pPr>
        <w:spacing w:after="0" w:line="190"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Each outstanding share of Osisko was exchanged under the Arrangement for: (i) C$2.09 in cash (Agnico Eagle's 50.0% share was C$1.045); (ii) 0.07264 of an Agnico Eagle common share (a value of C$2.64 based on the closing price of C$36.29 for Agnico Eagle common shares on the Toronto Stock Exchange as of June 16, 2014); (iii) 0.26471 of a Yamana common share; and (iv) 0.1 of one common share of Osisko Gold Royalties Ltd., a company that was newly formed in connection with the Arrangement and is now traded on the Toronto Stock Exchange.</w:t>
      </w:r>
    </w:p>
    <w:p>
      <w:pPr>
        <w:spacing w:after="0" w:line="18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Pursuant to the Arrangement, the following assets of Osisko were transferred to Osisko Gold Royalties Ltd.: (i) a 5.0% net smelter royalty on the Canadian Malartic mine; (ii) C$157.0 million in cash; (iii) a 2.0% net smelter royalty on the Kirkland Lake assets, the Hammond Reef project, and certain other exploration properties retained by Canadian Malartic Corporation; (iv) all assets and liabilities of Osisko in its Guerrero camp in Mexico; and (v) certain other investments and assets.</w:t>
      </w:r>
    </w:p>
    <w:p>
      <w:pPr>
        <w:spacing w:after="0" w:line="188"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Agnico Eagle has recognized its interest in the assets, liabilities, revenues and expenses of Osisko in accordance with the Company's rights and obligations prescribed by the Arrangement, as the joint arrangement was determined to be a joint operation under IFRS.</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Agnico Eagle's transaction costs associated with the acquisition totaling $16.7 million were expensed through the general and administrative line item of the annual audited consolidated statements of income (loss) and comprehensive income (loss) for the year ended December 31, 2014.</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6" w:name="page47"/>
    <w:bookmarkEnd w:id="4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9380" w:type="dxa"/>
            <w:vAlign w:val="bottom"/>
            <w:gridSpan w:val="2"/>
          </w:tcPr>
          <w:p>
            <w:pPr>
              <w:spacing w:after="0"/>
              <w:rPr>
                <w:sz w:val="20"/>
                <w:szCs w:val="20"/>
                <w:color w:val="auto"/>
              </w:rPr>
            </w:pPr>
            <w:r>
              <w:rPr>
                <w:rFonts w:ascii="Arial" w:cs="Arial" w:eastAsia="Arial" w:hAnsi="Arial"/>
                <w:sz w:val="13"/>
                <w:szCs w:val="13"/>
                <w:b w:val="1"/>
                <w:bCs w:val="1"/>
                <w:color w:val="auto"/>
              </w:rPr>
              <w:t>5.  ACQUISITIONS (Continued)</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354"/>
        </w:trPr>
        <w:tc>
          <w:tcPr>
            <w:tcW w:w="9380" w:type="dxa"/>
            <w:vAlign w:val="bottom"/>
            <w:gridSpan w:val="2"/>
          </w:tcPr>
          <w:p>
            <w:pPr>
              <w:ind w:left="520"/>
              <w:spacing w:after="0"/>
              <w:rPr>
                <w:sz w:val="20"/>
                <w:szCs w:val="20"/>
                <w:color w:val="auto"/>
              </w:rPr>
            </w:pPr>
            <w:r>
              <w:rPr>
                <w:rFonts w:ascii="Arial" w:cs="Arial" w:eastAsia="Arial" w:hAnsi="Arial"/>
                <w:sz w:val="13"/>
                <w:szCs w:val="13"/>
                <w:color w:val="auto"/>
              </w:rPr>
              <w:t>Agnico Eagle's share of the June 16, 2014 purchase price of Osisko was comprised of the following:</w:t>
            </w: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r>
      <w:tr>
        <w:trPr>
          <w:trHeight w:val="198"/>
        </w:trPr>
        <w:tc>
          <w:tcPr>
            <w:tcW w:w="1140" w:type="dxa"/>
            <w:vAlign w:val="bottom"/>
          </w:tcPr>
          <w:p>
            <w:pPr>
              <w:spacing w:after="0"/>
              <w:rPr>
                <w:sz w:val="17"/>
                <w:szCs w:val="17"/>
                <w:color w:val="auto"/>
              </w:rPr>
            </w:pPr>
          </w:p>
        </w:tc>
        <w:tc>
          <w:tcPr>
            <w:tcW w:w="8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44"/>
        </w:trPr>
        <w:tc>
          <w:tcPr>
            <w:tcW w:w="1140" w:type="dxa"/>
            <w:vAlign w:val="bottom"/>
          </w:tcPr>
          <w:p>
            <w:pPr>
              <w:spacing w:after="0"/>
              <w:rPr>
                <w:sz w:val="12"/>
                <w:szCs w:val="12"/>
                <w:color w:val="auto"/>
              </w:rPr>
            </w:pPr>
          </w:p>
        </w:tc>
        <w:tc>
          <w:tcPr>
            <w:tcW w:w="82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Cash paid for acquisition</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462,728</w:t>
            </w:r>
          </w:p>
        </w:tc>
      </w:tr>
      <w:tr>
        <w:trPr>
          <w:trHeight w:val="168"/>
        </w:trPr>
        <w:tc>
          <w:tcPr>
            <w:tcW w:w="1140" w:type="dxa"/>
            <w:vAlign w:val="bottom"/>
          </w:tcPr>
          <w:p>
            <w:pPr>
              <w:spacing w:after="0"/>
              <w:rPr>
                <w:sz w:val="14"/>
                <w:szCs w:val="14"/>
                <w:color w:val="auto"/>
              </w:rPr>
            </w:pPr>
          </w:p>
        </w:tc>
        <w:tc>
          <w:tcPr>
            <w:tcW w:w="8240" w:type="dxa"/>
            <w:vAlign w:val="bottom"/>
          </w:tcPr>
          <w:p>
            <w:pPr>
              <w:ind w:left="220"/>
              <w:spacing w:after="0"/>
              <w:rPr>
                <w:sz w:val="20"/>
                <w:szCs w:val="20"/>
                <w:color w:val="auto"/>
              </w:rPr>
            </w:pPr>
            <w:r>
              <w:rPr>
                <w:rFonts w:ascii="Arial" w:cs="Arial" w:eastAsia="Arial" w:hAnsi="Arial"/>
                <w:sz w:val="13"/>
                <w:szCs w:val="13"/>
                <w:color w:val="auto"/>
              </w:rPr>
              <w:t>Agnico Eagle common shares issued for acquisition</w:t>
            </w: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1,135,071</w:t>
            </w:r>
          </w:p>
        </w:tc>
        <w:tc>
          <w:tcPr>
            <w:tcW w:w="140" w:type="dxa"/>
            <w:vAlign w:val="bottom"/>
          </w:tcPr>
          <w:p>
            <w:pPr>
              <w:spacing w:after="0"/>
              <w:rPr>
                <w:sz w:val="14"/>
                <w:szCs w:val="14"/>
                <w:color w:val="auto"/>
              </w:rPr>
            </w:pPr>
          </w:p>
        </w:tc>
      </w:tr>
      <w:tr>
        <w:trPr>
          <w:trHeight w:val="140"/>
        </w:trPr>
        <w:tc>
          <w:tcPr>
            <w:tcW w:w="1140" w:type="dxa"/>
            <w:vAlign w:val="bottom"/>
          </w:tcPr>
          <w:p>
            <w:pPr>
              <w:spacing w:after="0"/>
              <w:rPr>
                <w:sz w:val="12"/>
                <w:szCs w:val="12"/>
                <w:color w:val="auto"/>
              </w:rPr>
            </w:pPr>
          </w:p>
        </w:tc>
        <w:tc>
          <w:tcPr>
            <w:tcW w:w="824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Total Agnico Eagle purchase price to allocate</w:t>
            </w:r>
          </w:p>
        </w:tc>
        <w:tc>
          <w:tcPr>
            <w:tcW w:w="14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1,597,799</w:t>
            </w:r>
          </w:p>
        </w:tc>
      </w:tr>
      <w:tr>
        <w:trPr>
          <w:trHeight w:val="26"/>
        </w:trPr>
        <w:tc>
          <w:tcPr>
            <w:tcW w:w="1140" w:type="dxa"/>
            <w:vAlign w:val="bottom"/>
          </w:tcPr>
          <w:p>
            <w:pPr>
              <w:spacing w:after="0"/>
              <w:rPr>
                <w:sz w:val="2"/>
                <w:szCs w:val="2"/>
                <w:color w:val="auto"/>
              </w:rPr>
            </w:pPr>
          </w:p>
        </w:tc>
        <w:tc>
          <w:tcPr>
            <w:tcW w:w="82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r>
      <w:tr>
        <w:trPr>
          <w:trHeight w:val="20"/>
        </w:trPr>
        <w:tc>
          <w:tcPr>
            <w:tcW w:w="1140" w:type="dxa"/>
            <w:vAlign w:val="bottom"/>
          </w:tcPr>
          <w:p>
            <w:pPr>
              <w:spacing w:after="0" w:line="20" w:lineRule="exact"/>
              <w:rPr>
                <w:sz w:val="1"/>
                <w:szCs w:val="1"/>
                <w:color w:val="auto"/>
              </w:rPr>
            </w:pPr>
          </w:p>
        </w:tc>
        <w:tc>
          <w:tcPr>
            <w:tcW w:w="8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 fair value approach was applied by management in developing estimates of the fair value of identifiable assets and liabilities contributed to the newly formed Osisko joint operation. These estimates of fair value have now been finalized as all relevant information about facts and circumstances that existed at the acquisition date have been received.</w:t>
      </w:r>
    </w:p>
    <w:p>
      <w:pPr>
        <w:spacing w:after="0" w:line="179" w:lineRule="exact"/>
        <w:rPr>
          <w:sz w:val="20"/>
          <w:szCs w:val="20"/>
          <w:color w:val="auto"/>
        </w:rPr>
      </w:pPr>
    </w:p>
    <w:p>
      <w:pPr>
        <w:jc w:val="both"/>
        <w:ind w:left="520"/>
        <w:spacing w:after="0" w:line="238" w:lineRule="auto"/>
        <w:rPr>
          <w:sz w:val="20"/>
          <w:szCs w:val="20"/>
          <w:color w:val="auto"/>
        </w:rPr>
      </w:pPr>
      <w:r>
        <w:rPr>
          <w:rFonts w:ascii="Arial" w:cs="Arial" w:eastAsia="Arial" w:hAnsi="Arial"/>
          <w:sz w:val="13"/>
          <w:szCs w:val="13"/>
          <w:color w:val="auto"/>
        </w:rPr>
        <w:t>Certain previously reported Agnico Eagle consolidated balance sheet line items as at December 31, 2014 have been updated to reflect adjusted final estimates of the fair value of identifiable assets acquired and liabilities assumed related to the June 16, 2014 joint acquisition of Osisko. As a result of new information obtained about the facts and circumstances that existed as of the Osisko acquisition date, the following adjustments have been recorded to both the adjusted final purchase price allocation and the December 31, 2014 balance sheet as previously reported: the property, plant and mine development line item has decreased by $145.6 million; the goodwill line item has increased by $114.3 million; the accounts payable and accrued liabilities line item has increased by $3.7 million; and the deferred income and mining tax liabilities line item has decreased by $35.0 million.</w:t>
      </w:r>
    </w:p>
    <w:p>
      <w:pPr>
        <w:spacing w:after="0" w:line="190"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following table sets out the allocation of Agnico Eagle's share of the purchase price to attributable assets acquired and liabilities assumed pursuant to the Arrangement, based on management's previously reported preliminary estimates of fair value and adjusted final estimates of fair value:</w:t>
      </w:r>
    </w:p>
    <w:p>
      <w:pPr>
        <w:spacing w:after="0" w:line="175" w:lineRule="exact"/>
        <w:rPr>
          <w:sz w:val="20"/>
          <w:szCs w:val="20"/>
          <w:color w:val="auto"/>
        </w:rPr>
      </w:pPr>
    </w:p>
    <w:tbl>
      <w:tblPr>
        <w:tblLayout w:type="fixed"/>
        <w:tblInd w:w="520" w:type="dxa"/>
        <w:tblCellMar>
          <w:top w:w="0" w:type="dxa"/>
          <w:left w:w="0" w:type="dxa"/>
          <w:bottom w:w="0" w:type="dxa"/>
          <w:right w:w="0" w:type="dxa"/>
        </w:tblCellMar>
      </w:tblPr>
      <w:tr>
        <w:trPr>
          <w:trHeight w:val="169"/>
        </w:trPr>
        <w:tc>
          <w:tcPr>
            <w:tcW w:w="6480" w:type="dxa"/>
            <w:vAlign w:val="bottom"/>
            <w:gridSpan w:val="3"/>
          </w:tcPr>
          <w:p>
            <w:pPr>
              <w:spacing w:after="0"/>
              <w:rPr>
                <w:sz w:val="20"/>
                <w:szCs w:val="20"/>
                <w:color w:val="auto"/>
              </w:rPr>
            </w:pPr>
            <w:r>
              <w:rPr>
                <w:rFonts w:ascii="Arial" w:cs="Arial" w:eastAsia="Arial" w:hAnsi="Arial"/>
                <w:sz w:val="13"/>
                <w:szCs w:val="13"/>
                <w:b w:val="1"/>
                <w:bCs w:val="1"/>
                <w:color w:val="auto"/>
              </w:rPr>
              <w:t>Fair value of assets acquired and liabilities assumed:</w:t>
            </w: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68"/>
        </w:trPr>
        <w:tc>
          <w:tcPr>
            <w:tcW w:w="6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6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14"/>
              <w:spacing w:after="0"/>
              <w:rPr>
                <w:sz w:val="20"/>
                <w:szCs w:val="20"/>
                <w:color w:val="auto"/>
              </w:rPr>
            </w:pPr>
            <w:r>
              <w:rPr>
                <w:rFonts w:ascii="Arial" w:cs="Arial" w:eastAsia="Arial" w:hAnsi="Arial"/>
                <w:sz w:val="13"/>
                <w:szCs w:val="13"/>
                <w:b w:val="1"/>
                <w:bCs w:val="1"/>
                <w:color w:val="auto"/>
                <w:w w:val="90"/>
              </w:rPr>
              <w:t>Preliminary</w:t>
            </w:r>
            <w:r>
              <w:rPr>
                <w:rFonts w:ascii="Arial" w:cs="Arial" w:eastAsia="Arial" w:hAnsi="Arial"/>
                <w:sz w:val="21"/>
                <w:szCs w:val="21"/>
                <w:b w:val="1"/>
                <w:bCs w:val="1"/>
                <w:color w:val="auto"/>
                <w:w w:val="90"/>
                <w:vertAlign w:val="superscript"/>
              </w:rPr>
              <w:t>(i)</w:t>
            </w:r>
          </w:p>
        </w:tc>
        <w:tc>
          <w:tcPr>
            <w:tcW w:w="160" w:type="dxa"/>
            <w:vAlign w:val="bottom"/>
            <w:gridSpan w:val="2"/>
          </w:tcPr>
          <w:p>
            <w:pPr>
              <w:spacing w:after="0"/>
              <w:rPr>
                <w:sz w:val="24"/>
                <w:szCs w:val="24"/>
                <w:color w:val="auto"/>
              </w:rPr>
            </w:pPr>
          </w:p>
        </w:tc>
        <w:tc>
          <w:tcPr>
            <w:tcW w:w="860" w:type="dxa"/>
            <w:vAlign w:val="bottom"/>
            <w:tcBorders>
              <w:bottom w:val="single" w:sz="8" w:color="auto"/>
            </w:tcBorders>
            <w:gridSpan w:val="2"/>
          </w:tcPr>
          <w:p>
            <w:pPr>
              <w:jc w:val="right"/>
              <w:ind w:right="14"/>
              <w:spacing w:after="0"/>
              <w:rPr>
                <w:sz w:val="20"/>
                <w:szCs w:val="20"/>
                <w:color w:val="auto"/>
              </w:rPr>
            </w:pPr>
            <w:r>
              <w:rPr>
                <w:rFonts w:ascii="Arial" w:cs="Arial" w:eastAsia="Arial" w:hAnsi="Arial"/>
                <w:sz w:val="13"/>
                <w:szCs w:val="13"/>
                <w:b w:val="1"/>
                <w:bCs w:val="1"/>
                <w:color w:val="auto"/>
                <w:w w:val="96"/>
              </w:rPr>
              <w:t>Adjustments</w:t>
            </w:r>
          </w:p>
        </w:tc>
        <w:tc>
          <w:tcPr>
            <w:tcW w:w="140" w:type="dxa"/>
            <w:vAlign w:val="bottom"/>
          </w:tcPr>
          <w:p>
            <w:pPr>
              <w:spacing w:after="0"/>
              <w:rPr>
                <w:sz w:val="24"/>
                <w:szCs w:val="24"/>
                <w:color w:val="auto"/>
              </w:rPr>
            </w:pPr>
          </w:p>
        </w:tc>
        <w:tc>
          <w:tcPr>
            <w:tcW w:w="1000" w:type="dxa"/>
            <w:vAlign w:val="bottom"/>
            <w:tcBorders>
              <w:bottom w:val="single" w:sz="8" w:color="auto"/>
            </w:tcBorders>
            <w:gridSpan w:val="2"/>
          </w:tcPr>
          <w:p>
            <w:pPr>
              <w:jc w:val="right"/>
              <w:ind w:right="14"/>
              <w:spacing w:after="0"/>
              <w:rPr>
                <w:sz w:val="20"/>
                <w:szCs w:val="20"/>
                <w:color w:val="auto"/>
              </w:rPr>
            </w:pPr>
            <w:r>
              <w:rPr>
                <w:rFonts w:ascii="Arial" w:cs="Arial" w:eastAsia="Arial" w:hAnsi="Arial"/>
                <w:sz w:val="13"/>
                <w:szCs w:val="13"/>
                <w:b w:val="1"/>
                <w:bCs w:val="1"/>
                <w:color w:val="auto"/>
              </w:rPr>
              <w:t>Adjusted Final</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620" w:type="dxa"/>
            <w:vAlign w:val="bottom"/>
          </w:tcPr>
          <w:p>
            <w:pPr>
              <w:spacing w:after="0"/>
              <w:rPr>
                <w:sz w:val="11"/>
                <w:szCs w:val="11"/>
                <w:color w:val="auto"/>
              </w:rPr>
            </w:pPr>
          </w:p>
        </w:tc>
        <w:tc>
          <w:tcPr>
            <w:tcW w:w="5860" w:type="dxa"/>
            <w:vAlign w:val="bottom"/>
            <w:gridSpan w:val="2"/>
            <w:shd w:val="clear" w:color="auto" w:fill="CCEEFF"/>
          </w:tcPr>
          <w:p>
            <w:pPr>
              <w:ind w:left="220"/>
              <w:spacing w:after="0" w:line="138" w:lineRule="exact"/>
              <w:rPr>
                <w:sz w:val="20"/>
                <w:szCs w:val="20"/>
                <w:color w:val="auto"/>
              </w:rPr>
            </w:pPr>
            <w:r>
              <w:rPr>
                <w:rFonts w:ascii="Arial" w:cs="Arial" w:eastAsia="Arial" w:hAnsi="Arial"/>
                <w:sz w:val="13"/>
                <w:szCs w:val="13"/>
                <w:color w:val="auto"/>
              </w:rPr>
              <w:t>Property, plant and mine development</w:t>
            </w:r>
          </w:p>
        </w:tc>
        <w:tc>
          <w:tcPr>
            <w:tcW w:w="1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w:t>
            </w:r>
          </w:p>
        </w:tc>
        <w:tc>
          <w:tcPr>
            <w:tcW w:w="880" w:type="dxa"/>
            <w:vAlign w:val="bottom"/>
            <w:gridSpan w:val="2"/>
            <w:shd w:val="clear" w:color="auto" w:fill="CCEEFF"/>
          </w:tcPr>
          <w:p>
            <w:pPr>
              <w:jc w:val="right"/>
              <w:ind w:right="20"/>
              <w:spacing w:after="0" w:line="138" w:lineRule="exact"/>
              <w:rPr>
                <w:sz w:val="20"/>
                <w:szCs w:val="20"/>
                <w:color w:val="auto"/>
              </w:rPr>
            </w:pPr>
            <w:r>
              <w:rPr>
                <w:rFonts w:ascii="Arial" w:cs="Arial" w:eastAsia="Arial" w:hAnsi="Arial"/>
                <w:sz w:val="13"/>
                <w:szCs w:val="13"/>
                <w:color w:val="auto"/>
              </w:rPr>
              <w:t>1,452,148</w:t>
            </w:r>
          </w:p>
        </w:tc>
        <w:tc>
          <w:tcPr>
            <w:tcW w:w="140" w:type="dxa"/>
            <w:vAlign w:val="bottom"/>
            <w:shd w:val="clear" w:color="auto" w:fill="CCEEFF"/>
          </w:tcPr>
          <w:p>
            <w:pPr>
              <w:spacing w:after="0"/>
              <w:rPr>
                <w:sz w:val="11"/>
                <w:szCs w:val="11"/>
                <w:color w:val="auto"/>
              </w:rPr>
            </w:pPr>
          </w:p>
        </w:tc>
        <w:tc>
          <w:tcPr>
            <w:tcW w:w="240" w:type="dxa"/>
            <w:vAlign w:val="bottom"/>
            <w:shd w:val="clear" w:color="auto" w:fill="CCEEFF"/>
          </w:tcPr>
          <w:p>
            <w:pPr>
              <w:jc w:val="right"/>
              <w:ind w:right="94"/>
              <w:spacing w:after="0" w:line="138"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(145,631)</w:t>
            </w:r>
          </w:p>
        </w:tc>
        <w:tc>
          <w:tcPr>
            <w:tcW w:w="280" w:type="dxa"/>
            <w:vAlign w:val="bottom"/>
            <w:shd w:val="clear" w:color="auto" w:fill="CCEEFF"/>
          </w:tcPr>
          <w:p>
            <w:pPr>
              <w:jc w:val="right"/>
              <w:ind w:right="114"/>
              <w:spacing w:after="0" w:line="138" w:lineRule="exact"/>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1,306,517</w:t>
            </w:r>
          </w:p>
        </w:tc>
        <w:tc>
          <w:tcPr>
            <w:tcW w:w="0" w:type="dxa"/>
            <w:vAlign w:val="bottom"/>
          </w:tcPr>
          <w:p>
            <w:pPr>
              <w:spacing w:after="0"/>
              <w:rPr>
                <w:sz w:val="1"/>
                <w:szCs w:val="1"/>
                <w:color w:val="auto"/>
              </w:rPr>
            </w:pPr>
          </w:p>
        </w:tc>
      </w:tr>
      <w:tr>
        <w:trPr>
          <w:trHeight w:val="170"/>
        </w:trPr>
        <w:tc>
          <w:tcPr>
            <w:tcW w:w="620" w:type="dxa"/>
            <w:vAlign w:val="bottom"/>
          </w:tcPr>
          <w:p>
            <w:pPr>
              <w:spacing w:after="0"/>
              <w:rPr>
                <w:sz w:val="14"/>
                <w:szCs w:val="14"/>
                <w:color w:val="auto"/>
              </w:rPr>
            </w:pPr>
          </w:p>
        </w:tc>
        <w:tc>
          <w:tcPr>
            <w:tcW w:w="5860" w:type="dxa"/>
            <w:vAlign w:val="bottom"/>
            <w:gridSpan w:val="2"/>
          </w:tcPr>
          <w:p>
            <w:pPr>
              <w:ind w:left="220"/>
              <w:spacing w:after="0" w:line="171" w:lineRule="exact"/>
              <w:rPr>
                <w:sz w:val="20"/>
                <w:szCs w:val="20"/>
                <w:color w:val="auto"/>
              </w:rPr>
            </w:pPr>
            <w:r>
              <w:rPr>
                <w:rFonts w:ascii="Arial" w:cs="Arial" w:eastAsia="Arial" w:hAnsi="Arial"/>
                <w:sz w:val="12"/>
                <w:szCs w:val="12"/>
                <w:color w:val="auto"/>
              </w:rPr>
              <w:t>Goodwill</w:t>
            </w:r>
            <w:r>
              <w:rPr>
                <w:rFonts w:ascii="Arial" w:cs="Arial" w:eastAsia="Arial" w:hAnsi="Arial"/>
                <w:sz w:val="19"/>
                <w:szCs w:val="19"/>
                <w:color w:val="auto"/>
                <w:vertAlign w:val="superscript"/>
              </w:rPr>
              <w:t>(ii)</w:t>
            </w:r>
          </w:p>
        </w:tc>
        <w:tc>
          <w:tcPr>
            <w:tcW w:w="100" w:type="dxa"/>
            <w:vAlign w:val="bottom"/>
          </w:tcPr>
          <w:p>
            <w:pPr>
              <w:spacing w:after="0"/>
              <w:rPr>
                <w:sz w:val="14"/>
                <w:szCs w:val="14"/>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3"/>
                <w:szCs w:val="13"/>
                <w:color w:val="auto"/>
              </w:rPr>
              <w:t>543,444</w:t>
            </w: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114,348</w:t>
            </w:r>
          </w:p>
        </w:tc>
        <w:tc>
          <w:tcPr>
            <w:tcW w:w="2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3"/>
                <w:szCs w:val="13"/>
                <w:color w:val="auto"/>
              </w:rPr>
              <w:t>657,792</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5860" w:type="dxa"/>
            <w:vAlign w:val="bottom"/>
            <w:gridSpan w:val="2"/>
            <w:shd w:val="clear" w:color="auto" w:fill="CCEEFF"/>
          </w:tcPr>
          <w:p>
            <w:pPr>
              <w:ind w:left="220"/>
              <w:spacing w:after="0" w:line="144" w:lineRule="exact"/>
              <w:rPr>
                <w:sz w:val="20"/>
                <w:szCs w:val="20"/>
                <w:color w:val="auto"/>
              </w:rPr>
            </w:pPr>
            <w:r>
              <w:rPr>
                <w:rFonts w:ascii="Arial" w:cs="Arial" w:eastAsia="Arial" w:hAnsi="Arial"/>
                <w:sz w:val="13"/>
                <w:szCs w:val="13"/>
                <w:color w:val="auto"/>
              </w:rPr>
              <w:t>Cash and cash equivalents</w:t>
            </w:r>
          </w:p>
        </w:tc>
        <w:tc>
          <w:tcPr>
            <w:tcW w:w="1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59,219</w:t>
            </w:r>
          </w:p>
        </w:tc>
        <w:tc>
          <w:tcPr>
            <w:tcW w:w="1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59,219</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586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Restricted cash</w:t>
            </w:r>
          </w:p>
        </w:tc>
        <w:tc>
          <w:tcPr>
            <w:tcW w:w="100" w:type="dxa"/>
            <w:vAlign w:val="bottom"/>
          </w:tcPr>
          <w:p>
            <w:pPr>
              <w:spacing w:after="0"/>
              <w:rPr>
                <w:sz w:val="12"/>
                <w:szCs w:val="12"/>
                <w:color w:val="auto"/>
              </w:rPr>
            </w:pPr>
          </w:p>
        </w:tc>
        <w:tc>
          <w:tcPr>
            <w:tcW w:w="88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35,528</w:t>
            </w: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8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35,528</w:t>
            </w:r>
          </w:p>
        </w:tc>
        <w:tc>
          <w:tcPr>
            <w:tcW w:w="0" w:type="dxa"/>
            <w:vAlign w:val="bottom"/>
          </w:tcPr>
          <w:p>
            <w:pPr>
              <w:spacing w:after="0"/>
              <w:rPr>
                <w:sz w:val="1"/>
                <w:szCs w:val="1"/>
                <w:color w:val="auto"/>
              </w:rPr>
            </w:pPr>
          </w:p>
        </w:tc>
      </w:tr>
      <w:tr>
        <w:trPr>
          <w:trHeight w:val="170"/>
        </w:trPr>
        <w:tc>
          <w:tcPr>
            <w:tcW w:w="620" w:type="dxa"/>
            <w:vAlign w:val="bottom"/>
          </w:tcPr>
          <w:p>
            <w:pPr>
              <w:spacing w:after="0"/>
              <w:rPr>
                <w:sz w:val="14"/>
                <w:szCs w:val="14"/>
                <w:color w:val="auto"/>
              </w:rPr>
            </w:pPr>
          </w:p>
        </w:tc>
        <w:tc>
          <w:tcPr>
            <w:tcW w:w="5860" w:type="dxa"/>
            <w:vAlign w:val="bottom"/>
            <w:gridSpan w:val="2"/>
            <w:shd w:val="clear" w:color="auto" w:fill="CCEEFF"/>
          </w:tcPr>
          <w:p>
            <w:pPr>
              <w:ind w:left="220"/>
              <w:spacing w:after="0" w:line="171" w:lineRule="exact"/>
              <w:rPr>
                <w:sz w:val="20"/>
                <w:szCs w:val="20"/>
                <w:color w:val="auto"/>
              </w:rPr>
            </w:pPr>
            <w:r>
              <w:rPr>
                <w:rFonts w:ascii="Arial" w:cs="Arial" w:eastAsia="Arial" w:hAnsi="Arial"/>
                <w:sz w:val="12"/>
                <w:szCs w:val="12"/>
                <w:color w:val="auto"/>
              </w:rPr>
              <w:t>Trade receivables</w:t>
            </w:r>
            <w:r>
              <w:rPr>
                <w:rFonts w:ascii="Arial" w:cs="Arial" w:eastAsia="Arial" w:hAnsi="Arial"/>
                <w:sz w:val="19"/>
                <w:szCs w:val="19"/>
                <w:color w:val="auto"/>
                <w:vertAlign w:val="superscript"/>
              </w:rPr>
              <w:t>(iii)</w:t>
            </w:r>
          </w:p>
        </w:tc>
        <w:tc>
          <w:tcPr>
            <w:tcW w:w="10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9,653</w:t>
            </w:r>
          </w:p>
        </w:tc>
        <w:tc>
          <w:tcPr>
            <w:tcW w:w="1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4"/>
                <w:szCs w:val="14"/>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9,653</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586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Inventories</w:t>
            </w:r>
          </w:p>
        </w:tc>
        <w:tc>
          <w:tcPr>
            <w:tcW w:w="100" w:type="dxa"/>
            <w:vAlign w:val="bottom"/>
          </w:tcPr>
          <w:p>
            <w:pPr>
              <w:spacing w:after="0"/>
              <w:rPr>
                <w:sz w:val="12"/>
                <w:szCs w:val="12"/>
                <w:color w:val="auto"/>
              </w:rPr>
            </w:pPr>
          </w:p>
        </w:tc>
        <w:tc>
          <w:tcPr>
            <w:tcW w:w="88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51,477</w:t>
            </w: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8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51,477</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5860" w:type="dxa"/>
            <w:vAlign w:val="bottom"/>
            <w:gridSpan w:val="2"/>
            <w:shd w:val="clear" w:color="auto" w:fill="CCEEFF"/>
          </w:tcPr>
          <w:p>
            <w:pPr>
              <w:ind w:left="220"/>
              <w:spacing w:after="0" w:line="144" w:lineRule="exact"/>
              <w:rPr>
                <w:sz w:val="20"/>
                <w:szCs w:val="20"/>
                <w:color w:val="auto"/>
              </w:rPr>
            </w:pPr>
            <w:r>
              <w:rPr>
                <w:rFonts w:ascii="Arial" w:cs="Arial" w:eastAsia="Arial" w:hAnsi="Arial"/>
                <w:sz w:val="13"/>
                <w:szCs w:val="13"/>
                <w:color w:val="auto"/>
              </w:rPr>
              <w:t>Other current assets</w:t>
            </w:r>
          </w:p>
        </w:tc>
        <w:tc>
          <w:tcPr>
            <w:tcW w:w="1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11,420</w:t>
            </w:r>
          </w:p>
        </w:tc>
        <w:tc>
          <w:tcPr>
            <w:tcW w:w="1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11,420</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586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Accounts payable and accrued liabilities</w:t>
            </w:r>
          </w:p>
        </w:tc>
        <w:tc>
          <w:tcPr>
            <w:tcW w:w="100" w:type="dxa"/>
            <w:vAlign w:val="bottom"/>
          </w:tcPr>
          <w:p>
            <w:pPr>
              <w:spacing w:after="0"/>
              <w:rPr>
                <w:sz w:val="12"/>
                <w:szCs w:val="12"/>
                <w:color w:val="auto"/>
              </w:rPr>
            </w:pPr>
          </w:p>
        </w:tc>
        <w:tc>
          <w:tcPr>
            <w:tcW w:w="102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(49,391)</w:t>
            </w:r>
          </w:p>
        </w:tc>
        <w:tc>
          <w:tcPr>
            <w:tcW w:w="240" w:type="dxa"/>
            <w:vAlign w:val="bottom"/>
          </w:tcPr>
          <w:p>
            <w:pPr>
              <w:spacing w:after="0"/>
              <w:rPr>
                <w:sz w:val="12"/>
                <w:szCs w:val="12"/>
                <w:color w:val="auto"/>
              </w:rPr>
            </w:pPr>
          </w:p>
        </w:tc>
        <w:tc>
          <w:tcPr>
            <w:tcW w:w="76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(3,726)</w:t>
            </w:r>
          </w:p>
        </w:tc>
        <w:tc>
          <w:tcPr>
            <w:tcW w:w="280" w:type="dxa"/>
            <w:vAlign w:val="bottom"/>
          </w:tcPr>
          <w:p>
            <w:pPr>
              <w:spacing w:after="0"/>
              <w:rPr>
                <w:sz w:val="12"/>
                <w:szCs w:val="12"/>
                <w:color w:val="auto"/>
              </w:rPr>
            </w:pPr>
          </w:p>
        </w:tc>
        <w:tc>
          <w:tcPr>
            <w:tcW w:w="86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(53,117)</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5860" w:type="dxa"/>
            <w:vAlign w:val="bottom"/>
            <w:gridSpan w:val="2"/>
            <w:shd w:val="clear" w:color="auto" w:fill="CCEEFF"/>
          </w:tcPr>
          <w:p>
            <w:pPr>
              <w:ind w:left="220"/>
              <w:spacing w:after="0" w:line="144" w:lineRule="exact"/>
              <w:rPr>
                <w:sz w:val="20"/>
                <w:szCs w:val="20"/>
                <w:color w:val="auto"/>
              </w:rPr>
            </w:pPr>
            <w:r>
              <w:rPr>
                <w:rFonts w:ascii="Arial" w:cs="Arial" w:eastAsia="Arial" w:hAnsi="Arial"/>
                <w:sz w:val="13"/>
                <w:szCs w:val="13"/>
                <w:color w:val="auto"/>
              </w:rPr>
              <w:t>Reclamation provision</w:t>
            </w:r>
          </w:p>
        </w:tc>
        <w:tc>
          <w:tcPr>
            <w:tcW w:w="100" w:type="dxa"/>
            <w:vAlign w:val="bottom"/>
            <w:shd w:val="clear" w:color="auto" w:fill="CCEEFF"/>
          </w:tcPr>
          <w:p>
            <w:pPr>
              <w:spacing w:after="0"/>
              <w:rPr>
                <w:sz w:val="12"/>
                <w:szCs w:val="12"/>
                <w:color w:val="auto"/>
              </w:rPr>
            </w:pPr>
          </w:p>
        </w:tc>
        <w:tc>
          <w:tcPr>
            <w:tcW w:w="102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(20,776)</w:t>
            </w: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(20,776)</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586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Long-term debt</w:t>
            </w:r>
          </w:p>
        </w:tc>
        <w:tc>
          <w:tcPr>
            <w:tcW w:w="100" w:type="dxa"/>
            <w:vAlign w:val="bottom"/>
          </w:tcPr>
          <w:p>
            <w:pPr>
              <w:spacing w:after="0"/>
              <w:rPr>
                <w:sz w:val="12"/>
                <w:szCs w:val="12"/>
                <w:color w:val="auto"/>
              </w:rPr>
            </w:pPr>
          </w:p>
        </w:tc>
        <w:tc>
          <w:tcPr>
            <w:tcW w:w="102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(151,333)</w:t>
            </w:r>
          </w:p>
        </w:tc>
        <w:tc>
          <w:tcPr>
            <w:tcW w:w="240" w:type="dxa"/>
            <w:vAlign w:val="bottom"/>
          </w:tcPr>
          <w:p>
            <w:pPr>
              <w:spacing w:after="0"/>
              <w:rPr>
                <w:sz w:val="12"/>
                <w:szCs w:val="12"/>
                <w:color w:val="auto"/>
              </w:rPr>
            </w:pPr>
          </w:p>
        </w:tc>
        <w:tc>
          <w:tcPr>
            <w:tcW w:w="7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86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(151,333)</w:t>
            </w:r>
          </w:p>
        </w:tc>
        <w:tc>
          <w:tcPr>
            <w:tcW w:w="0" w:type="dxa"/>
            <w:vAlign w:val="bottom"/>
          </w:tcPr>
          <w:p>
            <w:pPr>
              <w:spacing w:after="0"/>
              <w:rPr>
                <w:sz w:val="1"/>
                <w:szCs w:val="1"/>
                <w:color w:val="auto"/>
              </w:rPr>
            </w:pPr>
          </w:p>
        </w:tc>
      </w:tr>
      <w:tr>
        <w:trPr>
          <w:trHeight w:val="144"/>
        </w:trPr>
        <w:tc>
          <w:tcPr>
            <w:tcW w:w="620" w:type="dxa"/>
            <w:vAlign w:val="bottom"/>
          </w:tcPr>
          <w:p>
            <w:pPr>
              <w:spacing w:after="0"/>
              <w:rPr>
                <w:sz w:val="12"/>
                <w:szCs w:val="12"/>
                <w:color w:val="auto"/>
              </w:rPr>
            </w:pPr>
          </w:p>
        </w:tc>
        <w:tc>
          <w:tcPr>
            <w:tcW w:w="5860" w:type="dxa"/>
            <w:vAlign w:val="bottom"/>
            <w:gridSpan w:val="2"/>
            <w:shd w:val="clear" w:color="auto" w:fill="CCEEFF"/>
          </w:tcPr>
          <w:p>
            <w:pPr>
              <w:ind w:left="220"/>
              <w:spacing w:after="0" w:line="144" w:lineRule="exact"/>
              <w:rPr>
                <w:sz w:val="20"/>
                <w:szCs w:val="20"/>
                <w:color w:val="auto"/>
              </w:rPr>
            </w:pPr>
            <w:r>
              <w:rPr>
                <w:rFonts w:ascii="Arial" w:cs="Arial" w:eastAsia="Arial" w:hAnsi="Arial"/>
                <w:sz w:val="13"/>
                <w:szCs w:val="13"/>
                <w:color w:val="auto"/>
              </w:rPr>
              <w:t>Deferred income and mining tax liabilities</w:t>
            </w:r>
          </w:p>
        </w:tc>
        <w:tc>
          <w:tcPr>
            <w:tcW w:w="100" w:type="dxa"/>
            <w:vAlign w:val="bottom"/>
            <w:shd w:val="clear" w:color="auto" w:fill="CCEEFF"/>
          </w:tcPr>
          <w:p>
            <w:pPr>
              <w:spacing w:after="0"/>
              <w:rPr>
                <w:sz w:val="12"/>
                <w:szCs w:val="12"/>
                <w:color w:val="auto"/>
              </w:rPr>
            </w:pPr>
          </w:p>
        </w:tc>
        <w:tc>
          <w:tcPr>
            <w:tcW w:w="102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(343,590)</w:t>
            </w: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35,009</w:t>
            </w:r>
          </w:p>
        </w:tc>
        <w:tc>
          <w:tcPr>
            <w:tcW w:w="2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(308,581)</w:t>
            </w:r>
          </w:p>
        </w:tc>
        <w:tc>
          <w:tcPr>
            <w:tcW w:w="0" w:type="dxa"/>
            <w:vAlign w:val="bottom"/>
          </w:tcPr>
          <w:p>
            <w:pPr>
              <w:spacing w:after="0"/>
              <w:rPr>
                <w:sz w:val="1"/>
                <w:szCs w:val="1"/>
                <w:color w:val="auto"/>
              </w:rPr>
            </w:pPr>
          </w:p>
        </w:tc>
      </w:tr>
      <w:tr>
        <w:trPr>
          <w:trHeight w:val="26"/>
        </w:trPr>
        <w:tc>
          <w:tcPr>
            <w:tcW w:w="620" w:type="dxa"/>
            <w:vAlign w:val="bottom"/>
          </w:tcPr>
          <w:p>
            <w:pPr>
              <w:spacing w:after="0"/>
              <w:rPr>
                <w:sz w:val="2"/>
                <w:szCs w:val="2"/>
                <w:color w:val="auto"/>
              </w:rPr>
            </w:pPr>
          </w:p>
        </w:tc>
        <w:tc>
          <w:tcPr>
            <w:tcW w:w="5860" w:type="dxa"/>
            <w:vAlign w:val="bottom"/>
            <w:gridSpan w:val="2"/>
            <w:vMerge w:val="restart"/>
          </w:tcPr>
          <w:p>
            <w:pPr>
              <w:ind w:left="220"/>
              <w:spacing w:after="0"/>
              <w:rPr>
                <w:sz w:val="20"/>
                <w:szCs w:val="20"/>
                <w:color w:val="auto"/>
              </w:rPr>
            </w:pPr>
            <w:r>
              <w:rPr>
                <w:rFonts w:ascii="Arial" w:cs="Arial" w:eastAsia="Arial" w:hAnsi="Arial"/>
                <w:sz w:val="13"/>
                <w:szCs w:val="13"/>
                <w:color w:val="auto"/>
              </w:rPr>
              <w:t>Net assets acquired</w:t>
            </w:r>
          </w:p>
        </w:tc>
        <w:tc>
          <w:tcPr>
            <w:tcW w:w="10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0" w:type="dxa"/>
            <w:vAlign w:val="bottom"/>
          </w:tcPr>
          <w:p>
            <w:pPr>
              <w:spacing w:after="0"/>
              <w:rPr>
                <w:sz w:val="13"/>
                <w:szCs w:val="13"/>
                <w:color w:val="auto"/>
              </w:rPr>
            </w:pPr>
          </w:p>
        </w:tc>
        <w:tc>
          <w:tcPr>
            <w:tcW w:w="5860" w:type="dxa"/>
            <w:vAlign w:val="bottom"/>
            <w:gridSpan w:val="2"/>
            <w:vMerge w:val="continue"/>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1,597,799</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Borders>
              <w:top w:val="single" w:sz="8" w:color="auto"/>
              <w:bottom w:val="single" w:sz="8" w:color="auto"/>
            </w:tcBorders>
          </w:tcPr>
          <w:p>
            <w:pPr>
              <w:jc w:val="right"/>
              <w:ind w:right="94"/>
              <w:spacing w:after="0"/>
              <w:rPr>
                <w:sz w:val="20"/>
                <w:szCs w:val="20"/>
                <w:color w:val="auto"/>
              </w:rPr>
            </w:pPr>
            <w:r>
              <w:rPr>
                <w:rFonts w:ascii="Arial" w:cs="Arial" w:eastAsia="Arial" w:hAnsi="Arial"/>
                <w:sz w:val="13"/>
                <w:szCs w:val="13"/>
                <w:color w:val="auto"/>
                <w:w w:val="82"/>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280" w:type="dxa"/>
            <w:vAlign w:val="bottom"/>
            <w:tcBorders>
              <w:top w:val="single" w:sz="8" w:color="auto"/>
              <w:bottom w:val="single" w:sz="8" w:color="auto"/>
            </w:tcBorders>
          </w:tcPr>
          <w:p>
            <w:pPr>
              <w:jc w:val="right"/>
              <w:ind w:right="114"/>
              <w:spacing w:after="0"/>
              <w:rPr>
                <w:sz w:val="20"/>
                <w:szCs w:val="20"/>
                <w:color w:val="auto"/>
              </w:rPr>
            </w:pPr>
            <w:r>
              <w:rPr>
                <w:rFonts w:ascii="Arial" w:cs="Arial" w:eastAsia="Arial" w:hAnsi="Arial"/>
                <w:sz w:val="13"/>
                <w:szCs w:val="13"/>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1,597,799</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
        </w:trPr>
        <w:tc>
          <w:tcPr>
            <w:tcW w:w="620" w:type="dxa"/>
            <w:vAlign w:val="bottom"/>
          </w:tcPr>
          <w:p>
            <w:pPr>
              <w:spacing w:after="0"/>
              <w:rPr>
                <w:sz w:val="7"/>
                <w:szCs w:val="7"/>
                <w:color w:val="auto"/>
              </w:rPr>
            </w:pPr>
          </w:p>
        </w:tc>
        <w:tc>
          <w:tcPr>
            <w:tcW w:w="1260" w:type="dxa"/>
            <w:vAlign w:val="bottom"/>
            <w:tcBorders>
              <w:bottom w:val="single" w:sz="8" w:color="auto"/>
            </w:tcBorders>
          </w:tcPr>
          <w:p>
            <w:pPr>
              <w:spacing w:after="0"/>
              <w:rPr>
                <w:sz w:val="7"/>
                <w:szCs w:val="7"/>
                <w:color w:val="auto"/>
              </w:rPr>
            </w:pPr>
          </w:p>
        </w:tc>
        <w:tc>
          <w:tcPr>
            <w:tcW w:w="4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2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280" w:type="dxa"/>
            <w:vAlign w:val="bottom"/>
          </w:tcPr>
          <w:p>
            <w:pPr>
              <w:spacing w:after="0"/>
              <w:rPr>
                <w:sz w:val="7"/>
                <w:szCs w:val="7"/>
                <w:color w:val="auto"/>
              </w:rPr>
            </w:pPr>
          </w:p>
        </w:tc>
        <w:tc>
          <w:tcPr>
            <w:tcW w:w="72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680"/>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2200" w:hanging="529"/>
        <w:spacing w:after="0" w:line="256" w:lineRule="auto"/>
        <w:tabs>
          <w:tab w:leader="none" w:pos="2200" w:val="left"/>
        </w:tabs>
        <w:numPr>
          <w:ilvl w:val="0"/>
          <w:numId w:val="14"/>
        </w:numPr>
        <w:rPr>
          <w:rFonts w:ascii="Arial" w:cs="Arial" w:eastAsia="Arial" w:hAnsi="Arial"/>
          <w:sz w:val="13"/>
          <w:szCs w:val="13"/>
          <w:color w:val="auto"/>
        </w:rPr>
      </w:pPr>
      <w:r>
        <w:rPr>
          <w:rFonts w:ascii="Arial" w:cs="Arial" w:eastAsia="Arial" w:hAnsi="Arial"/>
          <w:sz w:val="13"/>
          <w:szCs w:val="13"/>
          <w:color w:val="auto"/>
        </w:rPr>
        <w:t>Preliminary estimates of the fair value of assets acquired and liabilities assumed are presented as reported in the Company's 2014 annual audited consolidated financial statements.</w:t>
      </w:r>
    </w:p>
    <w:p>
      <w:pPr>
        <w:spacing w:after="0" w:line="100" w:lineRule="exact"/>
        <w:rPr>
          <w:rFonts w:ascii="Arial" w:cs="Arial" w:eastAsia="Arial" w:hAnsi="Arial"/>
          <w:sz w:val="13"/>
          <w:szCs w:val="13"/>
          <w:color w:val="auto"/>
        </w:rPr>
      </w:pPr>
    </w:p>
    <w:p>
      <w:pPr>
        <w:ind w:left="2200" w:hanging="529"/>
        <w:spacing w:after="0"/>
        <w:tabs>
          <w:tab w:leader="none" w:pos="2200" w:val="left"/>
        </w:tabs>
        <w:numPr>
          <w:ilvl w:val="0"/>
          <w:numId w:val="14"/>
        </w:numPr>
        <w:rPr>
          <w:rFonts w:ascii="Arial" w:cs="Arial" w:eastAsia="Arial" w:hAnsi="Arial"/>
          <w:sz w:val="13"/>
          <w:szCs w:val="13"/>
          <w:color w:val="auto"/>
        </w:rPr>
      </w:pPr>
      <w:r>
        <w:rPr>
          <w:rFonts w:ascii="Arial" w:cs="Arial" w:eastAsia="Arial" w:hAnsi="Arial"/>
          <w:sz w:val="13"/>
          <w:szCs w:val="13"/>
          <w:color w:val="auto"/>
        </w:rPr>
        <w:t>Goodwill is not deductible for tax purposes and is allocated to the Canadian Malartic joint operation segment.</w:t>
      </w:r>
    </w:p>
    <w:p>
      <w:pPr>
        <w:spacing w:after="0" w:line="125" w:lineRule="exact"/>
        <w:rPr>
          <w:rFonts w:ascii="Arial" w:cs="Arial" w:eastAsia="Arial" w:hAnsi="Arial"/>
          <w:sz w:val="13"/>
          <w:szCs w:val="13"/>
          <w:color w:val="auto"/>
        </w:rPr>
      </w:pPr>
    </w:p>
    <w:p>
      <w:pPr>
        <w:ind w:left="2200" w:hanging="529"/>
        <w:spacing w:after="0"/>
        <w:tabs>
          <w:tab w:leader="none" w:pos="2200" w:val="left"/>
        </w:tabs>
        <w:numPr>
          <w:ilvl w:val="0"/>
          <w:numId w:val="14"/>
        </w:numPr>
        <w:rPr>
          <w:rFonts w:ascii="Arial" w:cs="Arial" w:eastAsia="Arial" w:hAnsi="Arial"/>
          <w:sz w:val="13"/>
          <w:szCs w:val="13"/>
          <w:color w:val="auto"/>
        </w:rPr>
      </w:pPr>
      <w:r>
        <w:rPr>
          <w:rFonts w:ascii="Arial" w:cs="Arial" w:eastAsia="Arial" w:hAnsi="Arial"/>
          <w:sz w:val="13"/>
          <w:szCs w:val="13"/>
          <w:color w:val="auto"/>
        </w:rPr>
        <w:t>The fair value of trade receivables approximates the gross contractual amounts receivable.</w:t>
      </w:r>
    </w:p>
    <w:p>
      <w:pPr>
        <w:spacing w:after="0" w:line="204" w:lineRule="exact"/>
        <w:rPr>
          <w:sz w:val="20"/>
          <w:szCs w:val="20"/>
          <w:color w:val="auto"/>
        </w:rPr>
      </w:pPr>
    </w:p>
    <w:p>
      <w:pPr>
        <w:jc w:val="both"/>
        <w:ind w:left="520"/>
        <w:spacing w:after="0" w:line="266" w:lineRule="auto"/>
        <w:rPr>
          <w:sz w:val="20"/>
          <w:szCs w:val="20"/>
          <w:color w:val="auto"/>
        </w:rPr>
      </w:pPr>
      <w:r>
        <w:rPr>
          <w:rFonts w:ascii="Arial" w:cs="Arial" w:eastAsia="Arial" w:hAnsi="Arial"/>
          <w:sz w:val="12"/>
          <w:szCs w:val="12"/>
          <w:color w:val="auto"/>
        </w:rPr>
        <w:t>The joint acquisition of Osisko is a strategic fit with the Company's skill set and its other operating assets in the area. The Company believes that goodwill associated with the joint acquisition of Osisko arose principally because of the following factors: (1) the value implicit in the Company's ability to sustain and/or grow its business by increasing proven and probable mineral reserves and mineral resources through new discoveries; and (2) the requirement to record a deferred tax liability for the difference between the assigned values and the tax bases of assets acquired and liabilities assumed in a business combination at amounts that do not reflect fair value. The amount of goodwill associated with the joint acquisition of Osisko that is expected to be deductible for tax purposes is nil. Upon</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7" w:name="page48"/>
    <w:bookmarkEnd w:id="4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ind w:left="260" w:hanging="255"/>
        <w:spacing w:after="0"/>
        <w:tabs>
          <w:tab w:leader="none" w:pos="260" w:val="left"/>
        </w:tabs>
        <w:numPr>
          <w:ilvl w:val="0"/>
          <w:numId w:val="15"/>
        </w:numPr>
        <w:rPr>
          <w:rFonts w:ascii="Arial" w:cs="Arial" w:eastAsia="Arial" w:hAnsi="Arial"/>
          <w:sz w:val="13"/>
          <w:szCs w:val="13"/>
          <w:b w:val="1"/>
          <w:bCs w:val="1"/>
          <w:color w:val="auto"/>
        </w:rPr>
      </w:pPr>
      <w:r>
        <w:rPr>
          <w:rFonts w:ascii="Arial" w:cs="Arial" w:eastAsia="Arial" w:hAnsi="Arial"/>
          <w:sz w:val="13"/>
          <w:szCs w:val="13"/>
          <w:b w:val="1"/>
          <w:bCs w:val="1"/>
          <w:color w:val="auto"/>
        </w:rPr>
        <w:t>ACQUISITIONS (Continued)</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finalization of management's estimates of the fair value of identifiable assets and liabilities, the Company conducted a retrospective goodwill impairment test as at December 31, 2014 based on the adjusted final value of goodwill, with no impairment losses required.</w:t>
      </w:r>
    </w:p>
    <w:p>
      <w:pPr>
        <w:spacing w:after="0" w:line="179"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The Company's indirect 50.0% interest in Canadian Malartic GP resulted in revenues from mining operations of $189.9 million and a net loss of $15.8 million between the June 16, 2014 completion of the Arrangement and December 31, 2014.</w:t>
      </w:r>
    </w:p>
    <w:p>
      <w:pPr>
        <w:spacing w:after="0" w:line="175" w:lineRule="exact"/>
        <w:rPr>
          <w:sz w:val="20"/>
          <w:szCs w:val="20"/>
          <w:color w:val="auto"/>
        </w:rPr>
      </w:pPr>
    </w:p>
    <w:p>
      <w:pPr>
        <w:ind w:left="260" w:hanging="255"/>
        <w:spacing w:after="0"/>
        <w:tabs>
          <w:tab w:leader="none" w:pos="260" w:val="left"/>
        </w:tabs>
        <w:numPr>
          <w:ilvl w:val="0"/>
          <w:numId w:val="16"/>
        </w:numPr>
        <w:rPr>
          <w:rFonts w:ascii="Arial" w:cs="Arial" w:eastAsia="Arial" w:hAnsi="Arial"/>
          <w:sz w:val="13"/>
          <w:szCs w:val="13"/>
          <w:b w:val="1"/>
          <w:bCs w:val="1"/>
          <w:color w:val="auto"/>
        </w:rPr>
      </w:pPr>
      <w:r>
        <w:rPr>
          <w:rFonts w:ascii="Arial" w:cs="Arial" w:eastAsia="Arial" w:hAnsi="Arial"/>
          <w:sz w:val="13"/>
          <w:szCs w:val="13"/>
          <w:b w:val="1"/>
          <w:bCs w:val="1"/>
          <w:color w:val="auto"/>
        </w:rPr>
        <w:t>FAIR VALUE MEASUREMENT</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Fair value is the price that would be received to sell an asset or paid to transfer a liability in an orderly transaction between market participants at the measurement date. All assets and liabilities for which fair value is measured or disclosed in the condensed interim consolidated financial statements are categorized within the fair value hierarchy, described, as follows, based on the lowest-level input that is significant to the fair value measurement as a whole:</w:t>
      </w:r>
    </w:p>
    <w:p>
      <w:pPr>
        <w:spacing w:after="0" w:line="188" w:lineRule="exact"/>
        <w:rPr>
          <w:sz w:val="20"/>
          <w:szCs w:val="20"/>
          <w:color w:val="auto"/>
        </w:rPr>
      </w:pPr>
    </w:p>
    <w:p>
      <w:pPr>
        <w:ind w:left="1060"/>
        <w:spacing w:after="0"/>
        <w:rPr>
          <w:sz w:val="20"/>
          <w:szCs w:val="20"/>
          <w:color w:val="auto"/>
        </w:rPr>
      </w:pPr>
      <w:r>
        <w:rPr>
          <w:rFonts w:ascii="Arial" w:cs="Arial" w:eastAsia="Arial" w:hAnsi="Arial"/>
          <w:sz w:val="13"/>
          <w:szCs w:val="13"/>
          <w:color w:val="auto"/>
        </w:rPr>
        <w:t>Level 1 — Unadjusted quoted prices in active markets that are accessible at the measurement date for identical, unrestricted assets or liabilities;</w:t>
      </w:r>
    </w:p>
    <w:p>
      <w:pPr>
        <w:spacing w:after="0" w:line="204" w:lineRule="exact"/>
        <w:rPr>
          <w:sz w:val="20"/>
          <w:szCs w:val="20"/>
          <w:color w:val="auto"/>
        </w:rPr>
      </w:pPr>
    </w:p>
    <w:p>
      <w:pPr>
        <w:ind w:left="1060"/>
        <w:spacing w:after="0"/>
        <w:rPr>
          <w:sz w:val="20"/>
          <w:szCs w:val="20"/>
          <w:color w:val="auto"/>
        </w:rPr>
      </w:pPr>
      <w:r>
        <w:rPr>
          <w:rFonts w:ascii="Arial" w:cs="Arial" w:eastAsia="Arial" w:hAnsi="Arial"/>
          <w:sz w:val="13"/>
          <w:szCs w:val="13"/>
          <w:color w:val="auto"/>
        </w:rPr>
        <w:t>Level 2 — Quoted prices in markets that are not active or inputs that are observable, either directly or indirectly, for substantially the full term of the asset or liability; and</w:t>
      </w:r>
    </w:p>
    <w:p>
      <w:pPr>
        <w:spacing w:after="0" w:line="204" w:lineRule="exact"/>
        <w:rPr>
          <w:sz w:val="20"/>
          <w:szCs w:val="20"/>
          <w:color w:val="auto"/>
        </w:rPr>
      </w:pPr>
    </w:p>
    <w:p>
      <w:pPr>
        <w:jc w:val="center"/>
        <w:ind w:right="100"/>
        <w:spacing w:after="0"/>
        <w:rPr>
          <w:sz w:val="20"/>
          <w:szCs w:val="20"/>
          <w:color w:val="auto"/>
        </w:rPr>
      </w:pPr>
      <w:r>
        <w:rPr>
          <w:rFonts w:ascii="Arial" w:cs="Arial" w:eastAsia="Arial" w:hAnsi="Arial"/>
          <w:sz w:val="13"/>
          <w:szCs w:val="13"/>
          <w:color w:val="auto"/>
        </w:rPr>
        <w:t>Level 3 — Prices or valuation techniques that require inputs that are both significant to the fair value measurement and unobservable (supported by little or no market activity).</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fair value hierarchy gives the highest priority to Level 1 inputs and the lowest priority to Level 3 inputs.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For items that are recognized at fair value on a recurring basis, the Company determines whether transfers have occurred between levels in the hierarchy by reassessing their classification at the end of each reporting period.</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During the six months ended June 30, 2015, there were no transfers between Level 1 and Level 2 fair value measurements, and no transfers into or out of Level 3 fair value measurements.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Company's financial assets and liabilities include cash and cash equivalents, short-term investments, restricted cash, trade receivables, available-for-sale securities, accounts payable and accrued liabilities, long-term debt and derivative financial instruments.</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2"/>
          <w:szCs w:val="12"/>
          <w:color w:val="auto"/>
        </w:rPr>
        <w:t>The fair values of cash and cash equivalents, short-term investments, restricted cash and accounts payable and accrued liabilities approximate their carrying values due to their short-term nature.</w:t>
      </w:r>
    </w:p>
    <w:p>
      <w:pPr>
        <w:spacing w:after="0" w:line="216"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Long-term debt is recorded on the condensed interim consolidated balance sheet at June 30, 2015 at amortized cost. The fair value of long-term debt is determined by applying a discount rate, reflecting the credit spread based on the Company's credit rating, to future related cash flows. As at June 30, 2015, the Company's long-term debt had a fair value of $1,275.4 million (December 31, 2014 — $1,498.4 million).</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sets out the Company's financial assets and liabilities measured at fair value on a recurring basis as at June 30, 2015 using the fair value hierarchy:</w:t>
      </w:r>
    </w:p>
    <w:p>
      <w:pPr>
        <w:spacing w:after="0" w:line="200"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6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gridSpan w:val="3"/>
          </w:tcPr>
          <w:p>
            <w:pPr>
              <w:spacing w:after="0"/>
              <w:rPr>
                <w:sz w:val="20"/>
                <w:szCs w:val="20"/>
                <w:color w:val="auto"/>
              </w:rPr>
            </w:pPr>
            <w:r>
              <w:rPr>
                <w:rFonts w:ascii="Arial" w:cs="Arial" w:eastAsia="Arial" w:hAnsi="Arial"/>
                <w:sz w:val="13"/>
                <w:szCs w:val="13"/>
                <w:b w:val="1"/>
                <w:bCs w:val="1"/>
                <w:color w:val="auto"/>
              </w:rPr>
              <w:t>Level 1</w:t>
            </w:r>
          </w:p>
        </w:tc>
        <w:tc>
          <w:tcPr>
            <w:tcW w:w="80" w:type="dxa"/>
            <w:vAlign w:val="bottom"/>
          </w:tcPr>
          <w:p>
            <w:pPr>
              <w:spacing w:after="0"/>
              <w:rPr>
                <w:sz w:val="13"/>
                <w:szCs w:val="13"/>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86"/>
              </w:rPr>
              <w:t>Level 2</w:t>
            </w:r>
          </w:p>
        </w:tc>
        <w:tc>
          <w:tcPr>
            <w:tcW w:w="700" w:type="dxa"/>
            <w:vAlign w:val="bottom"/>
            <w:gridSpan w:val="3"/>
          </w:tcPr>
          <w:p>
            <w:pPr>
              <w:ind w:left="80"/>
              <w:spacing w:after="0"/>
              <w:rPr>
                <w:sz w:val="20"/>
                <w:szCs w:val="20"/>
                <w:color w:val="auto"/>
              </w:rPr>
            </w:pPr>
            <w:r>
              <w:rPr>
                <w:rFonts w:ascii="Arial" w:cs="Arial" w:eastAsia="Arial" w:hAnsi="Arial"/>
                <w:sz w:val="13"/>
                <w:szCs w:val="13"/>
                <w:b w:val="1"/>
                <w:bCs w:val="1"/>
                <w:color w:val="auto"/>
              </w:rPr>
              <w:t>Level 3</w:t>
            </w:r>
          </w:p>
        </w:tc>
        <w:tc>
          <w:tcPr>
            <w:tcW w:w="140" w:type="dxa"/>
            <w:vAlign w:val="bottom"/>
          </w:tcPr>
          <w:p>
            <w:pPr>
              <w:spacing w:after="0"/>
              <w:rPr>
                <w:sz w:val="13"/>
                <w:szCs w:val="13"/>
                <w:color w:val="auto"/>
              </w:rPr>
            </w:pPr>
          </w:p>
        </w:tc>
        <w:tc>
          <w:tcPr>
            <w:tcW w:w="640" w:type="dxa"/>
            <w:vAlign w:val="bottom"/>
            <w:gridSpan w:val="2"/>
          </w:tcPr>
          <w:p>
            <w:pPr>
              <w:ind w:left="40"/>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37"/>
        </w:trPr>
        <w:tc>
          <w:tcPr>
            <w:tcW w:w="620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Financial assets:</w:t>
            </w: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6200" w:type="dxa"/>
            <w:vAlign w:val="bottom"/>
          </w:tcPr>
          <w:p>
            <w:pPr>
              <w:ind w:left="220"/>
              <w:spacing w:after="0" w:line="144" w:lineRule="exact"/>
              <w:rPr>
                <w:sz w:val="20"/>
                <w:szCs w:val="20"/>
                <w:color w:val="auto"/>
              </w:rPr>
            </w:pPr>
            <w:r>
              <w:rPr>
                <w:rFonts w:ascii="Arial" w:cs="Arial" w:eastAsia="Arial" w:hAnsi="Arial"/>
                <w:sz w:val="13"/>
                <w:szCs w:val="13"/>
                <w:color w:val="auto"/>
              </w:rPr>
              <w:t>Trade receivables</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3"/>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61,195</w:t>
            </w:r>
          </w:p>
        </w:tc>
        <w:tc>
          <w:tcPr>
            <w:tcW w:w="260" w:type="dxa"/>
            <w:vAlign w:val="bottom"/>
          </w:tcPr>
          <w:p>
            <w:pPr>
              <w:jc w:val="right"/>
              <w:ind w:right="114"/>
              <w:spacing w:after="0" w:line="144" w:lineRule="exact"/>
              <w:rPr>
                <w:sz w:val="20"/>
                <w:szCs w:val="20"/>
                <w:color w:val="auto"/>
              </w:rPr>
            </w:pPr>
            <w:r>
              <w:rPr>
                <w:rFonts w:ascii="Arial" w:cs="Arial" w:eastAsia="Arial" w:hAnsi="Arial"/>
                <w:sz w:val="13"/>
                <w:szCs w:val="13"/>
                <w:color w:val="auto"/>
                <w:w w:val="82"/>
              </w:rPr>
              <w:t>$</w:t>
            </w:r>
          </w:p>
        </w:tc>
        <w:tc>
          <w:tcPr>
            <w:tcW w:w="440" w:type="dxa"/>
            <w:vAlign w:val="bottom"/>
            <w:gridSpan w:val="2"/>
          </w:tcPr>
          <w:p>
            <w:pPr>
              <w:ind w:left="160"/>
              <w:spacing w:after="0" w:line="144" w:lineRule="exact"/>
              <w:rPr>
                <w:sz w:val="20"/>
                <w:szCs w:val="20"/>
                <w:color w:val="auto"/>
              </w:rPr>
            </w:pPr>
            <w:r>
              <w:rPr>
                <w:rFonts w:ascii="Arial" w:cs="Arial" w:eastAsia="Arial" w:hAnsi="Arial"/>
                <w:sz w:val="13"/>
                <w:szCs w:val="13"/>
                <w:color w:val="auto"/>
              </w:rPr>
              <w:t>—</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61,195</w:t>
            </w:r>
          </w:p>
        </w:tc>
        <w:tc>
          <w:tcPr>
            <w:tcW w:w="0" w:type="dxa"/>
            <w:vAlign w:val="bottom"/>
          </w:tcPr>
          <w:p>
            <w:pPr>
              <w:spacing w:after="0"/>
              <w:rPr>
                <w:sz w:val="1"/>
                <w:szCs w:val="1"/>
                <w:color w:val="auto"/>
              </w:rPr>
            </w:pPr>
          </w:p>
        </w:tc>
      </w:tr>
      <w:tr>
        <w:trPr>
          <w:trHeight w:val="144"/>
        </w:trPr>
        <w:tc>
          <w:tcPr>
            <w:tcW w:w="62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Available-for-sale securities</w:t>
            </w: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41,336</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4,693</w:t>
            </w:r>
          </w:p>
        </w:tc>
        <w:tc>
          <w:tcPr>
            <w:tcW w:w="2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46,029</w:t>
            </w:r>
          </w:p>
        </w:tc>
        <w:tc>
          <w:tcPr>
            <w:tcW w:w="0" w:type="dxa"/>
            <w:vAlign w:val="bottom"/>
          </w:tcPr>
          <w:p>
            <w:pPr>
              <w:spacing w:after="0"/>
              <w:rPr>
                <w:sz w:val="1"/>
                <w:szCs w:val="1"/>
                <w:color w:val="auto"/>
              </w:rPr>
            </w:pPr>
          </w:p>
        </w:tc>
      </w:tr>
      <w:tr>
        <w:trPr>
          <w:trHeight w:val="168"/>
        </w:trPr>
        <w:tc>
          <w:tcPr>
            <w:tcW w:w="6200" w:type="dxa"/>
            <w:vAlign w:val="bottom"/>
          </w:tcPr>
          <w:p>
            <w:pPr>
              <w:ind w:left="220"/>
              <w:spacing w:after="0"/>
              <w:rPr>
                <w:sz w:val="20"/>
                <w:szCs w:val="20"/>
                <w:color w:val="auto"/>
              </w:rPr>
            </w:pPr>
            <w:r>
              <w:rPr>
                <w:rFonts w:ascii="Arial" w:cs="Arial" w:eastAsia="Arial" w:hAnsi="Arial"/>
                <w:sz w:val="13"/>
                <w:szCs w:val="13"/>
                <w:color w:val="auto"/>
              </w:rPr>
              <w:t>Fair value of derivative financial instruments</w:t>
            </w:r>
          </w:p>
        </w:tc>
        <w:tc>
          <w:tcPr>
            <w:tcW w:w="80" w:type="dxa"/>
            <w:vAlign w:val="bottom"/>
          </w:tcPr>
          <w:p>
            <w:pPr>
              <w:spacing w:after="0"/>
              <w:rPr>
                <w:sz w:val="14"/>
                <w:szCs w:val="14"/>
                <w:color w:val="auto"/>
              </w:rPr>
            </w:pPr>
          </w:p>
        </w:tc>
        <w:tc>
          <w:tcPr>
            <w:tcW w:w="64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3"/>
                <w:szCs w:val="13"/>
                <w:color w:val="auto"/>
              </w:rPr>
              <w:t>899</w:t>
            </w:r>
          </w:p>
        </w:tc>
        <w:tc>
          <w:tcPr>
            <w:tcW w:w="260" w:type="dxa"/>
            <w:vAlign w:val="bottom"/>
          </w:tcPr>
          <w:p>
            <w:pPr>
              <w:spacing w:after="0"/>
              <w:rPr>
                <w:sz w:val="14"/>
                <w:szCs w:val="14"/>
                <w:color w:val="auto"/>
              </w:rPr>
            </w:pPr>
          </w:p>
        </w:tc>
        <w:tc>
          <w:tcPr>
            <w:tcW w:w="440" w:type="dxa"/>
            <w:vAlign w:val="bottom"/>
            <w:gridSpan w:val="2"/>
          </w:tcPr>
          <w:p>
            <w:pPr>
              <w:ind w:lef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899</w:t>
            </w:r>
          </w:p>
        </w:tc>
        <w:tc>
          <w:tcPr>
            <w:tcW w:w="0" w:type="dxa"/>
            <w:vAlign w:val="bottom"/>
          </w:tcPr>
          <w:p>
            <w:pPr>
              <w:spacing w:after="0"/>
              <w:rPr>
                <w:sz w:val="1"/>
                <w:szCs w:val="1"/>
                <w:color w:val="auto"/>
              </w:rPr>
            </w:pPr>
          </w:p>
        </w:tc>
      </w:tr>
      <w:tr>
        <w:trPr>
          <w:trHeight w:val="20"/>
        </w:trPr>
        <w:tc>
          <w:tcPr>
            <w:tcW w:w="6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20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Total financial assets</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4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41,336</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66,787</w:t>
            </w:r>
          </w:p>
        </w:tc>
        <w:tc>
          <w:tcPr>
            <w:tcW w:w="260" w:type="dxa"/>
            <w:vAlign w:val="bottom"/>
            <w:shd w:val="clear" w:color="auto" w:fill="CCEEFF"/>
          </w:tcPr>
          <w:p>
            <w:pPr>
              <w:jc w:val="right"/>
              <w:ind w:right="114"/>
              <w:spacing w:after="0" w:line="140" w:lineRule="exact"/>
              <w:rPr>
                <w:sz w:val="20"/>
                <w:szCs w:val="20"/>
                <w:color w:val="auto"/>
              </w:rPr>
            </w:pPr>
            <w:r>
              <w:rPr>
                <w:rFonts w:ascii="Arial" w:cs="Arial" w:eastAsia="Arial" w:hAnsi="Arial"/>
                <w:sz w:val="13"/>
                <w:szCs w:val="13"/>
                <w:color w:val="auto"/>
                <w:w w:val="82"/>
              </w:rPr>
              <w:t>$</w:t>
            </w:r>
          </w:p>
        </w:tc>
        <w:tc>
          <w:tcPr>
            <w:tcW w:w="440" w:type="dxa"/>
            <w:vAlign w:val="bottom"/>
            <w:gridSpan w:val="2"/>
            <w:shd w:val="clear" w:color="auto" w:fill="CCEEFF"/>
          </w:tcPr>
          <w:p>
            <w:pPr>
              <w:ind w:left="160"/>
              <w:spacing w:after="0" w:line="140"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108,123</w:t>
            </w:r>
          </w:p>
        </w:tc>
        <w:tc>
          <w:tcPr>
            <w:tcW w:w="0" w:type="dxa"/>
            <w:vAlign w:val="bottom"/>
          </w:tcPr>
          <w:p>
            <w:pPr>
              <w:spacing w:after="0"/>
              <w:rPr>
                <w:sz w:val="1"/>
                <w:szCs w:val="1"/>
                <w:color w:val="auto"/>
              </w:rPr>
            </w:pPr>
          </w:p>
        </w:tc>
      </w:tr>
      <w:tr>
        <w:trPr>
          <w:trHeight w:val="26"/>
        </w:trPr>
        <w:tc>
          <w:tcPr>
            <w:tcW w:w="620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Financial liabilities:</w:t>
            </w: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200" w:type="dxa"/>
            <w:vAlign w:val="bottom"/>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4"/>
        </w:trPr>
        <w:tc>
          <w:tcPr>
            <w:tcW w:w="620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620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Fair value of derivative financial instruments</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12,796</w:t>
            </w:r>
          </w:p>
        </w:tc>
        <w:tc>
          <w:tcPr>
            <w:tcW w:w="260" w:type="dxa"/>
            <w:vAlign w:val="bottom"/>
            <w:shd w:val="clear" w:color="auto" w:fill="CCEEFF"/>
          </w:tcPr>
          <w:p>
            <w:pPr>
              <w:jc w:val="right"/>
              <w:ind w:right="114"/>
              <w:spacing w:after="0" w:line="144" w:lineRule="exact"/>
              <w:rPr>
                <w:sz w:val="20"/>
                <w:szCs w:val="20"/>
                <w:color w:val="auto"/>
              </w:rPr>
            </w:pPr>
            <w:r>
              <w:rPr>
                <w:rFonts w:ascii="Arial" w:cs="Arial" w:eastAsia="Arial" w:hAnsi="Arial"/>
                <w:sz w:val="13"/>
                <w:szCs w:val="13"/>
                <w:color w:val="auto"/>
                <w:w w:val="82"/>
              </w:rPr>
              <w:t>$</w:t>
            </w: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12,796</w:t>
            </w:r>
          </w:p>
        </w:tc>
        <w:tc>
          <w:tcPr>
            <w:tcW w:w="0" w:type="dxa"/>
            <w:vAlign w:val="bottom"/>
          </w:tcPr>
          <w:p>
            <w:pPr>
              <w:spacing w:after="0"/>
              <w:rPr>
                <w:sz w:val="1"/>
                <w:szCs w:val="1"/>
                <w:color w:val="auto"/>
              </w:rPr>
            </w:pPr>
          </w:p>
        </w:tc>
      </w:tr>
      <w:tr>
        <w:trPr>
          <w:trHeight w:val="26"/>
        </w:trPr>
        <w:tc>
          <w:tcPr>
            <w:tcW w:w="6200" w:type="dxa"/>
            <w:vAlign w:val="bottom"/>
            <w:vMerge w:val="restart"/>
          </w:tcPr>
          <w:p>
            <w:pPr>
              <w:ind w:left="220"/>
              <w:spacing w:after="0"/>
              <w:rPr>
                <w:sz w:val="20"/>
                <w:szCs w:val="20"/>
                <w:color w:val="auto"/>
              </w:rPr>
            </w:pPr>
            <w:r>
              <w:rPr>
                <w:rFonts w:ascii="Arial" w:cs="Arial" w:eastAsia="Arial" w:hAnsi="Arial"/>
                <w:sz w:val="13"/>
                <w:szCs w:val="13"/>
                <w:color w:val="auto"/>
              </w:rPr>
              <w:t>Total financial liabilities</w:t>
            </w:r>
          </w:p>
        </w:tc>
        <w:tc>
          <w:tcPr>
            <w:tcW w:w="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00" w:type="dxa"/>
            <w:vAlign w:val="bottom"/>
            <w:vMerge w:val="continue"/>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12,796</w:t>
            </w:r>
          </w:p>
        </w:tc>
        <w:tc>
          <w:tcPr>
            <w:tcW w:w="160" w:type="dxa"/>
            <w:vAlign w:val="bottom"/>
          </w:tcPr>
          <w:p>
            <w:pPr>
              <w:spacing w:after="0"/>
              <w:rPr>
                <w:sz w:val="13"/>
                <w:szCs w:val="13"/>
                <w:color w:val="auto"/>
              </w:rPr>
            </w:pPr>
          </w:p>
        </w:tc>
        <w:tc>
          <w:tcPr>
            <w:tcW w:w="260" w:type="dxa"/>
            <w:vAlign w:val="bottom"/>
            <w:tcBorders>
              <w:top w:val="single" w:sz="8" w:color="auto"/>
              <w:bottom w:val="single" w:sz="8" w:color="auto"/>
            </w:tcBorders>
          </w:tcPr>
          <w:p>
            <w:pPr>
              <w:jc w:val="right"/>
              <w:ind w:right="114"/>
              <w:spacing w:after="0"/>
              <w:rPr>
                <w:sz w:val="20"/>
                <w:szCs w:val="20"/>
                <w:color w:val="auto"/>
              </w:rPr>
            </w:pPr>
            <w:r>
              <w:rPr>
                <w:rFonts w:ascii="Arial" w:cs="Arial" w:eastAsia="Arial" w:hAnsi="Arial"/>
                <w:sz w:val="13"/>
                <w:szCs w:val="13"/>
                <w:color w:val="auto"/>
                <w:w w:val="82"/>
              </w:rPr>
              <w:t>$</w:t>
            </w:r>
          </w:p>
        </w:tc>
        <w:tc>
          <w:tcPr>
            <w:tcW w:w="28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3"/>
                <w:szCs w:val="13"/>
                <w:color w:val="auto"/>
                <w:w w:val="76"/>
              </w:rPr>
              <w:t>—</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12,796</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8" w:name="page49"/>
    <w:bookmarkEnd w:id="4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ind w:left="260" w:hanging="255"/>
        <w:spacing w:after="0"/>
        <w:tabs>
          <w:tab w:leader="none" w:pos="260" w:val="left"/>
        </w:tabs>
        <w:numPr>
          <w:ilvl w:val="0"/>
          <w:numId w:val="17"/>
        </w:numPr>
        <w:rPr>
          <w:rFonts w:ascii="Arial" w:cs="Arial" w:eastAsia="Arial" w:hAnsi="Arial"/>
          <w:sz w:val="13"/>
          <w:szCs w:val="13"/>
          <w:b w:val="1"/>
          <w:bCs w:val="1"/>
          <w:color w:val="auto"/>
        </w:rPr>
      </w:pPr>
      <w:r>
        <w:rPr>
          <w:rFonts w:ascii="Arial" w:cs="Arial" w:eastAsia="Arial" w:hAnsi="Arial"/>
          <w:sz w:val="13"/>
          <w:szCs w:val="13"/>
          <w:b w:val="1"/>
          <w:bCs w:val="1"/>
          <w:color w:val="auto"/>
        </w:rPr>
        <w:t>FAIR VALUE MEASUREMENT (Continued)</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sets out the Company's financial assets and liabilities measured at fair value on a recurring basis as at December 31, 2014 using the fair value hierarchy:</w:t>
      </w:r>
    </w:p>
    <w:p>
      <w:pPr>
        <w:spacing w:after="0" w:line="200"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6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w w:val="90"/>
              </w:rPr>
              <w:t>Level 1</w:t>
            </w:r>
          </w:p>
        </w:tc>
        <w:tc>
          <w:tcPr>
            <w:tcW w:w="80" w:type="dxa"/>
            <w:vAlign w:val="bottom"/>
          </w:tcPr>
          <w:p>
            <w:pPr>
              <w:spacing w:after="0"/>
              <w:rPr>
                <w:sz w:val="13"/>
                <w:szCs w:val="13"/>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w w:val="90"/>
              </w:rPr>
              <w:t>Level 2</w:t>
            </w:r>
          </w:p>
        </w:tc>
        <w:tc>
          <w:tcPr>
            <w:tcW w:w="80" w:type="dxa"/>
            <w:vAlign w:val="bottom"/>
          </w:tcPr>
          <w:p>
            <w:pPr>
              <w:spacing w:after="0"/>
              <w:rPr>
                <w:sz w:val="13"/>
                <w:szCs w:val="13"/>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w w:val="90"/>
              </w:rPr>
              <w:t>Level 3</w:t>
            </w:r>
          </w:p>
        </w:tc>
        <w:tc>
          <w:tcPr>
            <w:tcW w:w="140" w:type="dxa"/>
            <w:vAlign w:val="bottom"/>
          </w:tcPr>
          <w:p>
            <w:pPr>
              <w:spacing w:after="0"/>
              <w:rPr>
                <w:sz w:val="13"/>
                <w:szCs w:val="13"/>
                <w:color w:val="auto"/>
              </w:rPr>
            </w:pPr>
          </w:p>
        </w:tc>
        <w:tc>
          <w:tcPr>
            <w:tcW w:w="640" w:type="dxa"/>
            <w:vAlign w:val="bottom"/>
            <w:gridSpan w:val="2"/>
          </w:tcPr>
          <w:p>
            <w:pPr>
              <w:ind w:left="40"/>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37"/>
        </w:trPr>
        <w:tc>
          <w:tcPr>
            <w:tcW w:w="618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Financial assets:</w:t>
            </w: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6180" w:type="dxa"/>
            <w:vAlign w:val="bottom"/>
          </w:tcPr>
          <w:p>
            <w:pPr>
              <w:ind w:left="220"/>
              <w:spacing w:after="0" w:line="144" w:lineRule="exact"/>
              <w:rPr>
                <w:sz w:val="20"/>
                <w:szCs w:val="20"/>
                <w:color w:val="auto"/>
              </w:rPr>
            </w:pPr>
            <w:r>
              <w:rPr>
                <w:rFonts w:ascii="Arial" w:cs="Arial" w:eastAsia="Arial" w:hAnsi="Arial"/>
                <w:sz w:val="13"/>
                <w:szCs w:val="13"/>
                <w:color w:val="auto"/>
              </w:rPr>
              <w:t>Trade receivables</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59,716</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59,716</w:t>
            </w:r>
          </w:p>
        </w:tc>
        <w:tc>
          <w:tcPr>
            <w:tcW w:w="0" w:type="dxa"/>
            <w:vAlign w:val="bottom"/>
          </w:tcPr>
          <w:p>
            <w:pPr>
              <w:spacing w:after="0"/>
              <w:rPr>
                <w:sz w:val="1"/>
                <w:szCs w:val="1"/>
                <w:color w:val="auto"/>
              </w:rPr>
            </w:pPr>
          </w:p>
        </w:tc>
      </w:tr>
      <w:tr>
        <w:trPr>
          <w:trHeight w:val="144"/>
        </w:trPr>
        <w:tc>
          <w:tcPr>
            <w:tcW w:w="618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Available-for-sale securities</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51,653</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4,815</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56,468</w:t>
            </w:r>
          </w:p>
        </w:tc>
        <w:tc>
          <w:tcPr>
            <w:tcW w:w="0" w:type="dxa"/>
            <w:vAlign w:val="bottom"/>
          </w:tcPr>
          <w:p>
            <w:pPr>
              <w:spacing w:after="0"/>
              <w:rPr>
                <w:sz w:val="1"/>
                <w:szCs w:val="1"/>
                <w:color w:val="auto"/>
              </w:rPr>
            </w:pPr>
          </w:p>
        </w:tc>
      </w:tr>
      <w:tr>
        <w:trPr>
          <w:trHeight w:val="168"/>
        </w:trPr>
        <w:tc>
          <w:tcPr>
            <w:tcW w:w="6180" w:type="dxa"/>
            <w:vAlign w:val="bottom"/>
          </w:tcPr>
          <w:p>
            <w:pPr>
              <w:ind w:left="220"/>
              <w:spacing w:after="0"/>
              <w:rPr>
                <w:sz w:val="20"/>
                <w:szCs w:val="20"/>
                <w:color w:val="auto"/>
              </w:rPr>
            </w:pPr>
            <w:r>
              <w:rPr>
                <w:rFonts w:ascii="Arial" w:cs="Arial" w:eastAsia="Arial" w:hAnsi="Arial"/>
                <w:sz w:val="13"/>
                <w:szCs w:val="13"/>
                <w:color w:val="auto"/>
              </w:rPr>
              <w:t>Fair value of derivative financial instruments</w:t>
            </w:r>
          </w:p>
        </w:tc>
        <w:tc>
          <w:tcPr>
            <w:tcW w:w="8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4,877</w:t>
            </w:r>
          </w:p>
        </w:tc>
        <w:tc>
          <w:tcPr>
            <w:tcW w:w="8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4,877</w:t>
            </w:r>
          </w:p>
        </w:tc>
        <w:tc>
          <w:tcPr>
            <w:tcW w:w="0" w:type="dxa"/>
            <w:vAlign w:val="bottom"/>
          </w:tcPr>
          <w:p>
            <w:pPr>
              <w:spacing w:after="0"/>
              <w:rPr>
                <w:sz w:val="1"/>
                <w:szCs w:val="1"/>
                <w:color w:val="auto"/>
              </w:rPr>
            </w:pPr>
          </w:p>
        </w:tc>
      </w:tr>
      <w:tr>
        <w:trPr>
          <w:trHeight w:val="20"/>
        </w:trPr>
        <w:tc>
          <w:tcPr>
            <w:tcW w:w="6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18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Total financial assets</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51,653</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69,408</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121,061</w:t>
            </w:r>
          </w:p>
        </w:tc>
        <w:tc>
          <w:tcPr>
            <w:tcW w:w="0" w:type="dxa"/>
            <w:vAlign w:val="bottom"/>
          </w:tcPr>
          <w:p>
            <w:pPr>
              <w:spacing w:after="0"/>
              <w:rPr>
                <w:sz w:val="1"/>
                <w:szCs w:val="1"/>
                <w:color w:val="auto"/>
              </w:rPr>
            </w:pPr>
          </w:p>
        </w:tc>
      </w:tr>
      <w:tr>
        <w:trPr>
          <w:trHeight w:val="26"/>
        </w:trPr>
        <w:tc>
          <w:tcPr>
            <w:tcW w:w="618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Financial liabilities:</w:t>
            </w: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180" w:type="dxa"/>
            <w:vAlign w:val="bottom"/>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4"/>
        </w:trPr>
        <w:tc>
          <w:tcPr>
            <w:tcW w:w="618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618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Convertible Debentures</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34,678</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34,678</w:t>
            </w:r>
          </w:p>
        </w:tc>
        <w:tc>
          <w:tcPr>
            <w:tcW w:w="0" w:type="dxa"/>
            <w:vAlign w:val="bottom"/>
          </w:tcPr>
          <w:p>
            <w:pPr>
              <w:spacing w:after="0"/>
              <w:rPr>
                <w:sz w:val="1"/>
                <w:szCs w:val="1"/>
                <w:color w:val="auto"/>
              </w:rPr>
            </w:pPr>
          </w:p>
        </w:tc>
      </w:tr>
      <w:tr>
        <w:trPr>
          <w:trHeight w:val="168"/>
        </w:trPr>
        <w:tc>
          <w:tcPr>
            <w:tcW w:w="6180" w:type="dxa"/>
            <w:vAlign w:val="bottom"/>
          </w:tcPr>
          <w:p>
            <w:pPr>
              <w:ind w:left="220"/>
              <w:spacing w:after="0"/>
              <w:rPr>
                <w:sz w:val="20"/>
                <w:szCs w:val="20"/>
                <w:color w:val="auto"/>
              </w:rPr>
            </w:pPr>
            <w:r>
              <w:rPr>
                <w:rFonts w:ascii="Arial" w:cs="Arial" w:eastAsia="Arial" w:hAnsi="Arial"/>
                <w:sz w:val="13"/>
                <w:szCs w:val="13"/>
                <w:color w:val="auto"/>
              </w:rPr>
              <w:t>Fair value of derivative financial instruments</w:t>
            </w:r>
          </w:p>
        </w:tc>
        <w:tc>
          <w:tcPr>
            <w:tcW w:w="8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8,249</w:t>
            </w:r>
          </w:p>
        </w:tc>
        <w:tc>
          <w:tcPr>
            <w:tcW w:w="8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8,249</w:t>
            </w:r>
          </w:p>
        </w:tc>
        <w:tc>
          <w:tcPr>
            <w:tcW w:w="0" w:type="dxa"/>
            <w:vAlign w:val="bottom"/>
          </w:tcPr>
          <w:p>
            <w:pPr>
              <w:spacing w:after="0"/>
              <w:rPr>
                <w:sz w:val="1"/>
                <w:szCs w:val="1"/>
                <w:color w:val="auto"/>
              </w:rPr>
            </w:pPr>
          </w:p>
        </w:tc>
      </w:tr>
      <w:tr>
        <w:trPr>
          <w:trHeight w:val="20"/>
        </w:trPr>
        <w:tc>
          <w:tcPr>
            <w:tcW w:w="6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18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Total financial liabilities</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8,249</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34,678</w:t>
            </w:r>
          </w:p>
        </w:tc>
        <w:tc>
          <w:tcPr>
            <w:tcW w:w="14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42,927</w:t>
            </w:r>
          </w:p>
        </w:tc>
        <w:tc>
          <w:tcPr>
            <w:tcW w:w="0" w:type="dxa"/>
            <w:vAlign w:val="bottom"/>
          </w:tcPr>
          <w:p>
            <w:pPr>
              <w:spacing w:after="0"/>
              <w:rPr>
                <w:sz w:val="1"/>
                <w:szCs w:val="1"/>
                <w:color w:val="auto"/>
              </w:rPr>
            </w:pPr>
          </w:p>
        </w:tc>
      </w:tr>
      <w:tr>
        <w:trPr>
          <w:trHeight w:val="26"/>
        </w:trPr>
        <w:tc>
          <w:tcPr>
            <w:tcW w:w="61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7" w:lineRule="exact"/>
        <w:rPr>
          <w:sz w:val="20"/>
          <w:szCs w:val="20"/>
          <w:color w:val="auto"/>
        </w:rPr>
      </w:pPr>
    </w:p>
    <w:p>
      <w:pPr>
        <w:ind w:left="520"/>
        <w:spacing w:after="0"/>
        <w:rPr>
          <w:sz w:val="20"/>
          <w:szCs w:val="20"/>
          <w:color w:val="auto"/>
        </w:rPr>
      </w:pPr>
      <w:r>
        <w:rPr>
          <w:rFonts w:ascii="Arial" w:cs="Arial" w:eastAsia="Arial" w:hAnsi="Arial"/>
          <w:sz w:val="13"/>
          <w:szCs w:val="13"/>
          <w:b w:val="1"/>
          <w:bCs w:val="1"/>
          <w:color w:val="auto"/>
        </w:rPr>
        <w:t>Valuation Techniques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Trade Receivables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Trade receivables from provisional invoices for concentrate sales are valued using quoted forward rates derived from observable market data based on the month of expected settlement (classified within Level 2 of the fair value hierarchy).</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Available-for-sale Securities</w:t>
      </w:r>
    </w:p>
    <w:p>
      <w:pPr>
        <w:spacing w:after="0" w:line="204"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Available-for-sale securities representing shares of publicly traded entities are recorded at fair value using quoted market prices (classified within Level 1 of the fair value hierarchy). Available-for-sale securities representing shares of non-publicly traded entities are recorded at fair value using external broker-dealer quotations (classified within Level 2 of the fair value hierarchy).</w:t>
      </w:r>
    </w:p>
    <w:p>
      <w:pPr>
        <w:spacing w:after="0" w:line="157"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Derivative Financial Instruments</w:t>
      </w:r>
    </w:p>
    <w:p>
      <w:pPr>
        <w:spacing w:after="0" w:line="204"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Derivative financial instruments classified within Level 2 of the fair value hierarchy are recorded at fair value using external broker-dealer quotations or option pricing models that utilize a variety of inputs that are a combination of quoted prices and market-corroborated inputs. Derivative financial instruments are classified as at fair value through the consolidated statements of income.</w:t>
      </w:r>
    </w:p>
    <w:p>
      <w:pPr>
        <w:spacing w:after="0" w:line="157"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Convertible Debentures</w:t>
      </w:r>
    </w:p>
    <w:p>
      <w:pPr>
        <w:spacing w:after="0" w:line="204"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On June 30, 2015, the negotiated early settlement of all of the convertible debentures was completed. Convertible debentures issued by Osisko and subsequently an obligation of Canadian Malartic GP were reported at fair value and classified within Level 3 of the fair value hierarchy and constituted contracts which resulted in the payment of cash and the issuance of publicly-traded shares. Fair value was calculated with consideration given to the influence of a variety of inputs including quoted market prices and interest rates. Convertible debentures were included in the current portion of long-term debt line item of the condensed interim consolidated balance sheets prior to settlement.</w:t>
      </w:r>
    </w:p>
    <w:p>
      <w:pPr>
        <w:spacing w:after="0" w:line="187" w:lineRule="exact"/>
        <w:rPr>
          <w:sz w:val="20"/>
          <w:szCs w:val="20"/>
          <w:color w:val="auto"/>
        </w:rPr>
      </w:pPr>
    </w:p>
    <w:p>
      <w:pPr>
        <w:ind w:left="260" w:hanging="255"/>
        <w:spacing w:after="0"/>
        <w:tabs>
          <w:tab w:leader="none" w:pos="260" w:val="left"/>
        </w:tabs>
        <w:numPr>
          <w:ilvl w:val="0"/>
          <w:numId w:val="18"/>
        </w:numPr>
        <w:rPr>
          <w:rFonts w:ascii="Arial" w:cs="Arial" w:eastAsia="Arial" w:hAnsi="Arial"/>
          <w:sz w:val="13"/>
          <w:szCs w:val="13"/>
          <w:b w:val="1"/>
          <w:bCs w:val="1"/>
          <w:color w:val="auto"/>
        </w:rPr>
      </w:pPr>
      <w:r>
        <w:rPr>
          <w:rFonts w:ascii="Arial" w:cs="Arial" w:eastAsia="Arial" w:hAnsi="Arial"/>
          <w:sz w:val="13"/>
          <w:szCs w:val="13"/>
          <w:b w:val="1"/>
          <w:bCs w:val="1"/>
          <w:color w:val="auto"/>
        </w:rPr>
        <w:t>INVENTORIES</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During the three and six months ended June 30, 2015, a charge of $1.4 million (December 31, 2014 — $4.6 million) was recorded within the production costs line item of the condensed interim consolidated statements of income and comprehensive income to reduce the carrying value of inventories to their net realizable value.</w:t>
      </w:r>
    </w:p>
    <w:p>
      <w:pPr>
        <w:spacing w:after="0" w:line="175" w:lineRule="exact"/>
        <w:rPr>
          <w:sz w:val="20"/>
          <w:szCs w:val="20"/>
          <w:color w:val="auto"/>
        </w:rPr>
      </w:pPr>
    </w:p>
    <w:p>
      <w:pPr>
        <w:ind w:left="260" w:hanging="255"/>
        <w:spacing w:after="0"/>
        <w:tabs>
          <w:tab w:leader="none" w:pos="260" w:val="left"/>
        </w:tabs>
        <w:numPr>
          <w:ilvl w:val="0"/>
          <w:numId w:val="19"/>
        </w:numPr>
        <w:rPr>
          <w:rFonts w:ascii="Arial" w:cs="Arial" w:eastAsia="Arial" w:hAnsi="Arial"/>
          <w:sz w:val="13"/>
          <w:szCs w:val="13"/>
          <w:b w:val="1"/>
          <w:bCs w:val="1"/>
          <w:color w:val="auto"/>
        </w:rPr>
      </w:pPr>
      <w:r>
        <w:rPr>
          <w:rFonts w:ascii="Arial" w:cs="Arial" w:eastAsia="Arial" w:hAnsi="Arial"/>
          <w:sz w:val="13"/>
          <w:szCs w:val="13"/>
          <w:b w:val="1"/>
          <w:bCs w:val="1"/>
          <w:color w:val="auto"/>
        </w:rPr>
        <w:t>AVAILABLE-FOR-SALE SECURITIES</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During the three months ended June 30, 2015, the Company purchased certain available-for-sale securities totaling $14.2 million (three months ended June 30, 2014 — nil). During the six months ended June 30, 2015, the Company purchased certain available-for-sale securities totaling $19.4 million (six months ended June 30, 2014 — $10.6 million).</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9" w:name="page50"/>
    <w:bookmarkEnd w:id="4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ind w:left="260" w:hanging="255"/>
        <w:spacing w:after="0"/>
        <w:tabs>
          <w:tab w:leader="none" w:pos="260" w:val="left"/>
        </w:tabs>
        <w:numPr>
          <w:ilvl w:val="0"/>
          <w:numId w:val="20"/>
        </w:numPr>
        <w:rPr>
          <w:rFonts w:ascii="Arial" w:cs="Arial" w:eastAsia="Arial" w:hAnsi="Arial"/>
          <w:sz w:val="13"/>
          <w:szCs w:val="13"/>
          <w:b w:val="1"/>
          <w:bCs w:val="1"/>
          <w:color w:val="auto"/>
        </w:rPr>
      </w:pPr>
      <w:r>
        <w:rPr>
          <w:rFonts w:ascii="Arial" w:cs="Arial" w:eastAsia="Arial" w:hAnsi="Arial"/>
          <w:sz w:val="13"/>
          <w:szCs w:val="13"/>
          <w:b w:val="1"/>
          <w:bCs w:val="1"/>
          <w:color w:val="auto"/>
        </w:rPr>
        <w:t>AVAILABLE-FOR-SALE SECURITIES (Continued)</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During the three months ended June 30, 2015, the Company received proceeds of $18.6 million (three months ended June 30, 2014 — $39.5 million) and recognized a gain before income taxes of $2.7 million (three months ended June 30, 2014 — $5.0 million) on the sale of certain available-for-sale securities. During the six months ended June 30, 2015, the Company received proceeds of $49.7 million (six months ended June 30, 2014 — $40.1 million) and recognized a gain before income taxes of $23.7 million (six months ended June 30, 2014 — $5.3 million) on the sale of certain available-for-sale securities.</w:t>
      </w:r>
    </w:p>
    <w:p>
      <w:pPr>
        <w:spacing w:after="0" w:line="191"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During the three months ended June 30, 2015, the Company recorded an impairment loss of $0.3 million (three months ended June 30, 2014 — $2.4 million) on certain available-for-sale securities that were determined to have an impairment that was significant or prolonged. During the six months ended June 30, 2015, the Company recorded an impairment loss of $1.0 million (six months ended June 30, 2014 — $2.4 million) on certain available-for-sale securities that were determined to have an impairment that was significant or prolonged.</w:t>
      </w:r>
    </w:p>
    <w:p>
      <w:pPr>
        <w:spacing w:after="0" w:line="184" w:lineRule="exact"/>
        <w:rPr>
          <w:sz w:val="20"/>
          <w:szCs w:val="20"/>
          <w:color w:val="auto"/>
        </w:rPr>
      </w:pPr>
    </w:p>
    <w:p>
      <w:pPr>
        <w:ind w:left="520" w:right="8180" w:hanging="515"/>
        <w:spacing w:after="0" w:line="571" w:lineRule="auto"/>
        <w:tabs>
          <w:tab w:leader="none" w:pos="258" w:val="left"/>
        </w:tabs>
        <w:numPr>
          <w:ilvl w:val="0"/>
          <w:numId w:val="21"/>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PROPERTY, PLANT AND MINE DEVELOPMENT </w:t>
      </w:r>
      <w:r>
        <w:rPr>
          <w:rFonts w:ascii="Arial" w:cs="Arial" w:eastAsia="Arial" w:hAnsi="Arial"/>
          <w:sz w:val="13"/>
          <w:szCs w:val="13"/>
          <w:b w:val="1"/>
          <w:bCs w:val="1"/>
          <w:i w:val="1"/>
          <w:iCs w:val="1"/>
          <w:color w:val="auto"/>
        </w:rPr>
        <w:t>Acquisitions and disposals</w:t>
      </w:r>
    </w:p>
    <w:p>
      <w:pPr>
        <w:spacing w:after="0" w:line="1"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During the six months ended June 30, 2015, $227.4 million of additions (six months ended June 30, 2014 — $206.5 million) were capitalized to property, plant and mine development, excluding amounts capitalized related to acquisitions.</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During the six months ended June 30, 2015, the Company capitalized assets with a cost of $49.1 million (six months ended June 30, 2014 — $1,306.5 million) related to acquisitions (see note 5 to these condensed interim consolidated financial statements for details).</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Total borrowing costs capitalized to property, plant and mine development during the six months ended June 30, 2015 were approximately $0.2 million (twelve months ended December 31, 2014 — $1.7 million) at a capitalization rate of 1.2% (twelve months ended December 31, 2014 — 1.3%).</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Assets with a net book value of $3.7 million were disposed of by the Company during the six months ended June 30, 2015 (twelve months ended December 31, 2014 — $8.7 million), resulting in a net loss on disposal of $1.3 million (twelve months ended December 31, 2014 — $6.5 million).</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See note 15 to these condensed interim consolidated financial statements for capital commitments.</w:t>
      </w:r>
    </w:p>
    <w:p>
      <w:pPr>
        <w:spacing w:after="0" w:line="200"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10.  LONG-TERM DEBT</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Credit Facility and Loan Repayments</w:t>
      </w:r>
    </w:p>
    <w:p>
      <w:pPr>
        <w:spacing w:after="0" w:line="204"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At June 30, 2015, the Credit Facility was drawn down by $375.0 million (December 31, 2014 — $500.0 million). Amounts drawn down, together with outstanding letters of credit under the Credit Facility, resulted in Credit Facility availability of $824.0 million at June 30, 2015. During the six months ended June 30, 2015, Credit Facility drawdowns totaled $75.0 million and repayments totaled $200.0 million.</w:t>
      </w:r>
    </w:p>
    <w:p>
      <w:pPr>
        <w:spacing w:after="0" w:line="157"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In connection with its joint acquisition of Osisko on June 16, 2014, Canadian Malartic GP was assigned and assumed certain outstanding debt obligations of Osisko relating to the Canadian Malartic mine. Agnico Eagle's indirect attributable interest in such debt instruments included a secured loan facility. A scheduled repayment of C$20.0 million ($16.0 million) was made on June 30, 2015, resulting in attributable outstanding principal of C$40.0 million ($32.1 million) as at June 30, 2015.</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Convertible Debentures</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In connection with its joint acquisition of Osisko on June 16, 2014, Canadian Malartic GP was assigned and assumed certain outstanding debt obligations of Osisko relating to the Canadian Malartic mine. Agnico Eagle's indirect attributable interest in such debt instruments included Convertible Debentures with principal outstanding of C$37.5 million ($34.6 million), a November 2017 maturity date and a 6.875% interest rate.</w:t>
      </w:r>
    </w:p>
    <w:p>
      <w:pPr>
        <w:spacing w:after="0" w:line="188" w:lineRule="exact"/>
        <w:rPr>
          <w:sz w:val="20"/>
          <w:szCs w:val="20"/>
          <w:color w:val="auto"/>
        </w:rPr>
      </w:pPr>
    </w:p>
    <w:p>
      <w:pPr>
        <w:jc w:val="both"/>
        <w:ind w:left="520"/>
        <w:spacing w:after="0" w:line="266" w:lineRule="auto"/>
        <w:rPr>
          <w:sz w:val="20"/>
          <w:szCs w:val="20"/>
          <w:color w:val="auto"/>
        </w:rPr>
      </w:pPr>
      <w:r>
        <w:rPr>
          <w:rFonts w:ascii="Arial" w:cs="Arial" w:eastAsia="Arial" w:hAnsi="Arial"/>
          <w:sz w:val="12"/>
          <w:szCs w:val="12"/>
          <w:color w:val="auto"/>
        </w:rPr>
        <w:t>On June 30, 2015, the negotiated early settlement of all of the Convertible Debentures was completed. As a result of this settlement, 871,680 Agnico Eagle common shares with a fair value of $24.8 million were released from a depositary to the holders of the Convertible Debentures along with a cash payment of $10.1 million to settle the Company's obligation. In the three months ended June 30, 2015 a $2.0 million mark-to-market gain was recorded in the other expenses line item of the condensed interim consolidated statements of income and comprehensive income related to the Convertible Debentures, while a $2.4 million mark-to-market loss was recorded in the six months ended June 30, 2015. In the three and six months ended June 30, 2014, a $4.2 million mark-to-market loss</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0" w:name="page51"/>
    <w:bookmarkEnd w:id="5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10.  LONG-TERM DEBT (Continued)</w:t>
      </w:r>
    </w:p>
    <w:p>
      <w:pPr>
        <w:spacing w:after="0" w:line="208"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was recorded related to the Convertible Debentures. Additional cash consideration of $3.2 million was paid to the holders of the Convertible Debentures upon settlement and was recorded in the other expenses line item of the condensed interim consolidated statements of income and comprehensive income. As at June 30, 2015, the Convertible Debentures had principal outstanding of nil.</w:t>
      </w:r>
    </w:p>
    <w:p>
      <w:pPr>
        <w:spacing w:after="0" w:line="153"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11.  EQUITY</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Net Income Per Share</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sets out the weighted average number of common shares used in the calculation of basic and diluted net income per share:</w:t>
      </w:r>
    </w:p>
    <w:p>
      <w:pPr>
        <w:spacing w:after="0" w:line="195"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5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4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Three Months</w:t>
            </w:r>
          </w:p>
        </w:tc>
        <w:tc>
          <w:tcPr>
            <w:tcW w:w="140" w:type="dxa"/>
            <w:vAlign w:val="bottom"/>
          </w:tcPr>
          <w:p>
            <w:pPr>
              <w:spacing w:after="0"/>
              <w:rPr>
                <w:sz w:val="13"/>
                <w:szCs w:val="13"/>
                <w:color w:val="auto"/>
              </w:rPr>
            </w:pPr>
          </w:p>
        </w:tc>
        <w:tc>
          <w:tcPr>
            <w:tcW w:w="1420" w:type="dxa"/>
            <w:vAlign w:val="bottom"/>
            <w:gridSpan w:val="5"/>
          </w:tcPr>
          <w:p>
            <w:pPr>
              <w:jc w:val="center"/>
              <w:ind w:right="280"/>
              <w:spacing w:after="0"/>
              <w:rPr>
                <w:sz w:val="20"/>
                <w:szCs w:val="20"/>
                <w:color w:val="auto"/>
              </w:rPr>
            </w:pPr>
            <w:r>
              <w:rPr>
                <w:rFonts w:ascii="Arial" w:cs="Arial" w:eastAsia="Arial" w:hAnsi="Arial"/>
                <w:sz w:val="13"/>
                <w:szCs w:val="13"/>
                <w:b w:val="1"/>
                <w:bCs w:val="1"/>
                <w:color w:val="auto"/>
                <w:w w:val="89"/>
              </w:rPr>
              <w:t>Six Months</w:t>
            </w:r>
          </w:p>
        </w:tc>
        <w:tc>
          <w:tcPr>
            <w:tcW w:w="0" w:type="dxa"/>
            <w:vAlign w:val="bottom"/>
          </w:tcPr>
          <w:p>
            <w:pPr>
              <w:spacing w:after="0"/>
              <w:rPr>
                <w:sz w:val="1"/>
                <w:szCs w:val="1"/>
                <w:color w:val="auto"/>
              </w:rPr>
            </w:pPr>
          </w:p>
        </w:tc>
      </w:tr>
      <w:tr>
        <w:trPr>
          <w:trHeight w:val="157"/>
        </w:trPr>
        <w:tc>
          <w:tcPr>
            <w:tcW w:w="5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40" w:type="dxa"/>
            <w:vAlign w:val="bottom"/>
            <w:gridSpan w:val="5"/>
          </w:tcPr>
          <w:p>
            <w:pPr>
              <w:jc w:val="right"/>
              <w:ind w:right="440"/>
              <w:spacing w:after="0"/>
              <w:rPr>
                <w:sz w:val="20"/>
                <w:szCs w:val="20"/>
                <w:color w:val="auto"/>
              </w:rPr>
            </w:pPr>
            <w:r>
              <w:rPr>
                <w:rFonts w:ascii="Arial" w:cs="Arial" w:eastAsia="Arial" w:hAnsi="Arial"/>
                <w:sz w:val="13"/>
                <w:szCs w:val="13"/>
                <w:b w:val="1"/>
                <w:bCs w:val="1"/>
                <w:color w:val="auto"/>
              </w:rPr>
              <w:t>Ended June 30,</w:t>
            </w:r>
          </w:p>
        </w:tc>
        <w:tc>
          <w:tcPr>
            <w:tcW w:w="140" w:type="dxa"/>
            <w:vAlign w:val="bottom"/>
          </w:tcPr>
          <w:p>
            <w:pPr>
              <w:spacing w:after="0"/>
              <w:rPr>
                <w:sz w:val="13"/>
                <w:szCs w:val="13"/>
                <w:color w:val="auto"/>
              </w:rPr>
            </w:pPr>
          </w:p>
        </w:tc>
        <w:tc>
          <w:tcPr>
            <w:tcW w:w="1420" w:type="dxa"/>
            <w:vAlign w:val="bottom"/>
            <w:gridSpan w:val="5"/>
          </w:tcPr>
          <w:p>
            <w:pPr>
              <w:jc w:val="center"/>
              <w:ind w:right="280"/>
              <w:spacing w:after="0"/>
              <w:rPr>
                <w:sz w:val="20"/>
                <w:szCs w:val="20"/>
                <w:color w:val="auto"/>
              </w:rPr>
            </w:pPr>
            <w:r>
              <w:rPr>
                <w:rFonts w:ascii="Arial" w:cs="Arial" w:eastAsia="Arial" w:hAnsi="Arial"/>
                <w:sz w:val="13"/>
                <w:szCs w:val="13"/>
                <w:b w:val="1"/>
                <w:bCs w:val="1"/>
                <w:color w:val="auto"/>
                <w:w w:val="90"/>
              </w:rPr>
              <w:t>Ended June 30,</w:t>
            </w:r>
          </w:p>
        </w:tc>
        <w:tc>
          <w:tcPr>
            <w:tcW w:w="0" w:type="dxa"/>
            <w:vAlign w:val="bottom"/>
          </w:tcPr>
          <w:p>
            <w:pPr>
              <w:spacing w:after="0"/>
              <w:rPr>
                <w:sz w:val="1"/>
                <w:szCs w:val="1"/>
                <w:color w:val="auto"/>
              </w:rPr>
            </w:pPr>
          </w:p>
        </w:tc>
      </w:tr>
      <w:tr>
        <w:trPr>
          <w:trHeight w:val="137"/>
        </w:trPr>
        <w:tc>
          <w:tcPr>
            <w:tcW w:w="5980" w:type="dxa"/>
            <w:vAlign w:val="bottom"/>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2015</w:t>
            </w:r>
          </w:p>
        </w:tc>
        <w:tc>
          <w:tcPr>
            <w:tcW w:w="140" w:type="dxa"/>
            <w:vAlign w:val="bottom"/>
            <w:tcBorders>
              <w:top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48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w w:val="96"/>
              </w:rPr>
              <w:t>2015</w:t>
            </w:r>
          </w:p>
        </w:tc>
        <w:tc>
          <w:tcPr>
            <w:tcW w:w="160" w:type="dxa"/>
            <w:vAlign w:val="bottom"/>
            <w:tcBorders>
              <w:top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598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Net income for the period</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10,083</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w:t>
            </w:r>
          </w:p>
        </w:tc>
        <w:tc>
          <w:tcPr>
            <w:tcW w:w="6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22,158</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38,826</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119,303</w:t>
            </w:r>
          </w:p>
        </w:tc>
        <w:tc>
          <w:tcPr>
            <w:tcW w:w="0" w:type="dxa"/>
            <w:vAlign w:val="bottom"/>
          </w:tcPr>
          <w:p>
            <w:pPr>
              <w:spacing w:after="0"/>
              <w:rPr>
                <w:sz w:val="1"/>
                <w:szCs w:val="1"/>
                <w:color w:val="auto"/>
              </w:rPr>
            </w:pPr>
          </w:p>
        </w:tc>
      </w:tr>
      <w:tr>
        <w:trPr>
          <w:trHeight w:val="26"/>
        </w:trPr>
        <w:tc>
          <w:tcPr>
            <w:tcW w:w="5980" w:type="dxa"/>
            <w:vAlign w:val="bottom"/>
            <w:vMerge w:val="restart"/>
          </w:tcPr>
          <w:p>
            <w:pPr>
              <w:ind w:left="220"/>
              <w:spacing w:after="0"/>
              <w:rPr>
                <w:sz w:val="20"/>
                <w:szCs w:val="20"/>
                <w:color w:val="auto"/>
              </w:rPr>
            </w:pPr>
            <w:r>
              <w:rPr>
                <w:rFonts w:ascii="Arial" w:cs="Arial" w:eastAsia="Arial" w:hAnsi="Arial"/>
                <w:sz w:val="13"/>
                <w:szCs w:val="13"/>
                <w:color w:val="auto"/>
              </w:rPr>
              <w:t>Weighted average number of common shares outstanding — basic (in thousands)</w:t>
            </w: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5980" w:type="dxa"/>
            <w:vAlign w:val="bottom"/>
            <w:vMerge w:val="continue"/>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215,426</w:t>
            </w:r>
          </w:p>
        </w:tc>
        <w:tc>
          <w:tcPr>
            <w:tcW w:w="1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185,718</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w w:val="97"/>
              </w:rPr>
              <w:t>214,996</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179,845</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5980" w:type="dxa"/>
            <w:vAlign w:val="bottom"/>
            <w:shd w:val="clear" w:color="auto" w:fill="CCEEFF"/>
          </w:tcPr>
          <w:p>
            <w:pPr>
              <w:ind w:left="360"/>
              <w:spacing w:after="0" w:line="144" w:lineRule="exact"/>
              <w:rPr>
                <w:sz w:val="20"/>
                <w:szCs w:val="20"/>
                <w:color w:val="auto"/>
              </w:rPr>
            </w:pPr>
            <w:r>
              <w:rPr>
                <w:rFonts w:ascii="Arial" w:cs="Arial" w:eastAsia="Arial" w:hAnsi="Arial"/>
                <w:sz w:val="13"/>
                <w:szCs w:val="13"/>
                <w:color w:val="auto"/>
              </w:rPr>
              <w:t>Add: Dilutive impact of common shares related to the RSU plan and LTIP</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366</w:t>
            </w:r>
          </w:p>
        </w:tc>
        <w:tc>
          <w:tcPr>
            <w:tcW w:w="14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345</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302</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328</w:t>
            </w:r>
          </w:p>
        </w:tc>
        <w:tc>
          <w:tcPr>
            <w:tcW w:w="0" w:type="dxa"/>
            <w:vAlign w:val="bottom"/>
          </w:tcPr>
          <w:p>
            <w:pPr>
              <w:spacing w:after="0"/>
              <w:rPr>
                <w:sz w:val="1"/>
                <w:szCs w:val="1"/>
                <w:color w:val="auto"/>
              </w:rPr>
            </w:pPr>
          </w:p>
        </w:tc>
      </w:tr>
      <w:tr>
        <w:trPr>
          <w:trHeight w:val="168"/>
        </w:trPr>
        <w:tc>
          <w:tcPr>
            <w:tcW w:w="5980" w:type="dxa"/>
            <w:vAlign w:val="bottom"/>
          </w:tcPr>
          <w:p>
            <w:pPr>
              <w:ind w:left="360"/>
              <w:spacing w:after="0"/>
              <w:rPr>
                <w:sz w:val="20"/>
                <w:szCs w:val="20"/>
                <w:color w:val="auto"/>
              </w:rPr>
            </w:pPr>
            <w:r>
              <w:rPr>
                <w:rFonts w:ascii="Arial" w:cs="Arial" w:eastAsia="Arial" w:hAnsi="Arial"/>
                <w:sz w:val="13"/>
                <w:szCs w:val="13"/>
                <w:color w:val="auto"/>
              </w:rPr>
              <w:t>Add: Dilutive impact of employee stock options</w:t>
            </w:r>
          </w:p>
        </w:tc>
        <w:tc>
          <w:tcPr>
            <w:tcW w:w="14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930</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3"/>
                <w:szCs w:val="13"/>
                <w:color w:val="auto"/>
              </w:rPr>
              <w:t>219</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888</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180</w:t>
            </w: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598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Weighted average number of common shares outstanding — diluted (in thousands)</w:t>
            </w:r>
          </w:p>
        </w:tc>
        <w:tc>
          <w:tcPr>
            <w:tcW w:w="14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216,722</w:t>
            </w:r>
          </w:p>
        </w:tc>
        <w:tc>
          <w:tcPr>
            <w:tcW w:w="1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186,282</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216,186</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180,353</w:t>
            </w:r>
          </w:p>
        </w:tc>
        <w:tc>
          <w:tcPr>
            <w:tcW w:w="0" w:type="dxa"/>
            <w:vAlign w:val="bottom"/>
          </w:tcPr>
          <w:p>
            <w:pPr>
              <w:spacing w:after="0"/>
              <w:rPr>
                <w:sz w:val="1"/>
                <w:szCs w:val="1"/>
                <w:color w:val="auto"/>
              </w:rPr>
            </w:pPr>
          </w:p>
        </w:tc>
      </w:tr>
      <w:tr>
        <w:trPr>
          <w:trHeight w:val="26"/>
        </w:trPr>
        <w:tc>
          <w:tcPr>
            <w:tcW w:w="5980" w:type="dxa"/>
            <w:vAlign w:val="bottom"/>
            <w:vMerge w:val="restart"/>
          </w:tcPr>
          <w:p>
            <w:pPr>
              <w:ind w:left="220"/>
              <w:spacing w:after="0"/>
              <w:rPr>
                <w:sz w:val="20"/>
                <w:szCs w:val="20"/>
                <w:color w:val="auto"/>
              </w:rPr>
            </w:pPr>
            <w:r>
              <w:rPr>
                <w:rFonts w:ascii="Arial" w:cs="Arial" w:eastAsia="Arial" w:hAnsi="Arial"/>
                <w:sz w:val="13"/>
                <w:szCs w:val="13"/>
                <w:color w:val="auto"/>
              </w:rPr>
              <w:t>Net income per share — basic</w:t>
            </w: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980" w:type="dxa"/>
            <w:vAlign w:val="bottom"/>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5980" w:type="dxa"/>
            <w:vAlign w:val="bottom"/>
            <w:vMerge w:val="continue"/>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0.05</w:t>
            </w:r>
          </w:p>
        </w:tc>
        <w:tc>
          <w:tcPr>
            <w:tcW w:w="14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5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0.12</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0.18</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0.66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598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color w:val="auto"/>
              </w:rPr>
              <w:t>Net income per share — diluted</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0.05</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rPr>
              <w:t>$</w:t>
            </w:r>
          </w:p>
        </w:tc>
        <w:tc>
          <w:tcPr>
            <w:tcW w:w="66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0.12</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0.18</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0.66</w:t>
            </w:r>
          </w:p>
        </w:tc>
        <w:tc>
          <w:tcPr>
            <w:tcW w:w="0" w:type="dxa"/>
            <w:vAlign w:val="bottom"/>
          </w:tcPr>
          <w:p>
            <w:pPr>
              <w:spacing w:after="0"/>
              <w:rPr>
                <w:sz w:val="1"/>
                <w:szCs w:val="1"/>
                <w:color w:val="auto"/>
              </w:rPr>
            </w:pPr>
          </w:p>
        </w:tc>
      </w:tr>
      <w:tr>
        <w:trPr>
          <w:trHeight w:val="26"/>
        </w:trPr>
        <w:tc>
          <w:tcPr>
            <w:tcW w:w="59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Diluted net income per share has been calculated using the treasury stock method. In applying the treasury stock method, outstanding employee stock options with an exercise price greater than the average quoted market price of the common shares for the period outstanding are not included in the calculation of diluted net income per share as the impact would be anti-dilutive.</w:t>
      </w:r>
    </w:p>
    <w:p>
      <w:pPr>
        <w:spacing w:after="0" w:line="179"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For the three months ended June 30, 2015, 4,884,005 (three months ended June 30, 2014 — 9,277,235) employee stock options were excluded from the calculation of diluted net income per share as their impact would have been anti-dilutive. For the six months ended June 30, 2015, 4,864,005 (six months ended June 30, 2014 — 9,277,235) employee stock options were excluded from the calculation of diluted net income per share as their impact would have been anti-dilutive.</w:t>
      </w:r>
    </w:p>
    <w:p>
      <w:pPr>
        <w:spacing w:after="0" w:line="188" w:lineRule="exact"/>
        <w:rPr>
          <w:sz w:val="20"/>
          <w:szCs w:val="20"/>
          <w:color w:val="auto"/>
        </w:rPr>
      </w:pPr>
    </w:p>
    <w:p>
      <w:pPr>
        <w:jc w:val="both"/>
        <w:ind w:left="520"/>
        <w:spacing w:after="0" w:line="274" w:lineRule="auto"/>
        <w:rPr>
          <w:sz w:val="20"/>
          <w:szCs w:val="20"/>
          <w:color w:val="auto"/>
        </w:rPr>
      </w:pPr>
      <w:r>
        <w:rPr>
          <w:rFonts w:ascii="Arial" w:cs="Arial" w:eastAsia="Arial" w:hAnsi="Arial"/>
          <w:sz w:val="12"/>
          <w:szCs w:val="12"/>
          <w:color w:val="auto"/>
        </w:rPr>
        <w:t>The dilutive impact of the Convertible Debentures, including both their impact on diluted net income and the dilutive impact of related common shares held by a depositary in connection with any conversion thereof, has been excluded from the calculation of diluted net income per share for the three and six months ended June 30, 2015 and the three and six months ended June 30, 2014 as their impact would have been anti-dilutive. The Convertible Debentures were settled on June 30, 2015 (see note 10 to these condensed interim consolidated financial statements for details).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1" w:name="page52"/>
    <w:bookmarkEnd w:id="5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6180" w:type="dxa"/>
            <w:vAlign w:val="bottom"/>
            <w:gridSpan w:val="3"/>
          </w:tcPr>
          <w:p>
            <w:pPr>
              <w:spacing w:after="0"/>
              <w:rPr>
                <w:sz w:val="20"/>
                <w:szCs w:val="20"/>
                <w:color w:val="auto"/>
              </w:rPr>
            </w:pPr>
            <w:r>
              <w:rPr>
                <w:rFonts w:ascii="Arial" w:cs="Arial" w:eastAsia="Arial" w:hAnsi="Arial"/>
                <w:sz w:val="13"/>
                <w:szCs w:val="13"/>
                <w:b w:val="1"/>
                <w:bCs w:val="1"/>
                <w:color w:val="auto"/>
              </w:rPr>
              <w:t>12.  STOCK-BASED COMPENSATION</w:t>
            </w: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54"/>
        </w:trPr>
        <w:tc>
          <w:tcPr>
            <w:tcW w:w="860" w:type="dxa"/>
            <w:vAlign w:val="bottom"/>
          </w:tcPr>
          <w:p>
            <w:pPr>
              <w:ind w:left="520"/>
              <w:spacing w:after="0"/>
              <w:rPr>
                <w:sz w:val="20"/>
                <w:szCs w:val="20"/>
                <w:color w:val="auto"/>
              </w:rPr>
            </w:pPr>
            <w:r>
              <w:rPr>
                <w:rFonts w:ascii="Arial" w:cs="Arial" w:eastAsia="Arial" w:hAnsi="Arial"/>
                <w:sz w:val="13"/>
                <w:szCs w:val="13"/>
                <w:b w:val="1"/>
                <w:bCs w:val="1"/>
                <w:color w:val="auto"/>
              </w:rPr>
              <w:t>(a)</w:t>
            </w:r>
          </w:p>
        </w:tc>
        <w:tc>
          <w:tcPr>
            <w:tcW w:w="5320" w:type="dxa"/>
            <w:vAlign w:val="bottom"/>
            <w:gridSpan w:val="2"/>
          </w:tcPr>
          <w:p>
            <w:pPr>
              <w:ind w:left="200"/>
              <w:spacing w:after="0"/>
              <w:rPr>
                <w:sz w:val="20"/>
                <w:szCs w:val="20"/>
                <w:color w:val="auto"/>
              </w:rPr>
            </w:pPr>
            <w:r>
              <w:rPr>
                <w:rFonts w:ascii="Arial" w:cs="Arial" w:eastAsia="Arial" w:hAnsi="Arial"/>
                <w:sz w:val="13"/>
                <w:szCs w:val="13"/>
                <w:b w:val="1"/>
                <w:bCs w:val="1"/>
                <w:color w:val="auto"/>
              </w:rPr>
              <w:t>Employee Stock Option Plan ("ESOP")</w:t>
            </w: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6180" w:type="dxa"/>
            <w:vAlign w:val="bottom"/>
            <w:gridSpan w:val="3"/>
          </w:tcPr>
          <w:p>
            <w:pPr>
              <w:ind w:left="520"/>
              <w:spacing w:after="0"/>
              <w:rPr>
                <w:sz w:val="20"/>
                <w:szCs w:val="20"/>
                <w:color w:val="auto"/>
              </w:rPr>
            </w:pPr>
            <w:r>
              <w:rPr>
                <w:rFonts w:ascii="Arial" w:cs="Arial" w:eastAsia="Arial" w:hAnsi="Arial"/>
                <w:sz w:val="13"/>
                <w:szCs w:val="13"/>
                <w:color w:val="auto"/>
              </w:rPr>
              <w:t>The following table sets out activity with respect to Agnico Eagle's outstanding stock options:</w:t>
            </w: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204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0"/>
              </w:rPr>
              <w:t>Six Months Ended</w:t>
            </w:r>
          </w:p>
        </w:tc>
        <w:tc>
          <w:tcPr>
            <w:tcW w:w="2040" w:type="dxa"/>
            <w:vAlign w:val="bottom"/>
            <w:gridSpan w:val="5"/>
          </w:tcPr>
          <w:p>
            <w:pPr>
              <w:jc w:val="center"/>
              <w:ind w:right="120"/>
              <w:spacing w:after="0"/>
              <w:rPr>
                <w:sz w:val="20"/>
                <w:szCs w:val="20"/>
                <w:color w:val="auto"/>
              </w:rPr>
            </w:pPr>
            <w:r>
              <w:rPr>
                <w:rFonts w:ascii="Arial" w:cs="Arial" w:eastAsia="Arial" w:hAnsi="Arial"/>
                <w:sz w:val="13"/>
                <w:szCs w:val="13"/>
                <w:b w:val="1"/>
                <w:bCs w:val="1"/>
                <w:color w:val="auto"/>
                <w:w w:val="92"/>
              </w:rPr>
              <w:t>Six Months Ended</w:t>
            </w:r>
          </w:p>
        </w:tc>
        <w:tc>
          <w:tcPr>
            <w:tcW w:w="0" w:type="dxa"/>
            <w:vAlign w:val="bottom"/>
          </w:tcPr>
          <w:p>
            <w:pPr>
              <w:spacing w:after="0"/>
              <w:rPr>
                <w:sz w:val="1"/>
                <w:szCs w:val="1"/>
                <w:color w:val="auto"/>
              </w:rPr>
            </w:pPr>
          </w:p>
        </w:tc>
      </w:tr>
      <w:tr>
        <w:trPr>
          <w:trHeight w:val="157"/>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tcPr>
          <w:p>
            <w:pPr>
              <w:spacing w:after="0"/>
              <w:rPr>
                <w:sz w:val="13"/>
                <w:szCs w:val="13"/>
                <w:color w:val="auto"/>
              </w:rPr>
            </w:pPr>
          </w:p>
        </w:tc>
        <w:tc>
          <w:tcPr>
            <w:tcW w:w="204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2"/>
              </w:rPr>
              <w:t>June 30, 2015</w:t>
            </w:r>
          </w:p>
        </w:tc>
        <w:tc>
          <w:tcPr>
            <w:tcW w:w="2040" w:type="dxa"/>
            <w:vAlign w:val="bottom"/>
            <w:gridSpan w:val="5"/>
          </w:tcPr>
          <w:p>
            <w:pPr>
              <w:jc w:val="center"/>
              <w:ind w:right="120"/>
              <w:spacing w:after="0"/>
              <w:rPr>
                <w:sz w:val="20"/>
                <w:szCs w:val="20"/>
                <w:color w:val="auto"/>
              </w:rPr>
            </w:pPr>
            <w:r>
              <w:rPr>
                <w:rFonts w:ascii="Arial" w:cs="Arial" w:eastAsia="Arial" w:hAnsi="Arial"/>
                <w:sz w:val="13"/>
                <w:szCs w:val="13"/>
                <w:b w:val="1"/>
                <w:bCs w:val="1"/>
                <w:color w:val="auto"/>
                <w:w w:val="89"/>
              </w:rPr>
              <w:t>June 30, 2014</w:t>
            </w:r>
          </w:p>
        </w:tc>
        <w:tc>
          <w:tcPr>
            <w:tcW w:w="0" w:type="dxa"/>
            <w:vAlign w:val="bottom"/>
          </w:tcPr>
          <w:p>
            <w:pPr>
              <w:spacing w:after="0"/>
              <w:rPr>
                <w:sz w:val="1"/>
                <w:szCs w:val="1"/>
                <w:color w:val="auto"/>
              </w:rPr>
            </w:pPr>
          </w:p>
        </w:tc>
      </w:tr>
      <w:tr>
        <w:trPr>
          <w:trHeight w:val="124"/>
        </w:trPr>
        <w:tc>
          <w:tcPr>
            <w:tcW w:w="8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040" w:type="dxa"/>
            <w:vAlign w:val="bottom"/>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center"/>
              <w:ind w:right="114"/>
              <w:spacing w:after="0" w:line="124" w:lineRule="exact"/>
              <w:rPr>
                <w:sz w:val="20"/>
                <w:szCs w:val="20"/>
                <w:color w:val="auto"/>
              </w:rPr>
            </w:pPr>
            <w:r>
              <w:rPr>
                <w:rFonts w:ascii="Arial" w:cs="Arial" w:eastAsia="Arial" w:hAnsi="Arial"/>
                <w:sz w:val="13"/>
                <w:szCs w:val="13"/>
                <w:b w:val="1"/>
                <w:bCs w:val="1"/>
                <w:color w:val="auto"/>
                <w:w w:val="88"/>
              </w:rPr>
              <w:t>Weighted</w:t>
            </w:r>
          </w:p>
        </w:tc>
        <w:tc>
          <w:tcPr>
            <w:tcW w:w="160" w:type="dxa"/>
            <w:vAlign w:val="bottom"/>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114"/>
              <w:spacing w:after="0" w:line="124" w:lineRule="exact"/>
              <w:rPr>
                <w:sz w:val="20"/>
                <w:szCs w:val="20"/>
                <w:color w:val="auto"/>
              </w:rPr>
            </w:pPr>
            <w:r>
              <w:rPr>
                <w:rFonts w:ascii="Arial" w:cs="Arial" w:eastAsia="Arial" w:hAnsi="Arial"/>
                <w:sz w:val="13"/>
                <w:szCs w:val="13"/>
                <w:b w:val="1"/>
                <w:bCs w:val="1"/>
                <w:color w:val="auto"/>
                <w:w w:val="92"/>
              </w:rPr>
              <w:t>Weighted</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2"/>
              </w:rPr>
              <w:t>Number of</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9"/>
              </w:rPr>
              <w:t>Average</w:t>
            </w: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2"/>
              </w:rPr>
              <w:t>Number of</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9"/>
              </w:rPr>
              <w:t>Average</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0"/>
              </w:rPr>
              <w:t>Stock</w:t>
            </w:r>
          </w:p>
        </w:tc>
        <w:tc>
          <w:tcPr>
            <w:tcW w:w="200" w:type="dxa"/>
            <w:vAlign w:val="bottom"/>
          </w:tcPr>
          <w:p>
            <w:pPr>
              <w:spacing w:after="0"/>
              <w:rPr>
                <w:sz w:val="12"/>
                <w:szCs w:val="12"/>
                <w:color w:val="auto"/>
              </w:rPr>
            </w:pPr>
          </w:p>
        </w:tc>
        <w:tc>
          <w:tcPr>
            <w:tcW w:w="940" w:type="dxa"/>
            <w:vAlign w:val="bottom"/>
            <w:gridSpan w:val="2"/>
          </w:tcPr>
          <w:p>
            <w:pPr>
              <w:jc w:val="center"/>
              <w:ind w:right="340"/>
              <w:spacing w:after="0" w:line="144" w:lineRule="exact"/>
              <w:rPr>
                <w:sz w:val="20"/>
                <w:szCs w:val="20"/>
                <w:color w:val="auto"/>
              </w:rPr>
            </w:pPr>
            <w:r>
              <w:rPr>
                <w:rFonts w:ascii="Arial" w:cs="Arial" w:eastAsia="Arial" w:hAnsi="Arial"/>
                <w:sz w:val="13"/>
                <w:szCs w:val="13"/>
                <w:b w:val="1"/>
                <w:bCs w:val="1"/>
                <w:color w:val="auto"/>
                <w:w w:val="89"/>
              </w:rPr>
              <w:t>Exercise</w:t>
            </w: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0"/>
              </w:rPr>
              <w:t>Stock</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5"/>
              </w:rPr>
              <w:t>Exercise</w:t>
            </w:r>
          </w:p>
        </w:tc>
        <w:tc>
          <w:tcPr>
            <w:tcW w:w="0" w:type="dxa"/>
            <w:vAlign w:val="bottom"/>
          </w:tcPr>
          <w:p>
            <w:pPr>
              <w:spacing w:after="0"/>
              <w:rPr>
                <w:sz w:val="1"/>
                <w:szCs w:val="1"/>
                <w:color w:val="auto"/>
              </w:rPr>
            </w:pPr>
          </w:p>
        </w:tc>
      </w:tr>
      <w:tr>
        <w:trPr>
          <w:trHeight w:val="157"/>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tcPr>
          <w:p>
            <w:pPr>
              <w:spacing w:after="0"/>
              <w:rPr>
                <w:sz w:val="13"/>
                <w:szCs w:val="13"/>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Options</w:t>
            </w:r>
          </w:p>
        </w:tc>
        <w:tc>
          <w:tcPr>
            <w:tcW w:w="1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center"/>
              <w:ind w:right="114"/>
              <w:spacing w:after="0"/>
              <w:rPr>
                <w:sz w:val="20"/>
                <w:szCs w:val="20"/>
                <w:color w:val="auto"/>
              </w:rPr>
            </w:pPr>
            <w:r>
              <w:rPr>
                <w:rFonts w:ascii="Arial" w:cs="Arial" w:eastAsia="Arial" w:hAnsi="Arial"/>
                <w:sz w:val="13"/>
                <w:szCs w:val="13"/>
                <w:b w:val="1"/>
                <w:bCs w:val="1"/>
                <w:color w:val="auto"/>
                <w:w w:val="87"/>
              </w:rPr>
              <w:t>Price</w:t>
            </w:r>
          </w:p>
        </w:tc>
        <w:tc>
          <w:tcPr>
            <w:tcW w:w="160" w:type="dxa"/>
            <w:vAlign w:val="bottom"/>
          </w:tcPr>
          <w:p>
            <w:pPr>
              <w:spacing w:after="0"/>
              <w:rPr>
                <w:sz w:val="13"/>
                <w:szCs w:val="13"/>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Options</w:t>
            </w:r>
          </w:p>
        </w:tc>
        <w:tc>
          <w:tcPr>
            <w:tcW w:w="14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center"/>
              <w:ind w:right="114"/>
              <w:spacing w:after="0"/>
              <w:rPr>
                <w:sz w:val="20"/>
                <w:szCs w:val="20"/>
                <w:color w:val="auto"/>
              </w:rPr>
            </w:pPr>
            <w:r>
              <w:rPr>
                <w:rFonts w:ascii="Arial" w:cs="Arial" w:eastAsia="Arial" w:hAnsi="Arial"/>
                <w:sz w:val="13"/>
                <w:szCs w:val="13"/>
                <w:b w:val="1"/>
                <w:bCs w:val="1"/>
                <w:color w:val="auto"/>
                <w:w w:val="94"/>
              </w:rPr>
              <w:t>Price</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8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4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Outstanding, beginning of period</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11,913,210</w:t>
            </w:r>
          </w:p>
        </w:tc>
        <w:tc>
          <w:tcPr>
            <w:tcW w:w="20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ind w:left="500"/>
              <w:spacing w:after="0" w:line="138" w:lineRule="exact"/>
              <w:rPr>
                <w:sz w:val="20"/>
                <w:szCs w:val="20"/>
                <w:color w:val="auto"/>
              </w:rPr>
            </w:pPr>
            <w:r>
              <w:rPr>
                <w:rFonts w:ascii="Arial" w:cs="Arial" w:eastAsia="Arial" w:hAnsi="Arial"/>
                <w:sz w:val="13"/>
                <w:szCs w:val="13"/>
                <w:color w:val="auto"/>
              </w:rPr>
              <w:t>48.84</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11,283,535</w:t>
            </w:r>
          </w:p>
        </w:tc>
        <w:tc>
          <w:tcPr>
            <w:tcW w:w="20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56.02</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ind w:left="220"/>
              <w:spacing w:after="0" w:line="144" w:lineRule="exact"/>
              <w:rPr>
                <w:sz w:val="20"/>
                <w:szCs w:val="20"/>
                <w:color w:val="auto"/>
              </w:rPr>
            </w:pPr>
            <w:r>
              <w:rPr>
                <w:rFonts w:ascii="Arial" w:cs="Arial" w:eastAsia="Arial" w:hAnsi="Arial"/>
                <w:sz w:val="13"/>
                <w:szCs w:val="13"/>
                <w:color w:val="auto"/>
              </w:rPr>
              <w:t>Granted</w:t>
            </w: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3,068,080</w:t>
            </w:r>
          </w:p>
        </w:tc>
        <w:tc>
          <w:tcPr>
            <w:tcW w:w="200" w:type="dxa"/>
            <w:vAlign w:val="bottom"/>
          </w:tcPr>
          <w:p>
            <w:pPr>
              <w:spacing w:after="0"/>
              <w:rPr>
                <w:sz w:val="12"/>
                <w:szCs w:val="12"/>
                <w:color w:val="auto"/>
              </w:rPr>
            </w:pPr>
          </w:p>
        </w:tc>
        <w:tc>
          <w:tcPr>
            <w:tcW w:w="940" w:type="dxa"/>
            <w:vAlign w:val="bottom"/>
            <w:gridSpan w:val="2"/>
          </w:tcPr>
          <w:p>
            <w:pPr>
              <w:ind w:left="500"/>
              <w:spacing w:after="0" w:line="144" w:lineRule="exact"/>
              <w:rPr>
                <w:sz w:val="20"/>
                <w:szCs w:val="20"/>
                <w:color w:val="auto"/>
              </w:rPr>
            </w:pPr>
            <w:r>
              <w:rPr>
                <w:rFonts w:ascii="Arial" w:cs="Arial" w:eastAsia="Arial" w:hAnsi="Arial"/>
                <w:sz w:val="13"/>
                <w:szCs w:val="13"/>
                <w:color w:val="auto"/>
              </w:rPr>
              <w:t>29.09</w:t>
            </w: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3,180,000</w:t>
            </w:r>
          </w:p>
        </w:tc>
        <w:tc>
          <w:tcPr>
            <w:tcW w:w="20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28.04</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Exercised</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(529,733)</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ind w:left="500"/>
              <w:spacing w:after="0" w:line="144" w:lineRule="exact"/>
              <w:rPr>
                <w:sz w:val="20"/>
                <w:szCs w:val="20"/>
                <w:color w:val="auto"/>
              </w:rPr>
            </w:pPr>
            <w:r>
              <w:rPr>
                <w:rFonts w:ascii="Arial" w:cs="Arial" w:eastAsia="Arial" w:hAnsi="Arial"/>
                <w:sz w:val="13"/>
                <w:szCs w:val="13"/>
                <w:color w:val="auto"/>
              </w:rPr>
              <w:t>29.88</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(377,425)</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29.90</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ind w:left="220"/>
              <w:spacing w:after="0" w:line="144" w:lineRule="exact"/>
              <w:rPr>
                <w:sz w:val="20"/>
                <w:szCs w:val="20"/>
                <w:color w:val="auto"/>
              </w:rPr>
            </w:pPr>
            <w:r>
              <w:rPr>
                <w:rFonts w:ascii="Arial" w:cs="Arial" w:eastAsia="Arial" w:hAnsi="Arial"/>
                <w:sz w:val="13"/>
                <w:szCs w:val="13"/>
                <w:color w:val="auto"/>
              </w:rPr>
              <w:t>Forfeited</w:t>
            </w:r>
          </w:p>
        </w:tc>
        <w:tc>
          <w:tcPr>
            <w:tcW w:w="90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(53,764)</w:t>
            </w:r>
          </w:p>
        </w:tc>
        <w:tc>
          <w:tcPr>
            <w:tcW w:w="200" w:type="dxa"/>
            <w:vAlign w:val="bottom"/>
          </w:tcPr>
          <w:p>
            <w:pPr>
              <w:spacing w:after="0"/>
              <w:rPr>
                <w:sz w:val="12"/>
                <w:szCs w:val="12"/>
                <w:color w:val="auto"/>
              </w:rPr>
            </w:pPr>
          </w:p>
        </w:tc>
        <w:tc>
          <w:tcPr>
            <w:tcW w:w="940" w:type="dxa"/>
            <w:vAlign w:val="bottom"/>
            <w:gridSpan w:val="2"/>
          </w:tcPr>
          <w:p>
            <w:pPr>
              <w:ind w:left="500"/>
              <w:spacing w:after="0" w:line="144" w:lineRule="exact"/>
              <w:rPr>
                <w:sz w:val="20"/>
                <w:szCs w:val="20"/>
                <w:color w:val="auto"/>
              </w:rPr>
            </w:pPr>
            <w:r>
              <w:rPr>
                <w:rFonts w:ascii="Arial" w:cs="Arial" w:eastAsia="Arial" w:hAnsi="Arial"/>
                <w:sz w:val="13"/>
                <w:szCs w:val="13"/>
                <w:color w:val="auto"/>
              </w:rPr>
              <w:t>45.34</w:t>
            </w:r>
          </w:p>
        </w:tc>
        <w:tc>
          <w:tcPr>
            <w:tcW w:w="90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(211,250)</w:t>
            </w:r>
          </w:p>
        </w:tc>
        <w:tc>
          <w:tcPr>
            <w:tcW w:w="20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52.24</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Expired</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(2,032,331)</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ind w:left="500"/>
              <w:spacing w:after="0" w:line="144" w:lineRule="exact"/>
              <w:rPr>
                <w:sz w:val="20"/>
                <w:szCs w:val="20"/>
                <w:color w:val="auto"/>
              </w:rPr>
            </w:pPr>
            <w:r>
              <w:rPr>
                <w:rFonts w:ascii="Arial" w:cs="Arial" w:eastAsia="Arial" w:hAnsi="Arial"/>
                <w:sz w:val="13"/>
                <w:szCs w:val="13"/>
                <w:color w:val="auto"/>
              </w:rPr>
              <w:t>57.01</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(1,724,150)</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62.64</w:t>
            </w:r>
          </w:p>
        </w:tc>
        <w:tc>
          <w:tcPr>
            <w:tcW w:w="0" w:type="dxa"/>
            <w:vAlign w:val="bottom"/>
          </w:tcPr>
          <w:p>
            <w:pPr>
              <w:spacing w:after="0"/>
              <w:rPr>
                <w:sz w:val="1"/>
                <w:szCs w:val="1"/>
                <w:color w:val="auto"/>
              </w:rPr>
            </w:pPr>
          </w:p>
        </w:tc>
      </w:tr>
      <w:tr>
        <w:trPr>
          <w:trHeight w:val="26"/>
        </w:trPr>
        <w:tc>
          <w:tcPr>
            <w:tcW w:w="860" w:type="dxa"/>
            <w:vAlign w:val="bottom"/>
          </w:tcPr>
          <w:p>
            <w:pPr>
              <w:spacing w:after="0"/>
              <w:rPr>
                <w:sz w:val="2"/>
                <w:szCs w:val="2"/>
                <w:color w:val="auto"/>
              </w:rPr>
            </w:pPr>
          </w:p>
        </w:tc>
        <w:tc>
          <w:tcPr>
            <w:tcW w:w="280" w:type="dxa"/>
            <w:vAlign w:val="bottom"/>
          </w:tcPr>
          <w:p>
            <w:pPr>
              <w:spacing w:after="0"/>
              <w:rPr>
                <w:sz w:val="2"/>
                <w:szCs w:val="2"/>
                <w:color w:val="auto"/>
              </w:rPr>
            </w:pPr>
          </w:p>
        </w:tc>
        <w:tc>
          <w:tcPr>
            <w:tcW w:w="5040" w:type="dxa"/>
            <w:vAlign w:val="bottom"/>
            <w:vMerge w:val="restart"/>
          </w:tcPr>
          <w:p>
            <w:pPr>
              <w:ind w:left="220"/>
              <w:spacing w:after="0"/>
              <w:rPr>
                <w:sz w:val="20"/>
                <w:szCs w:val="20"/>
                <w:color w:val="auto"/>
              </w:rPr>
            </w:pPr>
            <w:r>
              <w:rPr>
                <w:rFonts w:ascii="Arial" w:cs="Arial" w:eastAsia="Arial" w:hAnsi="Arial"/>
                <w:sz w:val="13"/>
                <w:szCs w:val="13"/>
                <w:color w:val="auto"/>
              </w:rPr>
              <w:t>Outstanding, end of period</w:t>
            </w:r>
          </w:p>
        </w:tc>
        <w:tc>
          <w:tcPr>
            <w:tcW w:w="9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9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vMerge w:val="continue"/>
          </w:tcPr>
          <w:p>
            <w:pPr>
              <w:spacing w:after="0"/>
              <w:rPr>
                <w:sz w:val="13"/>
                <w:szCs w:val="13"/>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12,365,462</w:t>
            </w:r>
          </w:p>
        </w:tc>
        <w:tc>
          <w:tcPr>
            <w:tcW w:w="160" w:type="dxa"/>
            <w:vAlign w:val="bottom"/>
          </w:tcPr>
          <w:p>
            <w:pPr>
              <w:spacing w:after="0"/>
              <w:rPr>
                <w:sz w:val="13"/>
                <w:szCs w:val="13"/>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w w:val="96"/>
              </w:rPr>
              <w:t>C$</w:t>
            </w:r>
          </w:p>
        </w:tc>
        <w:tc>
          <w:tcPr>
            <w:tcW w:w="780" w:type="dxa"/>
            <w:vAlign w:val="bottom"/>
            <w:tcBorders>
              <w:top w:val="single" w:sz="8" w:color="auto"/>
              <w:bottom w:val="single" w:sz="8" w:color="auto"/>
            </w:tcBorders>
          </w:tcPr>
          <w:p>
            <w:pPr>
              <w:ind w:left="500"/>
              <w:spacing w:after="0"/>
              <w:rPr>
                <w:sz w:val="20"/>
                <w:szCs w:val="20"/>
                <w:color w:val="auto"/>
              </w:rPr>
            </w:pPr>
            <w:r>
              <w:rPr>
                <w:rFonts w:ascii="Arial" w:cs="Arial" w:eastAsia="Arial" w:hAnsi="Arial"/>
                <w:sz w:val="13"/>
                <w:szCs w:val="13"/>
                <w:color w:val="auto"/>
                <w:w w:val="79"/>
              </w:rPr>
              <w:t>43.43</w:t>
            </w:r>
          </w:p>
        </w:tc>
        <w:tc>
          <w:tcPr>
            <w:tcW w:w="160" w:type="dxa"/>
            <w:vAlign w:val="bottom"/>
          </w:tcPr>
          <w:p>
            <w:pPr>
              <w:spacing w:after="0"/>
              <w:rPr>
                <w:sz w:val="13"/>
                <w:szCs w:val="13"/>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12,150,710</w:t>
            </w:r>
          </w:p>
        </w:tc>
        <w:tc>
          <w:tcPr>
            <w:tcW w:w="140" w:type="dxa"/>
            <w:vAlign w:val="bottom"/>
          </w:tcPr>
          <w:p>
            <w:pPr>
              <w:spacing w:after="0"/>
              <w:rPr>
                <w:sz w:val="13"/>
                <w:szCs w:val="13"/>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w w:val="96"/>
              </w:rPr>
              <w:t>C$</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48.63</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8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04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color w:val="auto"/>
              </w:rPr>
              <w:t>Options exercisable, end of period</w:t>
            </w:r>
          </w:p>
        </w:tc>
        <w:tc>
          <w:tcPr>
            <w:tcW w:w="90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7,762,445</w:t>
            </w:r>
          </w:p>
        </w:tc>
        <w:tc>
          <w:tcPr>
            <w:tcW w:w="200" w:type="dxa"/>
            <w:vAlign w:val="bottom"/>
            <w:shd w:val="clear" w:color="auto" w:fill="CCEEFF"/>
          </w:tcPr>
          <w:p>
            <w:pPr>
              <w:ind w:left="20"/>
              <w:spacing w:after="0" w:line="126"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ind w:left="500"/>
              <w:spacing w:after="0" w:line="126" w:lineRule="exact"/>
              <w:rPr>
                <w:sz w:val="20"/>
                <w:szCs w:val="20"/>
                <w:color w:val="auto"/>
              </w:rPr>
            </w:pPr>
            <w:r>
              <w:rPr>
                <w:rFonts w:ascii="Arial" w:cs="Arial" w:eastAsia="Arial" w:hAnsi="Arial"/>
                <w:sz w:val="13"/>
                <w:szCs w:val="13"/>
                <w:color w:val="auto"/>
              </w:rPr>
              <w:t>50.19</w:t>
            </w:r>
          </w:p>
        </w:tc>
        <w:tc>
          <w:tcPr>
            <w:tcW w:w="90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7,739,210</w:t>
            </w:r>
          </w:p>
        </w:tc>
        <w:tc>
          <w:tcPr>
            <w:tcW w:w="200" w:type="dxa"/>
            <w:vAlign w:val="bottom"/>
            <w:shd w:val="clear" w:color="auto" w:fill="CCEEFF"/>
          </w:tcPr>
          <w:p>
            <w:pPr>
              <w:ind w:left="20"/>
              <w:spacing w:after="0" w:line="126"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55.42</w:t>
            </w:r>
          </w:p>
        </w:tc>
        <w:tc>
          <w:tcPr>
            <w:tcW w:w="0" w:type="dxa"/>
            <w:vAlign w:val="bottom"/>
          </w:tcPr>
          <w:p>
            <w:pPr>
              <w:spacing w:after="0"/>
              <w:rPr>
                <w:sz w:val="1"/>
                <w:szCs w:val="1"/>
                <w:color w:val="auto"/>
              </w:rPr>
            </w:pPr>
          </w:p>
        </w:tc>
      </w:tr>
      <w:tr>
        <w:trPr>
          <w:trHeight w:val="26"/>
        </w:trPr>
        <w:tc>
          <w:tcPr>
            <w:tcW w:w="860" w:type="dxa"/>
            <w:vAlign w:val="bottom"/>
          </w:tcPr>
          <w:p>
            <w:pPr>
              <w:spacing w:after="0"/>
              <w:rPr>
                <w:sz w:val="2"/>
                <w:szCs w:val="2"/>
                <w:color w:val="auto"/>
              </w:rPr>
            </w:pPr>
          </w:p>
        </w:tc>
        <w:tc>
          <w:tcPr>
            <w:tcW w:w="280" w:type="dxa"/>
            <w:vAlign w:val="bottom"/>
          </w:tcPr>
          <w:p>
            <w:pPr>
              <w:spacing w:after="0"/>
              <w:rPr>
                <w:sz w:val="2"/>
                <w:szCs w:val="2"/>
                <w:color w:val="auto"/>
              </w:rPr>
            </w:pPr>
          </w:p>
        </w:tc>
        <w:tc>
          <w:tcPr>
            <w:tcW w:w="504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average share price of Agnico Eagle's common shares during the six months ended June 30, 2015 was C$38.16 (six months ended June 30, 2014 — C$34.67).</w:t>
      </w:r>
    </w:p>
    <w:p>
      <w:pPr>
        <w:spacing w:after="0" w:line="204" w:lineRule="exact"/>
        <w:rPr>
          <w:sz w:val="20"/>
          <w:szCs w:val="20"/>
          <w:color w:val="auto"/>
        </w:rPr>
      </w:pPr>
    </w:p>
    <w:tbl>
      <w:tblPr>
        <w:tblLayout w:type="fixed"/>
        <w:tblInd w:w="520" w:type="dxa"/>
        <w:tblCellMar>
          <w:top w:w="0" w:type="dxa"/>
          <w:left w:w="0" w:type="dxa"/>
          <w:bottom w:w="0" w:type="dxa"/>
          <w:right w:w="0" w:type="dxa"/>
        </w:tblCellMar>
      </w:tblPr>
      <w:tr>
        <w:trPr>
          <w:trHeight w:val="165"/>
        </w:trPr>
        <w:tc>
          <w:tcPr>
            <w:tcW w:w="8100" w:type="dxa"/>
            <w:vAlign w:val="bottom"/>
            <w:gridSpan w:val="2"/>
          </w:tcPr>
          <w:p>
            <w:pPr>
              <w:spacing w:after="0"/>
              <w:rPr>
                <w:sz w:val="20"/>
                <w:szCs w:val="20"/>
                <w:color w:val="auto"/>
              </w:rPr>
            </w:pPr>
            <w:r>
              <w:rPr>
                <w:rFonts w:ascii="Arial" w:cs="Arial" w:eastAsia="Arial" w:hAnsi="Arial"/>
                <w:sz w:val="13"/>
                <w:szCs w:val="13"/>
                <w:color w:val="auto"/>
                <w:w w:val="92"/>
              </w:rPr>
              <w:t>Agnico Eagle estimated the fair value of stock options under the Black-Scholes option pricing model using the following weighted average assumptions:</w:t>
            </w: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329"/>
        </w:trPr>
        <w:tc>
          <w:tcPr>
            <w:tcW w:w="620" w:type="dxa"/>
            <w:vAlign w:val="bottom"/>
          </w:tcPr>
          <w:p>
            <w:pPr>
              <w:spacing w:after="0"/>
              <w:rPr>
                <w:sz w:val="24"/>
                <w:szCs w:val="24"/>
                <w:color w:val="auto"/>
              </w:rPr>
            </w:pPr>
          </w:p>
        </w:tc>
        <w:tc>
          <w:tcPr>
            <w:tcW w:w="7480" w:type="dxa"/>
            <w:vAlign w:val="bottom"/>
          </w:tcPr>
          <w:p>
            <w:pPr>
              <w:spacing w:after="0"/>
              <w:rPr>
                <w:sz w:val="24"/>
                <w:szCs w:val="24"/>
                <w:color w:val="auto"/>
              </w:rPr>
            </w:pPr>
          </w:p>
        </w:tc>
        <w:tc>
          <w:tcPr>
            <w:tcW w:w="164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0"/>
              </w:rPr>
              <w:t>Six Months Ended</w:t>
            </w:r>
          </w:p>
        </w:tc>
      </w:tr>
      <w:tr>
        <w:trPr>
          <w:trHeight w:val="157"/>
        </w:trPr>
        <w:tc>
          <w:tcPr>
            <w:tcW w:w="620" w:type="dxa"/>
            <w:vAlign w:val="bottom"/>
          </w:tcPr>
          <w:p>
            <w:pPr>
              <w:spacing w:after="0"/>
              <w:rPr>
                <w:sz w:val="13"/>
                <w:szCs w:val="13"/>
                <w:color w:val="auto"/>
              </w:rPr>
            </w:pPr>
          </w:p>
        </w:tc>
        <w:tc>
          <w:tcPr>
            <w:tcW w:w="7480" w:type="dxa"/>
            <w:vAlign w:val="bottom"/>
          </w:tcPr>
          <w:p>
            <w:pPr>
              <w:spacing w:after="0"/>
              <w:rPr>
                <w:sz w:val="13"/>
                <w:szCs w:val="13"/>
                <w:color w:val="auto"/>
              </w:rPr>
            </w:pPr>
          </w:p>
        </w:tc>
        <w:tc>
          <w:tcPr>
            <w:tcW w:w="1000" w:type="dxa"/>
            <w:vAlign w:val="bottom"/>
            <w:tcBorders>
              <w:bottom w:val="single" w:sz="8" w:color="auto"/>
            </w:tcBorders>
            <w:gridSpan w:val="3"/>
          </w:tcPr>
          <w:p>
            <w:pPr>
              <w:jc w:val="center"/>
              <w:ind w:left="434"/>
              <w:spacing w:after="0"/>
              <w:rPr>
                <w:sz w:val="20"/>
                <w:szCs w:val="20"/>
                <w:color w:val="auto"/>
              </w:rPr>
            </w:pPr>
            <w:r>
              <w:rPr>
                <w:rFonts w:ascii="Arial" w:cs="Arial" w:eastAsia="Arial" w:hAnsi="Arial"/>
                <w:sz w:val="13"/>
                <w:szCs w:val="13"/>
                <w:b w:val="1"/>
                <w:bCs w:val="1"/>
                <w:color w:val="auto"/>
                <w:w w:val="88"/>
              </w:rPr>
              <w:t>June 30,</w:t>
            </w:r>
          </w:p>
        </w:tc>
        <w:tc>
          <w:tcPr>
            <w:tcW w:w="5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r>
      <w:tr>
        <w:trPr>
          <w:trHeight w:val="137"/>
        </w:trPr>
        <w:tc>
          <w:tcPr>
            <w:tcW w:w="620" w:type="dxa"/>
            <w:vAlign w:val="bottom"/>
          </w:tcPr>
          <w:p>
            <w:pPr>
              <w:spacing w:after="0"/>
              <w:rPr>
                <w:sz w:val="11"/>
                <w:szCs w:val="11"/>
                <w:color w:val="auto"/>
              </w:rPr>
            </w:pPr>
          </w:p>
        </w:tc>
        <w:tc>
          <w:tcPr>
            <w:tcW w:w="7480" w:type="dxa"/>
            <w:vAlign w:val="bottom"/>
          </w:tcPr>
          <w:p>
            <w:pPr>
              <w:spacing w:after="0"/>
              <w:rPr>
                <w:sz w:val="11"/>
                <w:szCs w:val="11"/>
                <w:color w:val="auto"/>
              </w:rPr>
            </w:pPr>
          </w:p>
        </w:tc>
        <w:tc>
          <w:tcPr>
            <w:tcW w:w="66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w w:val="96"/>
              </w:rPr>
              <w:t>2014</w:t>
            </w:r>
          </w:p>
        </w:tc>
        <w:tc>
          <w:tcPr>
            <w:tcW w:w="140" w:type="dxa"/>
            <w:vAlign w:val="bottom"/>
          </w:tcPr>
          <w:p>
            <w:pPr>
              <w:spacing w:after="0"/>
              <w:rPr>
                <w:sz w:val="11"/>
                <w:szCs w:val="11"/>
                <w:color w:val="auto"/>
              </w:rPr>
            </w:pPr>
          </w:p>
        </w:tc>
      </w:tr>
      <w:tr>
        <w:trPr>
          <w:trHeight w:val="137"/>
        </w:trPr>
        <w:tc>
          <w:tcPr>
            <w:tcW w:w="620" w:type="dxa"/>
            <w:vAlign w:val="bottom"/>
          </w:tcPr>
          <w:p>
            <w:pPr>
              <w:spacing w:after="0"/>
              <w:rPr>
                <w:sz w:val="11"/>
                <w:szCs w:val="11"/>
                <w:color w:val="auto"/>
              </w:rPr>
            </w:pPr>
          </w:p>
        </w:tc>
        <w:tc>
          <w:tcPr>
            <w:tcW w:w="748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Risk-free interest rate</w:t>
            </w:r>
          </w:p>
        </w:tc>
        <w:tc>
          <w:tcPr>
            <w:tcW w:w="82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1.50%</w:t>
            </w:r>
          </w:p>
        </w:tc>
        <w:tc>
          <w:tcPr>
            <w:tcW w:w="180" w:type="dxa"/>
            <w:vAlign w:val="bottom"/>
            <w:shd w:val="clear" w:color="auto" w:fill="CCEEFF"/>
          </w:tcPr>
          <w:p>
            <w:pPr>
              <w:spacing w:after="0"/>
              <w:rPr>
                <w:sz w:val="11"/>
                <w:szCs w:val="11"/>
                <w:color w:val="auto"/>
              </w:rPr>
            </w:pP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1.52%</w:t>
            </w:r>
          </w:p>
        </w:tc>
      </w:tr>
      <w:tr>
        <w:trPr>
          <w:trHeight w:val="144"/>
        </w:trPr>
        <w:tc>
          <w:tcPr>
            <w:tcW w:w="620" w:type="dxa"/>
            <w:vAlign w:val="bottom"/>
          </w:tcPr>
          <w:p>
            <w:pPr>
              <w:spacing w:after="0"/>
              <w:rPr>
                <w:sz w:val="12"/>
                <w:szCs w:val="12"/>
                <w:color w:val="auto"/>
              </w:rPr>
            </w:pPr>
          </w:p>
        </w:tc>
        <w:tc>
          <w:tcPr>
            <w:tcW w:w="7480" w:type="dxa"/>
            <w:vAlign w:val="bottom"/>
          </w:tcPr>
          <w:p>
            <w:pPr>
              <w:ind w:left="220"/>
              <w:spacing w:after="0" w:line="144" w:lineRule="exact"/>
              <w:rPr>
                <w:sz w:val="20"/>
                <w:szCs w:val="20"/>
                <w:color w:val="auto"/>
              </w:rPr>
            </w:pPr>
            <w:r>
              <w:rPr>
                <w:rFonts w:ascii="Arial" w:cs="Arial" w:eastAsia="Arial" w:hAnsi="Arial"/>
                <w:sz w:val="13"/>
                <w:szCs w:val="13"/>
                <w:color w:val="auto"/>
              </w:rPr>
              <w:t>Expected life of stock options (in years)</w:t>
            </w:r>
          </w:p>
        </w:tc>
        <w:tc>
          <w:tcPr>
            <w:tcW w:w="8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2.7</w:t>
            </w:r>
          </w:p>
        </w:tc>
        <w:tc>
          <w:tcPr>
            <w:tcW w:w="180" w:type="dxa"/>
            <w:vAlign w:val="bottom"/>
          </w:tcPr>
          <w:p>
            <w:pPr>
              <w:spacing w:after="0"/>
              <w:rPr>
                <w:sz w:val="12"/>
                <w:szCs w:val="12"/>
                <w:color w:val="auto"/>
              </w:rPr>
            </w:pP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2.6</w:t>
            </w:r>
          </w:p>
        </w:tc>
      </w:tr>
      <w:tr>
        <w:trPr>
          <w:trHeight w:val="144"/>
        </w:trPr>
        <w:tc>
          <w:tcPr>
            <w:tcW w:w="620" w:type="dxa"/>
            <w:vAlign w:val="bottom"/>
          </w:tcPr>
          <w:p>
            <w:pPr>
              <w:spacing w:after="0"/>
              <w:rPr>
                <w:sz w:val="12"/>
                <w:szCs w:val="12"/>
                <w:color w:val="auto"/>
              </w:rPr>
            </w:pPr>
          </w:p>
        </w:tc>
        <w:tc>
          <w:tcPr>
            <w:tcW w:w="748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Expected volatility of Agnico Eagle's share price</w:t>
            </w:r>
          </w:p>
        </w:tc>
        <w:tc>
          <w:tcPr>
            <w:tcW w:w="8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45.0%</w:t>
            </w:r>
          </w:p>
        </w:tc>
        <w:tc>
          <w:tcPr>
            <w:tcW w:w="1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42.5%</w:t>
            </w:r>
          </w:p>
        </w:tc>
      </w:tr>
      <w:tr>
        <w:trPr>
          <w:trHeight w:val="165"/>
        </w:trPr>
        <w:tc>
          <w:tcPr>
            <w:tcW w:w="620" w:type="dxa"/>
            <w:vAlign w:val="bottom"/>
          </w:tcPr>
          <w:p>
            <w:pPr>
              <w:spacing w:after="0"/>
              <w:rPr>
                <w:sz w:val="14"/>
                <w:szCs w:val="14"/>
                <w:color w:val="auto"/>
              </w:rPr>
            </w:pPr>
          </w:p>
        </w:tc>
        <w:tc>
          <w:tcPr>
            <w:tcW w:w="7480" w:type="dxa"/>
            <w:vAlign w:val="bottom"/>
          </w:tcPr>
          <w:p>
            <w:pPr>
              <w:ind w:left="220"/>
              <w:spacing w:after="0"/>
              <w:rPr>
                <w:sz w:val="20"/>
                <w:szCs w:val="20"/>
                <w:color w:val="auto"/>
              </w:rPr>
            </w:pPr>
            <w:r>
              <w:rPr>
                <w:rFonts w:ascii="Arial" w:cs="Arial" w:eastAsia="Arial" w:hAnsi="Arial"/>
                <w:sz w:val="13"/>
                <w:szCs w:val="13"/>
                <w:color w:val="auto"/>
              </w:rPr>
              <w:t>Expected dividend yield</w:t>
            </w:r>
          </w:p>
        </w:tc>
        <w:tc>
          <w:tcPr>
            <w:tcW w:w="820" w:type="dxa"/>
            <w:vAlign w:val="bottom"/>
            <w:gridSpan w:val="2"/>
          </w:tcPr>
          <w:p>
            <w:pPr>
              <w:jc w:val="right"/>
              <w:ind w:right="140"/>
              <w:spacing w:after="0"/>
              <w:rPr>
                <w:sz w:val="20"/>
                <w:szCs w:val="20"/>
                <w:color w:val="auto"/>
              </w:rPr>
            </w:pPr>
            <w:r>
              <w:rPr>
                <w:rFonts w:ascii="Arial" w:cs="Arial" w:eastAsia="Arial" w:hAnsi="Arial"/>
                <w:sz w:val="13"/>
                <w:szCs w:val="13"/>
                <w:color w:val="auto"/>
              </w:rPr>
              <w:t>1.69%</w:t>
            </w:r>
          </w:p>
        </w:tc>
        <w:tc>
          <w:tcPr>
            <w:tcW w:w="18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3.83%</w:t>
            </w:r>
          </w:p>
        </w:tc>
      </w:tr>
    </w:tbl>
    <w:p>
      <w:pPr>
        <w:spacing w:after="0" w:line="180" w:lineRule="exact"/>
        <w:rPr>
          <w:sz w:val="20"/>
          <w:szCs w:val="20"/>
          <w:color w:val="auto"/>
        </w:rPr>
      </w:pPr>
    </w:p>
    <w:p>
      <w:pPr>
        <w:jc w:val="both"/>
        <w:ind w:left="520"/>
        <w:spacing w:after="0" w:line="238" w:lineRule="auto"/>
        <w:rPr>
          <w:sz w:val="20"/>
          <w:szCs w:val="20"/>
          <w:color w:val="auto"/>
        </w:rPr>
      </w:pPr>
      <w:r>
        <w:rPr>
          <w:rFonts w:ascii="Arial" w:cs="Arial" w:eastAsia="Arial" w:hAnsi="Arial"/>
          <w:sz w:val="13"/>
          <w:szCs w:val="13"/>
          <w:color w:val="auto"/>
        </w:rPr>
        <w:t>The total compensation expense for the ESOP recorded in the general and administrative line item of the condensed interim consolidated statements of income and comprehensive income during the three months ended June 30, 2015 was $4.2 million (three months ended June 30, 2014 — $4.6 million) and $12.2 million for the six months ended June 30, 2015 (six months ended June 30, 2014 — $13.1 million). Of the total compensation cost for the ESOP, $0.1 million was capitalized as part of the property, plant and mine development line item of the condensed interim consolidated balance sheets for the three months ended June 30, 2015 (three months ended June 30, 2014 — $0.2 million) and $0.4 million for the six months ended June 30, 2015 (six months ended June 30, 2014 — $0.5 million).</w:t>
      </w:r>
    </w:p>
    <w:p>
      <w:pPr>
        <w:spacing w:after="0" w:line="172" w:lineRule="exact"/>
        <w:rPr>
          <w:sz w:val="20"/>
          <w:szCs w:val="20"/>
          <w:color w:val="auto"/>
        </w:rPr>
      </w:pPr>
    </w:p>
    <w:p>
      <w:pPr>
        <w:ind w:left="1060" w:hanging="531"/>
        <w:spacing w:after="0"/>
        <w:tabs>
          <w:tab w:leader="none" w:pos="1060" w:val="left"/>
        </w:tabs>
        <w:numPr>
          <w:ilvl w:val="0"/>
          <w:numId w:val="22"/>
        </w:numPr>
        <w:rPr>
          <w:rFonts w:ascii="Arial" w:cs="Arial" w:eastAsia="Arial" w:hAnsi="Arial"/>
          <w:sz w:val="13"/>
          <w:szCs w:val="13"/>
          <w:b w:val="1"/>
          <w:bCs w:val="1"/>
          <w:color w:val="auto"/>
        </w:rPr>
      </w:pPr>
      <w:r>
        <w:rPr>
          <w:rFonts w:ascii="Arial" w:cs="Arial" w:eastAsia="Arial" w:hAnsi="Arial"/>
          <w:sz w:val="13"/>
          <w:szCs w:val="13"/>
          <w:b w:val="1"/>
          <w:bCs w:val="1"/>
          <w:color w:val="auto"/>
        </w:rPr>
        <w:t>Restricted Share Unit Plan</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During the six months ended June 30, 2015, 423,822 (six months ended June 30, 2014 — 294,080) RSUs were granted with a grant date fair value of $11.9 million (six months ended June 30, 2014 — $8.4 million). In the first six months of 2015, the Company funded the RSU plan by transferring $11.5 million (first six months of 2014 — $7.5 million) to an employee benefit trust that then purchased common shares of the Company in the open market.</w:t>
      </w:r>
    </w:p>
    <w:p>
      <w:pPr>
        <w:spacing w:after="0" w:line="18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Compensation expense related to the RSU plan was $2.9 million for the three months ended June 30, 2015 (three months ended June 30, 2014 — $3.9 million) and $5.7 million for the six months ended June 30, 2015 (six months ended June 30, 2014 — $6.6 million). Compensation expense related to the RSU plan is included as part of the general and administrative line item of the condensed interim consolidated statements of income and comprehensive income.</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2" w:name="page53"/>
    <w:bookmarkEnd w:id="5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ind w:left="260" w:hanging="255"/>
        <w:spacing w:after="0"/>
        <w:tabs>
          <w:tab w:leader="none" w:pos="260" w:val="left"/>
        </w:tabs>
        <w:numPr>
          <w:ilvl w:val="0"/>
          <w:numId w:val="23"/>
        </w:numPr>
        <w:rPr>
          <w:rFonts w:ascii="Arial" w:cs="Arial" w:eastAsia="Arial" w:hAnsi="Arial"/>
          <w:sz w:val="13"/>
          <w:szCs w:val="13"/>
          <w:b w:val="1"/>
          <w:bCs w:val="1"/>
          <w:color w:val="auto"/>
        </w:rPr>
      </w:pPr>
      <w:r>
        <w:rPr>
          <w:rFonts w:ascii="Arial" w:cs="Arial" w:eastAsia="Arial" w:hAnsi="Arial"/>
          <w:sz w:val="13"/>
          <w:szCs w:val="13"/>
          <w:b w:val="1"/>
          <w:bCs w:val="1"/>
          <w:color w:val="auto"/>
        </w:rPr>
        <w:t>STOCK-BASED COMPENSATION (Continued)</w:t>
      </w:r>
    </w:p>
    <w:p>
      <w:pPr>
        <w:spacing w:after="0" w:line="191" w:lineRule="exact"/>
        <w:rPr>
          <w:rFonts w:ascii="Arial" w:cs="Arial" w:eastAsia="Arial" w:hAnsi="Arial"/>
          <w:sz w:val="13"/>
          <w:szCs w:val="13"/>
          <w:b w:val="1"/>
          <w:bCs w:val="1"/>
          <w:color w:val="auto"/>
        </w:rPr>
      </w:pPr>
    </w:p>
    <w:p>
      <w:pPr>
        <w:ind w:left="1060" w:hanging="531"/>
        <w:spacing w:after="0"/>
        <w:tabs>
          <w:tab w:leader="none" w:pos="1060" w:val="left"/>
        </w:tabs>
        <w:numPr>
          <w:ilvl w:val="1"/>
          <w:numId w:val="23"/>
        </w:numPr>
        <w:rPr>
          <w:rFonts w:ascii="Arial" w:cs="Arial" w:eastAsia="Arial" w:hAnsi="Arial"/>
          <w:sz w:val="13"/>
          <w:szCs w:val="13"/>
          <w:b w:val="1"/>
          <w:bCs w:val="1"/>
          <w:color w:val="auto"/>
        </w:rPr>
      </w:pPr>
      <w:r>
        <w:rPr>
          <w:rFonts w:ascii="Arial" w:cs="Arial" w:eastAsia="Arial" w:hAnsi="Arial"/>
          <w:sz w:val="13"/>
          <w:szCs w:val="13"/>
          <w:b w:val="1"/>
          <w:bCs w:val="1"/>
          <w:color w:val="auto"/>
        </w:rPr>
        <w:t>Incentive Share Purchase Plan</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During the six months ended June 30, 2015, 254,743 common shares were subscribed for under the incentive share purchase plan (the "Purchase Plan") (six months ended June 30, 2014 — 238,042) for a value of $7.4 million (six months ended June 30, 2014 — $8.1 million). The total compensation cost recognized in the six months ended June 30, 2015 related to the Purchase Plan was $2.5 million (six months ended June 30, 2014 — $2.7 million).</w:t>
      </w:r>
    </w:p>
    <w:p>
      <w:pPr>
        <w:spacing w:after="0" w:line="184" w:lineRule="exact"/>
        <w:rPr>
          <w:sz w:val="20"/>
          <w:szCs w:val="20"/>
          <w:color w:val="auto"/>
        </w:rPr>
      </w:pPr>
    </w:p>
    <w:p>
      <w:pPr>
        <w:ind w:left="520" w:right="8580" w:hanging="515"/>
        <w:spacing w:after="0" w:line="571" w:lineRule="auto"/>
        <w:tabs>
          <w:tab w:leader="none" w:pos="258" w:val="left"/>
        </w:tabs>
        <w:numPr>
          <w:ilvl w:val="0"/>
          <w:numId w:val="24"/>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DERIVATIVE FINANCIAL INSTRUMENTS </w:t>
      </w:r>
      <w:r>
        <w:rPr>
          <w:rFonts w:ascii="Arial" w:cs="Arial" w:eastAsia="Arial" w:hAnsi="Arial"/>
          <w:sz w:val="13"/>
          <w:szCs w:val="13"/>
          <w:b w:val="1"/>
          <w:bCs w:val="1"/>
          <w:i w:val="1"/>
          <w:iCs w:val="1"/>
          <w:color w:val="auto"/>
        </w:rPr>
        <w:t>Currency Risk Management</w:t>
      </w:r>
    </w:p>
    <w:p>
      <w:pPr>
        <w:spacing w:after="0" w:line="1" w:lineRule="exact"/>
        <w:rPr>
          <w:sz w:val="20"/>
          <w:szCs w:val="20"/>
          <w:color w:val="auto"/>
        </w:rPr>
      </w:pPr>
    </w:p>
    <w:p>
      <w:pPr>
        <w:jc w:val="both"/>
        <w:ind w:left="520"/>
        <w:spacing w:after="0" w:line="266" w:lineRule="auto"/>
        <w:rPr>
          <w:sz w:val="20"/>
          <w:szCs w:val="20"/>
          <w:color w:val="auto"/>
        </w:rPr>
      </w:pPr>
      <w:r>
        <w:rPr>
          <w:rFonts w:ascii="Arial" w:cs="Arial" w:eastAsia="Arial" w:hAnsi="Arial"/>
          <w:sz w:val="12"/>
          <w:szCs w:val="12"/>
          <w:color w:val="auto"/>
        </w:rPr>
        <w:t>The Company utilizes foreign exchange economic hedges to reduce the variability in expected future cash flows arising from changes in foreign currency exchange rates. The Company is primarily exposed to currency fluctuations relative to the US dollar as a portion of the Company's operating costs and capital expenditures are denominated in foreign currencies; primarily the Canadian dollar, the Euro and the Mexican peso. These potential currency fluctuations increase the volatility of, and could have a significant impact on, the Company's production costs. The economic hedges relate to a portion of the foreign currency denominated cash outflows arising from foreign currency denominated expenditures. The Company does not apply hedge accounting to these arrangements.</w:t>
      </w:r>
    </w:p>
    <w:p>
      <w:pPr>
        <w:spacing w:after="0" w:line="175" w:lineRule="exact"/>
        <w:rPr>
          <w:sz w:val="20"/>
          <w:szCs w:val="20"/>
          <w:color w:val="auto"/>
        </w:rPr>
      </w:pPr>
    </w:p>
    <w:p>
      <w:pPr>
        <w:jc w:val="both"/>
        <w:ind w:left="520"/>
        <w:spacing w:after="0" w:line="266" w:lineRule="auto"/>
        <w:rPr>
          <w:sz w:val="20"/>
          <w:szCs w:val="20"/>
          <w:color w:val="auto"/>
        </w:rPr>
      </w:pPr>
      <w:r>
        <w:rPr>
          <w:rFonts w:ascii="Arial" w:cs="Arial" w:eastAsia="Arial" w:hAnsi="Arial"/>
          <w:sz w:val="12"/>
          <w:szCs w:val="12"/>
          <w:color w:val="auto"/>
        </w:rPr>
        <w:t>As at June 30, 2015, the Company had outstanding foreign exchange zero cost collars. The purchase of US dollar put options was financed through selling US dollar call options at a higher level such that the net premium payable to the different counterparties by the Company was nil. At June 30, 2015, the zero cost collars related to $343.0 million of 2015 expenditures and the Company recognized mark-to-market adjustments in the gain on derivative financial instruments line item of the condensed interim consolidated statements of income and comprehensive income. Mark-to-market gains (losses) related to foreign exchange derivative financial instruments are recorded at fair value based on broker-dealer quotations that utilize period end forward pricing of the applicable foreign currency to calculate fair value.</w:t>
      </w:r>
    </w:p>
    <w:p>
      <w:pPr>
        <w:spacing w:after="0" w:line="175"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The Company's other foreign currency derivative strategies in 2015 and 2014 consisted mainly of writing US dollar call options with short maturities to generate premiums that would, in essence, enhance the spot transaction rate received when exchanging US dollars for Canadian dollars. All of these derivative transactions expired prior to period end such that no derivatives were outstanding as at June 30, 2015 or December 31, 2014. The call option premiums were recognized in the gain on derivative financial instruments line item of the condensed interim consolidated statements of income and comprehensive income.</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Commodity Price Risk Management</w:t>
      </w:r>
    </w:p>
    <w:p>
      <w:pPr>
        <w:spacing w:after="0" w:line="204"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To mitigate the risks associated with fluctuating diesel fuel prices, the Company uses derivative financial instruments as economic hedges of the price risk on a portion of diesel fuel costs associated with the Meadowbank mine's diesel fuel exposure as it relates to operating costs. There were derivative financial instruments outstanding at June 30, 2015 relating to 14.0 million gallons of heating oil. The related mark-to-market adjustments prior to settlement were recognized in the gain on derivative financial instruments line item of the condensed interim consolidated statements of income and comprehensive income. The Company does not apply hedge accounting to these arrangements.</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Mark-to-market gains (losses) related to heating oil derivative financial instruments are based on broker-dealer quotations that utilize period end forward pricing to calculate fair value.</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As at June 30, 2015 and December 31, 2014, there were no metal derivative positions. The Company may from time to time utilize short-term financial instruments as part of its strategy to minimize risks and optimize returns on its by-product metal sales.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3" w:name="page54"/>
    <w:bookmarkEnd w:id="5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13.  DERIVATIVE FINANCIAL INSTRUMENTS (Continued)</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The following table sets out a summary of the amounts recognized in the gain on derivative financial instruments line item of the condensed interim consolidated statements of income and comprehensive income:</w:t>
      </w:r>
    </w:p>
    <w:p>
      <w:pPr>
        <w:spacing w:after="0" w:line="17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1260" w:type="dxa"/>
            <w:vAlign w:val="bottom"/>
          </w:tcPr>
          <w:p>
            <w:pPr>
              <w:spacing w:after="0"/>
              <w:rPr>
                <w:sz w:val="13"/>
                <w:szCs w:val="13"/>
                <w:color w:val="auto"/>
              </w:rPr>
            </w:pPr>
          </w:p>
        </w:tc>
        <w:tc>
          <w:tcPr>
            <w:tcW w:w="4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40" w:type="dxa"/>
            <w:vAlign w:val="bottom"/>
            <w:gridSpan w:val="6"/>
          </w:tcPr>
          <w:p>
            <w:pPr>
              <w:jc w:val="right"/>
              <w:ind w:right="300"/>
              <w:spacing w:after="0"/>
              <w:rPr>
                <w:sz w:val="20"/>
                <w:szCs w:val="20"/>
                <w:color w:val="auto"/>
              </w:rPr>
            </w:pPr>
            <w:r>
              <w:rPr>
                <w:rFonts w:ascii="Arial" w:cs="Arial" w:eastAsia="Arial" w:hAnsi="Arial"/>
                <w:sz w:val="13"/>
                <w:szCs w:val="13"/>
                <w:b w:val="1"/>
                <w:bCs w:val="1"/>
                <w:color w:val="auto"/>
                <w:w w:val="94"/>
              </w:rPr>
              <w:t>Three Months Ended</w:t>
            </w:r>
          </w:p>
        </w:tc>
        <w:tc>
          <w:tcPr>
            <w:tcW w:w="140" w:type="dxa"/>
            <w:vAlign w:val="bottom"/>
          </w:tcPr>
          <w:p>
            <w:pPr>
              <w:spacing w:after="0"/>
              <w:rPr>
                <w:sz w:val="13"/>
                <w:szCs w:val="13"/>
                <w:color w:val="auto"/>
              </w:rPr>
            </w:pPr>
          </w:p>
        </w:tc>
        <w:tc>
          <w:tcPr>
            <w:tcW w:w="1500" w:type="dxa"/>
            <w:vAlign w:val="bottom"/>
            <w:gridSpan w:val="5"/>
          </w:tcPr>
          <w:p>
            <w:pPr>
              <w:jc w:val="right"/>
              <w:ind w:right="380"/>
              <w:spacing w:after="0"/>
              <w:rPr>
                <w:sz w:val="20"/>
                <w:szCs w:val="20"/>
                <w:color w:val="auto"/>
              </w:rPr>
            </w:pPr>
            <w:r>
              <w:rPr>
                <w:rFonts w:ascii="Arial" w:cs="Arial" w:eastAsia="Arial" w:hAnsi="Arial"/>
                <w:sz w:val="13"/>
                <w:szCs w:val="13"/>
                <w:b w:val="1"/>
                <w:bCs w:val="1"/>
                <w:color w:val="auto"/>
                <w:w w:val="97"/>
              </w:rPr>
              <w:t>Six Months Ended</w:t>
            </w:r>
          </w:p>
        </w:tc>
        <w:tc>
          <w:tcPr>
            <w:tcW w:w="0" w:type="dxa"/>
            <w:vAlign w:val="bottom"/>
          </w:tcPr>
          <w:p>
            <w:pPr>
              <w:spacing w:after="0"/>
              <w:rPr>
                <w:sz w:val="1"/>
                <w:szCs w:val="1"/>
                <w:color w:val="auto"/>
              </w:rPr>
            </w:pPr>
          </w:p>
        </w:tc>
      </w:tr>
      <w:tr>
        <w:trPr>
          <w:trHeight w:val="157"/>
        </w:trPr>
        <w:tc>
          <w:tcPr>
            <w:tcW w:w="1260" w:type="dxa"/>
            <w:vAlign w:val="bottom"/>
          </w:tcPr>
          <w:p>
            <w:pPr>
              <w:spacing w:after="0"/>
              <w:rPr>
                <w:sz w:val="13"/>
                <w:szCs w:val="13"/>
                <w:color w:val="auto"/>
              </w:rPr>
            </w:pPr>
          </w:p>
        </w:tc>
        <w:tc>
          <w:tcPr>
            <w:tcW w:w="45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gridSpan w:val="4"/>
          </w:tcPr>
          <w:p>
            <w:pPr>
              <w:jc w:val="right"/>
              <w:spacing w:after="0"/>
              <w:rPr>
                <w:sz w:val="20"/>
                <w:szCs w:val="20"/>
                <w:color w:val="auto"/>
              </w:rPr>
            </w:pPr>
            <w:r>
              <w:rPr>
                <w:rFonts w:ascii="Arial" w:cs="Arial" w:eastAsia="Arial" w:hAnsi="Arial"/>
                <w:sz w:val="13"/>
                <w:szCs w:val="13"/>
                <w:b w:val="1"/>
                <w:bCs w:val="1"/>
                <w:color w:val="auto"/>
              </w:rPr>
              <w:t>June 30,</w:t>
            </w:r>
          </w:p>
        </w:tc>
        <w:tc>
          <w:tcPr>
            <w:tcW w:w="48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June 30,</w:t>
            </w:r>
          </w:p>
        </w:tc>
        <w:tc>
          <w:tcPr>
            <w:tcW w:w="5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260" w:type="dxa"/>
            <w:vAlign w:val="bottom"/>
          </w:tcPr>
          <w:p>
            <w:pPr>
              <w:spacing w:after="0"/>
              <w:rPr>
                <w:sz w:val="11"/>
                <w:szCs w:val="11"/>
                <w:color w:val="auto"/>
              </w:rPr>
            </w:pPr>
          </w:p>
        </w:tc>
        <w:tc>
          <w:tcPr>
            <w:tcW w:w="456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rPr>
              <w:t>2015</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w w:val="89"/>
              </w:rPr>
              <w:t>2014</w:t>
            </w:r>
          </w:p>
        </w:tc>
        <w:tc>
          <w:tcPr>
            <w:tcW w:w="16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w w:val="96"/>
              </w:rPr>
              <w:t>2014</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5820" w:type="dxa"/>
            <w:vAlign w:val="bottom"/>
            <w:gridSpan w:val="2"/>
            <w:shd w:val="clear" w:color="auto" w:fill="CCEEFF"/>
          </w:tcPr>
          <w:p>
            <w:pPr>
              <w:ind w:left="220"/>
              <w:spacing w:after="0" w:line="138" w:lineRule="exact"/>
              <w:rPr>
                <w:sz w:val="20"/>
                <w:szCs w:val="20"/>
                <w:color w:val="auto"/>
              </w:rPr>
            </w:pPr>
            <w:r>
              <w:rPr>
                <w:rFonts w:ascii="Arial" w:cs="Arial" w:eastAsia="Arial" w:hAnsi="Arial"/>
                <w:sz w:val="13"/>
                <w:szCs w:val="13"/>
                <w:color w:val="auto"/>
              </w:rPr>
              <w:t>Premiums realized on written foreign exchange call options</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w:t>
            </w:r>
          </w:p>
        </w:tc>
        <w:tc>
          <w:tcPr>
            <w:tcW w:w="580" w:type="dxa"/>
            <w:vAlign w:val="bottom"/>
            <w:gridSpan w:val="2"/>
            <w:shd w:val="clear" w:color="auto" w:fill="CCEEFF"/>
          </w:tcPr>
          <w:p>
            <w:pPr>
              <w:jc w:val="right"/>
              <w:ind w:right="20"/>
              <w:spacing w:after="0" w:line="138" w:lineRule="exact"/>
              <w:rPr>
                <w:sz w:val="20"/>
                <w:szCs w:val="20"/>
                <w:color w:val="auto"/>
              </w:rPr>
            </w:pPr>
            <w:r>
              <w:rPr>
                <w:rFonts w:ascii="Arial" w:cs="Arial" w:eastAsia="Arial" w:hAnsi="Arial"/>
                <w:sz w:val="13"/>
                <w:szCs w:val="13"/>
                <w:color w:val="auto"/>
              </w:rPr>
              <w:t>697</w:t>
            </w: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jc w:val="right"/>
              <w:ind w:right="34"/>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403</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1,362</w:t>
            </w:r>
          </w:p>
        </w:tc>
        <w:tc>
          <w:tcPr>
            <w:tcW w:w="180" w:type="dxa"/>
            <w:vAlign w:val="bottom"/>
            <w:shd w:val="clear" w:color="auto" w:fill="CCEEFF"/>
          </w:tcPr>
          <w:p>
            <w:pPr>
              <w:jc w:val="right"/>
              <w:ind w:right="34"/>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1,235</w:t>
            </w:r>
          </w:p>
        </w:tc>
        <w:tc>
          <w:tcPr>
            <w:tcW w:w="0" w:type="dxa"/>
            <w:vAlign w:val="bottom"/>
          </w:tcPr>
          <w:p>
            <w:pPr>
              <w:spacing w:after="0"/>
              <w:rPr>
                <w:sz w:val="1"/>
                <w:szCs w:val="1"/>
                <w:color w:val="auto"/>
              </w:rPr>
            </w:pPr>
          </w:p>
        </w:tc>
      </w:tr>
      <w:tr>
        <w:trPr>
          <w:trHeight w:val="144"/>
        </w:trPr>
        <w:tc>
          <w:tcPr>
            <w:tcW w:w="582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Realized (loss) gain on warrants</w:t>
            </w:r>
          </w:p>
        </w:tc>
        <w:tc>
          <w:tcPr>
            <w:tcW w:w="120" w:type="dxa"/>
            <w:vAlign w:val="bottom"/>
          </w:tcPr>
          <w:p>
            <w:pPr>
              <w:spacing w:after="0"/>
              <w:rPr>
                <w:sz w:val="12"/>
                <w:szCs w:val="12"/>
                <w:color w:val="auto"/>
              </w:rPr>
            </w:pPr>
          </w:p>
        </w:tc>
        <w:tc>
          <w:tcPr>
            <w:tcW w:w="720" w:type="dxa"/>
            <w:vAlign w:val="bottom"/>
            <w:gridSpan w:val="3"/>
          </w:tcPr>
          <w:p>
            <w:pPr>
              <w:jc w:val="right"/>
              <w:ind w:right="120"/>
              <w:spacing w:after="0" w:line="144" w:lineRule="exact"/>
              <w:rPr>
                <w:sz w:val="20"/>
                <w:szCs w:val="20"/>
                <w:color w:val="auto"/>
              </w:rPr>
            </w:pPr>
            <w:r>
              <w:rPr>
                <w:rFonts w:ascii="Arial" w:cs="Arial" w:eastAsia="Arial" w:hAnsi="Arial"/>
                <w:sz w:val="13"/>
                <w:szCs w:val="13"/>
                <w:color w:val="auto"/>
              </w:rPr>
              <w:t>(593)</w:t>
            </w:r>
          </w:p>
        </w:tc>
        <w:tc>
          <w:tcPr>
            <w:tcW w:w="180" w:type="dxa"/>
            <w:vAlign w:val="bottom"/>
          </w:tcPr>
          <w:p>
            <w:pPr>
              <w:spacing w:after="0"/>
              <w:rPr>
                <w:sz w:val="12"/>
                <w:szCs w:val="12"/>
                <w:color w:val="auto"/>
              </w:rPr>
            </w:pPr>
          </w:p>
        </w:tc>
        <w:tc>
          <w:tcPr>
            <w:tcW w:w="6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9,071</w:t>
            </w:r>
          </w:p>
        </w:tc>
        <w:tc>
          <w:tcPr>
            <w:tcW w:w="180" w:type="dxa"/>
            <w:vAlign w:val="bottom"/>
          </w:tcPr>
          <w:p>
            <w:pPr>
              <w:spacing w:after="0"/>
              <w:rPr>
                <w:sz w:val="12"/>
                <w:szCs w:val="12"/>
                <w:color w:val="auto"/>
              </w:rPr>
            </w:pPr>
          </w:p>
        </w:tc>
        <w:tc>
          <w:tcPr>
            <w:tcW w:w="6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(185)</w:t>
            </w:r>
          </w:p>
        </w:tc>
        <w:tc>
          <w:tcPr>
            <w:tcW w:w="0" w:type="dxa"/>
            <w:vAlign w:val="bottom"/>
          </w:tcPr>
          <w:p>
            <w:pPr>
              <w:spacing w:after="0"/>
              <w:rPr>
                <w:sz w:val="1"/>
                <w:szCs w:val="1"/>
                <w:color w:val="auto"/>
              </w:rPr>
            </w:pPr>
          </w:p>
        </w:tc>
      </w:tr>
      <w:tr>
        <w:trPr>
          <w:trHeight w:val="170"/>
        </w:trPr>
        <w:tc>
          <w:tcPr>
            <w:tcW w:w="5820" w:type="dxa"/>
            <w:vAlign w:val="bottom"/>
            <w:gridSpan w:val="2"/>
            <w:shd w:val="clear" w:color="auto" w:fill="CCEEFF"/>
          </w:tcPr>
          <w:p>
            <w:pPr>
              <w:ind w:left="220"/>
              <w:spacing w:after="0" w:line="171" w:lineRule="exact"/>
              <w:rPr>
                <w:sz w:val="20"/>
                <w:szCs w:val="20"/>
                <w:color w:val="auto"/>
              </w:rPr>
            </w:pPr>
            <w:r>
              <w:rPr>
                <w:rFonts w:ascii="Arial" w:cs="Arial" w:eastAsia="Arial" w:hAnsi="Arial"/>
                <w:sz w:val="12"/>
                <w:szCs w:val="12"/>
                <w:color w:val="auto"/>
              </w:rPr>
              <w:t>Unrealized gain (loss) on warrants</w:t>
            </w:r>
            <w:r>
              <w:rPr>
                <w:rFonts w:ascii="Arial" w:cs="Arial" w:eastAsia="Arial" w:hAnsi="Arial"/>
                <w:sz w:val="19"/>
                <w:szCs w:val="19"/>
                <w:color w:val="auto"/>
                <w:vertAlign w:val="superscript"/>
              </w:rPr>
              <w:t>(i)</w:t>
            </w:r>
          </w:p>
        </w:tc>
        <w:tc>
          <w:tcPr>
            <w:tcW w:w="12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789</w:t>
            </w:r>
          </w:p>
        </w:tc>
        <w:tc>
          <w:tcPr>
            <w:tcW w:w="1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2,198</w:t>
            </w:r>
          </w:p>
        </w:tc>
        <w:tc>
          <w:tcPr>
            <w:tcW w:w="14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(1,770)</w:t>
            </w:r>
          </w:p>
        </w:tc>
        <w:tc>
          <w:tcPr>
            <w:tcW w:w="1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5,327</w:t>
            </w:r>
          </w:p>
        </w:tc>
        <w:tc>
          <w:tcPr>
            <w:tcW w:w="0" w:type="dxa"/>
            <w:vAlign w:val="bottom"/>
          </w:tcPr>
          <w:p>
            <w:pPr>
              <w:spacing w:after="0"/>
              <w:rPr>
                <w:sz w:val="1"/>
                <w:szCs w:val="1"/>
                <w:color w:val="auto"/>
              </w:rPr>
            </w:pPr>
          </w:p>
        </w:tc>
      </w:tr>
      <w:tr>
        <w:trPr>
          <w:trHeight w:val="144"/>
        </w:trPr>
        <w:tc>
          <w:tcPr>
            <w:tcW w:w="582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Realized (loss) gain on currency and commodity derivatives</w:t>
            </w:r>
          </w:p>
        </w:tc>
        <w:tc>
          <w:tcPr>
            <w:tcW w:w="120" w:type="dxa"/>
            <w:vAlign w:val="bottom"/>
          </w:tcPr>
          <w:p>
            <w:pPr>
              <w:spacing w:after="0"/>
              <w:rPr>
                <w:sz w:val="12"/>
                <w:szCs w:val="12"/>
                <w:color w:val="auto"/>
              </w:rPr>
            </w:pPr>
          </w:p>
        </w:tc>
        <w:tc>
          <w:tcPr>
            <w:tcW w:w="720" w:type="dxa"/>
            <w:vAlign w:val="bottom"/>
            <w:gridSpan w:val="3"/>
          </w:tcPr>
          <w:p>
            <w:pPr>
              <w:jc w:val="right"/>
              <w:ind w:right="120"/>
              <w:spacing w:after="0" w:line="144" w:lineRule="exact"/>
              <w:rPr>
                <w:sz w:val="20"/>
                <w:szCs w:val="20"/>
                <w:color w:val="auto"/>
              </w:rPr>
            </w:pPr>
            <w:r>
              <w:rPr>
                <w:rFonts w:ascii="Arial" w:cs="Arial" w:eastAsia="Arial" w:hAnsi="Arial"/>
                <w:sz w:val="13"/>
                <w:szCs w:val="13"/>
                <w:color w:val="auto"/>
              </w:rPr>
              <w:t>(1,489)</w:t>
            </w:r>
          </w:p>
        </w:tc>
        <w:tc>
          <w:tcPr>
            <w:tcW w:w="180" w:type="dxa"/>
            <w:vAlign w:val="bottom"/>
          </w:tcPr>
          <w:p>
            <w:pPr>
              <w:spacing w:after="0"/>
              <w:rPr>
                <w:sz w:val="12"/>
                <w:szCs w:val="12"/>
                <w:color w:val="auto"/>
              </w:rPr>
            </w:pPr>
          </w:p>
        </w:tc>
        <w:tc>
          <w:tcPr>
            <w:tcW w:w="6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784</w:t>
            </w:r>
          </w:p>
        </w:tc>
        <w:tc>
          <w:tcPr>
            <w:tcW w:w="140" w:type="dxa"/>
            <w:vAlign w:val="bottom"/>
          </w:tcPr>
          <w:p>
            <w:pPr>
              <w:spacing w:after="0"/>
              <w:rPr>
                <w:sz w:val="12"/>
                <w:szCs w:val="12"/>
                <w:color w:val="auto"/>
              </w:rPr>
            </w:pPr>
          </w:p>
        </w:tc>
        <w:tc>
          <w:tcPr>
            <w:tcW w:w="68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(4,225)</w:t>
            </w:r>
          </w:p>
        </w:tc>
        <w:tc>
          <w:tcPr>
            <w:tcW w:w="180" w:type="dxa"/>
            <w:vAlign w:val="bottom"/>
          </w:tcPr>
          <w:p>
            <w:pPr>
              <w:spacing w:after="0"/>
              <w:rPr>
                <w:sz w:val="12"/>
                <w:szCs w:val="12"/>
                <w:color w:val="auto"/>
              </w:rPr>
            </w:pP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784</w:t>
            </w:r>
          </w:p>
        </w:tc>
        <w:tc>
          <w:tcPr>
            <w:tcW w:w="0" w:type="dxa"/>
            <w:vAlign w:val="bottom"/>
          </w:tcPr>
          <w:p>
            <w:pPr>
              <w:spacing w:after="0"/>
              <w:rPr>
                <w:sz w:val="1"/>
                <w:szCs w:val="1"/>
                <w:color w:val="auto"/>
              </w:rPr>
            </w:pPr>
          </w:p>
        </w:tc>
      </w:tr>
      <w:tr>
        <w:trPr>
          <w:trHeight w:val="170"/>
        </w:trPr>
        <w:tc>
          <w:tcPr>
            <w:tcW w:w="5820" w:type="dxa"/>
            <w:vAlign w:val="bottom"/>
            <w:gridSpan w:val="2"/>
            <w:shd w:val="clear" w:color="auto" w:fill="CCEEFF"/>
          </w:tcPr>
          <w:p>
            <w:pPr>
              <w:ind w:left="220"/>
              <w:spacing w:after="0" w:line="171" w:lineRule="exact"/>
              <w:rPr>
                <w:sz w:val="20"/>
                <w:szCs w:val="20"/>
                <w:color w:val="auto"/>
              </w:rPr>
            </w:pPr>
            <w:r>
              <w:rPr>
                <w:rFonts w:ascii="Arial" w:cs="Arial" w:eastAsia="Arial" w:hAnsi="Arial"/>
                <w:sz w:val="12"/>
                <w:szCs w:val="12"/>
                <w:color w:val="auto"/>
              </w:rPr>
              <w:t>Unrealized gain (loss) on currency and commodity derivatives</w:t>
            </w:r>
            <w:r>
              <w:rPr>
                <w:rFonts w:ascii="Arial" w:cs="Arial" w:eastAsia="Arial" w:hAnsi="Arial"/>
                <w:sz w:val="19"/>
                <w:szCs w:val="19"/>
                <w:color w:val="auto"/>
                <w:vertAlign w:val="superscript"/>
              </w:rPr>
              <w:t>(i)</w:t>
            </w:r>
          </w:p>
        </w:tc>
        <w:tc>
          <w:tcPr>
            <w:tcW w:w="12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9,432</w:t>
            </w:r>
          </w:p>
        </w:tc>
        <w:tc>
          <w:tcPr>
            <w:tcW w:w="1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(2,867)</w:t>
            </w:r>
          </w:p>
        </w:tc>
        <w:tc>
          <w:tcPr>
            <w:tcW w:w="14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(4,178)</w:t>
            </w:r>
          </w:p>
        </w:tc>
        <w:tc>
          <w:tcPr>
            <w:tcW w:w="1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(2,897)</w:t>
            </w:r>
          </w:p>
        </w:tc>
        <w:tc>
          <w:tcPr>
            <w:tcW w:w="0" w:type="dxa"/>
            <w:vAlign w:val="bottom"/>
          </w:tcPr>
          <w:p>
            <w:pPr>
              <w:spacing w:after="0"/>
              <w:rPr>
                <w:sz w:val="1"/>
                <w:szCs w:val="1"/>
                <w:color w:val="auto"/>
              </w:rPr>
            </w:pPr>
          </w:p>
        </w:tc>
      </w:tr>
      <w:tr>
        <w:trPr>
          <w:trHeight w:val="26"/>
        </w:trPr>
        <w:tc>
          <w:tcPr>
            <w:tcW w:w="5820" w:type="dxa"/>
            <w:vAlign w:val="bottom"/>
            <w:gridSpan w:val="2"/>
            <w:vMerge w:val="restart"/>
          </w:tcPr>
          <w:p>
            <w:pPr>
              <w:ind w:left="220"/>
              <w:spacing w:after="0"/>
              <w:rPr>
                <w:sz w:val="20"/>
                <w:szCs w:val="20"/>
                <w:color w:val="auto"/>
              </w:rPr>
            </w:pPr>
            <w:r>
              <w:rPr>
                <w:rFonts w:ascii="Arial" w:cs="Arial" w:eastAsia="Arial" w:hAnsi="Arial"/>
                <w:sz w:val="13"/>
                <w:szCs w:val="13"/>
                <w:color w:val="auto"/>
              </w:rPr>
              <w:t>Gain on derivative financial instruments</w:t>
            </w:r>
          </w:p>
        </w:tc>
        <w:tc>
          <w:tcPr>
            <w:tcW w:w="12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5820" w:type="dxa"/>
            <w:vAlign w:val="bottom"/>
            <w:gridSpan w:val="2"/>
            <w:vMerge w:val="continue"/>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8,836</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518</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260</w:t>
            </w:r>
          </w:p>
        </w:tc>
        <w:tc>
          <w:tcPr>
            <w:tcW w:w="16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4,264</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6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
        </w:trPr>
        <w:tc>
          <w:tcPr>
            <w:tcW w:w="1260" w:type="dxa"/>
            <w:vAlign w:val="bottom"/>
            <w:tcBorders>
              <w:bottom w:val="single" w:sz="8" w:color="auto"/>
            </w:tcBorders>
          </w:tcPr>
          <w:p>
            <w:pPr>
              <w:spacing w:after="0"/>
              <w:rPr>
                <w:sz w:val="7"/>
                <w:szCs w:val="7"/>
                <w:color w:val="auto"/>
              </w:rPr>
            </w:pPr>
          </w:p>
        </w:tc>
        <w:tc>
          <w:tcPr>
            <w:tcW w:w="45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50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680"/>
        <w:spacing w:after="0"/>
        <w:rPr>
          <w:sz w:val="20"/>
          <w:szCs w:val="20"/>
          <w:color w:val="auto"/>
        </w:rPr>
      </w:pPr>
      <w:r>
        <w:rPr>
          <w:rFonts w:ascii="Arial" w:cs="Arial" w:eastAsia="Arial" w:hAnsi="Arial"/>
          <w:sz w:val="13"/>
          <w:szCs w:val="13"/>
          <w:color w:val="auto"/>
        </w:rPr>
        <w:t>Note:</w:t>
      </w:r>
    </w:p>
    <w:p>
      <w:pPr>
        <w:spacing w:after="0" w:line="191" w:lineRule="exact"/>
        <w:rPr>
          <w:sz w:val="20"/>
          <w:szCs w:val="20"/>
          <w:color w:val="auto"/>
        </w:rPr>
      </w:pPr>
    </w:p>
    <w:p>
      <w:pPr>
        <w:jc w:val="both"/>
        <w:ind w:left="2200" w:hanging="529"/>
        <w:spacing w:after="0" w:line="243" w:lineRule="auto"/>
        <w:tabs>
          <w:tab w:leader="none" w:pos="2200" w:val="left"/>
        </w:tabs>
        <w:numPr>
          <w:ilvl w:val="1"/>
          <w:numId w:val="25"/>
        </w:numPr>
        <w:rPr>
          <w:rFonts w:ascii="Arial" w:cs="Arial" w:eastAsia="Arial" w:hAnsi="Arial"/>
          <w:sz w:val="11"/>
          <w:szCs w:val="11"/>
          <w:color w:val="auto"/>
        </w:rPr>
      </w:pPr>
      <w:r>
        <w:rPr>
          <w:rFonts w:ascii="Arial" w:cs="Arial" w:eastAsia="Arial" w:hAnsi="Arial"/>
          <w:sz w:val="13"/>
          <w:szCs w:val="13"/>
          <w:color w:val="auto"/>
        </w:rPr>
        <w:t>Unrealized gains and losses on financial instruments that did not qualify for hedge accounting are recognized through the gain on derivative financial instruments line item of the condensed interim consolidated statements of income and comprehensive income and through the other line item of the condensed interim consolidated statements of cash flows.</w:t>
      </w:r>
    </w:p>
    <w:p>
      <w:pPr>
        <w:spacing w:after="0" w:line="184" w:lineRule="exact"/>
        <w:rPr>
          <w:rFonts w:ascii="Arial" w:cs="Arial" w:eastAsia="Arial" w:hAnsi="Arial"/>
          <w:sz w:val="11"/>
          <w:szCs w:val="11"/>
          <w:color w:val="auto"/>
        </w:rPr>
      </w:pPr>
    </w:p>
    <w:p>
      <w:pPr>
        <w:ind w:left="260" w:hanging="255"/>
        <w:spacing w:after="0"/>
        <w:tabs>
          <w:tab w:leader="none" w:pos="260" w:val="left"/>
        </w:tabs>
        <w:numPr>
          <w:ilvl w:val="0"/>
          <w:numId w:val="26"/>
        </w:numPr>
        <w:rPr>
          <w:rFonts w:ascii="Arial" w:cs="Arial" w:eastAsia="Arial" w:hAnsi="Arial"/>
          <w:sz w:val="13"/>
          <w:szCs w:val="13"/>
          <w:b w:val="1"/>
          <w:bCs w:val="1"/>
          <w:color w:val="auto"/>
        </w:rPr>
      </w:pPr>
      <w:r>
        <w:rPr>
          <w:rFonts w:ascii="Arial" w:cs="Arial" w:eastAsia="Arial" w:hAnsi="Arial"/>
          <w:sz w:val="13"/>
          <w:szCs w:val="13"/>
          <w:b w:val="1"/>
          <w:bCs w:val="1"/>
          <w:color w:val="auto"/>
        </w:rPr>
        <w:t>SEGMENTED INFORMATION</w:t>
      </w:r>
    </w:p>
    <w:p>
      <w:pPr>
        <w:spacing w:after="0" w:line="199"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20" w:type="dxa"/>
            <w:vAlign w:val="bottom"/>
          </w:tcPr>
          <w:p>
            <w:pPr>
              <w:spacing w:after="0"/>
              <w:rPr>
                <w:sz w:val="13"/>
                <w:szCs w:val="13"/>
                <w:color w:val="auto"/>
              </w:rPr>
            </w:pPr>
          </w:p>
        </w:tc>
        <w:tc>
          <w:tcPr>
            <w:tcW w:w="20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114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89"/>
              </w:rPr>
              <w:t>Revenues from</w:t>
            </w: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2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1"/>
              </w:rPr>
              <w:t>Exploration and</w:t>
            </w:r>
          </w:p>
        </w:tc>
        <w:tc>
          <w:tcPr>
            <w:tcW w:w="80" w:type="dxa"/>
            <w:vAlign w:val="bottom"/>
          </w:tcPr>
          <w:p>
            <w:pPr>
              <w:spacing w:after="0"/>
              <w:rPr>
                <w:sz w:val="13"/>
                <w:szCs w:val="13"/>
                <w:color w:val="auto"/>
              </w:rPr>
            </w:pPr>
          </w:p>
        </w:tc>
        <w:tc>
          <w:tcPr>
            <w:tcW w:w="7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Segment</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5"/>
              </w:rPr>
              <w:t>Mining</w:t>
            </w:r>
          </w:p>
        </w:tc>
        <w:tc>
          <w:tcPr>
            <w:tcW w:w="940" w:type="dxa"/>
            <w:vAlign w:val="bottom"/>
            <w:gridSpan w:val="3"/>
          </w:tcPr>
          <w:p>
            <w:pPr>
              <w:jc w:val="right"/>
              <w:ind w:right="240"/>
              <w:spacing w:after="0" w:line="144" w:lineRule="exact"/>
              <w:rPr>
                <w:sz w:val="20"/>
                <w:szCs w:val="20"/>
                <w:color w:val="auto"/>
              </w:rPr>
            </w:pPr>
            <w:r>
              <w:rPr>
                <w:rFonts w:ascii="Arial" w:cs="Arial" w:eastAsia="Arial" w:hAnsi="Arial"/>
                <w:sz w:val="13"/>
                <w:szCs w:val="13"/>
                <w:b w:val="1"/>
                <w:bCs w:val="1"/>
                <w:color w:val="auto"/>
                <w:w w:val="99"/>
              </w:rPr>
              <w:t>Production</w:t>
            </w: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3"/>
              </w:rPr>
              <w:t>Corporate</w:t>
            </w:r>
          </w:p>
        </w:tc>
        <w:tc>
          <w:tcPr>
            <w:tcW w:w="80" w:type="dxa"/>
            <w:vAlign w:val="bottom"/>
          </w:tcPr>
          <w:p>
            <w:pPr>
              <w:spacing w:after="0"/>
              <w:rPr>
                <w:sz w:val="12"/>
                <w:szCs w:val="12"/>
                <w:color w:val="auto"/>
              </w:rPr>
            </w:pPr>
          </w:p>
        </w:tc>
        <w:tc>
          <w:tcPr>
            <w:tcW w:w="74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87"/>
              </w:rPr>
              <w:t>Income</w:t>
            </w:r>
          </w:p>
        </w:tc>
        <w:tc>
          <w:tcPr>
            <w:tcW w:w="0" w:type="dxa"/>
            <w:vAlign w:val="bottom"/>
          </w:tcPr>
          <w:p>
            <w:pPr>
              <w:spacing w:after="0"/>
              <w:rPr>
                <w:sz w:val="1"/>
                <w:szCs w:val="1"/>
                <w:color w:val="auto"/>
              </w:rPr>
            </w:pPr>
          </w:p>
        </w:tc>
      </w:tr>
      <w:tr>
        <w:trPr>
          <w:trHeight w:val="157"/>
        </w:trPr>
        <w:tc>
          <w:tcPr>
            <w:tcW w:w="220" w:type="dxa"/>
            <w:vAlign w:val="bottom"/>
          </w:tcPr>
          <w:p>
            <w:pPr>
              <w:spacing w:after="0"/>
              <w:rPr>
                <w:sz w:val="13"/>
                <w:szCs w:val="13"/>
                <w:color w:val="auto"/>
              </w:rPr>
            </w:pPr>
          </w:p>
        </w:tc>
        <w:tc>
          <w:tcPr>
            <w:tcW w:w="202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7"/>
              </w:rPr>
              <w:t>Six Months Ended June 30, 2015:</w:t>
            </w:r>
          </w:p>
        </w:tc>
        <w:tc>
          <w:tcPr>
            <w:tcW w:w="27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3"/>
              </w:rPr>
              <w:t>Operations</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w w:val="99"/>
              </w:rPr>
              <w:t>Costs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0"/>
              </w:rPr>
              <w:t>Development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7"/>
              </w:rPr>
              <w:t>(Loss)</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20" w:type="dxa"/>
            <w:vAlign w:val="bottom"/>
            <w:shd w:val="clear" w:color="auto" w:fill="CCEEFF"/>
          </w:tcPr>
          <w:p>
            <w:pPr>
              <w:spacing w:after="0"/>
              <w:rPr>
                <w:sz w:val="11"/>
                <w:szCs w:val="11"/>
                <w:color w:val="auto"/>
              </w:rPr>
            </w:pPr>
          </w:p>
        </w:tc>
        <w:tc>
          <w:tcPr>
            <w:tcW w:w="478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Northern Business:</w:t>
            </w:r>
          </w:p>
        </w:tc>
        <w:tc>
          <w:tcPr>
            <w:tcW w:w="14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LaRonde mine</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153,812</w:t>
            </w:r>
          </w:p>
        </w:tc>
        <w:tc>
          <w:tcPr>
            <w:tcW w:w="160" w:type="dxa"/>
            <w:vAlign w:val="bottom"/>
          </w:tcPr>
          <w:p>
            <w:pPr>
              <w:jc w:val="right"/>
              <w:ind w:right="14"/>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(90,999)</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62,813</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Lapa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53,679</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(27,641)</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26,038</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Goldex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66,558</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(31,780)</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34,778</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Meadowbank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220,160</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(123,983)</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96,177</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Canadian Malartic joint operation (note 5)</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162,827</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(83,371)</w:t>
            </w:r>
          </w:p>
        </w:tc>
        <w:tc>
          <w:tcPr>
            <w:tcW w:w="120" w:type="dxa"/>
            <w:vAlign w:val="bottom"/>
          </w:tcPr>
          <w:p>
            <w:pPr>
              <w:spacing w:after="0"/>
              <w:rPr>
                <w:sz w:val="12"/>
                <w:szCs w:val="12"/>
                <w:color w:val="auto"/>
              </w:rPr>
            </w:pPr>
          </w:p>
        </w:tc>
        <w:tc>
          <w:tcPr>
            <w:tcW w:w="11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(2,628)</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76,828</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Kittila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106,336</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(62,776)</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43,560</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Northern Business</w:t>
            </w: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763,372</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(420,550)</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(2,628)</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340,194</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220" w:type="dxa"/>
            <w:vAlign w:val="bottom"/>
            <w:shd w:val="clear" w:color="auto" w:fill="CCEEFF"/>
          </w:tcPr>
          <w:p>
            <w:pPr>
              <w:spacing w:after="0"/>
              <w:rPr>
                <w:sz w:val="24"/>
                <w:szCs w:val="24"/>
                <w:color w:val="auto"/>
              </w:rPr>
            </w:pPr>
          </w:p>
        </w:tc>
        <w:tc>
          <w:tcPr>
            <w:tcW w:w="478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Southern Business:</w:t>
            </w: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Pinos Altos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133,169</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(53,979)</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79,190</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Creston Mascota deposit at Pinos Altos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34,484</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(13,107)</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21,377</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spacing w:after="0"/>
              <w:rPr>
                <w:sz w:val="20"/>
                <w:szCs w:val="20"/>
                <w:color w:val="auto"/>
              </w:rPr>
            </w:pPr>
            <w:r>
              <w:rPr>
                <w:rFonts w:ascii="Arial" w:cs="Arial" w:eastAsia="Arial" w:hAnsi="Arial"/>
                <w:sz w:val="13"/>
                <w:szCs w:val="13"/>
                <w:color w:val="auto"/>
              </w:rPr>
              <w:t>La India mine</w:t>
            </w:r>
          </w:p>
        </w:tc>
        <w:tc>
          <w:tcPr>
            <w:tcW w:w="14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62,680</w:t>
            </w:r>
          </w:p>
        </w:tc>
        <w:tc>
          <w:tcPr>
            <w:tcW w:w="16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(23,256)</w:t>
            </w:r>
          </w:p>
        </w:tc>
        <w:tc>
          <w:tcPr>
            <w:tcW w:w="120" w:type="dxa"/>
            <w:vAlign w:val="bottom"/>
          </w:tcPr>
          <w:p>
            <w:pPr>
              <w:spacing w:after="0"/>
              <w:rPr>
                <w:sz w:val="14"/>
                <w:szCs w:val="14"/>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39,424</w:t>
            </w: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b w:val="1"/>
                <w:bCs w:val="1"/>
                <w:color w:val="auto"/>
              </w:rPr>
              <w:t>Total Southern Business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230,333</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0" w:lineRule="exact"/>
              <w:rPr>
                <w:sz w:val="20"/>
                <w:szCs w:val="20"/>
                <w:color w:val="auto"/>
              </w:rPr>
            </w:pPr>
            <w:r>
              <w:rPr>
                <w:rFonts w:ascii="Arial" w:cs="Arial" w:eastAsia="Arial" w:hAnsi="Arial"/>
                <w:sz w:val="13"/>
                <w:szCs w:val="13"/>
                <w:color w:val="auto"/>
              </w:rPr>
              <w:t>(90,342)</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139,991</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Exploration</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220" w:type="dxa"/>
            <w:vAlign w:val="bottom"/>
          </w:tcPr>
          <w:p>
            <w:pPr>
              <w:spacing w:after="0"/>
              <w:rPr>
                <w:sz w:val="12"/>
                <w:szCs w:val="12"/>
                <w:color w:val="auto"/>
              </w:rPr>
            </w:pPr>
          </w:p>
        </w:tc>
        <w:tc>
          <w:tcPr>
            <w:tcW w:w="4780" w:type="dxa"/>
            <w:vAlign w:val="bottom"/>
            <w:gridSpan w:val="2"/>
            <w:vMerge w:val="continue"/>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(44,639)</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(44,639)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220" w:type="dxa"/>
            <w:vAlign w:val="bottom"/>
            <w:shd w:val="clear" w:color="auto" w:fill="CCEEFF"/>
          </w:tcPr>
          <w:p>
            <w:pPr>
              <w:spacing w:after="0"/>
              <w:rPr>
                <w:sz w:val="10"/>
                <w:szCs w:val="10"/>
                <w:color w:val="auto"/>
              </w:rPr>
            </w:pPr>
          </w:p>
        </w:tc>
        <w:tc>
          <w:tcPr>
            <w:tcW w:w="4780" w:type="dxa"/>
            <w:vAlign w:val="bottom"/>
            <w:gridSpan w:val="2"/>
            <w:shd w:val="clear" w:color="auto" w:fill="CCEEFF"/>
          </w:tcPr>
          <w:p>
            <w:pPr>
              <w:spacing w:after="0" w:line="126" w:lineRule="exact"/>
              <w:rPr>
                <w:sz w:val="20"/>
                <w:szCs w:val="20"/>
                <w:color w:val="auto"/>
              </w:rPr>
            </w:pPr>
            <w:r>
              <w:rPr>
                <w:rFonts w:ascii="Arial" w:cs="Arial" w:eastAsia="Arial" w:hAnsi="Arial"/>
                <w:sz w:val="13"/>
                <w:szCs w:val="13"/>
                <w:b w:val="1"/>
                <w:bCs w:val="1"/>
                <w:color w:val="auto"/>
              </w:rPr>
              <w:t>Segments totals</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993,705</w:t>
            </w:r>
          </w:p>
        </w:tc>
        <w:tc>
          <w:tcPr>
            <w:tcW w:w="160" w:type="dxa"/>
            <w:vAlign w:val="bottom"/>
            <w:shd w:val="clear" w:color="auto" w:fill="CCEEFF"/>
          </w:tcPr>
          <w:p>
            <w:pPr>
              <w:jc w:val="right"/>
              <w:ind w:right="14"/>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(510,892)</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10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(47,267)</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435,546</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color w:val="auto"/>
              </w:rPr>
              <w:t>Total segments income</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20" w:type="dxa"/>
            <w:vAlign w:val="bottom"/>
          </w:tcPr>
          <w:p>
            <w:pPr>
              <w:spacing w:after="0"/>
              <w:rPr>
                <w:sz w:val="10"/>
                <w:szCs w:val="10"/>
                <w:color w:val="auto"/>
              </w:rPr>
            </w:pPr>
          </w:p>
        </w:tc>
        <w:tc>
          <w:tcPr>
            <w:tcW w:w="4780" w:type="dxa"/>
            <w:vAlign w:val="bottom"/>
            <w:gridSpan w:val="2"/>
            <w:vMerge w:val="continue"/>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rPr>
              <w:t>435,546</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Corporate and other:</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Amortization of property, plant and mine development</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(293,512)</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General and administrative</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(48,793)</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Impairment loss on available-for-sale securities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(1,030)</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Finance costs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(37,667)</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Gain on derivative financial instruments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260</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Gain on sale of available-for-sale securities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23,724</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Environmental remediation</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(288)</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Foreign currency translation gain</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6,911</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ind w:left="140"/>
              <w:spacing w:after="0"/>
              <w:rPr>
                <w:sz w:val="20"/>
                <w:szCs w:val="20"/>
                <w:color w:val="auto"/>
              </w:rPr>
            </w:pPr>
            <w:r>
              <w:rPr>
                <w:rFonts w:ascii="Arial" w:cs="Arial" w:eastAsia="Arial" w:hAnsi="Arial"/>
                <w:sz w:val="13"/>
                <w:szCs w:val="13"/>
                <w:color w:val="auto"/>
              </w:rPr>
              <w:t>Other expenses</w:t>
            </w: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3"/>
                <w:szCs w:val="13"/>
                <w:color w:val="auto"/>
              </w:rPr>
              <w:t>(7,529)</w:t>
            </w:r>
          </w:p>
        </w:tc>
        <w:tc>
          <w:tcPr>
            <w:tcW w:w="0" w:type="dxa"/>
            <w:vAlign w:val="bottom"/>
          </w:tcPr>
          <w:p>
            <w:pPr>
              <w:spacing w:after="0"/>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color w:val="auto"/>
              </w:rPr>
              <w:t>Income before income and mining taxes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rPr>
              <w:t>77,622</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7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4" w:name="page55"/>
    <w:bookmarkEnd w:id="54"/>
    <w:p>
      <w:pPr>
        <w:jc w:val="center"/>
        <w:ind w:right="-115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26"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14.  SEGMENTED INFORMATION (Continued)</w:t>
      </w:r>
    </w:p>
    <w:p>
      <w:pPr>
        <w:spacing w:after="0" w:line="200" w:lineRule="exact"/>
        <w:rPr>
          <w:sz w:val="20"/>
          <w:szCs w:val="20"/>
          <w:color w:val="auto"/>
        </w:rPr>
      </w:pPr>
    </w:p>
    <w:p>
      <w:pPr>
        <w:spacing w:after="0" w:line="353"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20" w:type="dxa"/>
            <w:vAlign w:val="bottom"/>
          </w:tcPr>
          <w:p>
            <w:pPr>
              <w:spacing w:after="0"/>
              <w:rPr>
                <w:sz w:val="13"/>
                <w:szCs w:val="13"/>
                <w:color w:val="auto"/>
              </w:rPr>
            </w:pPr>
          </w:p>
        </w:tc>
        <w:tc>
          <w:tcPr>
            <w:tcW w:w="20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114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89"/>
              </w:rPr>
              <w:t>Revenues from</w:t>
            </w: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2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1"/>
              </w:rPr>
              <w:t>Exploration and</w:t>
            </w:r>
          </w:p>
        </w:tc>
        <w:tc>
          <w:tcPr>
            <w:tcW w:w="80" w:type="dxa"/>
            <w:vAlign w:val="bottom"/>
          </w:tcPr>
          <w:p>
            <w:pPr>
              <w:spacing w:after="0"/>
              <w:rPr>
                <w:sz w:val="13"/>
                <w:szCs w:val="13"/>
                <w:color w:val="auto"/>
              </w:rPr>
            </w:pPr>
          </w:p>
        </w:tc>
        <w:tc>
          <w:tcPr>
            <w:tcW w:w="7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Segment</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5"/>
              </w:rPr>
              <w:t>Mining</w:t>
            </w:r>
          </w:p>
        </w:tc>
        <w:tc>
          <w:tcPr>
            <w:tcW w:w="940" w:type="dxa"/>
            <w:vAlign w:val="bottom"/>
            <w:gridSpan w:val="3"/>
          </w:tcPr>
          <w:p>
            <w:pPr>
              <w:jc w:val="right"/>
              <w:ind w:right="240"/>
              <w:spacing w:after="0" w:line="144" w:lineRule="exact"/>
              <w:rPr>
                <w:sz w:val="20"/>
                <w:szCs w:val="20"/>
                <w:color w:val="auto"/>
              </w:rPr>
            </w:pPr>
            <w:r>
              <w:rPr>
                <w:rFonts w:ascii="Arial" w:cs="Arial" w:eastAsia="Arial" w:hAnsi="Arial"/>
                <w:sz w:val="13"/>
                <w:szCs w:val="13"/>
                <w:b w:val="1"/>
                <w:bCs w:val="1"/>
                <w:color w:val="auto"/>
                <w:w w:val="99"/>
              </w:rPr>
              <w:t>Production</w:t>
            </w: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3"/>
              </w:rPr>
              <w:t>Corporate</w:t>
            </w:r>
          </w:p>
        </w:tc>
        <w:tc>
          <w:tcPr>
            <w:tcW w:w="80" w:type="dxa"/>
            <w:vAlign w:val="bottom"/>
          </w:tcPr>
          <w:p>
            <w:pPr>
              <w:spacing w:after="0"/>
              <w:rPr>
                <w:sz w:val="12"/>
                <w:szCs w:val="12"/>
                <w:color w:val="auto"/>
              </w:rPr>
            </w:pPr>
          </w:p>
        </w:tc>
        <w:tc>
          <w:tcPr>
            <w:tcW w:w="74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87"/>
              </w:rPr>
              <w:t>Income</w:t>
            </w:r>
          </w:p>
        </w:tc>
        <w:tc>
          <w:tcPr>
            <w:tcW w:w="0" w:type="dxa"/>
            <w:vAlign w:val="bottom"/>
          </w:tcPr>
          <w:p>
            <w:pPr>
              <w:spacing w:after="0"/>
              <w:rPr>
                <w:sz w:val="1"/>
                <w:szCs w:val="1"/>
                <w:color w:val="auto"/>
              </w:rPr>
            </w:pPr>
          </w:p>
        </w:tc>
      </w:tr>
      <w:tr>
        <w:trPr>
          <w:trHeight w:val="157"/>
        </w:trPr>
        <w:tc>
          <w:tcPr>
            <w:tcW w:w="220" w:type="dxa"/>
            <w:vAlign w:val="bottom"/>
          </w:tcPr>
          <w:p>
            <w:pPr>
              <w:spacing w:after="0"/>
              <w:rPr>
                <w:sz w:val="13"/>
                <w:szCs w:val="13"/>
                <w:color w:val="auto"/>
              </w:rPr>
            </w:pPr>
          </w:p>
        </w:tc>
        <w:tc>
          <w:tcPr>
            <w:tcW w:w="202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7"/>
              </w:rPr>
              <w:t>Six Months Ended June 30, 2014:</w:t>
            </w:r>
          </w:p>
        </w:tc>
        <w:tc>
          <w:tcPr>
            <w:tcW w:w="27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3"/>
              </w:rPr>
              <w:t>Operations</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w w:val="99"/>
              </w:rPr>
              <w:t>Costs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0"/>
              </w:rPr>
              <w:t>Development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7"/>
              </w:rPr>
              <w:t>(Loss)</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20" w:type="dxa"/>
            <w:vAlign w:val="bottom"/>
            <w:shd w:val="clear" w:color="auto" w:fill="CCEEFF"/>
          </w:tcPr>
          <w:p>
            <w:pPr>
              <w:spacing w:after="0"/>
              <w:rPr>
                <w:sz w:val="11"/>
                <w:szCs w:val="11"/>
                <w:color w:val="auto"/>
              </w:rPr>
            </w:pPr>
          </w:p>
        </w:tc>
        <w:tc>
          <w:tcPr>
            <w:tcW w:w="478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Northern Business:</w:t>
            </w:r>
          </w:p>
        </w:tc>
        <w:tc>
          <w:tcPr>
            <w:tcW w:w="14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LaRonde mine</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165,863</w:t>
            </w:r>
          </w:p>
        </w:tc>
        <w:tc>
          <w:tcPr>
            <w:tcW w:w="160" w:type="dxa"/>
            <w:vAlign w:val="bottom"/>
          </w:tcPr>
          <w:p>
            <w:pPr>
              <w:jc w:val="right"/>
              <w:ind w:right="14"/>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(94,037)</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71,826</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Lapa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54,097</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(29,706)</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24,391</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Goldex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54,073</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(31,264)</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22,809</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Meadowbank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343,575</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(130,888)</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212,687</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Canadian Malartic joint operation (note 5)</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22,001</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(18,333)</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3,668</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Kittila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89,570</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(56,384)</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33,186</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Northern Business</w:t>
            </w: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729,179</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(360,612)</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368,567</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220" w:type="dxa"/>
            <w:vAlign w:val="bottom"/>
            <w:shd w:val="clear" w:color="auto" w:fill="CCEEFF"/>
          </w:tcPr>
          <w:p>
            <w:pPr>
              <w:spacing w:after="0"/>
              <w:rPr>
                <w:sz w:val="24"/>
                <w:szCs w:val="24"/>
                <w:color w:val="auto"/>
              </w:rPr>
            </w:pPr>
          </w:p>
        </w:tc>
        <w:tc>
          <w:tcPr>
            <w:tcW w:w="478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Southern Business:</w:t>
            </w: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Pinos Altos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133,841</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(61,359)</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72,482</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Creston Mascota deposit at Pinos Altos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27,776</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(12,633)</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15,143</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spacing w:after="0"/>
              <w:rPr>
                <w:sz w:val="20"/>
                <w:szCs w:val="20"/>
                <w:color w:val="auto"/>
              </w:rPr>
            </w:pPr>
            <w:r>
              <w:rPr>
                <w:rFonts w:ascii="Arial" w:cs="Arial" w:eastAsia="Arial" w:hAnsi="Arial"/>
                <w:sz w:val="13"/>
                <w:szCs w:val="13"/>
                <w:color w:val="auto"/>
              </w:rPr>
              <w:t>La India mine</w:t>
            </w:r>
          </w:p>
        </w:tc>
        <w:tc>
          <w:tcPr>
            <w:tcW w:w="14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39,492</w:t>
            </w:r>
          </w:p>
        </w:tc>
        <w:tc>
          <w:tcPr>
            <w:tcW w:w="16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(12,845)</w:t>
            </w:r>
          </w:p>
        </w:tc>
        <w:tc>
          <w:tcPr>
            <w:tcW w:w="120" w:type="dxa"/>
            <w:vAlign w:val="bottom"/>
          </w:tcPr>
          <w:p>
            <w:pPr>
              <w:spacing w:after="0"/>
              <w:rPr>
                <w:sz w:val="14"/>
                <w:szCs w:val="14"/>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26,647</w:t>
            </w: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b w:val="1"/>
                <w:bCs w:val="1"/>
                <w:color w:val="auto"/>
              </w:rPr>
              <w:t>Total Southern Business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201,109</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0" w:lineRule="exact"/>
              <w:rPr>
                <w:sz w:val="20"/>
                <w:szCs w:val="20"/>
                <w:color w:val="auto"/>
              </w:rPr>
            </w:pPr>
            <w:r>
              <w:rPr>
                <w:rFonts w:ascii="Arial" w:cs="Arial" w:eastAsia="Arial" w:hAnsi="Arial"/>
                <w:sz w:val="13"/>
                <w:szCs w:val="13"/>
                <w:color w:val="auto"/>
              </w:rPr>
              <w:t>(86,837)</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114,272</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Exploration</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220" w:type="dxa"/>
            <w:vAlign w:val="bottom"/>
          </w:tcPr>
          <w:p>
            <w:pPr>
              <w:spacing w:after="0"/>
              <w:rPr>
                <w:sz w:val="12"/>
                <w:szCs w:val="12"/>
                <w:color w:val="auto"/>
              </w:rPr>
            </w:pPr>
          </w:p>
        </w:tc>
        <w:tc>
          <w:tcPr>
            <w:tcW w:w="4780" w:type="dxa"/>
            <w:vAlign w:val="bottom"/>
            <w:gridSpan w:val="2"/>
            <w:vMerge w:val="continue"/>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(21,045)</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(21,045)</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220" w:type="dxa"/>
            <w:vAlign w:val="bottom"/>
            <w:shd w:val="clear" w:color="auto" w:fill="CCEEFF"/>
          </w:tcPr>
          <w:p>
            <w:pPr>
              <w:spacing w:after="0"/>
              <w:rPr>
                <w:sz w:val="10"/>
                <w:szCs w:val="10"/>
                <w:color w:val="auto"/>
              </w:rPr>
            </w:pPr>
          </w:p>
        </w:tc>
        <w:tc>
          <w:tcPr>
            <w:tcW w:w="4780" w:type="dxa"/>
            <w:vAlign w:val="bottom"/>
            <w:gridSpan w:val="2"/>
            <w:shd w:val="clear" w:color="auto" w:fill="CCEEFF"/>
          </w:tcPr>
          <w:p>
            <w:pPr>
              <w:spacing w:after="0" w:line="126" w:lineRule="exact"/>
              <w:rPr>
                <w:sz w:val="20"/>
                <w:szCs w:val="20"/>
                <w:color w:val="auto"/>
              </w:rPr>
            </w:pPr>
            <w:r>
              <w:rPr>
                <w:rFonts w:ascii="Arial" w:cs="Arial" w:eastAsia="Arial" w:hAnsi="Arial"/>
                <w:sz w:val="13"/>
                <w:szCs w:val="13"/>
                <w:b w:val="1"/>
                <w:bCs w:val="1"/>
                <w:color w:val="auto"/>
              </w:rPr>
              <w:t>Segments totals</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930,288</w:t>
            </w:r>
          </w:p>
        </w:tc>
        <w:tc>
          <w:tcPr>
            <w:tcW w:w="160" w:type="dxa"/>
            <w:vAlign w:val="bottom"/>
            <w:shd w:val="clear" w:color="auto" w:fill="CCEEFF"/>
          </w:tcPr>
          <w:p>
            <w:pPr>
              <w:jc w:val="right"/>
              <w:ind w:right="14"/>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(447,449)</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10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(21,045)</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461,794</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color w:val="auto"/>
              </w:rPr>
              <w:t>Total segments income</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20" w:type="dxa"/>
            <w:vAlign w:val="bottom"/>
          </w:tcPr>
          <w:p>
            <w:pPr>
              <w:spacing w:after="0"/>
              <w:rPr>
                <w:sz w:val="10"/>
                <w:szCs w:val="10"/>
                <w:color w:val="auto"/>
              </w:rPr>
            </w:pPr>
          </w:p>
        </w:tc>
        <w:tc>
          <w:tcPr>
            <w:tcW w:w="4780" w:type="dxa"/>
            <w:vAlign w:val="bottom"/>
            <w:gridSpan w:val="2"/>
            <w:vMerge w:val="continue"/>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rPr>
              <w:t>461,794</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Corporate and other:</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Amortization of property, plant and mine development</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(177,137)</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General and administrative</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(67,785)</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Impairment loss on available-for-sale securities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(2,419)</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Finance costs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(34,397)</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Gain on derivative financial instruments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4,264</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Gain on sale of available-for-sale securities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5,289</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Environmental remediation</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(673)</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Foreign currency translation loss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(1,509)</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ind w:left="140"/>
              <w:spacing w:after="0"/>
              <w:rPr>
                <w:sz w:val="20"/>
                <w:szCs w:val="20"/>
                <w:color w:val="auto"/>
              </w:rPr>
            </w:pPr>
            <w:r>
              <w:rPr>
                <w:rFonts w:ascii="Arial" w:cs="Arial" w:eastAsia="Arial" w:hAnsi="Arial"/>
                <w:sz w:val="13"/>
                <w:szCs w:val="13"/>
                <w:color w:val="auto"/>
              </w:rPr>
              <w:t>Other expenses</w:t>
            </w: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3"/>
                <w:szCs w:val="13"/>
                <w:color w:val="auto"/>
              </w:rPr>
              <w:t>(6,892)</w:t>
            </w:r>
          </w:p>
        </w:tc>
        <w:tc>
          <w:tcPr>
            <w:tcW w:w="0" w:type="dxa"/>
            <w:vAlign w:val="bottom"/>
          </w:tcPr>
          <w:p>
            <w:pPr>
              <w:spacing w:after="0"/>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color w:val="auto"/>
              </w:rPr>
              <w:t>Income before income and mining taxes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rPr>
              <w:t>180,535</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7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60"/>
          </w:cols>
          <w:pgMar w:left="240" w:top="337" w:right="1399" w:bottom="1440" w:gutter="0" w:footer="0" w:header="0"/>
        </w:sectPr>
      </w:pPr>
    </w:p>
    <w:bookmarkStart w:id="55" w:name="page56"/>
    <w:bookmarkEnd w:id="5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14.  SEGMENTED INFORMATION (Continued)</w:t>
      </w:r>
    </w:p>
    <w:p>
      <w:pPr>
        <w:spacing w:after="0" w:line="200" w:lineRule="exact"/>
        <w:rPr>
          <w:sz w:val="20"/>
          <w:szCs w:val="20"/>
          <w:color w:val="auto"/>
        </w:rPr>
      </w:pPr>
    </w:p>
    <w:p>
      <w:pPr>
        <w:spacing w:after="0" w:line="358"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7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40" w:type="dxa"/>
            <w:vAlign w:val="bottom"/>
            <w:gridSpan w:val="5"/>
          </w:tcPr>
          <w:p>
            <w:pPr>
              <w:ind w:left="320"/>
              <w:spacing w:after="0"/>
              <w:rPr>
                <w:sz w:val="20"/>
                <w:szCs w:val="20"/>
                <w:color w:val="auto"/>
              </w:rPr>
            </w:pPr>
            <w:r>
              <w:rPr>
                <w:rFonts w:ascii="Arial" w:cs="Arial" w:eastAsia="Arial" w:hAnsi="Arial"/>
                <w:sz w:val="13"/>
                <w:szCs w:val="13"/>
                <w:b w:val="1"/>
                <w:bCs w:val="1"/>
                <w:color w:val="auto"/>
              </w:rPr>
              <w:t>Total Assets as at</w:t>
            </w:r>
          </w:p>
        </w:tc>
        <w:tc>
          <w:tcPr>
            <w:tcW w:w="0" w:type="dxa"/>
            <w:vAlign w:val="bottom"/>
          </w:tcPr>
          <w:p>
            <w:pPr>
              <w:spacing w:after="0"/>
              <w:rPr>
                <w:sz w:val="1"/>
                <w:szCs w:val="1"/>
                <w:color w:val="auto"/>
              </w:rPr>
            </w:pPr>
          </w:p>
        </w:tc>
      </w:tr>
      <w:tr>
        <w:trPr>
          <w:trHeight w:val="124"/>
        </w:trPr>
        <w:tc>
          <w:tcPr>
            <w:tcW w:w="7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gridSpan w:val="2"/>
          </w:tcPr>
          <w:p>
            <w:pPr>
              <w:jc w:val="right"/>
              <w:ind w:right="300"/>
              <w:spacing w:after="0" w:line="124" w:lineRule="exact"/>
              <w:rPr>
                <w:sz w:val="20"/>
                <w:szCs w:val="20"/>
                <w:color w:val="auto"/>
              </w:rPr>
            </w:pPr>
            <w:r>
              <w:rPr>
                <w:rFonts w:ascii="Arial" w:cs="Arial" w:eastAsia="Arial" w:hAnsi="Arial"/>
                <w:sz w:val="13"/>
                <w:szCs w:val="13"/>
                <w:b w:val="1"/>
                <w:bCs w:val="1"/>
                <w:color w:val="auto"/>
                <w:w w:val="88"/>
              </w:rPr>
              <w:t>June 30,</w:t>
            </w:r>
          </w:p>
        </w:tc>
        <w:tc>
          <w:tcPr>
            <w:tcW w:w="8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jc w:val="right"/>
              <w:ind w:right="14"/>
              <w:spacing w:after="0" w:line="124" w:lineRule="exact"/>
              <w:rPr>
                <w:sz w:val="20"/>
                <w:szCs w:val="20"/>
                <w:color w:val="auto"/>
              </w:rPr>
            </w:pPr>
            <w:r>
              <w:rPr>
                <w:rFonts w:ascii="Arial" w:cs="Arial" w:eastAsia="Arial" w:hAnsi="Arial"/>
                <w:sz w:val="13"/>
                <w:szCs w:val="13"/>
                <w:b w:val="1"/>
                <w:bCs w:val="1"/>
                <w:color w:val="auto"/>
                <w:w w:val="87"/>
              </w:rPr>
              <w:t>December 31,</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7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54"/>
              <w:spacing w:after="0"/>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716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Northern Business:</w:t>
            </w: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LaRonde mine</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853,250</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856,489</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Lapa mine</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65,353</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74,131</w:t>
            </w: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Goldex mine</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202,584</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205,101</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Meadowbank mine</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586,427</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660,278</w:t>
            </w: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Canadian Malartic joint operation (note 5)</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2,056,992</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2,068,532</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Meliadine project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510,346</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487,901</w:t>
            </w:r>
          </w:p>
        </w:tc>
        <w:tc>
          <w:tcPr>
            <w:tcW w:w="0" w:type="dxa"/>
            <w:vAlign w:val="bottom"/>
          </w:tcPr>
          <w:p>
            <w:pPr>
              <w:spacing w:after="0"/>
              <w:rPr>
                <w:sz w:val="1"/>
                <w:szCs w:val="1"/>
                <w:color w:val="auto"/>
              </w:rPr>
            </w:pPr>
          </w:p>
        </w:tc>
      </w:tr>
      <w:tr>
        <w:trPr>
          <w:trHeight w:val="168"/>
        </w:trPr>
        <w:tc>
          <w:tcPr>
            <w:tcW w:w="7160" w:type="dxa"/>
            <w:vAlign w:val="bottom"/>
          </w:tcPr>
          <w:p>
            <w:pPr>
              <w:ind w:left="220"/>
              <w:spacing w:after="0"/>
              <w:rPr>
                <w:sz w:val="20"/>
                <w:szCs w:val="20"/>
                <w:color w:val="auto"/>
              </w:rPr>
            </w:pPr>
            <w:r>
              <w:rPr>
                <w:rFonts w:ascii="Arial" w:cs="Arial" w:eastAsia="Arial" w:hAnsi="Arial"/>
                <w:sz w:val="13"/>
                <w:szCs w:val="13"/>
                <w:color w:val="auto"/>
              </w:rPr>
              <w:t>Kittila mine</w:t>
            </w:r>
          </w:p>
        </w:tc>
        <w:tc>
          <w:tcPr>
            <w:tcW w:w="120" w:type="dxa"/>
            <w:vAlign w:val="bottom"/>
          </w:tcPr>
          <w:p>
            <w:pPr>
              <w:spacing w:after="0"/>
              <w:rPr>
                <w:sz w:val="14"/>
                <w:szCs w:val="14"/>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922,206</w:t>
            </w:r>
          </w:p>
        </w:tc>
        <w:tc>
          <w:tcPr>
            <w:tcW w:w="80" w:type="dxa"/>
            <w:vAlign w:val="bottom"/>
          </w:tcPr>
          <w:p>
            <w:pPr>
              <w:spacing w:after="0"/>
              <w:rPr>
                <w:sz w:val="14"/>
                <w:szCs w:val="14"/>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931,335</w:t>
            </w: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716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b w:val="1"/>
                <w:bCs w:val="1"/>
                <w:color w:val="auto"/>
              </w:rPr>
              <w:t>Total Northern Business</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5,197,158</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5,283,767</w:t>
            </w:r>
          </w:p>
        </w:tc>
        <w:tc>
          <w:tcPr>
            <w:tcW w:w="0" w:type="dxa"/>
            <w:vAlign w:val="bottom"/>
          </w:tcPr>
          <w:p>
            <w:pPr>
              <w:spacing w:after="0"/>
              <w:rPr>
                <w:sz w:val="1"/>
                <w:szCs w:val="1"/>
                <w:color w:val="auto"/>
              </w:rPr>
            </w:pPr>
          </w:p>
        </w:tc>
      </w:tr>
      <w:tr>
        <w:trPr>
          <w:trHeight w:val="26"/>
        </w:trPr>
        <w:tc>
          <w:tcPr>
            <w:tcW w:w="71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Southern Business:</w:t>
            </w: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vMerge w:val="continue"/>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4"/>
        </w:trPr>
        <w:tc>
          <w:tcPr>
            <w:tcW w:w="716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Pinos Altos mine</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588,455</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573,786</w:t>
            </w: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Creston Mascota deposit at Pinos Altos</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76,656</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84,176</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La India mine</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543,991</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543,297</w:t>
            </w:r>
          </w:p>
        </w:tc>
        <w:tc>
          <w:tcPr>
            <w:tcW w:w="0" w:type="dxa"/>
            <w:vAlign w:val="bottom"/>
          </w:tcPr>
          <w:p>
            <w:pPr>
              <w:spacing w:after="0"/>
              <w:rPr>
                <w:sz w:val="1"/>
                <w:szCs w:val="1"/>
                <w:color w:val="auto"/>
              </w:rPr>
            </w:pPr>
          </w:p>
        </w:tc>
      </w:tr>
      <w:tr>
        <w:trPr>
          <w:trHeight w:val="26"/>
        </w:trPr>
        <w:tc>
          <w:tcPr>
            <w:tcW w:w="71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Total Southern Business</w:t>
            </w: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7160" w:type="dxa"/>
            <w:vAlign w:val="bottom"/>
            <w:vMerge w:val="continue"/>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1,209,102</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1,201,259</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716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b w:val="1"/>
                <w:bCs w:val="1"/>
                <w:color w:val="auto"/>
              </w:rPr>
              <w:t>Exploration</w:t>
            </w:r>
          </w:p>
        </w:tc>
        <w:tc>
          <w:tcPr>
            <w:tcW w:w="120" w:type="dxa"/>
            <w:vAlign w:val="bottom"/>
            <w:shd w:val="clear" w:color="auto" w:fill="CCEEFF"/>
          </w:tcPr>
          <w:p>
            <w:pPr>
              <w:spacing w:after="0"/>
              <w:rPr>
                <w:sz w:val="10"/>
                <w:szCs w:val="10"/>
                <w:color w:val="auto"/>
              </w:rPr>
            </w:pPr>
          </w:p>
        </w:tc>
        <w:tc>
          <w:tcPr>
            <w:tcW w:w="78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206,572</w:t>
            </w:r>
          </w:p>
        </w:tc>
        <w:tc>
          <w:tcPr>
            <w:tcW w:w="80" w:type="dxa"/>
            <w:vAlign w:val="bottom"/>
            <w:shd w:val="clear" w:color="auto" w:fill="CCEEFF"/>
          </w:tcPr>
          <w:p>
            <w:pPr>
              <w:spacing w:after="0"/>
              <w:rPr>
                <w:sz w:val="10"/>
                <w:szCs w:val="10"/>
                <w:color w:val="auto"/>
              </w:rPr>
            </w:pPr>
          </w:p>
        </w:tc>
        <w:tc>
          <w:tcPr>
            <w:tcW w:w="98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144,580</w:t>
            </w:r>
          </w:p>
        </w:tc>
        <w:tc>
          <w:tcPr>
            <w:tcW w:w="0" w:type="dxa"/>
            <w:vAlign w:val="bottom"/>
          </w:tcPr>
          <w:p>
            <w:pPr>
              <w:spacing w:after="0"/>
              <w:rPr>
                <w:sz w:val="1"/>
                <w:szCs w:val="1"/>
                <w:color w:val="auto"/>
              </w:rPr>
            </w:pPr>
          </w:p>
        </w:tc>
      </w:tr>
      <w:tr>
        <w:trPr>
          <w:trHeight w:val="26"/>
        </w:trPr>
        <w:tc>
          <w:tcPr>
            <w:tcW w:w="71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Corporate and other</w:t>
            </w: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7160" w:type="dxa"/>
            <w:vAlign w:val="bottom"/>
            <w:vMerge w:val="continue"/>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136,983</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179,649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716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b w:val="1"/>
                <w:bCs w:val="1"/>
                <w:color w:val="auto"/>
              </w:rPr>
              <w:t>Total assets</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6,749,815</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6,809,255</w:t>
            </w:r>
          </w:p>
        </w:tc>
        <w:tc>
          <w:tcPr>
            <w:tcW w:w="0" w:type="dxa"/>
            <w:vAlign w:val="bottom"/>
          </w:tcPr>
          <w:p>
            <w:pPr>
              <w:spacing w:after="0"/>
              <w:rPr>
                <w:sz w:val="1"/>
                <w:szCs w:val="1"/>
                <w:color w:val="auto"/>
              </w:rPr>
            </w:pPr>
          </w:p>
        </w:tc>
      </w:tr>
      <w:tr>
        <w:trPr>
          <w:trHeight w:val="26"/>
        </w:trPr>
        <w:tc>
          <w:tcPr>
            <w:tcW w:w="7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7"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15.  COMMITMENTS AND CONTINGENCIES</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As part of its ongoing business and operations, the Company has been required to provide assurance in the form of letters of credit for environmental and site restoration costs, custom credits, government grants and other general corporate purposes. As at June 30, 2015, the total amount of these guarantees was $164.7 million.</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As at June 30, 2015, the Company had $39.2 million of commitments related to the purchase of property, plant and mine development.</w:t>
      </w:r>
    </w:p>
    <w:p>
      <w:pPr>
        <w:spacing w:after="0" w:line="200" w:lineRule="exact"/>
        <w:rPr>
          <w:sz w:val="20"/>
          <w:szCs w:val="20"/>
          <w:color w:val="auto"/>
        </w:rPr>
      </w:pPr>
    </w:p>
    <w:p>
      <w:pPr>
        <w:ind w:left="520" w:right="9720" w:hanging="515"/>
        <w:spacing w:after="0" w:line="619" w:lineRule="auto"/>
        <w:tabs>
          <w:tab w:leader="none" w:pos="258" w:val="left"/>
        </w:tabs>
        <w:numPr>
          <w:ilvl w:val="0"/>
          <w:numId w:val="27"/>
        </w:numPr>
        <w:rPr>
          <w:rFonts w:ascii="Arial" w:cs="Arial" w:eastAsia="Arial" w:hAnsi="Arial"/>
          <w:sz w:val="12"/>
          <w:szCs w:val="12"/>
          <w:b w:val="1"/>
          <w:bCs w:val="1"/>
          <w:color w:val="auto"/>
        </w:rPr>
      </w:pPr>
      <w:r>
        <w:rPr>
          <w:rFonts w:ascii="Arial" w:cs="Arial" w:eastAsia="Arial" w:hAnsi="Arial"/>
          <w:sz w:val="12"/>
          <w:szCs w:val="12"/>
          <w:b w:val="1"/>
          <w:bCs w:val="1"/>
          <w:color w:val="auto"/>
        </w:rPr>
        <w:t xml:space="preserve">SUBSEQUENT EVENTS </w:t>
      </w:r>
      <w:r>
        <w:rPr>
          <w:rFonts w:ascii="Arial" w:cs="Arial" w:eastAsia="Arial" w:hAnsi="Arial"/>
          <w:sz w:val="12"/>
          <w:szCs w:val="12"/>
          <w:b w:val="1"/>
          <w:bCs w:val="1"/>
          <w:i w:val="1"/>
          <w:iCs w:val="1"/>
          <w:color w:val="auto"/>
        </w:rPr>
        <w:t>Dividends Declared</w:t>
      </w:r>
    </w:p>
    <w:p>
      <w:pPr>
        <w:ind w:left="520"/>
        <w:spacing w:after="0" w:line="256" w:lineRule="auto"/>
        <w:rPr>
          <w:sz w:val="20"/>
          <w:szCs w:val="20"/>
          <w:color w:val="auto"/>
        </w:rPr>
      </w:pPr>
      <w:r>
        <w:rPr>
          <w:rFonts w:ascii="Arial" w:cs="Arial" w:eastAsia="Arial" w:hAnsi="Arial"/>
          <w:sz w:val="13"/>
          <w:szCs w:val="13"/>
          <w:color w:val="auto"/>
        </w:rPr>
        <w:t>On July 29, 2015, Agnico Eagle announced that the Board approved the payment of a quarterly cash dividend of $0.08 per common share (a total value of approximately $17.4 million), paid on September 15, 2015 to holders of record of the common shares of the Company on September 1, 2015.</w:t>
      </w:r>
    </w:p>
    <w:p>
      <w:pPr>
        <w:spacing w:after="0" w:line="175" w:lineRule="exact"/>
        <w:rPr>
          <w:sz w:val="20"/>
          <w:szCs w:val="20"/>
          <w:color w:val="auto"/>
        </w:rPr>
      </w:pPr>
    </w:p>
    <w:p>
      <w:pPr>
        <w:ind w:left="520" w:right="9140" w:hanging="515"/>
        <w:spacing w:after="0" w:line="619" w:lineRule="auto"/>
        <w:tabs>
          <w:tab w:leader="none" w:pos="258" w:val="left"/>
        </w:tabs>
        <w:numPr>
          <w:ilvl w:val="0"/>
          <w:numId w:val="28"/>
        </w:numPr>
        <w:rPr>
          <w:rFonts w:ascii="Arial" w:cs="Arial" w:eastAsia="Arial" w:hAnsi="Arial"/>
          <w:sz w:val="12"/>
          <w:szCs w:val="12"/>
          <w:b w:val="1"/>
          <w:bCs w:val="1"/>
          <w:color w:val="auto"/>
        </w:rPr>
      </w:pPr>
      <w:r>
        <w:rPr>
          <w:rFonts w:ascii="Arial" w:cs="Arial" w:eastAsia="Arial" w:hAnsi="Arial"/>
          <w:sz w:val="12"/>
          <w:szCs w:val="12"/>
          <w:b w:val="1"/>
          <w:bCs w:val="1"/>
          <w:color w:val="auto"/>
        </w:rPr>
        <w:t xml:space="preserve">ONGOING LITIGATION </w:t>
      </w:r>
      <w:r>
        <w:rPr>
          <w:rFonts w:ascii="Arial" w:cs="Arial" w:eastAsia="Arial" w:hAnsi="Arial"/>
          <w:sz w:val="12"/>
          <w:szCs w:val="12"/>
          <w:b w:val="1"/>
          <w:bCs w:val="1"/>
          <w:i w:val="1"/>
          <w:iCs w:val="1"/>
          <w:color w:val="auto"/>
        </w:rPr>
        <w:t>Securities Class Action Lawsuits</w:t>
      </w:r>
    </w:p>
    <w:p>
      <w:pPr>
        <w:jc w:val="both"/>
        <w:ind w:left="520"/>
        <w:spacing w:after="0" w:line="235" w:lineRule="auto"/>
        <w:rPr>
          <w:sz w:val="20"/>
          <w:szCs w:val="20"/>
          <w:color w:val="auto"/>
        </w:rPr>
      </w:pPr>
      <w:r>
        <w:rPr>
          <w:rFonts w:ascii="Arial" w:cs="Arial" w:eastAsia="Arial" w:hAnsi="Arial"/>
          <w:sz w:val="13"/>
          <w:szCs w:val="13"/>
          <w:color w:val="auto"/>
        </w:rPr>
        <w:t xml:space="preserve">On March 8, 2012 and April 10, 2012, a Notice of Action and Statement of Claim (collectively, the "Ontario Claim") were issued by William Leslie, AFA Livforsakringsaktiebolag and certain other entities against the Company and certain of its current and former officers, some of whom who also are or were directors of the Company. On September 27, 2012, the plaintiffs issued a Fresh as Amended Statement of Claim. The Fresh as Amended Statement of Claim alleges that the Company's public disclosure concerning water flow issues at its Goldex mine was misleading. The Ontario Claim was issued by the plaintiffs on behalf of all persons and entities who acquired securities of the Company during the period March 26, 2010 to October 19, 2011, excluding persons resident or domiciled in the Province of Quebec at the time they purchased or acquired such securities. The plaintiffs seek, among other things, damages of C$250.0 million. Following negotiations with the plaintiffs, on April 17, 2013 an Order was granted on consent of the plaintiffs and defendants certifying a class action proceeding and granting leave for the claims under Section 138 of the </w:t>
      </w:r>
      <w:r>
        <w:rPr>
          <w:rFonts w:ascii="Arial" w:cs="Arial" w:eastAsia="Arial" w:hAnsi="Arial"/>
          <w:sz w:val="13"/>
          <w:szCs w:val="13"/>
          <w:i w:val="1"/>
          <w:iCs w:val="1"/>
          <w:color w:val="auto"/>
        </w:rPr>
        <w:t>Securities Act</w:t>
      </w:r>
      <w:r>
        <w:rPr>
          <w:rFonts w:ascii="Arial" w:cs="Arial" w:eastAsia="Arial" w:hAnsi="Arial"/>
          <w:sz w:val="13"/>
          <w:szCs w:val="13"/>
          <w:color w:val="auto"/>
        </w:rPr>
        <w:t xml:space="preserve"> (Ontario) to proceed. The consent Order significantly narrows the class of claimants initially proposed by the plaintiffs and eliminates many of the claims initially made in the action. The Company has agreed to participate in a mediation with the plaintiffs in respect of both the</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6" w:name="page57"/>
    <w:bookmarkEnd w:id="5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220"/>
        <w:spacing w:after="0"/>
        <w:rPr>
          <w:sz w:val="20"/>
          <w:szCs w:val="20"/>
          <w:color w:val="auto"/>
        </w:rPr>
      </w:pPr>
      <w:r>
        <w:rPr>
          <w:rFonts w:ascii="Arial" w:cs="Arial" w:eastAsia="Arial" w:hAnsi="Arial"/>
          <w:sz w:val="17"/>
          <w:szCs w:val="17"/>
          <w:b w:val="1"/>
          <w:bCs w:val="1"/>
          <w:color w:val="auto"/>
        </w:rPr>
        <w:t>June 30, 2015</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17.  ONGOING LITIGATION (Continued)</w:t>
      </w:r>
    </w:p>
    <w:p>
      <w:pPr>
        <w:spacing w:after="0" w:line="208"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Ontario and Quebec actions which will occur in early September 2015. If the mediation is not successful, it is expected that oral discoveries will take place in early 2016, and the Company intends to vigorously defend the action on the merits. No amounts have been recorded for any potential liability arising from this matter.</w:t>
      </w:r>
    </w:p>
    <w:p>
      <w:pPr>
        <w:spacing w:after="0" w:line="179" w:lineRule="exact"/>
        <w:rPr>
          <w:sz w:val="20"/>
          <w:szCs w:val="20"/>
          <w:color w:val="auto"/>
        </w:rPr>
      </w:pPr>
    </w:p>
    <w:p>
      <w:pPr>
        <w:jc w:val="both"/>
        <w:ind w:left="520"/>
        <w:spacing w:after="0" w:line="235" w:lineRule="auto"/>
        <w:rPr>
          <w:sz w:val="20"/>
          <w:szCs w:val="20"/>
          <w:color w:val="auto"/>
        </w:rPr>
      </w:pPr>
      <w:r>
        <w:rPr>
          <w:rFonts w:ascii="Arial" w:cs="Arial" w:eastAsia="Arial" w:hAnsi="Arial"/>
          <w:sz w:val="13"/>
          <w:szCs w:val="13"/>
          <w:color w:val="auto"/>
        </w:rPr>
        <w:t xml:space="preserve">On March 28, 2012, the Company and certain of its current and former officers, some of whom also are or were directors of the Company, were named as respondents in a Motion for Leave to Institute a Class Action and for the Appointment of a Representative Plaintiff (the "Quebec Motion"). The action is on behalf of all persons and entities with fewer than 50 employees resident in Quebec who acquired securities of the Company between March 26, 2010 and October 19, 2011. The proposed class action is for damages of C$100.0 million arising as a result of allegedly misleading disclosure by the Company concerning its operations at the Goldex mine. On October 15, 2012, the plaintiffs served an amended Quebec Motion seeking leave to commence an action under the </w:t>
      </w:r>
      <w:r>
        <w:rPr>
          <w:rFonts w:ascii="Arial" w:cs="Arial" w:eastAsia="Arial" w:hAnsi="Arial"/>
          <w:sz w:val="13"/>
          <w:szCs w:val="13"/>
          <w:i w:val="1"/>
          <w:iCs w:val="1"/>
          <w:color w:val="auto"/>
        </w:rPr>
        <w:t>Securities Act</w:t>
      </w:r>
      <w:r>
        <w:rPr>
          <w:rFonts w:ascii="Arial" w:cs="Arial" w:eastAsia="Arial" w:hAnsi="Arial"/>
          <w:sz w:val="13"/>
          <w:szCs w:val="13"/>
          <w:color w:val="auto"/>
        </w:rPr>
        <w:t xml:space="preserve"> (Quebec) in addition to seeking authorization to institute a class action. On October 1, 2013, the Quebec court certified the class action on terms identical to those set out in the consent Order granted in Ontario on April 17, 2013. As noted in respect of the Ontario Claim, the Company has agreed to participate in a mediation with the plaintiffs in respect of both the Ontario and Quebec actions, which will occur in early September 2015. If the mediation is not successful, it is expected that oral discoveries will take place in early 2016, and Company intends to vigorously defend the action on the merits. No amounts have been recorded for any potential liability arising from this matter.</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7" w:name="page58"/>
    <w:bookmarkEnd w:id="57"/>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153035</wp:posOffset>
            </wp:positionH>
            <wp:positionV relativeFrom="page">
              <wp:posOffset>1302385</wp:posOffset>
            </wp:positionV>
            <wp:extent cx="7254875" cy="209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4875" cy="20955"/>
                    </a:xfrm>
                    <a:prstGeom prst="rect">
                      <a:avLst/>
                    </a:prstGeom>
                    <a:noFill/>
                  </pic:spPr>
                </pic:pic>
              </a:graphicData>
            </a:graphic>
          </wp:anchor>
        </w:drawing>
        <w:drawing>
          <wp:anchor simplePos="0" relativeHeight="251657728" behindDoc="1" locked="0" layoutInCell="0" allowOverlap="1">
            <wp:simplePos x="0" y="0"/>
            <wp:positionH relativeFrom="page">
              <wp:posOffset>2653030</wp:posOffset>
            </wp:positionH>
            <wp:positionV relativeFrom="page">
              <wp:posOffset>88900</wp:posOffset>
            </wp:positionV>
            <wp:extent cx="2256155" cy="10820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clrChange>
                        <a:clrFrom>
                          <a:srgbClr val="FFFFFF"/>
                        </a:clrFrom>
                        <a:clrTo>
                          <a:srgbClr val="FFFFFF">
                            <a:alpha val="0"/>
                          </a:srgbClr>
                        </a:clrTo>
                      </a:clrChange>
                      <a:extLst>
                        <a:ext uri="{28A0092B-C50C-407E-A947-70E740481C1C}"/>
                      </a:extLst>
                    </a:blip>
                    <a:srcRect/>
                    <a:stretch>
                      <a:fillRect/>
                    </a:stretch>
                  </pic:blipFill>
                  <pic:spPr bwMode="auto">
                    <a:xfrm>
                      <a:off x="0" y="0"/>
                      <a:ext cx="2256155" cy="108204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58" w:name="page59"/>
    <w:bookmarkEnd w:id="58"/>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spacing w:after="0"/>
        <w:rPr>
          <w:rFonts w:ascii="Arial" w:cs="Arial" w:eastAsia="Arial" w:hAnsi="Arial"/>
          <w:sz w:val="17"/>
          <w:szCs w:val="17"/>
          <w:u w:val="single" w:color="auto"/>
          <w:color w:val="0000EE"/>
        </w:rPr>
      </w:pPr>
      <w:hyperlink w:anchor="page5">
        <w:r>
          <w:rPr>
            <w:rFonts w:ascii="Arial" w:cs="Arial" w:eastAsia="Arial" w:hAnsi="Arial"/>
            <w:sz w:val="17"/>
            <w:szCs w:val="17"/>
            <w:u w:val="single" w:color="auto"/>
            <w:color w:val="0000EE"/>
          </w:rPr>
          <w:t>Second Quarter Report 2015</w:t>
        </w:r>
      </w:hyperlink>
    </w:p>
    <w:p>
      <w:pPr>
        <w:spacing w:after="0" w:line="20" w:lineRule="exact"/>
        <w:rPr>
          <w:sz w:val="20"/>
          <w:szCs w:val="20"/>
          <w:color w:val="auto"/>
        </w:rPr>
      </w:pPr>
    </w:p>
    <w:p>
      <w:pPr>
        <w:ind w:right="740"/>
        <w:spacing w:after="0" w:line="257" w:lineRule="auto"/>
        <w:rPr>
          <w:rFonts w:ascii="Arial" w:cs="Arial" w:eastAsia="Arial" w:hAnsi="Arial"/>
          <w:sz w:val="17"/>
          <w:szCs w:val="17"/>
          <w:u w:val="single" w:color="auto"/>
          <w:color w:val="0000EE"/>
        </w:rPr>
      </w:pPr>
      <w:hyperlink w:anchor="page6">
        <w:r>
          <w:rPr>
            <w:rFonts w:ascii="Arial" w:cs="Arial" w:eastAsia="Arial" w:hAnsi="Arial"/>
            <w:sz w:val="17"/>
            <w:szCs w:val="17"/>
            <w:u w:val="single" w:color="auto"/>
            <w:color w:val="0000EE"/>
          </w:rPr>
          <w:t>AGNICO EAGLE MINES LIMITED MANAGEMENT'S DISCUSSION AND ANALYSIS (Prepared in accordance with International Financial Reporting</w:t>
        </w:r>
      </w:hyperlink>
      <w:r>
        <w:rPr>
          <w:rFonts w:ascii="Arial" w:cs="Arial" w:eastAsia="Arial" w:hAnsi="Arial"/>
          <w:sz w:val="17"/>
          <w:szCs w:val="17"/>
          <w:u w:val="single" w:color="auto"/>
          <w:color w:val="0000EE"/>
        </w:rPr>
        <w:t xml:space="preserve"> </w:t>
      </w:r>
      <w:hyperlink w:anchor="page6">
        <w:r>
          <w:rPr>
            <w:rFonts w:ascii="Arial" w:cs="Arial" w:eastAsia="Arial" w:hAnsi="Arial"/>
            <w:sz w:val="17"/>
            <w:szCs w:val="17"/>
            <w:u w:val="single" w:color="auto"/>
            <w:color w:val="0000EE"/>
          </w:rPr>
          <w:t>Standards) for the three and six months ended June 30, 2015</w:t>
        </w:r>
      </w:hyperlink>
    </w:p>
    <w:p>
      <w:pPr>
        <w:spacing w:after="0" w:line="1" w:lineRule="exact"/>
        <w:rPr>
          <w:sz w:val="20"/>
          <w:szCs w:val="20"/>
          <w:color w:val="auto"/>
        </w:rPr>
      </w:pPr>
    </w:p>
    <w:p>
      <w:pPr>
        <w:ind w:right="740"/>
        <w:spacing w:after="0" w:line="257" w:lineRule="auto"/>
        <w:rPr>
          <w:rFonts w:ascii="Arial" w:cs="Arial" w:eastAsia="Arial" w:hAnsi="Arial"/>
          <w:sz w:val="17"/>
          <w:szCs w:val="17"/>
          <w:u w:val="single" w:color="auto"/>
          <w:color w:val="0000EE"/>
        </w:rPr>
      </w:pPr>
      <w:hyperlink w:anchor="page22">
        <w:r>
          <w:rPr>
            <w:rFonts w:ascii="Arial" w:cs="Arial" w:eastAsia="Arial" w:hAnsi="Arial"/>
            <w:sz w:val="17"/>
            <w:szCs w:val="17"/>
            <w:u w:val="single" w:color="auto"/>
            <w:color w:val="0000EE"/>
          </w:rPr>
          <w:t>AGNICO EAGLE MINES LIMITED MANAGEMENT'S DISCUSSION AND ANALYSIS (Prepared in accordance with International Financial Reporting</w:t>
        </w:r>
      </w:hyperlink>
      <w:r>
        <w:rPr>
          <w:rFonts w:ascii="Arial" w:cs="Arial" w:eastAsia="Arial" w:hAnsi="Arial"/>
          <w:sz w:val="17"/>
          <w:szCs w:val="17"/>
          <w:u w:val="single" w:color="auto"/>
          <w:color w:val="0000EE"/>
        </w:rPr>
        <w:t xml:space="preserve"> </w:t>
      </w:r>
      <w:hyperlink w:anchor="page22">
        <w:r>
          <w:rPr>
            <w:rFonts w:ascii="Arial" w:cs="Arial" w:eastAsia="Arial" w:hAnsi="Arial"/>
            <w:sz w:val="17"/>
            <w:szCs w:val="17"/>
            <w:u w:val="single" w:color="auto"/>
            <w:color w:val="0000EE"/>
          </w:rPr>
          <w:t>Standards) for the three and six months ended June 30, 2015</w:t>
        </w:r>
      </w:hyperlink>
    </w:p>
    <w:p>
      <w:pPr>
        <w:spacing w:after="0" w:line="1" w:lineRule="exact"/>
        <w:rPr>
          <w:sz w:val="20"/>
          <w:szCs w:val="20"/>
          <w:color w:val="auto"/>
        </w:rPr>
      </w:pPr>
    </w:p>
    <w:p>
      <w:pPr>
        <w:ind w:right="400"/>
        <w:spacing w:after="0" w:line="257" w:lineRule="auto"/>
        <w:rPr>
          <w:rFonts w:ascii="Arial" w:cs="Arial" w:eastAsia="Arial" w:hAnsi="Arial"/>
          <w:sz w:val="17"/>
          <w:szCs w:val="17"/>
          <w:u w:val="single" w:color="auto"/>
          <w:color w:val="0000EE"/>
        </w:rPr>
      </w:pPr>
      <w:hyperlink w:anchor="page35">
        <w:r>
          <w:rPr>
            <w:rFonts w:ascii="Arial" w:cs="Arial" w:eastAsia="Arial" w:hAnsi="Arial"/>
            <w:sz w:val="17"/>
            <w:szCs w:val="17"/>
            <w:u w:val="single" w:color="auto"/>
            <w:color w:val="0000EE"/>
          </w:rPr>
          <w:t>AGNICO EAGLE MINES LIMITED SUMMARY OF OPERATIONS KEY PERFORMANCE INDICATORS (thousands of United States dollars, except where</w:t>
        </w:r>
      </w:hyperlink>
      <w:r>
        <w:rPr>
          <w:rFonts w:ascii="Arial" w:cs="Arial" w:eastAsia="Arial" w:hAnsi="Arial"/>
          <w:sz w:val="17"/>
          <w:szCs w:val="17"/>
          <w:u w:val="single" w:color="auto"/>
          <w:color w:val="0000EE"/>
        </w:rPr>
        <w:t xml:space="preserve"> </w:t>
      </w:r>
      <w:hyperlink w:anchor="page35">
        <w:r>
          <w:rPr>
            <w:rFonts w:ascii="Arial" w:cs="Arial" w:eastAsia="Arial" w:hAnsi="Arial"/>
            <w:sz w:val="17"/>
            <w:szCs w:val="17"/>
            <w:u w:val="single" w:color="auto"/>
            <w:color w:val="0000EE"/>
          </w:rPr>
          <w:t>noted)</w:t>
        </w:r>
      </w:hyperlink>
    </w:p>
    <w:p>
      <w:pPr>
        <w:spacing w:after="0" w:line="1" w:lineRule="exact"/>
        <w:rPr>
          <w:sz w:val="20"/>
          <w:szCs w:val="20"/>
          <w:color w:val="auto"/>
        </w:rPr>
      </w:pPr>
    </w:p>
    <w:p>
      <w:pPr>
        <w:spacing w:after="0"/>
        <w:rPr>
          <w:rFonts w:ascii="Arial" w:cs="Arial" w:eastAsia="Arial" w:hAnsi="Arial"/>
          <w:sz w:val="17"/>
          <w:szCs w:val="17"/>
          <w:u w:val="single" w:color="auto"/>
          <w:color w:val="0000EE"/>
        </w:rPr>
      </w:pPr>
      <w:hyperlink w:anchor="page39">
        <w:r>
          <w:rPr>
            <w:rFonts w:ascii="Arial" w:cs="Arial" w:eastAsia="Arial" w:hAnsi="Arial"/>
            <w:sz w:val="17"/>
            <w:szCs w:val="17"/>
            <w:u w:val="single" w:color="auto"/>
            <w:color w:val="0000EE"/>
          </w:rPr>
          <w:t>AGNICO EAGLE MINES LIMITED SUMMARIZED QUARTERLY DATA (thousands of United States dollars, except where noted)</w:t>
        </w:r>
      </w:hyperlink>
    </w:p>
    <w:p>
      <w:pPr>
        <w:spacing w:after="0" w:line="14" w:lineRule="exact"/>
        <w:rPr>
          <w:sz w:val="20"/>
          <w:szCs w:val="20"/>
          <w:color w:val="auto"/>
        </w:rPr>
      </w:pPr>
    </w:p>
    <w:p>
      <w:pPr>
        <w:spacing w:after="0"/>
        <w:rPr>
          <w:rFonts w:ascii="Arial" w:cs="Arial" w:eastAsia="Arial" w:hAnsi="Arial"/>
          <w:sz w:val="16"/>
          <w:szCs w:val="16"/>
          <w:u w:val="single" w:color="auto"/>
          <w:color w:val="0000EE"/>
        </w:rPr>
      </w:pPr>
      <w:hyperlink w:anchor="page40">
        <w:r>
          <w:rPr>
            <w:rFonts w:ascii="Arial" w:cs="Arial" w:eastAsia="Arial" w:hAnsi="Arial"/>
            <w:sz w:val="16"/>
            <w:szCs w:val="16"/>
            <w:u w:val="single" w:color="auto"/>
            <w:color w:val="0000EE"/>
          </w:rPr>
          <w:t>AGNICO EAGLE MINES LIMITED CONDENSED INTERIM CONSOLIDATED BALANCE SHEETS (thousands of United States dollars, except share amounts)</w:t>
        </w:r>
      </w:hyperlink>
    </w:p>
    <w:p>
      <w:pPr>
        <w:spacing w:after="0" w:line="26" w:lineRule="exact"/>
        <w:rPr>
          <w:sz w:val="20"/>
          <w:szCs w:val="20"/>
          <w:color w:val="auto"/>
        </w:rPr>
      </w:pPr>
    </w:p>
    <w:p>
      <w:pPr>
        <w:spacing w:after="0"/>
        <w:rPr>
          <w:rFonts w:ascii="Arial" w:cs="Arial" w:eastAsia="Arial" w:hAnsi="Arial"/>
          <w:sz w:val="17"/>
          <w:szCs w:val="17"/>
          <w:u w:val="single" w:color="auto"/>
          <w:color w:val="0000EE"/>
        </w:rPr>
      </w:pPr>
      <w:hyperlink w:anchor="page40">
        <w:r>
          <w:rPr>
            <w:rFonts w:ascii="Arial" w:cs="Arial" w:eastAsia="Arial" w:hAnsi="Arial"/>
            <w:sz w:val="17"/>
            <w:szCs w:val="17"/>
            <w:u w:val="single" w:color="auto"/>
            <w:color w:val="0000EE"/>
          </w:rPr>
          <w:t>(Unaudited)</w:t>
        </w:r>
      </w:hyperlink>
    </w:p>
    <w:p>
      <w:pPr>
        <w:spacing w:after="0" w:line="14" w:lineRule="exact"/>
        <w:rPr>
          <w:sz w:val="20"/>
          <w:szCs w:val="20"/>
          <w:color w:val="auto"/>
        </w:rPr>
      </w:pPr>
    </w:p>
    <w:p>
      <w:pPr>
        <w:spacing w:after="0" w:line="257" w:lineRule="auto"/>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AGNICO EAGLE MINES LIMITED CONDENSED INTERIM CONSOLIDATED STATEMENTS OF INCOME AND COMPREHENSIVE INCOME (thousands of</w:t>
        </w:r>
      </w:hyperlink>
      <w:r>
        <w:rPr>
          <w:rFonts w:ascii="Arial" w:cs="Arial" w:eastAsia="Arial" w:hAnsi="Arial"/>
          <w:sz w:val="17"/>
          <w:szCs w:val="17"/>
          <w:u w:val="single" w:color="auto"/>
          <w:color w:val="0000EE"/>
        </w:rPr>
        <w:t xml:space="preserve"> </w:t>
      </w:r>
      <w:hyperlink w:anchor="page41">
        <w:r>
          <w:rPr>
            <w:rFonts w:ascii="Arial" w:cs="Arial" w:eastAsia="Arial" w:hAnsi="Arial"/>
            <w:sz w:val="17"/>
            <w:szCs w:val="17"/>
            <w:u w:val="single" w:color="auto"/>
            <w:color w:val="0000EE"/>
          </w:rPr>
          <w:t>United States dollars, except per share amounts) (Unaudited)</w:t>
        </w:r>
      </w:hyperlink>
    </w:p>
    <w:p>
      <w:pPr>
        <w:spacing w:after="0" w:line="1" w:lineRule="exact"/>
        <w:rPr>
          <w:sz w:val="20"/>
          <w:szCs w:val="20"/>
          <w:color w:val="auto"/>
        </w:rPr>
      </w:pPr>
    </w:p>
    <w:p>
      <w:pPr>
        <w:ind w:right="240"/>
        <w:spacing w:after="0" w:line="257" w:lineRule="auto"/>
        <w:rPr>
          <w:rFonts w:ascii="Arial" w:cs="Arial" w:eastAsia="Arial" w:hAnsi="Arial"/>
          <w:sz w:val="17"/>
          <w:szCs w:val="17"/>
          <w:u w:val="single" w:color="auto"/>
          <w:color w:val="0000EE"/>
        </w:rPr>
      </w:pPr>
      <w:hyperlink w:anchor="page42">
        <w:r>
          <w:rPr>
            <w:rFonts w:ascii="Arial" w:cs="Arial" w:eastAsia="Arial" w:hAnsi="Arial"/>
            <w:sz w:val="17"/>
            <w:szCs w:val="17"/>
            <w:u w:val="single" w:color="auto"/>
            <w:color w:val="0000EE"/>
          </w:rPr>
          <w:t>AGNICO EAGLE MINES LIMITED CONDENSED INTERIM CONSOLIDATED STATEMENTS OF EQUITY (thousands of United States dollars, except share</w:t>
        </w:r>
      </w:hyperlink>
      <w:r>
        <w:rPr>
          <w:rFonts w:ascii="Arial" w:cs="Arial" w:eastAsia="Arial" w:hAnsi="Arial"/>
          <w:sz w:val="17"/>
          <w:szCs w:val="17"/>
          <w:u w:val="single" w:color="auto"/>
          <w:color w:val="0000EE"/>
        </w:rPr>
        <w:t xml:space="preserve"> </w:t>
      </w:r>
      <w:hyperlink w:anchor="page42">
        <w:r>
          <w:rPr>
            <w:rFonts w:ascii="Arial" w:cs="Arial" w:eastAsia="Arial" w:hAnsi="Arial"/>
            <w:sz w:val="17"/>
            <w:szCs w:val="17"/>
            <w:u w:val="single" w:color="auto"/>
            <w:color w:val="0000EE"/>
          </w:rPr>
          <w:t>and per share amounts) (Unaudited)</w:t>
        </w:r>
      </w:hyperlink>
    </w:p>
    <w:p>
      <w:pPr>
        <w:spacing w:after="0" w:line="1" w:lineRule="exact"/>
        <w:rPr>
          <w:sz w:val="20"/>
          <w:szCs w:val="20"/>
          <w:color w:val="auto"/>
        </w:rPr>
      </w:pPr>
    </w:p>
    <w:p>
      <w:pPr>
        <w:spacing w:after="0"/>
        <w:rPr>
          <w:rFonts w:ascii="Arial" w:cs="Arial" w:eastAsia="Arial" w:hAnsi="Arial"/>
          <w:sz w:val="17"/>
          <w:szCs w:val="17"/>
          <w:u w:val="single" w:color="auto"/>
          <w:color w:val="0000EE"/>
        </w:rPr>
      </w:pPr>
      <w:hyperlink w:anchor="page43">
        <w:r>
          <w:rPr>
            <w:rFonts w:ascii="Arial" w:cs="Arial" w:eastAsia="Arial" w:hAnsi="Arial"/>
            <w:sz w:val="17"/>
            <w:szCs w:val="17"/>
            <w:u w:val="single" w:color="auto"/>
            <w:color w:val="0000EE"/>
          </w:rPr>
          <w:t>AGNICO EAGLE MINES LIMITED CONDENSED INTERIM CONSOLIDATED STATEMENTS OF CASH FLOWS (thousands of United States dollars)</w:t>
        </w:r>
      </w:hyperlink>
    </w:p>
    <w:p>
      <w:pPr>
        <w:spacing w:after="0" w:line="14" w:lineRule="exact"/>
        <w:rPr>
          <w:sz w:val="20"/>
          <w:szCs w:val="20"/>
          <w:color w:val="auto"/>
        </w:rPr>
      </w:pPr>
    </w:p>
    <w:p>
      <w:pPr>
        <w:spacing w:after="0"/>
        <w:rPr>
          <w:rFonts w:ascii="Arial" w:cs="Arial" w:eastAsia="Arial" w:hAnsi="Arial"/>
          <w:sz w:val="17"/>
          <w:szCs w:val="17"/>
          <w:u w:val="single" w:color="auto"/>
          <w:color w:val="0000EE"/>
        </w:rPr>
      </w:pPr>
      <w:hyperlink w:anchor="page43">
        <w:r>
          <w:rPr>
            <w:rFonts w:ascii="Arial" w:cs="Arial" w:eastAsia="Arial" w:hAnsi="Arial"/>
            <w:sz w:val="17"/>
            <w:szCs w:val="17"/>
            <w:u w:val="single" w:color="auto"/>
            <w:color w:val="0000EE"/>
          </w:rPr>
          <w:t>(Unaudited)</w:t>
        </w:r>
      </w:hyperlink>
    </w:p>
    <w:p>
      <w:pPr>
        <w:spacing w:after="0" w:line="14" w:lineRule="exact"/>
        <w:rPr>
          <w:sz w:val="20"/>
          <w:szCs w:val="20"/>
          <w:color w:val="auto"/>
        </w:rPr>
      </w:pPr>
    </w:p>
    <w:p>
      <w:pPr>
        <w:ind w:right="240"/>
        <w:spacing w:after="0" w:line="275" w:lineRule="auto"/>
        <w:rPr>
          <w:rFonts w:ascii="Arial" w:cs="Arial" w:eastAsia="Arial" w:hAnsi="Arial"/>
          <w:sz w:val="17"/>
          <w:szCs w:val="17"/>
          <w:u w:val="single" w:color="auto"/>
          <w:color w:val="0000EE"/>
        </w:rPr>
      </w:pPr>
      <w:hyperlink w:anchor="page44">
        <w:r>
          <w:rPr>
            <w:rFonts w:ascii="Arial" w:cs="Arial" w:eastAsia="Arial" w:hAnsi="Arial"/>
            <w:sz w:val="17"/>
            <w:szCs w:val="17"/>
            <w:u w:val="single" w:color="auto"/>
            <w:color w:val="0000EE"/>
          </w:rPr>
          <w:t>AGNICO EAGLE MINES LIMITED NOTES TO CONDENSED INTERIM CONSOLIDATED FINANCIAL STATEMENTS (thousands of United States dollars,</w:t>
        </w:r>
      </w:hyperlink>
      <w:r>
        <w:rPr>
          <w:rFonts w:ascii="Arial" w:cs="Arial" w:eastAsia="Arial" w:hAnsi="Arial"/>
          <w:sz w:val="17"/>
          <w:szCs w:val="17"/>
          <w:u w:val="single" w:color="auto"/>
          <w:color w:val="0000EE"/>
        </w:rPr>
        <w:t xml:space="preserve"> </w:t>
      </w:r>
      <w:hyperlink w:anchor="page44">
        <w:r>
          <w:rPr>
            <w:rFonts w:ascii="Arial" w:cs="Arial" w:eastAsia="Arial" w:hAnsi="Arial"/>
            <w:sz w:val="17"/>
            <w:szCs w:val="17"/>
            <w:u w:val="single" w:color="auto"/>
            <w:color w:val="0000EE"/>
          </w:rPr>
          <w:t>except share and per share amounts, unless otherwise indicated) (Unaudited) June 30, 2015</w:t>
        </w:r>
      </w:hyperlink>
    </w:p>
    <w:sectPr>
      <w:pgSz w:w="11900" w:h="16838" w:orient="portrait"/>
      <w:cols w:equalWidth="0" w:num="1">
        <w:col w:w="11400"/>
      </w:cols>
      <w:pgMar w:left="240" w:top="80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DCC233"/>
    <w:multiLevelType w:val="hybridMultilevel"/>
    <w:lvl w:ilvl="0">
      <w:lvlJc w:val="left"/>
      <w:lvlText w:val="•"/>
      <w:numFmt w:val="bullet"/>
      <w:start w:val="1"/>
    </w:lvl>
  </w:abstractNum>
  <w:abstractNum w:abstractNumId="1">
    <w:nsid w:val="1BEFD79F"/>
    <w:multiLevelType w:val="hybridMultilevel"/>
    <w:lvl w:ilvl="0">
      <w:lvlJc w:val="left"/>
      <w:lvlText w:val="(%1)"/>
      <w:numFmt w:val="lowerRoman"/>
      <w:start w:val="1"/>
    </w:lvl>
  </w:abstractNum>
  <w:abstractNum w:abstractNumId="2">
    <w:nsid w:val="41A7C4C9"/>
    <w:multiLevelType w:val="hybridMultilevel"/>
    <w:lvl w:ilvl="0">
      <w:lvlJc w:val="left"/>
      <w:lvlText w:val="(%1)"/>
      <w:numFmt w:val="lowerRoman"/>
      <w:start w:val="4"/>
    </w:lvl>
  </w:abstractNum>
  <w:abstractNum w:abstractNumId="3">
    <w:nsid w:val="6B68079A"/>
    <w:multiLevelType w:val="hybridMultilevel"/>
    <w:lvl w:ilvl="0">
      <w:lvlJc w:val="left"/>
      <w:lvlText w:val="(%1)"/>
      <w:numFmt w:val="lowerRoman"/>
      <w:start w:val="1"/>
    </w:lvl>
  </w:abstractNum>
  <w:abstractNum w:abstractNumId="4">
    <w:nsid w:val="4E6AFB66"/>
    <w:multiLevelType w:val="hybridMultilevel"/>
    <w:lvl w:ilvl="0">
      <w:lvlJc w:val="left"/>
      <w:lvlText w:val="(%1)"/>
      <w:numFmt w:val="lowerRoman"/>
      <w:start w:val="1"/>
    </w:lvl>
  </w:abstractNum>
  <w:abstractNum w:abstractNumId="5">
    <w:nsid w:val="25E45D32"/>
    <w:multiLevelType w:val="hybridMultilevel"/>
    <w:lvl w:ilvl="0">
      <w:lvlJc w:val="left"/>
      <w:lvlText w:val="(%1)"/>
      <w:numFmt w:val="lowerRoman"/>
      <w:start w:val="1"/>
    </w:lvl>
  </w:abstractNum>
  <w:abstractNum w:abstractNumId="6">
    <w:nsid w:val="519B500D"/>
    <w:multiLevelType w:val="hybridMultilevel"/>
    <w:lvl w:ilvl="0">
      <w:lvlJc w:val="left"/>
      <w:lvlText w:val="(%1)"/>
      <w:numFmt w:val="lowerRoman"/>
      <w:start w:val="1"/>
    </w:lvl>
  </w:abstractNum>
  <w:abstractNum w:abstractNumId="7">
    <w:nsid w:val="431BD7B7"/>
    <w:multiLevelType w:val="hybridMultilevel"/>
    <w:lvl w:ilvl="0">
      <w:lvlJc w:val="left"/>
      <w:lvlText w:val="(%1)"/>
      <w:numFmt w:val="lowerRoman"/>
      <w:start w:val="1"/>
    </w:lvl>
  </w:abstractNum>
  <w:abstractNum w:abstractNumId="8">
    <w:nsid w:val="3F2DBA31"/>
    <w:multiLevelType w:val="hybridMultilevel"/>
    <w:lvl w:ilvl="0">
      <w:lvlJc w:val="left"/>
      <w:lvlText w:val="%1."/>
      <w:numFmt w:val="decimal"/>
      <w:start w:val="1"/>
    </w:lvl>
  </w:abstractNum>
  <w:abstractNum w:abstractNumId="9">
    <w:nsid w:val="7C83E458"/>
    <w:multiLevelType w:val="hybridMultilevel"/>
    <w:lvl w:ilvl="0">
      <w:lvlJc w:val="left"/>
      <w:lvlText w:val="%1."/>
      <w:numFmt w:val="decimal"/>
      <w:start w:val="2"/>
    </w:lvl>
    <w:lvl w:ilvl="1">
      <w:lvlJc w:val="left"/>
      <w:lvlText w:val="%2)"/>
      <w:numFmt w:val="upperLetter"/>
      <w:start w:val="1"/>
    </w:lvl>
  </w:abstractNum>
  <w:abstractNum w:abstractNumId="10">
    <w:nsid w:val="257130A3"/>
    <w:multiLevelType w:val="hybridMultilevel"/>
    <w:lvl w:ilvl="0">
      <w:lvlJc w:val="left"/>
      <w:lvlText w:val="%1."/>
      <w:numFmt w:val="decimal"/>
      <w:start w:val="4"/>
    </w:lvl>
  </w:abstractNum>
  <w:abstractNum w:abstractNumId="11">
    <w:nsid w:val="62BBD95A"/>
    <w:multiLevelType w:val="hybridMultilevel"/>
    <w:lvl w:ilvl="0">
      <w:lvlJc w:val="left"/>
      <w:lvlText w:val="%1."/>
      <w:numFmt w:val="decimal"/>
      <w:start w:val="5"/>
    </w:lvl>
  </w:abstractNum>
  <w:abstractNum w:abstractNumId="12">
    <w:nsid w:val="436C6125"/>
    <w:multiLevelType w:val="hybridMultilevel"/>
    <w:lvl w:ilvl="0">
      <w:lvlJc w:val="left"/>
      <w:lvlText w:val="%1."/>
      <w:numFmt w:val="decimal"/>
      <w:start w:val="5"/>
    </w:lvl>
  </w:abstractNum>
  <w:abstractNum w:abstractNumId="13">
    <w:nsid w:val="628C895D"/>
    <w:multiLevelType w:val="hybridMultilevel"/>
    <w:lvl w:ilvl="0">
      <w:lvlJc w:val="left"/>
      <w:lvlText w:val="(%1)"/>
      <w:numFmt w:val="lowerRoman"/>
      <w:start w:val="1"/>
    </w:lvl>
  </w:abstractNum>
  <w:abstractNum w:abstractNumId="14">
    <w:nsid w:val="333AB105"/>
    <w:multiLevelType w:val="hybridMultilevel"/>
    <w:lvl w:ilvl="0">
      <w:lvlJc w:val="left"/>
      <w:lvlText w:val="%1."/>
      <w:numFmt w:val="decimal"/>
      <w:start w:val="5"/>
    </w:lvl>
  </w:abstractNum>
  <w:abstractNum w:abstractNumId="15">
    <w:nsid w:val="721DA317"/>
    <w:multiLevelType w:val="hybridMultilevel"/>
    <w:lvl w:ilvl="0">
      <w:lvlJc w:val="left"/>
      <w:lvlText w:val="%1."/>
      <w:numFmt w:val="decimal"/>
      <w:start w:val="6"/>
    </w:lvl>
  </w:abstractNum>
  <w:abstractNum w:abstractNumId="16">
    <w:nsid w:val="2443A858"/>
    <w:multiLevelType w:val="hybridMultilevel"/>
    <w:lvl w:ilvl="0">
      <w:lvlJc w:val="left"/>
      <w:lvlText w:val="%1."/>
      <w:numFmt w:val="decimal"/>
      <w:start w:val="6"/>
    </w:lvl>
  </w:abstractNum>
  <w:abstractNum w:abstractNumId="17">
    <w:nsid w:val="2D1D5AE9"/>
    <w:multiLevelType w:val="hybridMultilevel"/>
    <w:lvl w:ilvl="0">
      <w:lvlJc w:val="left"/>
      <w:lvlText w:val="%1."/>
      <w:numFmt w:val="decimal"/>
      <w:start w:val="7"/>
    </w:lvl>
  </w:abstractNum>
  <w:abstractNum w:abstractNumId="18">
    <w:nsid w:val="6763845E"/>
    <w:multiLevelType w:val="hybridMultilevel"/>
    <w:lvl w:ilvl="0">
      <w:lvlJc w:val="left"/>
      <w:lvlText w:val="%1."/>
      <w:numFmt w:val="decimal"/>
      <w:start w:val="8"/>
    </w:lvl>
  </w:abstractNum>
  <w:abstractNum w:abstractNumId="19">
    <w:nsid w:val="75A2A8D4"/>
    <w:multiLevelType w:val="hybridMultilevel"/>
    <w:lvl w:ilvl="0">
      <w:lvlJc w:val="left"/>
      <w:lvlText w:val="%1."/>
      <w:numFmt w:val="decimal"/>
      <w:start w:val="8"/>
    </w:lvl>
  </w:abstractNum>
  <w:abstractNum w:abstractNumId="20">
    <w:nsid w:val="8EDBDAB"/>
    <w:multiLevelType w:val="hybridMultilevel"/>
    <w:lvl w:ilvl="0">
      <w:lvlJc w:val="left"/>
      <w:lvlText w:val="%1."/>
      <w:numFmt w:val="decimal"/>
      <w:start w:val="9"/>
    </w:lvl>
  </w:abstractNum>
  <w:abstractNum w:abstractNumId="21">
    <w:nsid w:val="79838CB2"/>
    <w:multiLevelType w:val="hybridMultilevel"/>
    <w:lvl w:ilvl="0">
      <w:lvlJc w:val="left"/>
      <w:lvlText w:val="(%1)"/>
      <w:numFmt w:val="lowerLetter"/>
      <w:start w:val="2"/>
    </w:lvl>
  </w:abstractNum>
  <w:abstractNum w:abstractNumId="22">
    <w:nsid w:val="4353D0CD"/>
    <w:multiLevelType w:val="hybridMultilevel"/>
    <w:lvl w:ilvl="0">
      <w:lvlJc w:val="left"/>
      <w:lvlText w:val="%1."/>
      <w:numFmt w:val="decimal"/>
      <w:start w:val="12"/>
    </w:lvl>
    <w:lvl w:ilvl="1">
      <w:lvlJc w:val="left"/>
      <w:lvlText w:val="(%2)"/>
      <w:numFmt w:val="lowerLetter"/>
      <w:start w:val="3"/>
    </w:lvl>
  </w:abstractNum>
  <w:abstractNum w:abstractNumId="23">
    <w:nsid w:val="B03E0C6"/>
    <w:multiLevelType w:val="hybridMultilevel"/>
    <w:lvl w:ilvl="0">
      <w:lvlJc w:val="left"/>
      <w:lvlText w:val="%1."/>
      <w:numFmt w:val="decimal"/>
      <w:start w:val="13"/>
    </w:lvl>
  </w:abstractNum>
  <w:abstractNum w:abstractNumId="24">
    <w:nsid w:val="189A769B"/>
    <w:multiLevelType w:val="hybridMultilevel"/>
    <w:lvl w:ilvl="0">
      <w:lvlJc w:val="left"/>
      <w:lvlText w:val="%1"/>
      <w:numFmt w:val="decimal"/>
      <w:start w:val="1"/>
    </w:lvl>
    <w:lvl w:ilvl="1">
      <w:lvlJc w:val="left"/>
      <w:lvlText w:val="(%2)"/>
      <w:numFmt w:val="lowerRoman"/>
      <w:start w:val="1"/>
    </w:lvl>
  </w:abstractNum>
  <w:abstractNum w:abstractNumId="25">
    <w:nsid w:val="54E49EB4"/>
    <w:multiLevelType w:val="hybridMultilevel"/>
    <w:lvl w:ilvl="0">
      <w:lvlJc w:val="left"/>
      <w:lvlText w:val="%1."/>
      <w:numFmt w:val="decimal"/>
      <w:start w:val="14"/>
    </w:lvl>
    <w:lvl w:ilvl="1">
      <w:lvlJc w:val="left"/>
      <w:lvlText w:val="%2"/>
      <w:numFmt w:val="lowerRoman"/>
      <w:start w:val="1"/>
    </w:lvl>
  </w:abstractNum>
  <w:abstractNum w:abstractNumId="26">
    <w:nsid w:val="71F32454"/>
    <w:multiLevelType w:val="hybridMultilevel"/>
    <w:lvl w:ilvl="0">
      <w:lvlJc w:val="left"/>
      <w:lvlText w:val="%1."/>
      <w:numFmt w:val="decimal"/>
      <w:start w:val="16"/>
    </w:lvl>
  </w:abstractNum>
  <w:abstractNum w:abstractNumId="27">
    <w:nsid w:val="2CA88611"/>
    <w:multiLevelType w:val="hybridMultilevel"/>
    <w:lvl w:ilvl="0">
      <w:lvlJc w:val="left"/>
      <w:lvlText w:val="%1."/>
      <w:numFmt w:val="decimal"/>
      <w:start w:val="1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2020-01-24T06:28:59Z</dcterms:created>
  <dcterms:modified xsi:type="dcterms:W3CDTF">2020-01-24T06:28:59Z</dcterms:modified>
</cp:coreProperties>
</file>